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C7BA11">
      <w:pPr>
        <w:spacing w:line="360" w:lineRule="auto"/>
        <w:rPr>
          <w:rFonts w:hint="eastAsia" w:ascii="仿宋" w:hAnsi="仿宋" w:eastAsia="仿宋" w:cs="仿宋"/>
          <w:sz w:val="96"/>
          <w:szCs w:val="96"/>
          <w:highlight w:val="none"/>
        </w:rPr>
      </w:pPr>
    </w:p>
    <w:p w14:paraId="128429B5">
      <w:pPr>
        <w:spacing w:line="360" w:lineRule="auto"/>
        <w:jc w:val="center"/>
        <w:rPr>
          <w:rFonts w:hint="eastAsia" w:ascii="仿宋" w:hAnsi="仿宋" w:eastAsia="仿宋" w:cs="仿宋"/>
          <w:sz w:val="96"/>
          <w:szCs w:val="96"/>
          <w:highlight w:val="none"/>
        </w:rPr>
      </w:pPr>
      <w:r>
        <w:rPr>
          <w:rFonts w:hint="eastAsia" w:ascii="仿宋" w:hAnsi="仿宋" w:eastAsia="仿宋" w:cs="仿宋"/>
          <w:sz w:val="96"/>
          <w:szCs w:val="96"/>
          <w:highlight w:val="none"/>
        </w:rPr>
        <w:t>竞争性谈判文件</w:t>
      </w:r>
    </w:p>
    <w:p w14:paraId="3E2F0BB1">
      <w:pPr>
        <w:spacing w:line="360" w:lineRule="auto"/>
        <w:ind w:firstLine="720" w:firstLineChars="200"/>
        <w:rPr>
          <w:rFonts w:hint="eastAsia" w:ascii="仿宋" w:hAnsi="仿宋" w:eastAsia="仿宋" w:cs="仿宋"/>
          <w:sz w:val="36"/>
          <w:szCs w:val="36"/>
          <w:highlight w:val="none"/>
        </w:rPr>
      </w:pPr>
    </w:p>
    <w:p w14:paraId="68251907">
      <w:pPr>
        <w:rPr>
          <w:rFonts w:hint="eastAsia"/>
          <w:highlight w:val="none"/>
        </w:rPr>
      </w:pPr>
    </w:p>
    <w:p w14:paraId="557F28CD">
      <w:pPr>
        <w:pStyle w:val="2"/>
        <w:rPr>
          <w:rFonts w:hint="eastAsia"/>
          <w:highlight w:val="none"/>
        </w:rPr>
      </w:pPr>
    </w:p>
    <w:p w14:paraId="6B00ACFD">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采购编号：WLZC-F-2025-181</w:t>
      </w:r>
    </w:p>
    <w:p w14:paraId="5DD59F4A">
      <w:pPr>
        <w:spacing w:line="360" w:lineRule="auto"/>
        <w:ind w:firstLine="640" w:firstLineChars="200"/>
        <w:rPr>
          <w:rFonts w:hint="eastAsia" w:ascii="仿宋" w:hAnsi="仿宋" w:eastAsia="仿宋" w:cs="仿宋"/>
          <w:sz w:val="32"/>
          <w:szCs w:val="28"/>
          <w:highlight w:val="none"/>
        </w:rPr>
      </w:pPr>
      <w:r>
        <w:rPr>
          <w:rFonts w:hint="eastAsia" w:ascii="仿宋" w:hAnsi="仿宋" w:eastAsia="仿宋" w:cs="仿宋"/>
          <w:sz w:val="32"/>
          <w:szCs w:val="28"/>
          <w:highlight w:val="none"/>
        </w:rPr>
        <w:t>项目名称：</w:t>
      </w:r>
      <w:r>
        <w:rPr>
          <w:rFonts w:hint="eastAsia" w:ascii="仿宋" w:hAnsi="仿宋" w:eastAsia="仿宋" w:cs="仿宋"/>
          <w:sz w:val="32"/>
          <w:szCs w:val="32"/>
          <w:highlight w:val="none"/>
        </w:rPr>
        <w:t xml:space="preserve">重庆文理学院信息技术中心正版软件授权采购   </w:t>
      </w:r>
    </w:p>
    <w:p w14:paraId="74978CFF">
      <w:pPr>
        <w:spacing w:line="360" w:lineRule="auto"/>
        <w:rPr>
          <w:rFonts w:hint="eastAsia" w:ascii="仿宋" w:hAnsi="仿宋" w:eastAsia="仿宋" w:cs="仿宋"/>
          <w:sz w:val="48"/>
          <w:szCs w:val="32"/>
          <w:highlight w:val="none"/>
        </w:rPr>
      </w:pPr>
    </w:p>
    <w:p w14:paraId="39A58F92">
      <w:pPr>
        <w:spacing w:line="360" w:lineRule="auto"/>
        <w:rPr>
          <w:rFonts w:hint="eastAsia" w:ascii="仿宋" w:hAnsi="仿宋" w:eastAsia="仿宋" w:cs="仿宋"/>
          <w:highlight w:val="none"/>
        </w:rPr>
      </w:pPr>
    </w:p>
    <w:p w14:paraId="2C8B00E1">
      <w:pPr>
        <w:pStyle w:val="2"/>
        <w:spacing w:line="360" w:lineRule="auto"/>
        <w:rPr>
          <w:rFonts w:hint="eastAsia" w:ascii="仿宋" w:hAnsi="仿宋" w:eastAsia="仿宋" w:cs="仿宋"/>
          <w:highlight w:val="none"/>
        </w:rPr>
      </w:pPr>
    </w:p>
    <w:p w14:paraId="693D071B">
      <w:pPr>
        <w:spacing w:line="360" w:lineRule="auto"/>
        <w:ind w:firstLine="720" w:firstLineChars="200"/>
        <w:jc w:val="left"/>
        <w:rPr>
          <w:rFonts w:hint="eastAsia" w:ascii="仿宋" w:hAnsi="仿宋" w:eastAsia="仿宋" w:cs="仿宋"/>
          <w:sz w:val="36"/>
          <w:szCs w:val="36"/>
          <w:highlight w:val="none"/>
        </w:rPr>
      </w:pPr>
    </w:p>
    <w:p w14:paraId="379F7AC5">
      <w:pPr>
        <w:spacing w:line="360" w:lineRule="auto"/>
        <w:ind w:firstLine="720" w:firstLineChars="200"/>
        <w:jc w:val="left"/>
        <w:rPr>
          <w:rFonts w:hint="eastAsia" w:ascii="仿宋" w:hAnsi="仿宋" w:eastAsia="仿宋" w:cs="仿宋"/>
          <w:sz w:val="36"/>
          <w:szCs w:val="36"/>
          <w:highlight w:val="none"/>
        </w:rPr>
      </w:pPr>
    </w:p>
    <w:p w14:paraId="4465B4B4">
      <w:pPr>
        <w:spacing w:line="360" w:lineRule="auto"/>
        <w:ind w:firstLine="720" w:firstLineChars="200"/>
        <w:jc w:val="left"/>
        <w:rPr>
          <w:rFonts w:hint="eastAsia" w:ascii="仿宋" w:hAnsi="仿宋" w:eastAsia="仿宋" w:cs="仿宋"/>
          <w:sz w:val="36"/>
          <w:szCs w:val="36"/>
          <w:highlight w:val="none"/>
        </w:rPr>
      </w:pPr>
    </w:p>
    <w:p w14:paraId="1641E10F">
      <w:pPr>
        <w:spacing w:line="360" w:lineRule="auto"/>
        <w:ind w:firstLine="720" w:firstLineChars="200"/>
        <w:jc w:val="left"/>
        <w:rPr>
          <w:rFonts w:hint="eastAsia" w:ascii="仿宋" w:hAnsi="仿宋" w:eastAsia="仿宋" w:cs="仿宋"/>
          <w:sz w:val="36"/>
          <w:szCs w:val="36"/>
          <w:highlight w:val="none"/>
        </w:rPr>
      </w:pPr>
      <w:r>
        <w:rPr>
          <w:rFonts w:hint="eastAsia" w:ascii="仿宋" w:hAnsi="仿宋" w:eastAsia="仿宋" w:cs="仿宋"/>
          <w:sz w:val="36"/>
          <w:szCs w:val="36"/>
          <w:highlight w:val="none"/>
        </w:rPr>
        <w:t>采购人：重庆文理学院</w:t>
      </w:r>
    </w:p>
    <w:p w14:paraId="62EE2B9D">
      <w:pPr>
        <w:spacing w:line="360" w:lineRule="auto"/>
        <w:ind w:firstLine="720" w:firstLineChars="200"/>
        <w:jc w:val="left"/>
        <w:rPr>
          <w:rFonts w:hint="eastAsia" w:ascii="仿宋" w:hAnsi="仿宋" w:eastAsia="仿宋" w:cs="仿宋"/>
          <w:sz w:val="36"/>
          <w:szCs w:val="36"/>
          <w:highlight w:val="none"/>
        </w:rPr>
      </w:pPr>
      <w:r>
        <w:rPr>
          <w:rFonts w:hint="eastAsia" w:ascii="仿宋" w:hAnsi="仿宋" w:eastAsia="仿宋" w:cs="仿宋"/>
          <w:sz w:val="36"/>
          <w:szCs w:val="36"/>
          <w:highlight w:val="none"/>
        </w:rPr>
        <w:t>采购代理机构：鼎信项目管理咨询有限公司</w:t>
      </w:r>
    </w:p>
    <w:p w14:paraId="63A024C1">
      <w:pPr>
        <w:spacing w:line="360" w:lineRule="auto"/>
        <w:jc w:val="center"/>
        <w:rPr>
          <w:rFonts w:hint="eastAsia" w:ascii="仿宋" w:hAnsi="仿宋" w:eastAsia="仿宋" w:cs="仿宋"/>
          <w:sz w:val="36"/>
          <w:szCs w:val="36"/>
          <w:highlight w:val="none"/>
        </w:rPr>
      </w:pPr>
    </w:p>
    <w:p w14:paraId="0F2F0C43">
      <w:pPr>
        <w:spacing w:line="360" w:lineRule="auto"/>
        <w:jc w:val="center"/>
        <w:rPr>
          <w:rFonts w:hint="eastAsia" w:ascii="仿宋" w:hAnsi="仿宋" w:eastAsia="仿宋" w:cs="仿宋"/>
          <w:sz w:val="36"/>
          <w:szCs w:val="32"/>
          <w:highlight w:val="none"/>
        </w:rPr>
      </w:pPr>
      <w:r>
        <w:rPr>
          <w:rFonts w:hint="eastAsia" w:ascii="仿宋" w:hAnsi="仿宋" w:eastAsia="仿宋" w:cs="仿宋"/>
          <w:sz w:val="36"/>
          <w:szCs w:val="32"/>
          <w:highlight w:val="none"/>
        </w:rPr>
        <w:t>二〇二五年</w:t>
      </w:r>
      <w:r>
        <w:rPr>
          <w:rFonts w:hint="eastAsia" w:ascii="仿宋" w:hAnsi="仿宋" w:eastAsia="仿宋" w:cs="仿宋"/>
          <w:sz w:val="36"/>
          <w:szCs w:val="32"/>
          <w:highlight w:val="none"/>
          <w:lang w:val="en-US" w:eastAsia="zh-CN"/>
        </w:rPr>
        <w:t>十</w:t>
      </w:r>
      <w:r>
        <w:rPr>
          <w:rFonts w:hint="eastAsia" w:ascii="仿宋" w:hAnsi="仿宋" w:eastAsia="仿宋" w:cs="仿宋"/>
          <w:sz w:val="36"/>
          <w:szCs w:val="32"/>
          <w:highlight w:val="none"/>
        </w:rPr>
        <w:t>月</w:t>
      </w:r>
    </w:p>
    <w:p w14:paraId="56CCF090">
      <w:pPr>
        <w:spacing w:line="360" w:lineRule="auto"/>
        <w:jc w:val="center"/>
        <w:outlineLvl w:val="0"/>
        <w:rPr>
          <w:rFonts w:hint="eastAsia" w:ascii="仿宋" w:hAnsi="仿宋" w:eastAsia="仿宋" w:cs="仿宋"/>
          <w:sz w:val="44"/>
          <w:szCs w:val="28"/>
          <w:highlight w:val="none"/>
        </w:rPr>
      </w:pPr>
    </w:p>
    <w:p w14:paraId="09D56630">
      <w:pPr>
        <w:pStyle w:val="2"/>
        <w:rPr>
          <w:rFonts w:hint="eastAsia" w:ascii="仿宋" w:hAnsi="仿宋" w:eastAsia="仿宋" w:cs="仿宋"/>
          <w:sz w:val="44"/>
          <w:szCs w:val="28"/>
          <w:highlight w:val="none"/>
        </w:rPr>
      </w:pPr>
    </w:p>
    <w:p w14:paraId="1364AEEF">
      <w:pPr>
        <w:rPr>
          <w:rFonts w:hint="eastAsia"/>
          <w:highlight w:val="none"/>
        </w:rPr>
      </w:pPr>
    </w:p>
    <w:p w14:paraId="277CF66E">
      <w:pPr>
        <w:spacing w:line="360" w:lineRule="auto"/>
        <w:outlineLvl w:val="0"/>
        <w:rPr>
          <w:rFonts w:hint="eastAsia" w:ascii="仿宋" w:hAnsi="仿宋" w:eastAsia="仿宋" w:cs="仿宋"/>
          <w:sz w:val="44"/>
          <w:szCs w:val="28"/>
          <w:highlight w:val="none"/>
        </w:rPr>
      </w:pPr>
    </w:p>
    <w:p w14:paraId="33966F02">
      <w:pPr>
        <w:spacing w:line="360" w:lineRule="auto"/>
        <w:jc w:val="center"/>
        <w:outlineLvl w:val="0"/>
        <w:rPr>
          <w:rFonts w:hint="eastAsia" w:ascii="仿宋" w:hAnsi="仿宋" w:eastAsia="仿宋" w:cs="仿宋"/>
          <w:sz w:val="44"/>
          <w:szCs w:val="28"/>
          <w:highlight w:val="none"/>
        </w:rPr>
      </w:pPr>
      <w:r>
        <w:rPr>
          <w:rFonts w:hint="eastAsia" w:ascii="仿宋" w:hAnsi="仿宋" w:eastAsia="仿宋" w:cs="仿宋"/>
          <w:sz w:val="44"/>
          <w:szCs w:val="28"/>
          <w:highlight w:val="none"/>
        </w:rPr>
        <w:t>目   录</w:t>
      </w:r>
    </w:p>
    <w:p w14:paraId="4C1DA158">
      <w:pPr>
        <w:pStyle w:val="45"/>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TOC \o "1-3" \h \z </w:instrText>
      </w:r>
      <w:r>
        <w:rPr>
          <w:rFonts w:hint="eastAsia" w:ascii="仿宋" w:hAnsi="仿宋" w:eastAsia="仿宋" w:cs="仿宋"/>
          <w:sz w:val="21"/>
          <w:szCs w:val="21"/>
          <w:highlight w:val="none"/>
        </w:rPr>
        <w:fldChar w:fldCharType="separate"/>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_Toc17942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第一篇  竞争性谈判邀请书</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_Toc17942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3E31C14C">
      <w:pPr>
        <w:pStyle w:val="45"/>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_Toc24762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第二篇  谈判项目技术（质量）需求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_Toc24762 \h </w:instrText>
      </w:r>
      <w:r>
        <w:rPr>
          <w:rFonts w:hint="eastAsia" w:ascii="仿宋" w:hAnsi="仿宋" w:eastAsia="仿宋" w:cs="仿宋"/>
          <w:highlight w:val="none"/>
        </w:rPr>
        <w:fldChar w:fldCharType="separate"/>
      </w:r>
      <w:r>
        <w:rPr>
          <w:rFonts w:hint="eastAsia" w:ascii="仿宋" w:hAnsi="仿宋" w:eastAsia="仿宋" w:cs="仿宋"/>
          <w:highlight w:val="none"/>
        </w:rPr>
        <w:t>7</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bookmarkStart w:id="240" w:name="_GoBack"/>
      <w:bookmarkEnd w:id="240"/>
    </w:p>
    <w:p w14:paraId="6CD8549F">
      <w:pPr>
        <w:pStyle w:val="45"/>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_Toc9925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第三篇  谈判项目服务需求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_Toc9925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21FA2445">
      <w:pPr>
        <w:pStyle w:val="45"/>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_Toc15903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第四篇  采购程序、评定成交的标准、无效谈判及采购终止</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_Toc15903 \h </w:instrText>
      </w:r>
      <w:r>
        <w:rPr>
          <w:rFonts w:hint="eastAsia" w:ascii="仿宋" w:hAnsi="仿宋" w:eastAsia="仿宋" w:cs="仿宋"/>
          <w:highlight w:val="none"/>
        </w:rPr>
        <w:fldChar w:fldCharType="separate"/>
      </w:r>
      <w:r>
        <w:rPr>
          <w:rFonts w:hint="eastAsia" w:ascii="仿宋" w:hAnsi="仿宋" w:eastAsia="仿宋" w:cs="仿宋"/>
          <w:highlight w:val="none"/>
        </w:rPr>
        <w:t>11</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6B6895AC">
      <w:pPr>
        <w:pStyle w:val="45"/>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_Toc10212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第五篇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_Toc10212 \h </w:instrText>
      </w:r>
      <w:r>
        <w:rPr>
          <w:rFonts w:hint="eastAsia" w:ascii="仿宋" w:hAnsi="仿宋" w:eastAsia="仿宋" w:cs="仿宋"/>
          <w:highlight w:val="none"/>
        </w:rPr>
        <w:fldChar w:fldCharType="separate"/>
      </w:r>
      <w:r>
        <w:rPr>
          <w:rFonts w:hint="eastAsia" w:ascii="仿宋" w:hAnsi="仿宋" w:eastAsia="仿宋" w:cs="仿宋"/>
          <w:highlight w:val="none"/>
        </w:rPr>
        <w:t>15</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00EE3F56">
      <w:pPr>
        <w:pStyle w:val="45"/>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_Toc28416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第六篇  合同草案条款</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_Toc10212 \h </w:instrText>
      </w:r>
      <w:r>
        <w:rPr>
          <w:rFonts w:hint="eastAsia" w:ascii="仿宋" w:hAnsi="仿宋" w:eastAsia="仿宋" w:cs="仿宋"/>
          <w:highlight w:val="none"/>
        </w:rPr>
        <w:fldChar w:fldCharType="separate"/>
      </w:r>
      <w:r>
        <w:rPr>
          <w:rFonts w:hint="eastAsia" w:ascii="仿宋" w:hAnsi="仿宋" w:eastAsia="仿宋" w:cs="仿宋"/>
          <w:highlight w:val="none"/>
        </w:rPr>
        <w:t>15</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68798CDF">
      <w:pPr>
        <w:pStyle w:val="45"/>
        <w:tabs>
          <w:tab w:val="right" w:leader="dot" w:pos="9412"/>
        </w:tabs>
        <w:spacing w:line="480" w:lineRule="auto"/>
        <w:ind w:left="560"/>
        <w:rPr>
          <w:rFonts w:hint="eastAsia" w:ascii="仿宋" w:hAnsi="仿宋" w:eastAsia="仿宋" w:cs="仿宋"/>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_Toc30161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第七篇  响应文件格式要求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_Toc30161 \h </w:instrText>
      </w:r>
      <w:r>
        <w:rPr>
          <w:rFonts w:hint="eastAsia" w:ascii="仿宋" w:hAnsi="仿宋" w:eastAsia="仿宋" w:cs="仿宋"/>
          <w:highlight w:val="none"/>
        </w:rPr>
        <w:fldChar w:fldCharType="separate"/>
      </w:r>
      <w:r>
        <w:rPr>
          <w:rFonts w:hint="eastAsia" w:ascii="仿宋" w:hAnsi="仿宋" w:eastAsia="仿宋" w:cs="仿宋"/>
          <w:highlight w:val="none"/>
        </w:rPr>
        <w:t>21</w:t>
      </w:r>
      <w:r>
        <w:rPr>
          <w:rFonts w:hint="eastAsia" w:ascii="仿宋" w:hAnsi="仿宋" w:eastAsia="仿宋" w:cs="仿宋"/>
          <w:highlight w:val="none"/>
        </w:rPr>
        <w:fldChar w:fldCharType="end"/>
      </w:r>
      <w:r>
        <w:rPr>
          <w:rFonts w:hint="eastAsia" w:ascii="仿宋" w:hAnsi="仿宋" w:eastAsia="仿宋" w:cs="仿宋"/>
          <w:szCs w:val="21"/>
          <w:highlight w:val="none"/>
        </w:rPr>
        <w:fldChar w:fldCharType="end"/>
      </w:r>
    </w:p>
    <w:p w14:paraId="55058242">
      <w:pPr>
        <w:pStyle w:val="45"/>
        <w:tabs>
          <w:tab w:val="right" w:leader="dot" w:pos="9402"/>
        </w:tabs>
        <w:spacing w:line="480" w:lineRule="auto"/>
        <w:ind w:left="560"/>
        <w:rPr>
          <w:rFonts w:hint="eastAsia" w:ascii="仿宋" w:hAnsi="仿宋" w:eastAsia="仿宋" w:cs="仿宋"/>
          <w:sz w:val="18"/>
          <w:szCs w:val="22"/>
          <w:highlight w:val="none"/>
        </w:rPr>
        <w:sectPr>
          <w:headerReference r:id="rId3" w:type="default"/>
          <w:footerReference r:id="rId4" w:type="default"/>
          <w:pgSz w:w="11907" w:h="16840"/>
          <w:pgMar w:top="1134" w:right="1191" w:bottom="1134" w:left="1304" w:header="851" w:footer="992" w:gutter="0"/>
          <w:pgNumType w:start="1"/>
          <w:cols w:space="720" w:num="1"/>
          <w:docGrid w:linePitch="381" w:charSpace="-5735"/>
        </w:sectPr>
      </w:pPr>
      <w:r>
        <w:rPr>
          <w:rFonts w:hint="eastAsia" w:ascii="仿宋" w:hAnsi="仿宋" w:eastAsia="仿宋" w:cs="仿宋"/>
          <w:szCs w:val="21"/>
          <w:highlight w:val="none"/>
        </w:rPr>
        <w:fldChar w:fldCharType="end"/>
      </w:r>
    </w:p>
    <w:p w14:paraId="64622AC3">
      <w:pPr>
        <w:pStyle w:val="4"/>
        <w:spacing w:before="0" w:after="0" w:line="360" w:lineRule="auto"/>
        <w:jc w:val="center"/>
        <w:rPr>
          <w:rFonts w:hint="eastAsia" w:ascii="仿宋" w:hAnsi="仿宋" w:eastAsia="仿宋" w:cs="仿宋"/>
          <w:b w:val="0"/>
          <w:sz w:val="36"/>
          <w:szCs w:val="30"/>
          <w:highlight w:val="none"/>
        </w:rPr>
      </w:pPr>
      <w:bookmarkStart w:id="0" w:name="_Toc15726"/>
      <w:bookmarkStart w:id="1" w:name="_Toc17942"/>
      <w:bookmarkStart w:id="2" w:name="_Toc11641050"/>
      <w:bookmarkStart w:id="3" w:name="_Toc12789052"/>
      <w:bookmarkStart w:id="4" w:name="_Toc65660329"/>
      <w:bookmarkStart w:id="5" w:name="_Toc24173"/>
      <w:r>
        <w:rPr>
          <w:rFonts w:hint="eastAsia" w:ascii="仿宋" w:hAnsi="仿宋" w:eastAsia="仿宋" w:cs="仿宋"/>
          <w:b w:val="0"/>
          <w:sz w:val="36"/>
          <w:szCs w:val="30"/>
          <w:highlight w:val="none"/>
        </w:rPr>
        <w:t>第一篇  竞争性谈判邀请书</w:t>
      </w:r>
      <w:bookmarkEnd w:id="0"/>
      <w:bookmarkEnd w:id="1"/>
      <w:bookmarkEnd w:id="2"/>
      <w:bookmarkEnd w:id="3"/>
      <w:bookmarkEnd w:id="4"/>
      <w:bookmarkEnd w:id="5"/>
    </w:p>
    <w:p w14:paraId="4EF642A0">
      <w:pPr>
        <w:spacing w:line="500" w:lineRule="exact"/>
        <w:ind w:firstLine="480" w:firstLineChars="200"/>
        <w:rPr>
          <w:rFonts w:hint="eastAsia" w:ascii="仿宋" w:hAnsi="仿宋" w:eastAsia="仿宋" w:cs="仿宋"/>
          <w:sz w:val="24"/>
          <w:szCs w:val="24"/>
          <w:highlight w:val="none"/>
        </w:rPr>
      </w:pPr>
      <w:bookmarkStart w:id="6" w:name="_Toc18246"/>
      <w:bookmarkStart w:id="7" w:name="_Toc65660330"/>
      <w:bookmarkStart w:id="8" w:name="_Toc317775175"/>
      <w:bookmarkStart w:id="9" w:name="_Toc313893526"/>
      <w:bookmarkStart w:id="10" w:name="_Toc7758"/>
      <w:r>
        <w:rPr>
          <w:rFonts w:hint="eastAsia" w:ascii="仿宋" w:hAnsi="仿宋" w:eastAsia="仿宋" w:cs="仿宋"/>
          <w:sz w:val="24"/>
          <w:szCs w:val="24"/>
          <w:highlight w:val="none"/>
        </w:rPr>
        <w:t xml:space="preserve">鼎信项目管理咨询有限公司（以下简称：采购代理机构）接受重庆文理学院（以下简称：采购人）的委托，对重庆文理学院信息技术中心正版软件授权采购进行竞争性谈判采购。欢迎有资格的供应商前来参加谈判。 </w:t>
      </w:r>
    </w:p>
    <w:p w14:paraId="2095BB81">
      <w:pPr>
        <w:pStyle w:val="4"/>
        <w:spacing w:before="0" w:after="0" w:line="500" w:lineRule="exact"/>
        <w:ind w:firstLine="482" w:firstLineChars="200"/>
        <w:rPr>
          <w:rFonts w:hint="eastAsia" w:ascii="仿宋" w:hAnsi="仿宋" w:eastAsia="仿宋" w:cs="仿宋"/>
          <w:sz w:val="24"/>
          <w:highlight w:val="none"/>
        </w:rPr>
      </w:pPr>
      <w:bookmarkStart w:id="11" w:name="_Toc22812"/>
      <w:r>
        <w:rPr>
          <w:rFonts w:hint="eastAsia" w:ascii="仿宋" w:hAnsi="仿宋" w:eastAsia="仿宋" w:cs="仿宋"/>
          <w:sz w:val="24"/>
          <w:highlight w:val="none"/>
        </w:rPr>
        <w:t>一、竞争性谈判内容</w:t>
      </w:r>
      <w:bookmarkEnd w:id="6"/>
      <w:bookmarkEnd w:id="7"/>
      <w:bookmarkEnd w:id="8"/>
      <w:bookmarkEnd w:id="9"/>
      <w:bookmarkEnd w:id="10"/>
      <w:bookmarkEnd w:id="11"/>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4"/>
        <w:gridCol w:w="1135"/>
        <w:gridCol w:w="1557"/>
        <w:gridCol w:w="1982"/>
      </w:tblGrid>
      <w:tr w14:paraId="78532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2234" w:type="dxa"/>
            <w:tcBorders>
              <w:top w:val="single" w:color="auto" w:sz="4" w:space="0"/>
              <w:left w:val="single" w:color="auto" w:sz="4" w:space="0"/>
              <w:right w:val="single" w:color="auto" w:sz="4" w:space="0"/>
            </w:tcBorders>
            <w:vAlign w:val="center"/>
          </w:tcPr>
          <w:p w14:paraId="4D631DE0">
            <w:pPr>
              <w:widowControl/>
              <w:jc w:val="center"/>
              <w:rPr>
                <w:rFonts w:hint="eastAsia"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包号及名称</w:t>
            </w:r>
          </w:p>
        </w:tc>
        <w:tc>
          <w:tcPr>
            <w:tcW w:w="1135" w:type="dxa"/>
            <w:tcBorders>
              <w:top w:val="single" w:color="auto" w:sz="4" w:space="0"/>
              <w:left w:val="single" w:color="auto" w:sz="4" w:space="0"/>
              <w:right w:val="single" w:color="auto" w:sz="4" w:space="0"/>
            </w:tcBorders>
            <w:vAlign w:val="center"/>
          </w:tcPr>
          <w:p w14:paraId="579F8C03">
            <w:pPr>
              <w:widowControl/>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预算金额（万元）</w:t>
            </w:r>
          </w:p>
        </w:tc>
        <w:tc>
          <w:tcPr>
            <w:tcW w:w="1557" w:type="dxa"/>
            <w:tcBorders>
              <w:top w:val="single" w:color="auto" w:sz="4" w:space="0"/>
              <w:left w:val="single" w:color="auto" w:sz="4" w:space="0"/>
              <w:right w:val="single" w:color="auto" w:sz="4" w:space="0"/>
            </w:tcBorders>
            <w:vAlign w:val="center"/>
          </w:tcPr>
          <w:p w14:paraId="37F4767E">
            <w:pPr>
              <w:widowControl/>
              <w:jc w:val="center"/>
              <w:rPr>
                <w:rFonts w:hint="eastAsia"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保证金</w:t>
            </w:r>
          </w:p>
          <w:p w14:paraId="2FB0855B">
            <w:pPr>
              <w:jc w:val="center"/>
              <w:rPr>
                <w:rFonts w:hint="eastAsia"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（万元）</w:t>
            </w:r>
          </w:p>
        </w:tc>
        <w:tc>
          <w:tcPr>
            <w:tcW w:w="1982" w:type="dxa"/>
            <w:tcBorders>
              <w:top w:val="single" w:color="auto" w:sz="4" w:space="0"/>
              <w:left w:val="single" w:color="auto" w:sz="4" w:space="0"/>
              <w:right w:val="single" w:color="auto" w:sz="4" w:space="0"/>
            </w:tcBorders>
            <w:vAlign w:val="center"/>
          </w:tcPr>
          <w:p w14:paraId="4E88061A">
            <w:pPr>
              <w:jc w:val="center"/>
              <w:rPr>
                <w:rFonts w:hint="eastAsia"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成交供应商数量（名）</w:t>
            </w:r>
          </w:p>
        </w:tc>
      </w:tr>
      <w:tr w14:paraId="4BBC9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234" w:type="dxa"/>
            <w:tcBorders>
              <w:top w:val="single" w:color="auto" w:sz="4" w:space="0"/>
              <w:left w:val="single" w:color="auto" w:sz="4" w:space="0"/>
              <w:bottom w:val="single" w:color="auto" w:sz="4" w:space="0"/>
              <w:right w:val="single" w:color="auto" w:sz="4" w:space="0"/>
            </w:tcBorders>
            <w:vAlign w:val="center"/>
          </w:tcPr>
          <w:p w14:paraId="0E7DC837">
            <w:pPr>
              <w:widowControl/>
              <w:jc w:val="center"/>
              <w:rPr>
                <w:rFonts w:hint="eastAsia" w:ascii="仿宋" w:hAnsi="仿宋" w:eastAsia="仿宋" w:cs="仿宋"/>
                <w:kern w:val="0"/>
                <w:sz w:val="21"/>
                <w:szCs w:val="24"/>
                <w:highlight w:val="none"/>
              </w:rPr>
            </w:pPr>
            <w:bookmarkStart w:id="12" w:name="_Hlk344477914"/>
            <w:r>
              <w:rPr>
                <w:rFonts w:hint="eastAsia" w:ascii="仿宋" w:hAnsi="仿宋" w:eastAsia="仿宋" w:cs="仿宋"/>
                <w:sz w:val="24"/>
                <w:szCs w:val="24"/>
                <w:highlight w:val="none"/>
              </w:rPr>
              <w:t xml:space="preserve">重庆文理学院信息技术中心正版软件授权采购   </w:t>
            </w:r>
          </w:p>
        </w:tc>
        <w:tc>
          <w:tcPr>
            <w:tcW w:w="1135" w:type="dxa"/>
            <w:tcBorders>
              <w:top w:val="single" w:color="auto" w:sz="4" w:space="0"/>
              <w:left w:val="single" w:color="auto" w:sz="4" w:space="0"/>
              <w:bottom w:val="single" w:color="auto" w:sz="4" w:space="0"/>
              <w:right w:val="single" w:color="auto" w:sz="4" w:space="0"/>
            </w:tcBorders>
            <w:vAlign w:val="center"/>
          </w:tcPr>
          <w:p w14:paraId="42D3AE11">
            <w:pPr>
              <w:widowControl/>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40</w:t>
            </w:r>
          </w:p>
        </w:tc>
        <w:tc>
          <w:tcPr>
            <w:tcW w:w="1557" w:type="dxa"/>
            <w:tcBorders>
              <w:top w:val="single" w:color="auto" w:sz="4" w:space="0"/>
              <w:left w:val="single" w:color="auto" w:sz="4" w:space="0"/>
              <w:bottom w:val="single" w:color="auto" w:sz="4" w:space="0"/>
              <w:right w:val="single" w:color="auto" w:sz="4" w:space="0"/>
            </w:tcBorders>
            <w:vAlign w:val="center"/>
          </w:tcPr>
          <w:p w14:paraId="60F2DA88">
            <w:pPr>
              <w:widowControl/>
              <w:jc w:val="center"/>
              <w:rPr>
                <w:rFonts w:hint="eastAsia"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0.5</w:t>
            </w:r>
          </w:p>
        </w:tc>
        <w:tc>
          <w:tcPr>
            <w:tcW w:w="1982" w:type="dxa"/>
            <w:tcBorders>
              <w:top w:val="single" w:color="auto" w:sz="4" w:space="0"/>
              <w:left w:val="single" w:color="auto" w:sz="4" w:space="0"/>
              <w:bottom w:val="single" w:color="auto" w:sz="4" w:space="0"/>
              <w:right w:val="single" w:color="auto" w:sz="4" w:space="0"/>
            </w:tcBorders>
            <w:vAlign w:val="center"/>
          </w:tcPr>
          <w:p w14:paraId="62921B1D">
            <w:pPr>
              <w:widowControl/>
              <w:jc w:val="center"/>
              <w:rPr>
                <w:rFonts w:hint="eastAsia"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1</w:t>
            </w:r>
          </w:p>
        </w:tc>
      </w:tr>
      <w:bookmarkEnd w:id="12"/>
    </w:tbl>
    <w:p w14:paraId="044237C2">
      <w:pPr>
        <w:pStyle w:val="4"/>
        <w:spacing w:before="0" w:after="0" w:line="500" w:lineRule="exact"/>
        <w:ind w:firstLine="482" w:firstLineChars="200"/>
        <w:rPr>
          <w:rFonts w:hint="eastAsia" w:ascii="仿宋" w:hAnsi="仿宋" w:eastAsia="仿宋" w:cs="仿宋"/>
          <w:sz w:val="24"/>
          <w:highlight w:val="none"/>
        </w:rPr>
      </w:pPr>
      <w:bookmarkStart w:id="13" w:name="_Toc65660331"/>
      <w:bookmarkStart w:id="14" w:name="_Toc27028"/>
      <w:bookmarkStart w:id="15" w:name="_Toc3256"/>
      <w:bookmarkStart w:id="16" w:name="_Toc10366"/>
      <w:bookmarkStart w:id="17" w:name="_Toc373860293"/>
      <w:bookmarkStart w:id="18" w:name="_Toc317775178"/>
      <w:r>
        <w:rPr>
          <w:rFonts w:hint="eastAsia" w:ascii="仿宋" w:hAnsi="仿宋" w:eastAsia="仿宋" w:cs="仿宋"/>
          <w:sz w:val="24"/>
          <w:highlight w:val="none"/>
        </w:rPr>
        <w:t>二、资金来源</w:t>
      </w:r>
      <w:bookmarkEnd w:id="13"/>
      <w:bookmarkEnd w:id="14"/>
      <w:bookmarkEnd w:id="15"/>
      <w:bookmarkEnd w:id="16"/>
    </w:p>
    <w:p w14:paraId="106BEE00">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财政资金，采购预算40万元。</w:t>
      </w:r>
    </w:p>
    <w:p w14:paraId="48909E6E">
      <w:pPr>
        <w:pStyle w:val="4"/>
        <w:spacing w:before="0" w:after="0" w:line="500" w:lineRule="exact"/>
        <w:ind w:firstLine="482" w:firstLineChars="200"/>
        <w:rPr>
          <w:rFonts w:hint="eastAsia" w:ascii="仿宋" w:hAnsi="仿宋" w:eastAsia="仿宋" w:cs="仿宋"/>
          <w:sz w:val="24"/>
          <w:highlight w:val="none"/>
        </w:rPr>
      </w:pPr>
      <w:bookmarkStart w:id="19" w:name="_Toc13541"/>
      <w:bookmarkStart w:id="20" w:name="_Toc18548"/>
      <w:bookmarkStart w:id="21" w:name="_Toc12203"/>
      <w:bookmarkStart w:id="22" w:name="_Toc64731996"/>
      <w:bookmarkStart w:id="23" w:name="_Toc65660332"/>
      <w:r>
        <w:rPr>
          <w:rFonts w:hint="eastAsia" w:ascii="仿宋" w:hAnsi="仿宋" w:eastAsia="仿宋" w:cs="仿宋"/>
          <w:sz w:val="24"/>
          <w:highlight w:val="none"/>
        </w:rPr>
        <w:t>三、供应商资格条件</w:t>
      </w:r>
      <w:bookmarkEnd w:id="19"/>
      <w:bookmarkEnd w:id="20"/>
      <w:bookmarkEnd w:id="21"/>
      <w:bookmarkEnd w:id="22"/>
      <w:bookmarkEnd w:id="23"/>
    </w:p>
    <w:p w14:paraId="4150D1C4">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（一）满足《中华人民共和国政府采购法》第二十二条规定；</w:t>
      </w:r>
    </w:p>
    <w:p w14:paraId="77AE3BA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（二）落实政府采购政策需满足的资格要求：</w:t>
      </w:r>
      <w:r>
        <w:rPr>
          <w:rFonts w:hint="eastAsia" w:ascii="仿宋" w:hAnsi="仿宋" w:eastAsia="仿宋" w:cs="仿宋"/>
          <w:i/>
          <w:sz w:val="24"/>
          <w:szCs w:val="24"/>
          <w:highlight w:val="none"/>
          <w:u w:val="single"/>
        </w:rPr>
        <w:t>无</w:t>
      </w:r>
    </w:p>
    <w:p w14:paraId="058AFAA9">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（三）本项目的特定资格要求：</w:t>
      </w:r>
      <w:r>
        <w:rPr>
          <w:rFonts w:hint="eastAsia" w:ascii="仿宋" w:hAnsi="仿宋" w:eastAsia="仿宋" w:cs="仿宋"/>
          <w:i/>
          <w:sz w:val="24"/>
          <w:szCs w:val="24"/>
          <w:highlight w:val="none"/>
          <w:u w:val="single"/>
        </w:rPr>
        <w:t>无</w:t>
      </w:r>
    </w:p>
    <w:p w14:paraId="02AB6866">
      <w:pPr>
        <w:pStyle w:val="4"/>
        <w:spacing w:before="0" w:after="0" w:line="500" w:lineRule="exact"/>
        <w:ind w:firstLine="482" w:firstLineChars="200"/>
        <w:rPr>
          <w:rFonts w:hint="eastAsia" w:ascii="仿宋" w:hAnsi="仿宋" w:eastAsia="仿宋" w:cs="仿宋"/>
          <w:sz w:val="24"/>
          <w:highlight w:val="none"/>
        </w:rPr>
      </w:pPr>
      <w:bookmarkStart w:id="24" w:name="_Toc19991"/>
      <w:bookmarkStart w:id="25" w:name="_Toc65660333"/>
      <w:bookmarkStart w:id="26" w:name="_Toc1386"/>
      <w:bookmarkStart w:id="27" w:name="_Toc11908"/>
      <w:r>
        <w:rPr>
          <w:rFonts w:hint="eastAsia" w:ascii="仿宋" w:hAnsi="仿宋" w:eastAsia="仿宋" w:cs="仿宋"/>
          <w:sz w:val="24"/>
          <w:highlight w:val="none"/>
        </w:rPr>
        <w:t>四、谈判有关说明</w:t>
      </w:r>
      <w:bookmarkEnd w:id="17"/>
      <w:bookmarkEnd w:id="24"/>
      <w:bookmarkEnd w:id="25"/>
      <w:bookmarkEnd w:id="26"/>
      <w:bookmarkEnd w:id="27"/>
    </w:p>
    <w:bookmarkEnd w:id="18"/>
    <w:p w14:paraId="3804A1C3">
      <w:pPr>
        <w:spacing w:line="500" w:lineRule="exact"/>
        <w:ind w:firstLine="480" w:firstLineChars="200"/>
        <w:rPr>
          <w:rFonts w:hint="eastAsia" w:ascii="仿宋" w:hAnsi="仿宋" w:eastAsia="仿宋" w:cs="仿宋"/>
          <w:sz w:val="24"/>
          <w:szCs w:val="24"/>
          <w:highlight w:val="none"/>
        </w:rPr>
      </w:pPr>
      <w:bookmarkStart w:id="28" w:name="_Toc525047161"/>
      <w:bookmarkStart w:id="29" w:name="_Toc11956"/>
      <w:bookmarkStart w:id="30" w:name="_Toc6178"/>
      <w:bookmarkStart w:id="31" w:name="_Toc373860294"/>
      <w:bookmarkStart w:id="32" w:name="_Toc521053053"/>
      <w:bookmarkStart w:id="33" w:name="_Toc65660334"/>
      <w:r>
        <w:rPr>
          <w:rFonts w:hint="eastAsia" w:ascii="仿宋" w:hAnsi="仿宋" w:eastAsia="仿宋" w:cs="仿宋"/>
          <w:sz w:val="24"/>
          <w:szCs w:val="24"/>
          <w:highlight w:val="none"/>
        </w:rPr>
        <w:t>（一）供应商应通过“行采家”平台（https://www.gec123.com）进行注册，成为行采家平台供应商。</w:t>
      </w:r>
    </w:p>
    <w:p w14:paraId="532FCD8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（二）凡有意参加谈判的供应商，请在行采家上下载本项目竞争性谈判文件以及图纸、澄清等谈判前公布的所有项目资料，无论供应商下载或领取与否，均视为已知晓所有谈判实质性要求内容。</w:t>
      </w:r>
    </w:p>
    <w:p w14:paraId="1E67DBE0">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（三）竞争性谈判公告期限：自采购公告发布之日起三个工作日。</w:t>
      </w:r>
    </w:p>
    <w:p w14:paraId="3D1B175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（四）获取竞争性谈判文件期限：</w:t>
      </w:r>
    </w:p>
    <w:p w14:paraId="4093D1C3">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1.报名和竞争性谈判文件发售期：2025年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日-2025年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日17：00。</w:t>
      </w:r>
    </w:p>
    <w:p w14:paraId="0E4A5C5E">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2.谈判文件售价：人民币300元/份（售后不退）。</w:t>
      </w:r>
    </w:p>
    <w:p w14:paraId="04A04B9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3谈判文件获取方式： </w:t>
      </w:r>
    </w:p>
    <w:p w14:paraId="6BB0821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3.1线上方式（汇款）</w:t>
      </w:r>
    </w:p>
    <w:p w14:paraId="5ABE696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在谈判文件发售期内，供应商将谈判文件购买费用汇至以下账户内进行购买。通过汇款方式购买谈判文件的，将购买谈判文件的汇款凭证、《采购文件发售登记表》（加盖供应商公章）扫描件发送至 1501294423@qq.com（邮箱）。</w:t>
      </w:r>
    </w:p>
    <w:p w14:paraId="54FE6034">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户  名：鼎信项目管理咨询有限公司</w:t>
      </w:r>
    </w:p>
    <w:p w14:paraId="64B9E4E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开户行：工行袁家岗支行</w:t>
      </w:r>
    </w:p>
    <w:p w14:paraId="657561C1">
      <w:pPr>
        <w:spacing w:line="5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账  号：</w:t>
      </w:r>
      <w:r>
        <w:rPr>
          <w:rFonts w:hint="eastAsia" w:ascii="仿宋" w:hAnsi="仿宋" w:eastAsia="仿宋" w:cs="仿宋"/>
          <w:sz w:val="24"/>
          <w:szCs w:val="24"/>
          <w:highlight w:val="none"/>
          <w:lang w:eastAsia="zh-CN"/>
        </w:rPr>
        <w:t>9558833100006787138</w:t>
      </w:r>
    </w:p>
    <w:p w14:paraId="76FF798F">
      <w:pPr>
        <w:spacing w:line="500" w:lineRule="exact"/>
        <w:ind w:firstLine="482" w:firstLineChars="200"/>
        <w:rPr>
          <w:rFonts w:hint="eastAsia" w:ascii="仿宋" w:hAnsi="仿宋" w:eastAsia="仿宋" w:cs="仿宋"/>
          <w:highlight w:val="none"/>
        </w:rPr>
      </w:pPr>
      <w:r>
        <w:rPr>
          <w:rFonts w:hint="eastAsia" w:ascii="仿宋" w:hAnsi="仿宋" w:eastAsia="仿宋" w:cs="仿宋"/>
          <w:b/>
          <w:bCs/>
          <w:sz w:val="24"/>
          <w:szCs w:val="24"/>
          <w:highlight w:val="none"/>
        </w:rPr>
        <w:t>（注意：本账号为代理公司系统虚拟子账号，每个项目均不一样，请各位供应商高度重视。）</w:t>
      </w:r>
    </w:p>
    <w:p w14:paraId="75FBC7BF">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4.在报名和谈判文件发售期内购买了谈判文件的供应商，其报名才被接收。</w:t>
      </w:r>
    </w:p>
    <w:p w14:paraId="7FA9F101">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（四）递交响应文件地点：重庆文理学院恪勤楼203室（重庆市永川区红河大道319号）。</w:t>
      </w:r>
    </w:p>
    <w:p w14:paraId="76008084">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（五）谈判响应文件递交开始时间：2025年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日北京时间9：30</w:t>
      </w:r>
    </w:p>
    <w:p w14:paraId="6A98E66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（六）谈判响应文件递交截止时间：2025年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日北京时间10：00</w:t>
      </w:r>
    </w:p>
    <w:p w14:paraId="05D139ED">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（七）谈判开始时间：2025年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日北京时间10：00</w:t>
      </w:r>
    </w:p>
    <w:p w14:paraId="29136E61">
      <w:pPr>
        <w:pStyle w:val="4"/>
        <w:spacing w:before="0" w:after="0" w:line="500" w:lineRule="exact"/>
        <w:ind w:firstLine="482" w:firstLineChars="200"/>
        <w:rPr>
          <w:rFonts w:hint="eastAsia" w:ascii="仿宋" w:hAnsi="仿宋" w:eastAsia="仿宋" w:cs="仿宋"/>
          <w:sz w:val="24"/>
          <w:highlight w:val="none"/>
        </w:rPr>
      </w:pPr>
      <w:bookmarkStart w:id="34" w:name="_Toc23336"/>
      <w:r>
        <w:rPr>
          <w:rFonts w:hint="eastAsia" w:ascii="仿宋" w:hAnsi="仿宋" w:eastAsia="仿宋" w:cs="仿宋"/>
          <w:sz w:val="24"/>
          <w:highlight w:val="none"/>
        </w:rPr>
        <w:t>五、保证金</w:t>
      </w:r>
      <w:bookmarkEnd w:id="28"/>
      <w:bookmarkEnd w:id="29"/>
      <w:bookmarkEnd w:id="30"/>
      <w:bookmarkEnd w:id="31"/>
      <w:bookmarkEnd w:id="32"/>
      <w:bookmarkEnd w:id="33"/>
      <w:bookmarkEnd w:id="34"/>
    </w:p>
    <w:p w14:paraId="3829980F">
      <w:pPr>
        <w:spacing w:line="500" w:lineRule="exact"/>
        <w:ind w:firstLine="480" w:firstLineChars="200"/>
        <w:rPr>
          <w:rFonts w:hint="eastAsia" w:ascii="仿宋" w:hAnsi="仿宋" w:eastAsia="仿宋" w:cs="仿宋"/>
          <w:sz w:val="24"/>
          <w:szCs w:val="24"/>
          <w:highlight w:val="none"/>
        </w:rPr>
      </w:pPr>
      <w:bookmarkStart w:id="35" w:name="_Toc10654"/>
      <w:bookmarkStart w:id="36" w:name="_Toc65660335"/>
      <w:bookmarkStart w:id="37" w:name="_Toc521053054"/>
      <w:bookmarkStart w:id="38" w:name="_Toc4355"/>
      <w:bookmarkStart w:id="39" w:name="_Toc525047162"/>
      <w:bookmarkStart w:id="40" w:name="_Toc2945"/>
      <w:bookmarkStart w:id="41" w:name="_Toc479668114"/>
      <w:r>
        <w:rPr>
          <w:rFonts w:hint="eastAsia" w:ascii="仿宋" w:hAnsi="仿宋" w:eastAsia="仿宋" w:cs="仿宋"/>
          <w:sz w:val="24"/>
          <w:szCs w:val="24"/>
          <w:highlight w:val="none"/>
        </w:rPr>
        <w:t>（一）保证金递交</w:t>
      </w:r>
    </w:p>
    <w:p w14:paraId="5F5894F0">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供应商须按本项目规定的谈判保证金金额进行缴纳（保证金金额详见本篇，一、竞争性谈判内容），由供应商从其公司账户将谈判保证金汇至以下账户，谈判保证金的到账截止时间同响应文件递交截止时间。</w:t>
      </w:r>
    </w:p>
    <w:p w14:paraId="7350A917">
      <w:pPr>
        <w:spacing w:line="5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保证金账户：</w:t>
      </w:r>
    </w:p>
    <w:tbl>
      <w:tblPr>
        <w:tblStyle w:val="57"/>
        <w:tblW w:w="0" w:type="auto"/>
        <w:jc w:val="center"/>
        <w:tblLayout w:type="fixed"/>
        <w:tblCellMar>
          <w:top w:w="15" w:type="dxa"/>
          <w:left w:w="15" w:type="dxa"/>
          <w:bottom w:w="15" w:type="dxa"/>
          <w:right w:w="15" w:type="dxa"/>
        </w:tblCellMar>
      </w:tblPr>
      <w:tblGrid>
        <w:gridCol w:w="1590"/>
        <w:gridCol w:w="6520"/>
      </w:tblGrid>
      <w:tr w14:paraId="5F744659">
        <w:tblPrEx>
          <w:tblCellMar>
            <w:top w:w="15" w:type="dxa"/>
            <w:left w:w="15" w:type="dxa"/>
            <w:bottom w:w="15" w:type="dxa"/>
            <w:right w:w="15" w:type="dxa"/>
          </w:tblCellMar>
        </w:tblPrEx>
        <w:trPr>
          <w:trHeight w:val="386" w:hRule="atLeast"/>
          <w:jc w:val="center"/>
        </w:trPr>
        <w:tc>
          <w:tcPr>
            <w:tcW w:w="1590" w:type="dxa"/>
            <w:tcBorders>
              <w:top w:val="single" w:color="000000" w:sz="4" w:space="0"/>
              <w:left w:val="single" w:color="auto" w:sz="4" w:space="0"/>
              <w:bottom w:val="single" w:color="000000" w:sz="4" w:space="0"/>
              <w:right w:val="single" w:color="000000" w:sz="4" w:space="0"/>
            </w:tcBorders>
            <w:vAlign w:val="center"/>
          </w:tcPr>
          <w:p w14:paraId="391564F5">
            <w:pPr>
              <w:widowControl/>
              <w:spacing w:line="5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户名</w:t>
            </w:r>
          </w:p>
        </w:tc>
        <w:tc>
          <w:tcPr>
            <w:tcW w:w="6520" w:type="dxa"/>
            <w:tcBorders>
              <w:top w:val="single" w:color="000000" w:sz="4" w:space="0"/>
              <w:left w:val="single" w:color="auto" w:sz="4" w:space="0"/>
              <w:bottom w:val="single" w:color="000000" w:sz="4" w:space="0"/>
              <w:right w:val="single" w:color="000000" w:sz="4" w:space="0"/>
            </w:tcBorders>
            <w:vAlign w:val="center"/>
          </w:tcPr>
          <w:p w14:paraId="75767EFE">
            <w:pPr>
              <w:widowControl/>
              <w:spacing w:line="5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鼎信项目管理咨询有限公司</w:t>
            </w:r>
          </w:p>
        </w:tc>
      </w:tr>
      <w:tr w14:paraId="6172B5B4">
        <w:tblPrEx>
          <w:tblCellMar>
            <w:top w:w="15" w:type="dxa"/>
            <w:left w:w="15" w:type="dxa"/>
            <w:bottom w:w="15" w:type="dxa"/>
            <w:right w:w="15" w:type="dxa"/>
          </w:tblCellMar>
        </w:tblPrEx>
        <w:trPr>
          <w:trHeight w:val="386" w:hRule="atLeast"/>
          <w:jc w:val="center"/>
        </w:trPr>
        <w:tc>
          <w:tcPr>
            <w:tcW w:w="1590" w:type="dxa"/>
            <w:tcBorders>
              <w:top w:val="single" w:color="000000" w:sz="4" w:space="0"/>
              <w:left w:val="single" w:color="000000" w:sz="4" w:space="0"/>
              <w:bottom w:val="single" w:color="000000" w:sz="4" w:space="0"/>
              <w:right w:val="single" w:color="000000" w:sz="4" w:space="0"/>
            </w:tcBorders>
            <w:vAlign w:val="center"/>
          </w:tcPr>
          <w:p w14:paraId="19ADC468">
            <w:pPr>
              <w:widowControl/>
              <w:spacing w:line="5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tc>
        <w:tc>
          <w:tcPr>
            <w:tcW w:w="6520" w:type="dxa"/>
            <w:tcBorders>
              <w:top w:val="single" w:color="000000" w:sz="4" w:space="0"/>
              <w:left w:val="single" w:color="000000" w:sz="4" w:space="0"/>
              <w:bottom w:val="single" w:color="000000" w:sz="4" w:space="0"/>
              <w:right w:val="single" w:color="000000" w:sz="4" w:space="0"/>
            </w:tcBorders>
            <w:vAlign w:val="center"/>
          </w:tcPr>
          <w:p w14:paraId="6A480E4C">
            <w:pPr>
              <w:widowControl/>
              <w:spacing w:line="5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工行袁家岗支行</w:t>
            </w:r>
          </w:p>
        </w:tc>
      </w:tr>
      <w:tr w14:paraId="7CC63EF2">
        <w:tblPrEx>
          <w:tblCellMar>
            <w:top w:w="15" w:type="dxa"/>
            <w:left w:w="15" w:type="dxa"/>
            <w:bottom w:w="15" w:type="dxa"/>
            <w:right w:w="15" w:type="dxa"/>
          </w:tblCellMar>
        </w:tblPrEx>
        <w:trPr>
          <w:trHeight w:val="386" w:hRule="atLeast"/>
          <w:jc w:val="center"/>
        </w:trPr>
        <w:tc>
          <w:tcPr>
            <w:tcW w:w="1590" w:type="dxa"/>
            <w:tcBorders>
              <w:top w:val="single" w:color="000000" w:sz="4" w:space="0"/>
              <w:left w:val="single" w:color="000000" w:sz="4" w:space="0"/>
              <w:bottom w:val="single" w:color="000000" w:sz="4" w:space="0"/>
              <w:right w:val="single" w:color="000000" w:sz="4" w:space="0"/>
            </w:tcBorders>
            <w:vAlign w:val="center"/>
          </w:tcPr>
          <w:p w14:paraId="2213BD05">
            <w:pPr>
              <w:widowControl/>
              <w:spacing w:line="5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账号</w:t>
            </w:r>
          </w:p>
        </w:tc>
        <w:tc>
          <w:tcPr>
            <w:tcW w:w="6520" w:type="dxa"/>
            <w:tcBorders>
              <w:top w:val="single" w:color="000000" w:sz="4" w:space="0"/>
              <w:left w:val="single" w:color="000000" w:sz="4" w:space="0"/>
              <w:bottom w:val="single" w:color="000000" w:sz="4" w:space="0"/>
              <w:right w:val="single" w:color="000000" w:sz="4" w:space="0"/>
            </w:tcBorders>
            <w:vAlign w:val="center"/>
          </w:tcPr>
          <w:p w14:paraId="1789091B">
            <w:pPr>
              <w:widowControl/>
              <w:spacing w:line="50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9558833100006787138</w:t>
            </w:r>
          </w:p>
        </w:tc>
      </w:tr>
    </w:tbl>
    <w:p w14:paraId="17036A3C">
      <w:pPr>
        <w:spacing w:line="5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1.谈判保证金的递交方式：银行电汇/转账，谈判保证金需从供应商银行账户转出。</w:t>
      </w:r>
    </w:p>
    <w:p w14:paraId="7A23225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2.谈判保证金有效期：应不低于谈判有效期</w:t>
      </w:r>
    </w:p>
    <w:p w14:paraId="485CFC7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3.谈判保证金的递交时间：同谈判截止时间，即谈判截止时间前谈判保证金须全额到账。各谈判人应当充分考虑银行转(汇)款的时间风险，因迟延缴款而造成的后果由谈判人自行承担。</w:t>
      </w:r>
    </w:p>
    <w:p w14:paraId="31197163">
      <w:pPr>
        <w:pStyle w:val="2"/>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4.供应商请在保证金打款时备注栏中注明“谈判保证金”。</w:t>
      </w:r>
    </w:p>
    <w:p w14:paraId="1073ADDB">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（二）保证金退还方式</w:t>
      </w:r>
    </w:p>
    <w:p w14:paraId="22EC09BF">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谈判保证金的退还：采购代理机构最迟应当在书面合同签订后5日内向成交供应商和未成交的供应商退还谈判保证金及银行同期存款利息。</w:t>
      </w:r>
    </w:p>
    <w:bookmarkEnd w:id="35"/>
    <w:p w14:paraId="2C68CB6F">
      <w:pPr>
        <w:pStyle w:val="4"/>
        <w:spacing w:before="0" w:after="0" w:line="500" w:lineRule="exact"/>
        <w:ind w:firstLine="482" w:firstLineChars="200"/>
        <w:rPr>
          <w:rFonts w:hint="eastAsia" w:ascii="仿宋" w:hAnsi="仿宋" w:eastAsia="仿宋" w:cs="仿宋"/>
          <w:sz w:val="24"/>
          <w:highlight w:val="none"/>
        </w:rPr>
      </w:pPr>
      <w:bookmarkStart w:id="42" w:name="_Toc11876"/>
      <w:r>
        <w:rPr>
          <w:rFonts w:hint="eastAsia" w:ascii="仿宋" w:hAnsi="仿宋" w:eastAsia="仿宋" w:cs="仿宋"/>
          <w:sz w:val="24"/>
          <w:highlight w:val="none"/>
        </w:rPr>
        <w:t>六、</w:t>
      </w:r>
      <w:bookmarkEnd w:id="36"/>
      <w:bookmarkEnd w:id="37"/>
      <w:bookmarkEnd w:id="38"/>
      <w:bookmarkEnd w:id="39"/>
      <w:bookmarkEnd w:id="40"/>
      <w:bookmarkEnd w:id="41"/>
      <w:bookmarkStart w:id="43" w:name="_Toc525047163"/>
      <w:bookmarkStart w:id="44" w:name="_Toc521053055"/>
      <w:bookmarkStart w:id="45" w:name="_Toc65660336"/>
      <w:bookmarkStart w:id="46" w:name="_Toc16269"/>
      <w:bookmarkStart w:id="47" w:name="_Toc6563"/>
      <w:r>
        <w:rPr>
          <w:rFonts w:hint="eastAsia" w:ascii="仿宋" w:hAnsi="仿宋" w:eastAsia="仿宋" w:cs="仿宋"/>
          <w:sz w:val="24"/>
          <w:highlight w:val="none"/>
        </w:rPr>
        <w:t>其它有关规定</w:t>
      </w:r>
      <w:bookmarkEnd w:id="42"/>
      <w:bookmarkEnd w:id="43"/>
      <w:bookmarkEnd w:id="44"/>
      <w:bookmarkEnd w:id="45"/>
      <w:bookmarkEnd w:id="46"/>
      <w:bookmarkEnd w:id="47"/>
    </w:p>
    <w:p w14:paraId="7BACA31A">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（一）单位负责人为同一人或者存在直接控股、管理关系的不同供应商，不得参加同一合同项（包）下的政府采购活动，否则均为无效谈判。</w:t>
      </w:r>
    </w:p>
    <w:p w14:paraId="4718B8F1">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w:t>
      </w:r>
    </w:p>
    <w:p w14:paraId="61BC5D8E">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（三）同一合同项（包）下为单一品目的货物采购中，同一品牌同一型号产品有多家供应商参加谈判，只能按照一家供应商计算。</w:t>
      </w:r>
    </w:p>
    <w:p w14:paraId="64C3C70F">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（四）同一合同项（包）下的货物，制造商参与谈判的，不得再委托代理商参与谈判。</w:t>
      </w:r>
    </w:p>
    <w:p w14:paraId="6BB1164F">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五）本项目的澄清文件（如果有）一律在“行采家”平台（https://www.gec123.com）上发布，请各供应商注意下载或到采购代理机构处领取；无论供应商下载或领取与否，均视同供应商已知晓本项目澄清文件（如果有）的内容。</w:t>
      </w:r>
    </w:p>
    <w:p w14:paraId="424BA34C">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（六）超过响应文件截止时间递交的响应文件，恕不接收。</w:t>
      </w:r>
    </w:p>
    <w:p w14:paraId="3970FAB8">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（七）谈判费用：无论谈判结果如何，供应商参与本项目谈判的所有费用均应由供应商自行承担。</w:t>
      </w:r>
    </w:p>
    <w:p w14:paraId="421FCA8B">
      <w:pPr>
        <w:spacing w:line="500" w:lineRule="exact"/>
        <w:ind w:firstLine="361" w:firstLineChars="150"/>
        <w:rPr>
          <w:rFonts w:hint="eastAsia" w:ascii="仿宋" w:hAnsi="仿宋" w:eastAsia="仿宋" w:cs="仿宋"/>
          <w:b/>
          <w:sz w:val="24"/>
          <w:szCs w:val="24"/>
          <w:highlight w:val="none"/>
        </w:rPr>
      </w:pPr>
      <w:r>
        <w:rPr>
          <w:rFonts w:hint="eastAsia" w:ascii="仿宋" w:hAnsi="仿宋" w:eastAsia="仿宋" w:cs="仿宋"/>
          <w:b/>
          <w:sz w:val="24"/>
          <w:szCs w:val="24"/>
          <w:highlight w:val="none"/>
        </w:rPr>
        <w:t>（八）本项目不接受联合体参与谈判。</w:t>
      </w:r>
    </w:p>
    <w:p w14:paraId="2F763731">
      <w:pPr>
        <w:spacing w:line="500" w:lineRule="exact"/>
        <w:ind w:firstLine="361" w:firstLineChars="150"/>
        <w:rPr>
          <w:rFonts w:hint="eastAsia" w:ascii="仿宋" w:hAnsi="仿宋" w:eastAsia="仿宋" w:cs="仿宋"/>
          <w:b/>
          <w:sz w:val="24"/>
          <w:szCs w:val="24"/>
          <w:highlight w:val="none"/>
        </w:rPr>
      </w:pPr>
      <w:r>
        <w:rPr>
          <w:rFonts w:hint="eastAsia" w:ascii="仿宋" w:hAnsi="仿宋" w:eastAsia="仿宋" w:cs="仿宋"/>
          <w:b/>
          <w:sz w:val="24"/>
          <w:szCs w:val="24"/>
          <w:highlight w:val="none"/>
        </w:rPr>
        <w:t>（九）本项目不接受合同分包。</w:t>
      </w:r>
    </w:p>
    <w:p w14:paraId="3AEA12F1">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十）按照《财政部关于在政府采购活动中查询及使用信用记录有关问题的通知》财库〔2016〕125号，供应商列入失信被执行人、重大税收违法失信主体名单、政府采购严重违法失信行为记录名单及其他不符合《中华人民共和国政府采购法》第二十二条规定条件的供应商，将拒绝其参与政府采购活动。</w:t>
      </w:r>
    </w:p>
    <w:p w14:paraId="6E51146F">
      <w:pPr>
        <w:pStyle w:val="4"/>
        <w:spacing w:before="0" w:after="0" w:line="500" w:lineRule="exact"/>
        <w:ind w:firstLine="482" w:firstLineChars="200"/>
        <w:rPr>
          <w:rFonts w:hint="eastAsia" w:ascii="仿宋" w:hAnsi="仿宋" w:eastAsia="仿宋" w:cs="仿宋"/>
          <w:sz w:val="24"/>
          <w:highlight w:val="none"/>
        </w:rPr>
      </w:pPr>
      <w:bookmarkStart w:id="48" w:name="_Toc1733"/>
      <w:bookmarkStart w:id="49" w:name="_Toc27415"/>
      <w:bookmarkStart w:id="50" w:name="_Toc521053056"/>
      <w:bookmarkStart w:id="51" w:name="_Toc10415"/>
      <w:bookmarkStart w:id="52" w:name="_Toc65660337"/>
      <w:bookmarkStart w:id="53" w:name="_Toc525047164"/>
      <w:r>
        <w:rPr>
          <w:rFonts w:hint="eastAsia" w:ascii="仿宋" w:hAnsi="仿宋" w:eastAsia="仿宋" w:cs="仿宋"/>
          <w:sz w:val="24"/>
          <w:highlight w:val="none"/>
        </w:rPr>
        <w:t>八、联系方式</w:t>
      </w:r>
      <w:bookmarkEnd w:id="48"/>
      <w:bookmarkEnd w:id="49"/>
      <w:bookmarkEnd w:id="50"/>
      <w:bookmarkEnd w:id="51"/>
      <w:bookmarkEnd w:id="52"/>
      <w:bookmarkEnd w:id="53"/>
    </w:p>
    <w:p w14:paraId="2D3D67B0">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53956D39">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采购人：重庆文理学院</w:t>
      </w:r>
    </w:p>
    <w:p w14:paraId="1CD2C42E">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联系人：余老师  </w:t>
      </w:r>
    </w:p>
    <w:p w14:paraId="4E32A71F">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电  话：18883914988</w:t>
      </w:r>
    </w:p>
    <w:p w14:paraId="58DEF73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  址：重庆市永川区红河大道319号-重庆文理学院</w:t>
      </w:r>
    </w:p>
    <w:p w14:paraId="5ADE01B7">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2.采购代理机构：鼎信项目管理咨询有限公司</w:t>
      </w:r>
    </w:p>
    <w:p w14:paraId="478F81FE">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联系人：胡洁、舒爽</w:t>
      </w:r>
    </w:p>
    <w:p w14:paraId="69E2AA7B">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bookmarkStart w:id="54" w:name="OLE_LINK6"/>
      <w:r>
        <w:rPr>
          <w:rFonts w:hint="eastAsia" w:ascii="仿宋" w:hAnsi="仿宋" w:eastAsia="仿宋" w:cs="仿宋"/>
          <w:sz w:val="24"/>
          <w:szCs w:val="24"/>
          <w:highlight w:val="none"/>
        </w:rPr>
        <w:t>16623190348、</w:t>
      </w:r>
      <w:bookmarkEnd w:id="54"/>
      <w:r>
        <w:rPr>
          <w:rFonts w:hint="eastAsia" w:ascii="仿宋" w:hAnsi="仿宋" w:eastAsia="仿宋" w:cs="仿宋"/>
          <w:sz w:val="24"/>
          <w:szCs w:val="24"/>
          <w:highlight w:val="none"/>
        </w:rPr>
        <w:t>15923275821</w:t>
      </w:r>
    </w:p>
    <w:p w14:paraId="3D40318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bookmarkStart w:id="55" w:name="OLE_LINK5"/>
      <w:r>
        <w:rPr>
          <w:rFonts w:hint="eastAsia" w:ascii="仿宋" w:hAnsi="仿宋" w:eastAsia="仿宋" w:cs="仿宋"/>
          <w:sz w:val="24"/>
          <w:szCs w:val="24"/>
          <w:highlight w:val="none"/>
        </w:rPr>
        <w:t>重庆市渝北区黄山大道中段麒麟座A座2楼</w:t>
      </w:r>
      <w:bookmarkEnd w:id="55"/>
    </w:p>
    <w:p w14:paraId="313CAD60">
      <w:pPr>
        <w:spacing w:line="360" w:lineRule="auto"/>
        <w:ind w:firstLine="480" w:firstLineChars="200"/>
        <w:rPr>
          <w:rFonts w:hint="eastAsia" w:ascii="仿宋" w:hAnsi="仿宋" w:eastAsia="仿宋" w:cs="仿宋"/>
          <w:sz w:val="24"/>
          <w:szCs w:val="24"/>
          <w:highlight w:val="none"/>
        </w:rPr>
        <w:sectPr>
          <w:pgSz w:w="11907" w:h="16840"/>
          <w:pgMar w:top="1134" w:right="1418" w:bottom="1134" w:left="1418" w:header="964" w:footer="992" w:gutter="0"/>
          <w:cols w:space="720" w:num="1"/>
          <w:docGrid w:linePitch="312" w:charSpace="0"/>
        </w:sectPr>
      </w:pPr>
    </w:p>
    <w:p w14:paraId="18F80E96">
      <w:pPr>
        <w:pStyle w:val="4"/>
        <w:spacing w:before="0" w:after="0" w:line="360" w:lineRule="auto"/>
        <w:jc w:val="center"/>
        <w:rPr>
          <w:rFonts w:hint="eastAsia" w:ascii="仿宋" w:hAnsi="仿宋" w:eastAsia="仿宋" w:cs="仿宋"/>
          <w:b w:val="0"/>
          <w:sz w:val="36"/>
          <w:szCs w:val="30"/>
          <w:highlight w:val="none"/>
        </w:rPr>
      </w:pPr>
      <w:bookmarkStart w:id="56" w:name="_Toc1292"/>
      <w:bookmarkStart w:id="57" w:name="_Toc65660338"/>
      <w:bookmarkStart w:id="58" w:name="_Toc14516"/>
      <w:bookmarkStart w:id="59" w:name="_Toc24762"/>
      <w:bookmarkStart w:id="60" w:name="_Toc102227313"/>
      <w:r>
        <w:rPr>
          <w:rFonts w:hint="eastAsia" w:ascii="仿宋" w:hAnsi="仿宋" w:eastAsia="仿宋" w:cs="仿宋"/>
          <w:b w:val="0"/>
          <w:sz w:val="36"/>
          <w:szCs w:val="30"/>
          <w:highlight w:val="none"/>
        </w:rPr>
        <w:t>第二篇  谈判项目技术（质量）需求</w:t>
      </w:r>
      <w:bookmarkEnd w:id="56"/>
      <w:bookmarkEnd w:id="57"/>
      <w:bookmarkEnd w:id="58"/>
      <w:bookmarkEnd w:id="59"/>
    </w:p>
    <w:p w14:paraId="5A1DD96D">
      <w:pPr>
        <w:pStyle w:val="4"/>
        <w:spacing w:before="120" w:after="120" w:line="540" w:lineRule="exact"/>
        <w:rPr>
          <w:rFonts w:hint="eastAsia" w:ascii="仿宋" w:hAnsi="仿宋" w:eastAsia="仿宋" w:cs="仿宋"/>
          <w:szCs w:val="22"/>
          <w:highlight w:val="none"/>
        </w:rPr>
      </w:pPr>
      <w:bookmarkStart w:id="61" w:name="_Toc9188"/>
      <w:bookmarkStart w:id="62" w:name="_Toc71201050"/>
      <w:bookmarkStart w:id="63" w:name="_Toc90373236"/>
      <w:bookmarkStart w:id="64" w:name="_Toc1001"/>
      <w:bookmarkStart w:id="65" w:name="_Toc25431"/>
      <w:bookmarkStart w:id="66" w:name="_Toc20197"/>
      <w:bookmarkStart w:id="67" w:name="_Toc30560"/>
      <w:bookmarkStart w:id="68" w:name="_Toc24183"/>
      <w:bookmarkStart w:id="69" w:name="_Toc19318"/>
      <w:r>
        <w:rPr>
          <w:rFonts w:hint="eastAsia" w:ascii="仿宋" w:hAnsi="仿宋" w:eastAsia="仿宋" w:cs="仿宋"/>
          <w:szCs w:val="22"/>
          <w:highlight w:val="none"/>
        </w:rPr>
        <w:t>一、</w:t>
      </w:r>
      <w:bookmarkEnd w:id="61"/>
      <w:bookmarkEnd w:id="62"/>
      <w:bookmarkEnd w:id="63"/>
      <w:bookmarkStart w:id="70" w:name="_Toc71201051"/>
      <w:r>
        <w:rPr>
          <w:rFonts w:hint="eastAsia" w:ascii="仿宋" w:hAnsi="仿宋" w:eastAsia="仿宋" w:cs="仿宋"/>
          <w:szCs w:val="22"/>
          <w:highlight w:val="none"/>
        </w:rPr>
        <w:t>项目一览表</w:t>
      </w:r>
      <w:bookmarkEnd w:id="64"/>
      <w:bookmarkEnd w:id="65"/>
      <w:bookmarkEnd w:id="66"/>
      <w:bookmarkEnd w:id="67"/>
      <w:bookmarkEnd w:id="68"/>
      <w:bookmarkEnd w:id="69"/>
    </w:p>
    <w:bookmarkEnd w:id="70"/>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6"/>
        <w:gridCol w:w="2645"/>
        <w:gridCol w:w="2474"/>
        <w:gridCol w:w="2104"/>
      </w:tblGrid>
      <w:tr w14:paraId="242C8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036" w:type="dxa"/>
            <w:vAlign w:val="center"/>
          </w:tcPr>
          <w:p w14:paraId="1D2F23A2">
            <w:pPr>
              <w:spacing w:line="540" w:lineRule="exact"/>
              <w:jc w:val="center"/>
              <w:rPr>
                <w:rFonts w:hint="eastAsia" w:ascii="仿宋" w:hAnsi="仿宋" w:eastAsia="仿宋" w:cs="仿宋"/>
                <w:sz w:val="24"/>
                <w:szCs w:val="24"/>
                <w:highlight w:val="none"/>
              </w:rPr>
            </w:pPr>
            <w:bookmarkStart w:id="71" w:name="_Toc3034"/>
            <w:bookmarkStart w:id="72" w:name="_Toc28174"/>
            <w:r>
              <w:rPr>
                <w:rFonts w:hint="eastAsia" w:ascii="仿宋" w:hAnsi="仿宋" w:eastAsia="仿宋" w:cs="仿宋"/>
                <w:sz w:val="24"/>
                <w:szCs w:val="24"/>
                <w:highlight w:val="none"/>
              </w:rPr>
              <w:t>序号</w:t>
            </w:r>
          </w:p>
        </w:tc>
        <w:tc>
          <w:tcPr>
            <w:tcW w:w="2645" w:type="dxa"/>
            <w:vAlign w:val="center"/>
          </w:tcPr>
          <w:p w14:paraId="3EE96F03">
            <w:pPr>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2474" w:type="dxa"/>
            <w:vAlign w:val="center"/>
          </w:tcPr>
          <w:p w14:paraId="1C17B87F">
            <w:pPr>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2104" w:type="dxa"/>
            <w:vAlign w:val="center"/>
          </w:tcPr>
          <w:p w14:paraId="511B3622">
            <w:pPr>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6FB20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036" w:type="dxa"/>
            <w:vAlign w:val="center"/>
          </w:tcPr>
          <w:p w14:paraId="2693D423">
            <w:pPr>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645" w:type="dxa"/>
            <w:vAlign w:val="center"/>
          </w:tcPr>
          <w:p w14:paraId="099AE38B">
            <w:pPr>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重庆文理学院信息技术中心正版软件授权采购  </w:t>
            </w:r>
          </w:p>
        </w:tc>
        <w:tc>
          <w:tcPr>
            <w:tcW w:w="2474" w:type="dxa"/>
            <w:vAlign w:val="center"/>
          </w:tcPr>
          <w:p w14:paraId="28D9BFE2">
            <w:pPr>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批</w:t>
            </w:r>
          </w:p>
        </w:tc>
        <w:tc>
          <w:tcPr>
            <w:tcW w:w="2104" w:type="dxa"/>
            <w:vAlign w:val="center"/>
          </w:tcPr>
          <w:p w14:paraId="1694972A">
            <w:pPr>
              <w:spacing w:line="540" w:lineRule="exact"/>
              <w:rPr>
                <w:rFonts w:hint="eastAsia" w:ascii="仿宋" w:hAnsi="仿宋" w:eastAsia="仿宋" w:cs="仿宋"/>
                <w:sz w:val="24"/>
                <w:szCs w:val="24"/>
                <w:highlight w:val="none"/>
              </w:rPr>
            </w:pPr>
          </w:p>
        </w:tc>
      </w:tr>
    </w:tbl>
    <w:p w14:paraId="5E1771A9">
      <w:pPr>
        <w:pStyle w:val="4"/>
        <w:spacing w:before="120" w:after="120" w:line="540" w:lineRule="exact"/>
        <w:rPr>
          <w:rFonts w:hint="eastAsia" w:ascii="仿宋" w:hAnsi="仿宋" w:eastAsia="仿宋" w:cs="仿宋"/>
          <w:szCs w:val="22"/>
          <w:highlight w:val="none"/>
        </w:rPr>
      </w:pPr>
      <w:bookmarkStart w:id="73" w:name="_Toc18650"/>
      <w:bookmarkStart w:id="74" w:name="_Toc32293"/>
      <w:bookmarkStart w:id="75" w:name="_Toc7931"/>
      <w:bookmarkStart w:id="76" w:name="_Toc17715"/>
      <w:r>
        <w:rPr>
          <w:rFonts w:hint="eastAsia" w:ascii="仿宋" w:hAnsi="仿宋" w:eastAsia="仿宋" w:cs="仿宋"/>
          <w:szCs w:val="22"/>
          <w:highlight w:val="none"/>
        </w:rPr>
        <w:t>二、</w:t>
      </w:r>
      <w:bookmarkEnd w:id="71"/>
      <w:bookmarkEnd w:id="72"/>
      <w:bookmarkEnd w:id="73"/>
      <w:bookmarkEnd w:id="74"/>
      <w:bookmarkEnd w:id="75"/>
      <w:bookmarkEnd w:id="76"/>
      <w:r>
        <w:rPr>
          <w:rFonts w:hint="eastAsia" w:ascii="仿宋" w:hAnsi="仿宋" w:eastAsia="仿宋" w:cs="仿宋"/>
          <w:szCs w:val="22"/>
          <w:highlight w:val="none"/>
          <w:lang w:val="en-US" w:eastAsia="zh-CN"/>
        </w:rPr>
        <w:t>服务</w:t>
      </w:r>
      <w:r>
        <w:rPr>
          <w:rFonts w:hint="eastAsia" w:ascii="仿宋" w:hAnsi="仿宋" w:eastAsia="仿宋" w:cs="仿宋"/>
          <w:szCs w:val="22"/>
          <w:highlight w:val="none"/>
        </w:rPr>
        <w:t>明细清单表</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512"/>
        <w:gridCol w:w="2133"/>
        <w:gridCol w:w="6983"/>
      </w:tblGrid>
      <w:tr w14:paraId="4464D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blHeader/>
          <w:jc w:val="center"/>
        </w:trPr>
        <w:tc>
          <w:tcPr>
            <w:tcW w:w="512" w:type="dxa"/>
            <w:vAlign w:val="center"/>
          </w:tcPr>
          <w:p w14:paraId="2D7936D3">
            <w:pPr>
              <w:pStyle w:val="16"/>
              <w:spacing w:line="360" w:lineRule="exact"/>
              <w:ind w:firstLine="0"/>
              <w:jc w:val="center"/>
              <w:outlineLvl w:val="0"/>
              <w:rPr>
                <w:rFonts w:hint="eastAsia" w:ascii="time" w:hAnsi="time" w:cs="Calibri"/>
                <w:b/>
                <w:sz w:val="21"/>
                <w:szCs w:val="21"/>
                <w:highlight w:val="none"/>
              </w:rPr>
            </w:pPr>
            <w:r>
              <w:rPr>
                <w:rFonts w:hint="eastAsia" w:ascii="time" w:hAnsi="time" w:cs="Calibri"/>
                <w:b/>
                <w:sz w:val="21"/>
                <w:szCs w:val="21"/>
                <w:highlight w:val="none"/>
              </w:rPr>
              <w:t>序号</w:t>
            </w:r>
          </w:p>
        </w:tc>
        <w:tc>
          <w:tcPr>
            <w:tcW w:w="2133" w:type="dxa"/>
            <w:vAlign w:val="center"/>
          </w:tcPr>
          <w:p w14:paraId="7C789863">
            <w:pPr>
              <w:pStyle w:val="16"/>
              <w:spacing w:line="360" w:lineRule="exact"/>
              <w:ind w:firstLine="0"/>
              <w:jc w:val="center"/>
              <w:outlineLvl w:val="0"/>
              <w:rPr>
                <w:rFonts w:hint="eastAsia" w:ascii="time" w:hAnsi="time" w:cs="Calibri"/>
                <w:b/>
                <w:sz w:val="21"/>
                <w:szCs w:val="21"/>
                <w:highlight w:val="none"/>
              </w:rPr>
            </w:pPr>
            <w:r>
              <w:rPr>
                <w:rFonts w:hint="eastAsia" w:ascii="time" w:hAnsi="time" w:cs="Calibri"/>
                <w:b/>
                <w:sz w:val="21"/>
                <w:szCs w:val="21"/>
                <w:highlight w:val="none"/>
              </w:rPr>
              <w:t>名称</w:t>
            </w:r>
          </w:p>
        </w:tc>
        <w:tc>
          <w:tcPr>
            <w:tcW w:w="6983" w:type="dxa"/>
            <w:vAlign w:val="center"/>
          </w:tcPr>
          <w:p w14:paraId="75C68D44">
            <w:pPr>
              <w:pStyle w:val="16"/>
              <w:spacing w:line="360" w:lineRule="exact"/>
              <w:ind w:firstLine="0"/>
              <w:jc w:val="center"/>
              <w:outlineLvl w:val="0"/>
              <w:rPr>
                <w:rFonts w:hint="eastAsia" w:ascii="time" w:hAnsi="time" w:cs="Calibri"/>
                <w:b/>
                <w:sz w:val="21"/>
                <w:szCs w:val="21"/>
                <w:highlight w:val="none"/>
              </w:rPr>
            </w:pPr>
            <w:r>
              <w:rPr>
                <w:rFonts w:hint="eastAsia" w:ascii="time" w:hAnsi="time" w:cs="Calibri"/>
                <w:b/>
                <w:sz w:val="21"/>
                <w:szCs w:val="21"/>
                <w:highlight w:val="none"/>
              </w:rPr>
              <w:t>参数指标描述</w:t>
            </w:r>
          </w:p>
        </w:tc>
      </w:tr>
      <w:tr w14:paraId="67F1E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jc w:val="center"/>
        </w:trPr>
        <w:tc>
          <w:tcPr>
            <w:tcW w:w="512" w:type="dxa"/>
            <w:vMerge w:val="restart"/>
            <w:vAlign w:val="center"/>
          </w:tcPr>
          <w:p w14:paraId="01C0341F">
            <w:pPr>
              <w:pStyle w:val="16"/>
              <w:spacing w:line="360" w:lineRule="exact"/>
              <w:ind w:firstLine="0"/>
              <w:jc w:val="center"/>
              <w:outlineLvl w:val="0"/>
              <w:rPr>
                <w:rFonts w:hint="eastAsia" w:ascii="time" w:hAnsi="time" w:cs="Calibri"/>
                <w:sz w:val="21"/>
                <w:szCs w:val="21"/>
                <w:highlight w:val="none"/>
              </w:rPr>
            </w:pPr>
            <w:r>
              <w:rPr>
                <w:rFonts w:hint="eastAsia" w:ascii="time" w:hAnsi="time" w:cs="Calibri"/>
                <w:sz w:val="21"/>
                <w:szCs w:val="21"/>
                <w:highlight w:val="none"/>
              </w:rPr>
              <w:t>1</w:t>
            </w:r>
          </w:p>
        </w:tc>
        <w:tc>
          <w:tcPr>
            <w:tcW w:w="2133" w:type="dxa"/>
            <w:vAlign w:val="center"/>
          </w:tcPr>
          <w:p w14:paraId="399EA1F6">
            <w:pPr>
              <w:pStyle w:val="16"/>
              <w:spacing w:line="360" w:lineRule="exact"/>
              <w:ind w:firstLine="0"/>
              <w:jc w:val="center"/>
              <w:outlineLvl w:val="0"/>
              <w:rPr>
                <w:rFonts w:hint="eastAsia" w:ascii="time" w:hAnsi="time" w:cs="Calibri"/>
                <w:sz w:val="21"/>
                <w:szCs w:val="21"/>
                <w:highlight w:val="none"/>
              </w:rPr>
            </w:pPr>
            <w:r>
              <w:rPr>
                <w:rFonts w:hint="eastAsia" w:ascii="time" w:hAnsi="time" w:cs="Calibri"/>
                <w:sz w:val="21"/>
                <w:szCs w:val="21"/>
                <w:highlight w:val="none"/>
              </w:rPr>
              <w:t>操作系统许可协议服务</w:t>
            </w:r>
          </w:p>
        </w:tc>
        <w:tc>
          <w:tcPr>
            <w:tcW w:w="6983" w:type="dxa"/>
            <w:vAlign w:val="center"/>
          </w:tcPr>
          <w:p w14:paraId="0EC011FB">
            <w:pPr>
              <w:pStyle w:val="16"/>
              <w:spacing w:line="360" w:lineRule="exact"/>
              <w:ind w:firstLine="0"/>
              <w:jc w:val="left"/>
              <w:outlineLvl w:val="0"/>
              <w:rPr>
                <w:rFonts w:hint="eastAsia" w:ascii="time" w:hAnsi="time" w:cs="Calibri"/>
                <w:sz w:val="21"/>
                <w:szCs w:val="21"/>
                <w:highlight w:val="none"/>
              </w:rPr>
            </w:pPr>
            <w:r>
              <w:rPr>
                <w:rFonts w:hint="eastAsia" w:ascii="time" w:hAnsi="time" w:cs="Calibri"/>
                <w:sz w:val="21"/>
                <w:szCs w:val="21"/>
                <w:highlight w:val="none"/>
              </w:rPr>
              <w:t>授权方式：校园正版协议（Campus Agreement）</w:t>
            </w:r>
            <w:r>
              <w:rPr>
                <w:rFonts w:ascii="time" w:hAnsi="time" w:cs="Calibri"/>
                <w:sz w:val="21"/>
                <w:szCs w:val="21"/>
                <w:highlight w:val="none"/>
              </w:rPr>
              <w:br w:type="textWrapping" w:clear="all"/>
            </w:r>
            <w:r>
              <w:rPr>
                <w:rFonts w:ascii="time" w:hAnsi="time" w:cs="Calibri"/>
                <w:sz w:val="21"/>
                <w:szCs w:val="21"/>
                <w:highlight w:val="none"/>
              </w:rPr>
              <w:t>涵盖范围：学校办公区、公共区、教学区等场所的计算机，包含教职工电脑及笔记本电脑。</w:t>
            </w:r>
            <w:r>
              <w:rPr>
                <w:rFonts w:ascii="time" w:hAnsi="time" w:cs="Calibri"/>
                <w:sz w:val="21"/>
                <w:szCs w:val="21"/>
                <w:highlight w:val="none"/>
              </w:rPr>
              <w:br w:type="textWrapping" w:clear="all"/>
            </w:r>
            <w:r>
              <w:rPr>
                <w:rFonts w:hint="eastAsia" w:ascii="time" w:hAnsi="time" w:cs="Calibri"/>
                <w:sz w:val="21"/>
                <w:szCs w:val="21"/>
                <w:highlight w:val="none"/>
              </w:rPr>
              <w:t>服务</w:t>
            </w:r>
            <w:r>
              <w:rPr>
                <w:rFonts w:ascii="time" w:hAnsi="time" w:cs="Calibri"/>
                <w:sz w:val="21"/>
                <w:szCs w:val="21"/>
                <w:highlight w:val="none"/>
              </w:rPr>
              <w:t>期限：1 年</w:t>
            </w:r>
            <w:r>
              <w:rPr>
                <w:rFonts w:ascii="time" w:hAnsi="time" w:cs="Calibri"/>
                <w:sz w:val="21"/>
                <w:szCs w:val="21"/>
                <w:highlight w:val="none"/>
              </w:rPr>
              <w:br w:type="textWrapping" w:clear="all"/>
            </w:r>
            <w:r>
              <w:rPr>
                <w:rFonts w:ascii="time" w:hAnsi="time" w:cs="Calibri"/>
                <w:sz w:val="21"/>
                <w:szCs w:val="21"/>
                <w:highlight w:val="none"/>
              </w:rPr>
              <w:t>1、与学校现有 95% 以上计算机的操作系统完全兼容，保障学校现有 90% 以上各类软件（涵盖教学、管理业务系统、实验实训及科研专业软件、办公及杀毒软件、图形图像设计软件、软件开发工具等）和硬件设备（办公外设、一卡通、安防消防楼控、实验与科研设备等）正常运行。</w:t>
            </w:r>
            <w:r>
              <w:rPr>
                <w:rFonts w:ascii="time" w:hAnsi="time" w:cs="Calibri"/>
                <w:sz w:val="21"/>
                <w:szCs w:val="21"/>
                <w:highlight w:val="none"/>
              </w:rPr>
              <w:br w:type="textWrapping" w:clear="all"/>
            </w:r>
            <w:r>
              <w:rPr>
                <w:rFonts w:ascii="time" w:hAnsi="time" w:cs="Calibri"/>
                <w:sz w:val="21"/>
                <w:szCs w:val="21"/>
                <w:highlight w:val="none"/>
              </w:rPr>
              <w:t>2、提供操作系统最新版本，</w:t>
            </w:r>
            <w:r>
              <w:rPr>
                <w:rFonts w:hint="eastAsia" w:ascii="time" w:hAnsi="time" w:cs="Calibri"/>
                <w:sz w:val="21"/>
                <w:szCs w:val="21"/>
                <w:highlight w:val="none"/>
              </w:rPr>
              <w:t>可</w:t>
            </w:r>
            <w:r>
              <w:rPr>
                <w:rFonts w:ascii="time" w:hAnsi="time" w:cs="Calibri"/>
                <w:sz w:val="21"/>
                <w:szCs w:val="21"/>
                <w:highlight w:val="none"/>
              </w:rPr>
              <w:t>支持降级至前两个</w:t>
            </w:r>
            <w:r>
              <w:rPr>
                <w:rFonts w:hint="eastAsia" w:ascii="time" w:hAnsi="time" w:cs="Calibri"/>
                <w:sz w:val="21"/>
                <w:szCs w:val="21"/>
                <w:highlight w:val="none"/>
              </w:rPr>
              <w:t>发行</w:t>
            </w:r>
            <w:r>
              <w:rPr>
                <w:rFonts w:ascii="time" w:hAnsi="time" w:cs="Calibri"/>
                <w:sz w:val="21"/>
                <w:szCs w:val="21"/>
                <w:highlight w:val="none"/>
              </w:rPr>
              <w:t>版本使用；同时提供中英法葡西德俄意等语言版本。</w:t>
            </w:r>
            <w:r>
              <w:rPr>
                <w:rFonts w:ascii="time" w:hAnsi="time" w:cs="Calibri"/>
                <w:sz w:val="21"/>
                <w:szCs w:val="21"/>
                <w:highlight w:val="none"/>
              </w:rPr>
              <w:br w:type="textWrapping" w:clear="all"/>
            </w:r>
            <w:r>
              <w:rPr>
                <w:rFonts w:ascii="time" w:hAnsi="time" w:cs="Calibri"/>
                <w:sz w:val="21"/>
                <w:szCs w:val="21"/>
                <w:highlight w:val="none"/>
              </w:rPr>
              <w:t>3、服务期内提供</w:t>
            </w:r>
            <w:r>
              <w:rPr>
                <w:rFonts w:hint="eastAsia" w:ascii="time" w:hAnsi="time" w:cs="Calibri"/>
                <w:sz w:val="21"/>
                <w:szCs w:val="21"/>
                <w:highlight w:val="none"/>
              </w:rPr>
              <w:t>操作系统</w:t>
            </w:r>
            <w:r>
              <w:rPr>
                <w:rFonts w:ascii="time" w:hAnsi="time" w:cs="Calibri"/>
                <w:sz w:val="21"/>
                <w:szCs w:val="21"/>
                <w:highlight w:val="none"/>
              </w:rPr>
              <w:t>软件升级及补丁版本，</w:t>
            </w:r>
            <w:r>
              <w:rPr>
                <w:rFonts w:hint="eastAsia" w:ascii="time" w:hAnsi="time" w:cs="Calibri"/>
                <w:sz w:val="21"/>
                <w:szCs w:val="21"/>
                <w:highlight w:val="none"/>
              </w:rPr>
              <w:t>对最新版本同样有效</w:t>
            </w:r>
            <w:r>
              <w:rPr>
                <w:rFonts w:ascii="time" w:hAnsi="time" w:cs="Calibri"/>
                <w:sz w:val="21"/>
                <w:szCs w:val="21"/>
                <w:highlight w:val="none"/>
              </w:rPr>
              <w:t>。</w:t>
            </w:r>
            <w:r>
              <w:rPr>
                <w:rFonts w:ascii="time" w:hAnsi="time" w:cs="Calibri"/>
                <w:sz w:val="21"/>
                <w:szCs w:val="21"/>
                <w:highlight w:val="none"/>
              </w:rPr>
              <w:br w:type="textWrapping" w:clear="all"/>
            </w:r>
            <w:r>
              <w:rPr>
                <w:rFonts w:ascii="time" w:hAnsi="time" w:cs="Calibri"/>
                <w:sz w:val="21"/>
                <w:szCs w:val="21"/>
                <w:highlight w:val="none"/>
              </w:rPr>
              <w:t>4、合约有效期内，新增计算机无需额外</w:t>
            </w:r>
            <w:r>
              <w:rPr>
                <w:rFonts w:hint="eastAsia" w:ascii="time" w:hAnsi="time" w:cs="Calibri"/>
                <w:sz w:val="21"/>
                <w:szCs w:val="21"/>
                <w:highlight w:val="none"/>
              </w:rPr>
              <w:t>支付授权许可费</w:t>
            </w:r>
            <w:r>
              <w:rPr>
                <w:rFonts w:ascii="time" w:hAnsi="time" w:cs="Calibri"/>
                <w:sz w:val="21"/>
                <w:szCs w:val="21"/>
                <w:highlight w:val="none"/>
              </w:rPr>
              <w:t>，价格保持不变。</w:t>
            </w:r>
          </w:p>
        </w:tc>
      </w:tr>
      <w:tr w14:paraId="3AD2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jc w:val="center"/>
        </w:trPr>
        <w:tc>
          <w:tcPr>
            <w:tcW w:w="512" w:type="dxa"/>
            <w:vMerge w:val="continue"/>
            <w:vAlign w:val="center"/>
          </w:tcPr>
          <w:p w14:paraId="58BB8C49">
            <w:pPr>
              <w:pStyle w:val="16"/>
              <w:spacing w:line="360" w:lineRule="exact"/>
              <w:ind w:firstLine="0"/>
              <w:jc w:val="center"/>
              <w:outlineLvl w:val="0"/>
              <w:rPr>
                <w:rFonts w:ascii="time" w:hAnsi="宋体" w:cs="宋体"/>
                <w:bCs/>
                <w:sz w:val="21"/>
                <w:szCs w:val="24"/>
                <w:highlight w:val="none"/>
              </w:rPr>
            </w:pPr>
          </w:p>
        </w:tc>
        <w:tc>
          <w:tcPr>
            <w:tcW w:w="2133" w:type="dxa"/>
            <w:vAlign w:val="center"/>
          </w:tcPr>
          <w:p w14:paraId="60B3712B">
            <w:pPr>
              <w:pStyle w:val="16"/>
              <w:spacing w:line="360" w:lineRule="exact"/>
              <w:ind w:firstLine="0"/>
              <w:jc w:val="center"/>
              <w:outlineLvl w:val="0"/>
              <w:rPr>
                <w:rFonts w:ascii="time" w:hAnsi="time" w:cs="Calibri"/>
                <w:b/>
                <w:sz w:val="21"/>
                <w:szCs w:val="21"/>
                <w:highlight w:val="none"/>
              </w:rPr>
            </w:pPr>
            <w:r>
              <w:rPr>
                <w:rFonts w:hint="eastAsia" w:ascii="time" w:hAnsi="time" w:cs="Calibri"/>
                <w:bCs/>
                <w:sz w:val="21"/>
                <w:szCs w:val="21"/>
                <w:highlight w:val="none"/>
              </w:rPr>
              <w:t>办公软件许可协议服务</w:t>
            </w:r>
          </w:p>
        </w:tc>
        <w:tc>
          <w:tcPr>
            <w:tcW w:w="6983" w:type="dxa"/>
            <w:vAlign w:val="center"/>
          </w:tcPr>
          <w:p w14:paraId="59B31CD6">
            <w:pPr>
              <w:pStyle w:val="16"/>
              <w:spacing w:line="360" w:lineRule="exact"/>
              <w:ind w:firstLine="0"/>
              <w:jc w:val="left"/>
              <w:outlineLvl w:val="0"/>
              <w:rPr>
                <w:rFonts w:hint="eastAsia" w:ascii="time" w:hAnsi="time" w:cs="Calibri"/>
                <w:sz w:val="21"/>
                <w:szCs w:val="21"/>
                <w:highlight w:val="none"/>
              </w:rPr>
            </w:pPr>
            <w:r>
              <w:rPr>
                <w:rFonts w:hint="eastAsia" w:ascii="time" w:hAnsi="time" w:cs="Calibri"/>
                <w:sz w:val="21"/>
                <w:szCs w:val="21"/>
                <w:highlight w:val="none"/>
              </w:rPr>
              <w:t>授权方式：校园正版协议（Campus Agreement）</w:t>
            </w:r>
          </w:p>
          <w:p w14:paraId="75169777">
            <w:pPr>
              <w:pStyle w:val="16"/>
              <w:spacing w:line="360" w:lineRule="exact"/>
              <w:ind w:firstLine="0"/>
              <w:jc w:val="left"/>
              <w:outlineLvl w:val="0"/>
              <w:rPr>
                <w:rFonts w:hint="eastAsia" w:ascii="time" w:hAnsi="time" w:cs="Calibri"/>
                <w:sz w:val="21"/>
                <w:szCs w:val="21"/>
                <w:highlight w:val="none"/>
              </w:rPr>
            </w:pPr>
            <w:r>
              <w:rPr>
                <w:rFonts w:hint="eastAsia" w:ascii="time" w:hAnsi="time" w:cs="Calibri"/>
                <w:sz w:val="21"/>
                <w:szCs w:val="21"/>
                <w:highlight w:val="none"/>
              </w:rPr>
              <w:t>涵盖范围：学校办公区、公共区、教学区等场所的计算机，包含教职工电脑及笔记本电脑。</w:t>
            </w:r>
          </w:p>
          <w:p w14:paraId="3EEFFD4C">
            <w:pPr>
              <w:pStyle w:val="16"/>
              <w:spacing w:line="360" w:lineRule="exact"/>
              <w:ind w:firstLine="0"/>
              <w:jc w:val="left"/>
              <w:outlineLvl w:val="0"/>
              <w:rPr>
                <w:rFonts w:ascii="time" w:hAnsi="time" w:cs="Calibri"/>
                <w:sz w:val="21"/>
                <w:szCs w:val="21"/>
                <w:highlight w:val="none"/>
              </w:rPr>
            </w:pPr>
            <w:r>
              <w:rPr>
                <w:rFonts w:hint="eastAsia" w:ascii="time" w:hAnsi="time" w:cs="Calibri"/>
                <w:sz w:val="21"/>
                <w:szCs w:val="21"/>
                <w:highlight w:val="none"/>
              </w:rPr>
              <w:t>服务</w:t>
            </w:r>
            <w:r>
              <w:rPr>
                <w:rFonts w:ascii="time" w:hAnsi="time" w:cs="Calibri"/>
                <w:sz w:val="21"/>
                <w:szCs w:val="21"/>
                <w:highlight w:val="none"/>
              </w:rPr>
              <w:t>期限：1 年</w:t>
            </w:r>
          </w:p>
          <w:p w14:paraId="4A2EC1E2">
            <w:pPr>
              <w:pStyle w:val="16"/>
              <w:spacing w:line="360" w:lineRule="exact"/>
              <w:ind w:firstLine="0"/>
              <w:jc w:val="left"/>
              <w:outlineLvl w:val="0"/>
              <w:rPr>
                <w:rFonts w:hint="eastAsia" w:ascii="time" w:hAnsi="time" w:cs="Calibri"/>
                <w:sz w:val="21"/>
                <w:szCs w:val="21"/>
                <w:highlight w:val="none"/>
              </w:rPr>
            </w:pPr>
            <w:r>
              <w:rPr>
                <w:rFonts w:hint="eastAsia" w:ascii="time" w:hAnsi="time" w:cs="Calibri"/>
                <w:sz w:val="21"/>
                <w:szCs w:val="21"/>
                <w:highlight w:val="none"/>
              </w:rPr>
              <w:t>1、与学校现有 95% 的计算机兼容，满足计算机基础教学中Office等办公自动化软件教学需求；与学校教学、管理业务系统、实验实训及科研专业软件、数据库软件、可视化软件、大数据开发工具等完全兼容。</w:t>
            </w:r>
          </w:p>
          <w:p w14:paraId="4F913CF2">
            <w:pPr>
              <w:pStyle w:val="16"/>
              <w:spacing w:line="360" w:lineRule="exact"/>
              <w:ind w:firstLine="0"/>
              <w:jc w:val="left"/>
              <w:outlineLvl w:val="0"/>
              <w:rPr>
                <w:rFonts w:hint="eastAsia" w:ascii="time" w:hAnsi="time" w:cs="Calibri"/>
                <w:sz w:val="21"/>
                <w:szCs w:val="21"/>
                <w:highlight w:val="none"/>
              </w:rPr>
            </w:pPr>
            <w:r>
              <w:rPr>
                <w:rFonts w:hint="eastAsia" w:ascii="time" w:hAnsi="time" w:cs="Calibri"/>
                <w:sz w:val="21"/>
                <w:szCs w:val="21"/>
                <w:highlight w:val="none"/>
              </w:rPr>
              <w:t>2、包含师生常用办公功能，含电子文稿、演示文稿、电子表格、邮件日程、数据管理、笔记记录、图表等。其中，演示文稿支持 3D 模型动画效果生成，可实现平滑展示；电子表格具备数据透视表功能，支持 OLAP 类型数据透视表及多表关联，且自带 VBA、支持函数动态溢出；电子文稿、演示文稿、电子表格均支持插入地图、3D 地图及日程表等功能。</w:t>
            </w:r>
          </w:p>
          <w:p w14:paraId="627469B2">
            <w:pPr>
              <w:pStyle w:val="16"/>
              <w:spacing w:line="360" w:lineRule="exact"/>
              <w:ind w:firstLine="0"/>
              <w:jc w:val="left"/>
              <w:outlineLvl w:val="0"/>
              <w:rPr>
                <w:rFonts w:hint="eastAsia" w:ascii="time" w:hAnsi="time" w:cs="Calibri"/>
                <w:sz w:val="21"/>
                <w:szCs w:val="21"/>
                <w:highlight w:val="none"/>
              </w:rPr>
            </w:pPr>
            <w:r>
              <w:rPr>
                <w:rFonts w:hint="eastAsia" w:ascii="time" w:hAnsi="time" w:cs="Calibri"/>
                <w:sz w:val="21"/>
                <w:szCs w:val="21"/>
                <w:highlight w:val="none"/>
              </w:rPr>
              <w:t>3、提供最新版本办公软件，可支持降级至前两个发行版本使用；提供中英法葡西德俄意等语言版本，分别支持 Windows 平台和 Mac 平台，适配 Mac OS 操作系统的版本，同样包含电子文稿、演示文稿、电子表格、邮件日程、数据管理、笔记记录、图表等功能。</w:t>
            </w:r>
          </w:p>
          <w:p w14:paraId="3CE647B3">
            <w:pPr>
              <w:pStyle w:val="16"/>
              <w:spacing w:line="360" w:lineRule="exact"/>
              <w:ind w:firstLine="0"/>
              <w:jc w:val="left"/>
              <w:outlineLvl w:val="0"/>
              <w:rPr>
                <w:rFonts w:hint="eastAsia" w:ascii="time" w:hAnsi="time" w:cs="Calibri"/>
                <w:sz w:val="21"/>
                <w:szCs w:val="21"/>
                <w:highlight w:val="none"/>
              </w:rPr>
            </w:pPr>
            <w:r>
              <w:rPr>
                <w:rFonts w:hint="eastAsia" w:ascii="time" w:hAnsi="time" w:cs="Calibri"/>
                <w:sz w:val="21"/>
                <w:szCs w:val="21"/>
                <w:highlight w:val="none"/>
              </w:rPr>
              <w:t>4、</w:t>
            </w:r>
            <w:r>
              <w:rPr>
                <w:rFonts w:ascii="time" w:hAnsi="time" w:cs="Calibri"/>
                <w:sz w:val="21"/>
                <w:szCs w:val="21"/>
                <w:highlight w:val="none"/>
              </w:rPr>
              <w:t>服务期内提供</w:t>
            </w:r>
            <w:r>
              <w:rPr>
                <w:rFonts w:hint="eastAsia" w:ascii="time" w:hAnsi="time" w:cs="Calibri"/>
                <w:sz w:val="21"/>
                <w:szCs w:val="21"/>
                <w:highlight w:val="none"/>
              </w:rPr>
              <w:t>操作系统</w:t>
            </w:r>
            <w:r>
              <w:rPr>
                <w:rFonts w:ascii="time" w:hAnsi="time" w:cs="Calibri"/>
                <w:sz w:val="21"/>
                <w:szCs w:val="21"/>
                <w:highlight w:val="none"/>
              </w:rPr>
              <w:t>软件升级及补丁版本，</w:t>
            </w:r>
            <w:r>
              <w:rPr>
                <w:rFonts w:hint="eastAsia" w:ascii="time" w:hAnsi="time" w:cs="Calibri"/>
                <w:sz w:val="21"/>
                <w:szCs w:val="21"/>
                <w:highlight w:val="none"/>
              </w:rPr>
              <w:t>对最新版本同样有效。</w:t>
            </w:r>
          </w:p>
          <w:p w14:paraId="70EF5BAC">
            <w:pPr>
              <w:pStyle w:val="16"/>
              <w:spacing w:line="360" w:lineRule="exact"/>
              <w:ind w:firstLine="0"/>
              <w:jc w:val="left"/>
              <w:outlineLvl w:val="0"/>
              <w:rPr>
                <w:rFonts w:hint="eastAsia" w:ascii="time" w:hAnsi="time" w:cs="Calibri"/>
                <w:sz w:val="21"/>
                <w:szCs w:val="21"/>
                <w:highlight w:val="none"/>
              </w:rPr>
            </w:pPr>
            <w:r>
              <w:rPr>
                <w:rFonts w:hint="eastAsia" w:ascii="time" w:hAnsi="time" w:cs="Calibri"/>
                <w:sz w:val="21"/>
                <w:szCs w:val="21"/>
                <w:highlight w:val="none"/>
              </w:rPr>
              <w:t>5、合约有效期内，新增计算机无需额外支付授权许可费，价格保持不变。</w:t>
            </w:r>
          </w:p>
        </w:tc>
      </w:tr>
      <w:tr w14:paraId="6DEC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jc w:val="center"/>
        </w:trPr>
        <w:tc>
          <w:tcPr>
            <w:tcW w:w="512" w:type="dxa"/>
            <w:vAlign w:val="center"/>
          </w:tcPr>
          <w:p w14:paraId="0EF59515">
            <w:pPr>
              <w:pStyle w:val="16"/>
              <w:spacing w:line="360" w:lineRule="exact"/>
              <w:ind w:firstLine="0"/>
              <w:jc w:val="center"/>
              <w:outlineLvl w:val="0"/>
              <w:rPr>
                <w:rFonts w:ascii="time" w:hAnsi="宋体" w:cs="宋体"/>
                <w:bCs/>
                <w:sz w:val="21"/>
                <w:szCs w:val="24"/>
                <w:highlight w:val="none"/>
              </w:rPr>
            </w:pPr>
            <w:r>
              <w:rPr>
                <w:rFonts w:hint="eastAsia" w:ascii="time" w:hAnsi="宋体" w:cs="宋体"/>
                <w:bCs/>
                <w:sz w:val="21"/>
                <w:szCs w:val="24"/>
                <w:highlight w:val="none"/>
              </w:rPr>
              <w:t>2</w:t>
            </w:r>
          </w:p>
        </w:tc>
        <w:tc>
          <w:tcPr>
            <w:tcW w:w="2133" w:type="dxa"/>
            <w:vAlign w:val="center"/>
          </w:tcPr>
          <w:p w14:paraId="4C0BEFF3">
            <w:pPr>
              <w:pStyle w:val="16"/>
              <w:spacing w:line="360" w:lineRule="exact"/>
              <w:ind w:firstLine="0"/>
              <w:jc w:val="center"/>
              <w:outlineLvl w:val="0"/>
              <w:rPr>
                <w:rFonts w:ascii="time" w:hAnsi="宋体" w:cs="宋体"/>
                <w:bCs/>
                <w:sz w:val="21"/>
                <w:szCs w:val="24"/>
                <w:highlight w:val="none"/>
              </w:rPr>
            </w:pPr>
            <w:r>
              <w:rPr>
                <w:rFonts w:hint="eastAsia" w:ascii="time" w:hAnsi="time" w:cs="Calibri"/>
                <w:sz w:val="21"/>
                <w:szCs w:val="21"/>
                <w:highlight w:val="none"/>
              </w:rPr>
              <w:t>国产办公软件服务</w:t>
            </w:r>
          </w:p>
        </w:tc>
        <w:tc>
          <w:tcPr>
            <w:tcW w:w="6983" w:type="dxa"/>
            <w:vAlign w:val="center"/>
          </w:tcPr>
          <w:p w14:paraId="71C02075">
            <w:pPr>
              <w:spacing w:line="380" w:lineRule="exact"/>
              <w:jc w:val="left"/>
              <w:rPr>
                <w:rFonts w:hint="eastAsia" w:ascii="time" w:hAnsi="time" w:cs="Calibri"/>
                <w:sz w:val="21"/>
                <w:szCs w:val="21"/>
                <w:highlight w:val="none"/>
              </w:rPr>
            </w:pPr>
            <w:r>
              <w:rPr>
                <w:rFonts w:hint="eastAsia" w:ascii="time" w:hAnsi="time" w:cs="Calibri"/>
                <w:sz w:val="21"/>
                <w:szCs w:val="21"/>
                <w:highlight w:val="none"/>
              </w:rPr>
              <w:t>服务</w:t>
            </w:r>
            <w:r>
              <w:rPr>
                <w:rFonts w:ascii="time" w:hAnsi="time" w:cs="Calibri"/>
                <w:sz w:val="21"/>
                <w:szCs w:val="21"/>
                <w:highlight w:val="none"/>
              </w:rPr>
              <w:t>期限：1 年</w:t>
            </w:r>
          </w:p>
          <w:p w14:paraId="186A1EE2">
            <w:pPr>
              <w:numPr>
                <w:ilvl w:val="0"/>
                <w:numId w:val="13"/>
              </w:numPr>
              <w:spacing w:line="380" w:lineRule="exact"/>
              <w:jc w:val="left"/>
              <w:rPr>
                <w:rFonts w:hint="eastAsia" w:ascii="time" w:hAnsi="time" w:cs="Calibri"/>
                <w:sz w:val="21"/>
                <w:szCs w:val="21"/>
                <w:highlight w:val="none"/>
              </w:rPr>
            </w:pPr>
            <w:r>
              <w:rPr>
                <w:rFonts w:hint="eastAsia" w:ascii="time" w:hAnsi="time" w:cs="Calibri"/>
                <w:sz w:val="21"/>
                <w:szCs w:val="21"/>
                <w:highlight w:val="none"/>
              </w:rPr>
              <w:t>支持文字、表格、演示、PDF、智能文档和多维表格等功能；</w:t>
            </w:r>
          </w:p>
          <w:p w14:paraId="159B43EE">
            <w:pPr>
              <w:numPr>
                <w:ilvl w:val="0"/>
                <w:numId w:val="13"/>
              </w:numPr>
              <w:spacing w:line="380" w:lineRule="exact"/>
              <w:jc w:val="left"/>
              <w:rPr>
                <w:rFonts w:hint="eastAsia" w:ascii="time" w:hAnsi="time" w:cs="Calibri"/>
                <w:sz w:val="21"/>
                <w:szCs w:val="21"/>
                <w:highlight w:val="none"/>
              </w:rPr>
            </w:pPr>
            <w:r>
              <w:rPr>
                <w:rFonts w:hint="eastAsia" w:ascii="time" w:hAnsi="time" w:cs="Calibri"/>
                <w:sz w:val="21"/>
                <w:szCs w:val="21"/>
                <w:highlight w:val="none"/>
              </w:rPr>
              <w:t>存储空间365G以上的账号授权不少于200 个，包含 PDF、图片等多项增值服务，具备团队级安全管控能力。存储空间1T以上的账号授权不少于100 个，包含 PDF、图片等多项增值服务，具备团队级安全管控及 AI 功能。</w:t>
            </w:r>
          </w:p>
          <w:p w14:paraId="6D8BF101">
            <w:pPr>
              <w:numPr>
                <w:ilvl w:val="0"/>
                <w:numId w:val="13"/>
              </w:numPr>
              <w:spacing w:line="380" w:lineRule="exact"/>
              <w:jc w:val="left"/>
              <w:rPr>
                <w:rFonts w:hint="eastAsia" w:ascii="time" w:hAnsi="time" w:cs="Calibri"/>
                <w:sz w:val="21"/>
                <w:szCs w:val="21"/>
                <w:highlight w:val="none"/>
              </w:rPr>
            </w:pPr>
            <w:r>
              <w:rPr>
                <w:rFonts w:hint="eastAsia" w:ascii="time" w:hAnsi="time" w:cs="Calibri"/>
                <w:sz w:val="21"/>
                <w:szCs w:val="21"/>
                <w:highlight w:val="none"/>
              </w:rPr>
              <w:t>支持主流操作系统，包括 Windows（如 Windows 7、Windows 10、Windows 11 等）、Linux（如中标麒麟、银河麒麟、统信 UOS 等国产 Linux 系统）、MacOS 等，确保在不同操作系统环境下均可稳定运行。​</w:t>
            </w:r>
          </w:p>
          <w:p w14:paraId="5A76B88A">
            <w:pPr>
              <w:numPr>
                <w:ilvl w:val="0"/>
                <w:numId w:val="13"/>
              </w:numPr>
              <w:spacing w:line="380" w:lineRule="exact"/>
              <w:jc w:val="left"/>
              <w:rPr>
                <w:rFonts w:hint="eastAsia" w:ascii="time" w:hAnsi="time" w:cs="Calibri"/>
                <w:sz w:val="21"/>
                <w:szCs w:val="21"/>
                <w:highlight w:val="none"/>
              </w:rPr>
            </w:pPr>
            <w:r>
              <w:rPr>
                <w:rFonts w:hint="eastAsia" w:ascii="time" w:hAnsi="time" w:cs="Calibri"/>
                <w:sz w:val="21"/>
                <w:szCs w:val="21"/>
                <w:highlight w:val="none"/>
              </w:rPr>
              <w:t>与学校现有的信息化系统（如 OA 办公系统、统一身份认证系统等）具有良好的兼容性，具备二次开发能力，能够实现对接和数据交互。</w:t>
            </w:r>
          </w:p>
          <w:p w14:paraId="05C7FCEF">
            <w:pPr>
              <w:numPr>
                <w:ilvl w:val="0"/>
                <w:numId w:val="13"/>
              </w:numPr>
              <w:spacing w:line="380" w:lineRule="exact"/>
              <w:jc w:val="left"/>
              <w:rPr>
                <w:rFonts w:hint="eastAsia" w:ascii="time" w:hAnsi="time" w:cs="Calibri"/>
                <w:sz w:val="21"/>
                <w:szCs w:val="21"/>
                <w:highlight w:val="none"/>
              </w:rPr>
            </w:pPr>
            <w:r>
              <w:rPr>
                <w:rFonts w:hint="eastAsia" w:ascii="time" w:hAnsi="time" w:cs="Calibri"/>
                <w:sz w:val="21"/>
                <w:szCs w:val="21"/>
                <w:highlight w:val="none"/>
              </w:rPr>
              <w:t>能够兼容常见的文档格式，包括微软Office 的文档格式（如doc、docx、xls、xlsx、ppt、pptx 等）、国产 UOF 文档格式以及 OFD 文档格式等，确保文档的正常打开和编辑。</w:t>
            </w:r>
          </w:p>
          <w:p w14:paraId="1F6980C1">
            <w:pPr>
              <w:spacing w:line="380" w:lineRule="exact"/>
              <w:jc w:val="left"/>
              <w:rPr>
                <w:rFonts w:hint="eastAsia" w:ascii="time" w:hAnsi="time" w:cs="Calibri"/>
                <w:sz w:val="21"/>
                <w:szCs w:val="21"/>
                <w:highlight w:val="none"/>
              </w:rPr>
            </w:pPr>
            <w:r>
              <w:rPr>
                <w:rFonts w:hint="eastAsia" w:ascii="time" w:hAnsi="time" w:cs="Calibri"/>
                <w:sz w:val="21"/>
                <w:szCs w:val="21"/>
                <w:highlight w:val="none"/>
              </w:rPr>
              <w:t>6、验收时需提供正版化授权函。</w:t>
            </w:r>
          </w:p>
        </w:tc>
      </w:tr>
      <w:tr w14:paraId="449B8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jc w:val="center"/>
        </w:trPr>
        <w:tc>
          <w:tcPr>
            <w:tcW w:w="512" w:type="dxa"/>
            <w:vAlign w:val="center"/>
          </w:tcPr>
          <w:p w14:paraId="24564923">
            <w:pPr>
              <w:pStyle w:val="16"/>
              <w:spacing w:line="360" w:lineRule="exact"/>
              <w:ind w:firstLine="0"/>
              <w:jc w:val="center"/>
              <w:outlineLvl w:val="0"/>
              <w:rPr>
                <w:rFonts w:ascii="time" w:hAnsi="宋体" w:cs="宋体"/>
                <w:bCs/>
                <w:sz w:val="21"/>
                <w:szCs w:val="24"/>
                <w:highlight w:val="none"/>
              </w:rPr>
            </w:pPr>
            <w:r>
              <w:rPr>
                <w:rFonts w:hint="eastAsia" w:ascii="time" w:hAnsi="宋体" w:cs="宋体"/>
                <w:bCs/>
                <w:sz w:val="21"/>
                <w:szCs w:val="24"/>
                <w:highlight w:val="none"/>
              </w:rPr>
              <w:t>3</w:t>
            </w:r>
          </w:p>
        </w:tc>
        <w:tc>
          <w:tcPr>
            <w:tcW w:w="2133" w:type="dxa"/>
            <w:vAlign w:val="center"/>
          </w:tcPr>
          <w:p w14:paraId="402505DA">
            <w:pPr>
              <w:pStyle w:val="16"/>
              <w:spacing w:line="360" w:lineRule="exact"/>
              <w:ind w:firstLine="0"/>
              <w:jc w:val="center"/>
              <w:outlineLvl w:val="0"/>
              <w:rPr>
                <w:rFonts w:ascii="time" w:hAnsi="宋体" w:cs="宋体"/>
                <w:bCs/>
                <w:sz w:val="21"/>
                <w:szCs w:val="24"/>
                <w:highlight w:val="none"/>
              </w:rPr>
            </w:pPr>
            <w:r>
              <w:rPr>
                <w:rFonts w:hint="eastAsia" w:ascii="time" w:hAnsi="time" w:cs="Calibri"/>
                <w:bCs/>
                <w:sz w:val="21"/>
                <w:szCs w:val="21"/>
                <w:highlight w:val="none"/>
              </w:rPr>
              <w:t>软件管理与服务</w:t>
            </w:r>
          </w:p>
        </w:tc>
        <w:tc>
          <w:tcPr>
            <w:tcW w:w="6983" w:type="dxa"/>
            <w:vAlign w:val="center"/>
          </w:tcPr>
          <w:p w14:paraId="6CDB6264">
            <w:pPr>
              <w:pStyle w:val="2"/>
              <w:jc w:val="left"/>
              <w:rPr>
                <w:rFonts w:hint="eastAsia" w:ascii="time" w:hAnsi="time" w:eastAsia="宋体" w:cs="Calibri"/>
                <w:sz w:val="21"/>
                <w:szCs w:val="21"/>
                <w:highlight w:val="none"/>
              </w:rPr>
            </w:pPr>
            <w:r>
              <w:rPr>
                <w:rFonts w:hint="eastAsia" w:ascii="time" w:hAnsi="time" w:eastAsia="宋体" w:cs="Calibri"/>
                <w:sz w:val="21"/>
                <w:szCs w:val="21"/>
                <w:highlight w:val="none"/>
              </w:rPr>
              <w:t>服务</w:t>
            </w:r>
            <w:r>
              <w:rPr>
                <w:rFonts w:ascii="time" w:hAnsi="time" w:eastAsia="宋体" w:cs="Calibri"/>
                <w:sz w:val="21"/>
                <w:szCs w:val="21"/>
                <w:highlight w:val="none"/>
              </w:rPr>
              <w:t>期限：1 年</w:t>
            </w:r>
          </w:p>
          <w:p w14:paraId="61225E5B">
            <w:pPr>
              <w:pStyle w:val="2"/>
              <w:jc w:val="left"/>
              <w:rPr>
                <w:rFonts w:hint="eastAsia" w:ascii="time" w:hAnsi="time" w:eastAsia="宋体" w:cs="Calibri"/>
                <w:sz w:val="21"/>
                <w:szCs w:val="21"/>
                <w:highlight w:val="none"/>
              </w:rPr>
            </w:pPr>
            <w:r>
              <w:rPr>
                <w:rFonts w:hint="eastAsia" w:ascii="time" w:hAnsi="time" w:eastAsia="宋体" w:cs="Calibri"/>
                <w:sz w:val="21"/>
                <w:szCs w:val="21"/>
                <w:highlight w:val="none"/>
              </w:rPr>
              <w:t>1、服务功能：实现校园内正版协议软件的全流程管理，包括软件下载、批量分发、升级、批量激活及数量统计等。</w:t>
            </w:r>
          </w:p>
          <w:p w14:paraId="6A5B8632">
            <w:pPr>
              <w:pStyle w:val="2"/>
              <w:jc w:val="left"/>
              <w:rPr>
                <w:rFonts w:hint="eastAsia" w:ascii="time" w:hAnsi="time" w:eastAsia="宋体" w:cs="Calibri"/>
                <w:sz w:val="21"/>
                <w:szCs w:val="21"/>
                <w:highlight w:val="none"/>
              </w:rPr>
            </w:pPr>
            <w:r>
              <w:rPr>
                <w:rFonts w:hint="eastAsia" w:ascii="time" w:hAnsi="time" w:eastAsia="宋体" w:cs="Calibri"/>
                <w:sz w:val="21"/>
                <w:szCs w:val="21"/>
                <w:highlight w:val="none"/>
              </w:rPr>
              <w:t>2、浏览器兼容性：适用于 IE、Edge、360、火狐、谷歌等浏览器的各类版本。</w:t>
            </w:r>
          </w:p>
          <w:p w14:paraId="4E8A8EB5">
            <w:pPr>
              <w:pStyle w:val="2"/>
              <w:jc w:val="left"/>
              <w:rPr>
                <w:rFonts w:hint="eastAsia" w:ascii="time" w:hAnsi="time" w:eastAsia="宋体" w:cs="Calibri"/>
                <w:sz w:val="21"/>
                <w:szCs w:val="21"/>
                <w:highlight w:val="none"/>
              </w:rPr>
            </w:pPr>
            <w:r>
              <w:rPr>
                <w:rFonts w:hint="eastAsia" w:ascii="time" w:hAnsi="time" w:eastAsia="宋体" w:cs="Calibri"/>
                <w:sz w:val="21"/>
                <w:szCs w:val="21"/>
                <w:highlight w:val="none"/>
              </w:rPr>
              <w:t>3、技术支持响应：提供 7×8 小时技术支持服务，紧急情况提供 7×24 小时服务。30 分钟内响应问题，24 小时内解决问题；若 24 小时内无法解决，需在 48 小时内派人现场处理。</w:t>
            </w:r>
          </w:p>
          <w:p w14:paraId="4AC64075">
            <w:pPr>
              <w:pStyle w:val="2"/>
              <w:jc w:val="left"/>
              <w:rPr>
                <w:rFonts w:hint="eastAsia" w:ascii="time" w:hAnsi="time" w:eastAsia="宋体" w:cs="Calibri"/>
                <w:sz w:val="21"/>
                <w:szCs w:val="21"/>
                <w:highlight w:val="none"/>
              </w:rPr>
            </w:pPr>
            <w:r>
              <w:rPr>
                <w:rFonts w:hint="eastAsia" w:ascii="time" w:hAnsi="time" w:eastAsia="宋体" w:cs="Calibri"/>
                <w:sz w:val="21"/>
                <w:szCs w:val="21"/>
                <w:highlight w:val="none"/>
              </w:rPr>
              <w:t>4、软件更新服务：包含服务平台产品更新、补丁更新及平台数据更新等功能服务。</w:t>
            </w:r>
          </w:p>
          <w:p w14:paraId="190DD5DD">
            <w:pPr>
              <w:pStyle w:val="2"/>
              <w:jc w:val="left"/>
              <w:rPr>
                <w:rFonts w:hint="eastAsia" w:ascii="time" w:hAnsi="time" w:eastAsia="宋体" w:cs="Calibri"/>
                <w:sz w:val="21"/>
                <w:szCs w:val="21"/>
                <w:highlight w:val="none"/>
              </w:rPr>
            </w:pPr>
            <w:r>
              <w:rPr>
                <w:rFonts w:hint="eastAsia" w:ascii="time" w:hAnsi="time" w:eastAsia="宋体" w:cs="Calibri"/>
                <w:sz w:val="21"/>
                <w:szCs w:val="21"/>
                <w:highlight w:val="none"/>
              </w:rPr>
              <w:t>5、增值服务：提供巡检服务、平台升级、数据导入服务；开展管理人员技术培训。</w:t>
            </w:r>
          </w:p>
          <w:p w14:paraId="60AC354A">
            <w:pPr>
              <w:pStyle w:val="2"/>
              <w:jc w:val="left"/>
              <w:rPr>
                <w:rFonts w:hint="eastAsia" w:ascii="time" w:hAnsi="time" w:eastAsia="宋体" w:cs="Calibri"/>
                <w:sz w:val="21"/>
                <w:szCs w:val="21"/>
                <w:highlight w:val="none"/>
              </w:rPr>
            </w:pPr>
            <w:r>
              <w:rPr>
                <w:rFonts w:hint="eastAsia" w:ascii="time" w:hAnsi="time" w:eastAsia="宋体" w:cs="Calibri"/>
                <w:sz w:val="21"/>
                <w:szCs w:val="21"/>
                <w:highlight w:val="none"/>
              </w:rPr>
              <w:t>6、对接要求：中标方需在中标后 7 天内完成与学校正版软件资源管理与服务平台的对接，并在实际环境中完成部署与评测，需满足所有技术性能参数要求，通过学校测试后签订服务合同。若测试未通过且超过 5 个工作日未解决，学校有权拒绝签订合同，按招标采购相关规定处理。测试报告及相关备忘文档的格式和内容由投标方提供模板，双方协商确定。</w:t>
            </w:r>
          </w:p>
          <w:p w14:paraId="4970ADEE">
            <w:pPr>
              <w:pStyle w:val="2"/>
              <w:jc w:val="left"/>
              <w:rPr>
                <w:rFonts w:ascii="time" w:hAnsi="time" w:eastAsia="宋体" w:cs="Calibri"/>
                <w:sz w:val="21"/>
                <w:szCs w:val="21"/>
                <w:highlight w:val="none"/>
              </w:rPr>
            </w:pPr>
            <w:r>
              <w:rPr>
                <w:rFonts w:hint="eastAsia" w:ascii="time" w:hAnsi="time" w:eastAsia="宋体" w:cs="Calibri"/>
                <w:sz w:val="21"/>
                <w:szCs w:val="21"/>
                <w:highlight w:val="none"/>
              </w:rPr>
              <w:t>7、信息接收：如微软官方下单“确认书”需通过学校指定邮箱接收。</w:t>
            </w:r>
          </w:p>
        </w:tc>
      </w:tr>
    </w:tbl>
    <w:p w14:paraId="3038F522">
      <w:pPr>
        <w:rPr>
          <w:rFonts w:hint="eastAsia" w:ascii="仿宋" w:hAnsi="仿宋" w:eastAsia="仿宋" w:cs="仿宋"/>
          <w:b/>
          <w:bCs/>
          <w:szCs w:val="22"/>
          <w:highlight w:val="none"/>
        </w:rPr>
      </w:pPr>
    </w:p>
    <w:p w14:paraId="6E1EE43E">
      <w:pPr>
        <w:pStyle w:val="4"/>
        <w:spacing w:before="0" w:after="0" w:line="360" w:lineRule="auto"/>
        <w:jc w:val="center"/>
        <w:rPr>
          <w:rFonts w:hint="eastAsia" w:ascii="仿宋" w:hAnsi="仿宋" w:eastAsia="仿宋" w:cs="仿宋"/>
          <w:b w:val="0"/>
          <w:sz w:val="36"/>
          <w:szCs w:val="30"/>
          <w:highlight w:val="none"/>
        </w:rPr>
      </w:pPr>
      <w:r>
        <w:rPr>
          <w:rFonts w:hint="eastAsia" w:ascii="仿宋" w:hAnsi="仿宋" w:eastAsia="仿宋" w:cs="仿宋"/>
          <w:b w:val="0"/>
          <w:sz w:val="36"/>
          <w:szCs w:val="30"/>
          <w:highlight w:val="none"/>
        </w:rPr>
        <w:t xml:space="preserve">第三篇  </w:t>
      </w:r>
      <w:bookmarkEnd w:id="60"/>
      <w:bookmarkStart w:id="77" w:name="_Toc65660341"/>
      <w:bookmarkStart w:id="78" w:name="_Toc15492"/>
      <w:bookmarkStart w:id="79" w:name="_Toc13356"/>
      <w:bookmarkStart w:id="80" w:name="_Toc9925"/>
      <w:r>
        <w:rPr>
          <w:rFonts w:hint="eastAsia" w:ascii="仿宋" w:hAnsi="仿宋" w:eastAsia="仿宋" w:cs="仿宋"/>
          <w:b w:val="0"/>
          <w:sz w:val="36"/>
          <w:szCs w:val="30"/>
          <w:highlight w:val="none"/>
        </w:rPr>
        <w:t>谈判项目服务</w:t>
      </w:r>
      <w:bookmarkEnd w:id="77"/>
      <w:bookmarkEnd w:id="78"/>
      <w:bookmarkEnd w:id="79"/>
      <w:r>
        <w:rPr>
          <w:rFonts w:hint="eastAsia" w:ascii="仿宋" w:hAnsi="仿宋" w:eastAsia="仿宋" w:cs="仿宋"/>
          <w:b w:val="0"/>
          <w:sz w:val="36"/>
          <w:szCs w:val="30"/>
          <w:highlight w:val="none"/>
        </w:rPr>
        <w:t>需求</w:t>
      </w:r>
      <w:bookmarkEnd w:id="80"/>
    </w:p>
    <w:p w14:paraId="25F5D6DC">
      <w:pPr>
        <w:pStyle w:val="2"/>
        <w:spacing w:line="500" w:lineRule="exact"/>
        <w:ind w:firstLine="482"/>
        <w:rPr>
          <w:rFonts w:hint="eastAsia" w:ascii="仿宋" w:hAnsi="仿宋" w:eastAsia="仿宋" w:cs="仿宋"/>
          <w:b/>
          <w:sz w:val="24"/>
          <w:highlight w:val="none"/>
        </w:rPr>
      </w:pPr>
      <w:bookmarkStart w:id="81" w:name="_Toc1643"/>
      <w:bookmarkStart w:id="82" w:name="_Toc15893"/>
      <w:bookmarkStart w:id="83" w:name="_Toc829"/>
      <w:bookmarkStart w:id="84" w:name="_Toc20307"/>
      <w:bookmarkStart w:id="85" w:name="_Toc10419"/>
      <w:bookmarkStart w:id="86" w:name="_Toc1874"/>
      <w:bookmarkStart w:id="87" w:name="_Toc342913389"/>
      <w:r>
        <w:rPr>
          <w:rFonts w:hint="eastAsia" w:ascii="仿宋" w:hAnsi="仿宋" w:eastAsia="仿宋" w:cs="仿宋"/>
          <w:b/>
          <w:sz w:val="24"/>
          <w:highlight w:val="none"/>
        </w:rPr>
        <w:t>一、</w:t>
      </w:r>
      <w:bookmarkEnd w:id="81"/>
      <w:bookmarkEnd w:id="82"/>
      <w:bookmarkEnd w:id="83"/>
      <w:bookmarkEnd w:id="84"/>
      <w:bookmarkEnd w:id="85"/>
      <w:r>
        <w:rPr>
          <w:rFonts w:hint="eastAsia" w:cs="宋体"/>
          <w:b/>
          <w:sz w:val="24"/>
          <w:highlight w:val="none"/>
        </w:rPr>
        <w:t>服务期</w:t>
      </w:r>
      <w:r>
        <w:rPr>
          <w:rFonts w:hint="eastAsia" w:ascii="仿宋" w:hAnsi="仿宋" w:eastAsia="仿宋" w:cs="仿宋"/>
          <w:b/>
          <w:sz w:val="24"/>
          <w:highlight w:val="none"/>
        </w:rPr>
        <w:t>、地点及验收方式</w:t>
      </w:r>
      <w:bookmarkEnd w:id="86"/>
    </w:p>
    <w:p w14:paraId="12283943">
      <w:pPr>
        <w:pStyle w:val="2"/>
        <w:spacing w:line="500" w:lineRule="exact"/>
        <w:ind w:firstLine="482"/>
        <w:rPr>
          <w:rFonts w:hint="eastAsia" w:ascii="仿宋" w:hAnsi="仿宋" w:eastAsia="仿宋" w:cs="仿宋"/>
          <w:b/>
          <w:sz w:val="24"/>
          <w:highlight w:val="none"/>
        </w:rPr>
      </w:pPr>
      <w:r>
        <w:rPr>
          <w:rFonts w:hint="eastAsia" w:ascii="仿宋" w:hAnsi="仿宋" w:eastAsia="仿宋" w:cs="仿宋"/>
          <w:b/>
          <w:sz w:val="24"/>
          <w:highlight w:val="none"/>
        </w:rPr>
        <w:t>（一）</w:t>
      </w:r>
      <w:r>
        <w:rPr>
          <w:rFonts w:hint="eastAsia" w:cs="宋体"/>
          <w:b/>
          <w:sz w:val="24"/>
          <w:highlight w:val="none"/>
        </w:rPr>
        <w:t>服务期</w:t>
      </w:r>
    </w:p>
    <w:p w14:paraId="4AF7C07E">
      <w:pPr>
        <w:pStyle w:val="2"/>
        <w:spacing w:line="500" w:lineRule="exact"/>
        <w:ind w:firstLine="482"/>
        <w:rPr>
          <w:rFonts w:hint="eastAsia" w:ascii="宋体" w:hAnsi="宋体" w:cs="Times New Roman"/>
          <w:sz w:val="24"/>
          <w:szCs w:val="24"/>
          <w:highlight w:val="none"/>
        </w:rPr>
      </w:pPr>
      <w:r>
        <w:rPr>
          <w:rFonts w:hint="eastAsia" w:ascii="宋体" w:hAnsi="宋体" w:cs="Times New Roman"/>
          <w:sz w:val="24"/>
          <w:szCs w:val="24"/>
          <w:highlight w:val="none"/>
        </w:rPr>
        <w:t>在合同签订后一年。</w:t>
      </w:r>
    </w:p>
    <w:p w14:paraId="5F241539">
      <w:pPr>
        <w:pStyle w:val="2"/>
        <w:spacing w:line="500" w:lineRule="exact"/>
        <w:ind w:firstLine="482"/>
        <w:rPr>
          <w:rFonts w:hint="eastAsia" w:ascii="宋体" w:hAnsi="宋体" w:cs="Times New Roman"/>
          <w:sz w:val="24"/>
          <w:szCs w:val="24"/>
          <w:highlight w:val="none"/>
        </w:rPr>
      </w:pPr>
      <w:r>
        <w:rPr>
          <w:rFonts w:hint="eastAsia" w:ascii="仿宋" w:hAnsi="仿宋" w:eastAsia="仿宋" w:cs="仿宋"/>
          <w:b/>
          <w:sz w:val="24"/>
          <w:highlight w:val="none"/>
        </w:rPr>
        <w:t>（二）交货地点</w:t>
      </w:r>
    </w:p>
    <w:p w14:paraId="3F0ED4CA">
      <w:pPr>
        <w:pStyle w:val="2"/>
        <w:spacing w:line="500" w:lineRule="exact"/>
        <w:ind w:firstLine="482"/>
        <w:rPr>
          <w:rFonts w:hint="eastAsia" w:ascii="仿宋" w:hAnsi="仿宋" w:eastAsia="仿宋" w:cs="仿宋"/>
          <w:bCs/>
          <w:sz w:val="24"/>
          <w:highlight w:val="none"/>
        </w:rPr>
      </w:pPr>
      <w:r>
        <w:rPr>
          <w:rFonts w:hint="eastAsia" w:ascii="仿宋" w:hAnsi="仿宋" w:eastAsia="仿宋" w:cs="仿宋"/>
          <w:bCs/>
          <w:sz w:val="24"/>
          <w:highlight w:val="none"/>
        </w:rPr>
        <w:t>采购人指定地点。</w:t>
      </w:r>
    </w:p>
    <w:p w14:paraId="69397831">
      <w:pPr>
        <w:pStyle w:val="2"/>
        <w:spacing w:line="500" w:lineRule="exact"/>
        <w:ind w:firstLine="482"/>
        <w:rPr>
          <w:rFonts w:hint="eastAsia" w:ascii="仿宋" w:hAnsi="仿宋" w:eastAsia="仿宋" w:cs="仿宋"/>
          <w:b/>
          <w:sz w:val="24"/>
          <w:highlight w:val="none"/>
        </w:rPr>
      </w:pPr>
      <w:r>
        <w:rPr>
          <w:rFonts w:hint="eastAsia" w:ascii="仿宋" w:hAnsi="仿宋" w:eastAsia="仿宋" w:cs="仿宋"/>
          <w:b/>
          <w:sz w:val="24"/>
          <w:highlight w:val="none"/>
        </w:rPr>
        <w:t>（三）验收方式</w:t>
      </w:r>
    </w:p>
    <w:p w14:paraId="3D288D1F">
      <w:pPr>
        <w:spacing w:line="400" w:lineRule="exact"/>
        <w:ind w:firstLine="480" w:firstLineChars="200"/>
        <w:rPr>
          <w:rFonts w:hint="eastAsia" w:ascii="仿宋" w:hAnsi="仿宋" w:eastAsia="仿宋" w:cs="仿宋"/>
          <w:bCs/>
          <w:sz w:val="24"/>
          <w:highlight w:val="none"/>
        </w:rPr>
      </w:pPr>
      <w:bookmarkStart w:id="88" w:name="_Toc30881"/>
      <w:bookmarkStart w:id="89" w:name="_Toc11082"/>
      <w:bookmarkStart w:id="90" w:name="_Toc11148"/>
      <w:bookmarkStart w:id="91" w:name="_Toc17410"/>
      <w:bookmarkStart w:id="92" w:name="_Toc17546"/>
      <w:r>
        <w:rPr>
          <w:rFonts w:hint="eastAsia" w:ascii="仿宋" w:hAnsi="仿宋" w:eastAsia="仿宋" w:cs="仿宋"/>
          <w:bCs/>
          <w:sz w:val="24"/>
          <w:highlight w:val="none"/>
        </w:rPr>
        <w:t>1、试运行</w:t>
      </w:r>
    </w:p>
    <w:p w14:paraId="14FA9FBF">
      <w:pPr>
        <w:spacing w:line="40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系统上线后，经采购人同意，系统进入试运行阶段，试运行周期1个月。在试运行期间，中标人须按采购人要求提供培训和技术支持，保证用户能够正确理解和使用系统；中标人必须对试运行中出现的任何问题及采购人提出的修改意见做出响应，并提交解决方案，在采购人确认后实施。试运行期间如出现重大故障，则试运行期从故障排除之日起重新计算。</w:t>
      </w:r>
    </w:p>
    <w:p w14:paraId="7463D616">
      <w:pPr>
        <w:spacing w:line="40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2、验收</w:t>
      </w:r>
    </w:p>
    <w:p w14:paraId="181A10B3">
      <w:pPr>
        <w:spacing w:line="40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试运行期结束后，如系统无功能缺陷，能够正常运行，在通过上线测试和安全测试，具备验收条件下进行系统终验，由中标人提出终验书面申请，采购人在收到中标人验收申请后，组织系统终验。由采购人组织，对项目进行全面验收。</w:t>
      </w:r>
    </w:p>
    <w:p w14:paraId="38948BC6">
      <w:pPr>
        <w:spacing w:line="40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(2)为确保无知识产权争议，合同签订后投标人需提供针对</w:t>
      </w:r>
      <w:r>
        <w:rPr>
          <w:rFonts w:hint="eastAsia" w:ascii="仿宋" w:hAnsi="仿宋" w:eastAsia="仿宋" w:cs="仿宋"/>
          <w:b/>
          <w:bCs/>
          <w:sz w:val="24"/>
          <w:highlight w:val="none"/>
        </w:rPr>
        <w:t>重庆文理学院</w:t>
      </w:r>
      <w:r>
        <w:rPr>
          <w:rFonts w:hint="eastAsia" w:ascii="仿宋" w:hAnsi="仿宋" w:eastAsia="仿宋" w:cs="仿宋"/>
          <w:bCs/>
          <w:sz w:val="24"/>
          <w:highlight w:val="none"/>
        </w:rPr>
        <w:t>的购买订单确认函发送至学校指定邮箱。</w:t>
      </w:r>
    </w:p>
    <w:p w14:paraId="1854F40D">
      <w:pPr>
        <w:pStyle w:val="2"/>
        <w:spacing w:line="500" w:lineRule="exact"/>
        <w:ind w:firstLine="482"/>
        <w:rPr>
          <w:rFonts w:hint="eastAsia" w:ascii="仿宋" w:hAnsi="仿宋" w:eastAsia="仿宋" w:cs="仿宋"/>
          <w:b/>
          <w:sz w:val="24"/>
          <w:highlight w:val="none"/>
        </w:rPr>
      </w:pPr>
      <w:r>
        <w:rPr>
          <w:rFonts w:hint="eastAsia" w:ascii="仿宋" w:hAnsi="仿宋" w:eastAsia="仿宋" w:cs="仿宋"/>
          <w:b/>
          <w:sz w:val="24"/>
          <w:highlight w:val="none"/>
        </w:rPr>
        <w:t>二、报价要求</w:t>
      </w:r>
      <w:bookmarkEnd w:id="88"/>
      <w:bookmarkEnd w:id="89"/>
      <w:bookmarkEnd w:id="90"/>
      <w:bookmarkEnd w:id="91"/>
      <w:bookmarkEnd w:id="92"/>
    </w:p>
    <w:p w14:paraId="3B4F4525">
      <w:pPr>
        <w:pStyle w:val="2"/>
        <w:spacing w:line="500" w:lineRule="exact"/>
        <w:ind w:firstLine="482"/>
        <w:rPr>
          <w:rFonts w:hint="eastAsia" w:ascii="仿宋" w:hAnsi="仿宋" w:eastAsia="仿宋" w:cs="仿宋"/>
          <w:bCs/>
          <w:sz w:val="24"/>
          <w:highlight w:val="none"/>
        </w:rPr>
      </w:pPr>
      <w:bookmarkStart w:id="93" w:name="_Toc3414"/>
      <w:bookmarkStart w:id="94" w:name="_Toc4170"/>
      <w:bookmarkStart w:id="95" w:name="_Toc7115"/>
      <w:bookmarkStart w:id="96" w:name="_Toc30180"/>
      <w:bookmarkStart w:id="97" w:name="_Toc22442"/>
      <w:bookmarkStart w:id="98" w:name="_Toc6146"/>
      <w:r>
        <w:rPr>
          <w:rFonts w:hint="eastAsia" w:ascii="仿宋" w:hAnsi="仿宋" w:eastAsia="仿宋" w:cs="仿宋"/>
          <w:bCs/>
          <w:sz w:val="24"/>
          <w:highlight w:val="none"/>
        </w:rPr>
        <w:t>本次报价须为人民币报价，包含完成本项目所需的服务费、人工费及提供服务所需的设备或货物购买（制造）费、辅材费、运输费、装卸费、安装调试费、培训费及各种应纳的税费等。因成交供应商自身原因造成漏报、少报皆由其自行承担责任，采购人不再补偿。</w:t>
      </w:r>
    </w:p>
    <w:bookmarkEnd w:id="93"/>
    <w:p w14:paraId="6775A00B">
      <w:pPr>
        <w:pStyle w:val="2"/>
        <w:spacing w:line="500" w:lineRule="exact"/>
        <w:ind w:firstLine="482"/>
        <w:rPr>
          <w:rFonts w:hint="eastAsia" w:ascii="仿宋" w:hAnsi="仿宋" w:eastAsia="仿宋" w:cs="仿宋"/>
          <w:b/>
          <w:sz w:val="24"/>
          <w:highlight w:val="none"/>
        </w:rPr>
      </w:pPr>
      <w:bookmarkStart w:id="99" w:name="_Toc22470"/>
      <w:r>
        <w:rPr>
          <w:rFonts w:hint="eastAsia" w:ascii="仿宋" w:hAnsi="仿宋" w:eastAsia="仿宋" w:cs="仿宋"/>
          <w:b/>
          <w:sz w:val="24"/>
          <w:highlight w:val="none"/>
        </w:rPr>
        <w:t>三、付款方式</w:t>
      </w:r>
      <w:bookmarkEnd w:id="94"/>
      <w:bookmarkEnd w:id="95"/>
      <w:bookmarkEnd w:id="96"/>
      <w:bookmarkEnd w:id="97"/>
      <w:bookmarkEnd w:id="98"/>
      <w:bookmarkEnd w:id="99"/>
    </w:p>
    <w:p w14:paraId="2E69EA13">
      <w:pPr>
        <w:pStyle w:val="2"/>
        <w:spacing w:line="500" w:lineRule="exact"/>
        <w:ind w:firstLine="482"/>
        <w:rPr>
          <w:rFonts w:hint="eastAsia" w:ascii="仿宋" w:hAnsi="仿宋" w:eastAsia="仿宋" w:cs="仿宋"/>
          <w:bCs/>
          <w:sz w:val="24"/>
          <w:highlight w:val="none"/>
        </w:rPr>
      </w:pPr>
      <w:bookmarkStart w:id="100" w:name="_Toc19082"/>
      <w:bookmarkStart w:id="101" w:name="_Toc2570"/>
      <w:bookmarkStart w:id="102" w:name="_Toc17761"/>
      <w:bookmarkStart w:id="103" w:name="_Toc22379"/>
      <w:bookmarkStart w:id="104" w:name="_Toc20617"/>
      <w:bookmarkStart w:id="105" w:name="_Toc20133"/>
      <w:r>
        <w:rPr>
          <w:rFonts w:hint="eastAsia" w:ascii="仿宋" w:hAnsi="仿宋" w:eastAsia="仿宋" w:cs="仿宋"/>
          <w:bCs/>
          <w:sz w:val="24"/>
          <w:highlight w:val="none"/>
        </w:rPr>
        <w:t>（一）供应商按采购合同试运行正常，然后按采购人要求的格式提交验收申请；</w:t>
      </w:r>
    </w:p>
    <w:p w14:paraId="52A04A9D">
      <w:pPr>
        <w:pStyle w:val="2"/>
        <w:spacing w:line="500" w:lineRule="exact"/>
        <w:ind w:firstLine="482"/>
        <w:rPr>
          <w:rFonts w:hint="eastAsia" w:ascii="仿宋" w:hAnsi="仿宋" w:eastAsia="仿宋" w:cs="仿宋"/>
          <w:bCs/>
          <w:sz w:val="24"/>
          <w:highlight w:val="none"/>
        </w:rPr>
      </w:pPr>
      <w:r>
        <w:rPr>
          <w:rFonts w:hint="eastAsia" w:ascii="仿宋" w:hAnsi="仿宋" w:eastAsia="仿宋" w:cs="仿宋"/>
          <w:bCs/>
          <w:sz w:val="24"/>
          <w:highlight w:val="none"/>
        </w:rPr>
        <w:t>（二）成交供应商向采购人开具发票，采购人支付合同金额的95%。余款5%，使用期满一年经确认无遗留问题后采购人无息支付。</w:t>
      </w:r>
    </w:p>
    <w:p w14:paraId="38F64E55">
      <w:pPr>
        <w:pStyle w:val="2"/>
        <w:spacing w:line="500" w:lineRule="exact"/>
        <w:ind w:firstLine="482"/>
        <w:rPr>
          <w:rFonts w:hint="eastAsia" w:ascii="仿宋" w:hAnsi="仿宋" w:eastAsia="仿宋" w:cs="仿宋"/>
          <w:b/>
          <w:sz w:val="24"/>
          <w:highlight w:val="none"/>
        </w:rPr>
      </w:pPr>
      <w:r>
        <w:rPr>
          <w:rFonts w:hint="eastAsia" w:ascii="仿宋" w:hAnsi="仿宋" w:eastAsia="仿宋" w:cs="仿宋"/>
          <w:b/>
          <w:sz w:val="24"/>
          <w:highlight w:val="none"/>
        </w:rPr>
        <w:t>四、知识产权</w:t>
      </w:r>
      <w:bookmarkEnd w:id="100"/>
      <w:bookmarkEnd w:id="101"/>
      <w:bookmarkEnd w:id="102"/>
      <w:bookmarkEnd w:id="103"/>
      <w:bookmarkEnd w:id="104"/>
      <w:bookmarkEnd w:id="105"/>
    </w:p>
    <w:p w14:paraId="25C1CCDB">
      <w:pPr>
        <w:pStyle w:val="2"/>
        <w:spacing w:line="500" w:lineRule="exact"/>
        <w:ind w:firstLine="482"/>
        <w:rPr>
          <w:rFonts w:hint="eastAsia" w:ascii="仿宋" w:hAnsi="仿宋" w:eastAsia="仿宋" w:cs="仿宋"/>
          <w:bCs/>
          <w:sz w:val="24"/>
          <w:highlight w:val="none"/>
        </w:rPr>
      </w:pPr>
      <w:bookmarkStart w:id="106" w:name="_Toc12738"/>
      <w:bookmarkStart w:id="107" w:name="_Toc4876"/>
      <w:bookmarkStart w:id="108" w:name="_Toc31412"/>
      <w:bookmarkStart w:id="109" w:name="_Toc8808"/>
      <w:bookmarkStart w:id="110" w:name="_Toc6451"/>
      <w:r>
        <w:rPr>
          <w:rFonts w:hint="eastAsia" w:ascii="仿宋" w:hAnsi="仿宋" w:eastAsia="仿宋" w:cs="仿宋"/>
          <w:bCs/>
          <w:sz w:val="24"/>
          <w:highlight w:val="none"/>
        </w:rPr>
        <w:t>采购人在中华人民共和国境内使用中标人提供的服务时免受第三方提出的侵犯其专利权或其他知识产权的起诉。如果第三方提出侵权指控，中标人应承担由此而引起的一切法律责任和费用。</w:t>
      </w:r>
    </w:p>
    <w:p w14:paraId="24D69DD3">
      <w:pPr>
        <w:pStyle w:val="2"/>
        <w:spacing w:line="500" w:lineRule="exact"/>
        <w:ind w:firstLine="482"/>
        <w:rPr>
          <w:rFonts w:hint="eastAsia" w:ascii="仿宋" w:hAnsi="仿宋" w:eastAsia="仿宋" w:cs="仿宋"/>
          <w:bCs/>
          <w:sz w:val="24"/>
          <w:highlight w:val="none"/>
        </w:rPr>
      </w:pPr>
      <w:r>
        <w:rPr>
          <w:rFonts w:hint="eastAsia" w:ascii="仿宋" w:hAnsi="仿宋" w:eastAsia="仿宋" w:cs="仿宋"/>
          <w:bCs/>
          <w:sz w:val="24"/>
          <w:highlight w:val="none"/>
        </w:rPr>
        <w:t>注：（若涉及软件开发等服务类项目知识产权的，知识产权归采购人所有）。</w:t>
      </w:r>
    </w:p>
    <w:p w14:paraId="005BE4F8">
      <w:pPr>
        <w:pStyle w:val="2"/>
        <w:spacing w:line="500" w:lineRule="exact"/>
        <w:ind w:firstLine="482"/>
        <w:rPr>
          <w:rFonts w:hint="eastAsia" w:ascii="仿宋" w:hAnsi="仿宋" w:eastAsia="仿宋" w:cs="仿宋"/>
          <w:b/>
          <w:sz w:val="24"/>
          <w:highlight w:val="none"/>
        </w:rPr>
      </w:pPr>
      <w:r>
        <w:rPr>
          <w:rFonts w:hint="eastAsia" w:ascii="仿宋" w:hAnsi="仿宋" w:eastAsia="仿宋" w:cs="仿宋"/>
          <w:b/>
          <w:sz w:val="24"/>
          <w:highlight w:val="none"/>
        </w:rPr>
        <w:t>五、培训</w:t>
      </w:r>
      <w:bookmarkEnd w:id="106"/>
      <w:bookmarkEnd w:id="107"/>
      <w:bookmarkEnd w:id="108"/>
      <w:bookmarkEnd w:id="109"/>
      <w:bookmarkEnd w:id="110"/>
    </w:p>
    <w:p w14:paraId="644EF542">
      <w:pPr>
        <w:pStyle w:val="2"/>
        <w:spacing w:line="500" w:lineRule="exact"/>
        <w:ind w:firstLine="482"/>
        <w:rPr>
          <w:rFonts w:hint="eastAsia" w:ascii="仿宋" w:hAnsi="仿宋" w:eastAsia="仿宋" w:cs="仿宋"/>
          <w:bCs/>
          <w:sz w:val="24"/>
          <w:highlight w:val="none"/>
        </w:rPr>
      </w:pPr>
      <w:r>
        <w:rPr>
          <w:rFonts w:hint="eastAsia" w:ascii="仿宋" w:hAnsi="仿宋" w:eastAsia="仿宋" w:cs="仿宋"/>
          <w:bCs/>
          <w:sz w:val="24"/>
          <w:highlight w:val="none"/>
        </w:rPr>
        <w:t>供应商对其提供产品的使用和操作应尽培训义务。供应商应提供对采购人的基本免费培训，使采购人使用人员能够正常操作。</w:t>
      </w:r>
    </w:p>
    <w:p w14:paraId="0C3B40CD">
      <w:pPr>
        <w:pStyle w:val="2"/>
        <w:spacing w:line="500" w:lineRule="exact"/>
        <w:ind w:firstLine="482"/>
        <w:rPr>
          <w:rFonts w:hint="eastAsia" w:ascii="仿宋" w:hAnsi="仿宋" w:eastAsia="仿宋" w:cs="仿宋"/>
          <w:b/>
          <w:sz w:val="24"/>
          <w:highlight w:val="none"/>
        </w:rPr>
      </w:pPr>
      <w:bookmarkStart w:id="111" w:name="_Toc10084"/>
      <w:bookmarkStart w:id="112" w:name="_Toc26250"/>
      <w:bookmarkStart w:id="113" w:name="_Toc13825"/>
      <w:bookmarkStart w:id="114" w:name="_Toc7267"/>
      <w:bookmarkStart w:id="115" w:name="_Toc107816963"/>
      <w:bookmarkStart w:id="116" w:name="_Toc72824318"/>
      <w:r>
        <w:rPr>
          <w:rFonts w:hint="eastAsia" w:ascii="仿宋" w:hAnsi="仿宋" w:eastAsia="仿宋" w:cs="仿宋"/>
          <w:b/>
          <w:sz w:val="24"/>
          <w:highlight w:val="none"/>
        </w:rPr>
        <w:t>六、违约责任</w:t>
      </w:r>
      <w:bookmarkEnd w:id="111"/>
      <w:bookmarkEnd w:id="112"/>
      <w:bookmarkEnd w:id="113"/>
      <w:bookmarkEnd w:id="114"/>
      <w:bookmarkEnd w:id="115"/>
    </w:p>
    <w:p w14:paraId="7A82F7E6">
      <w:pPr>
        <w:pStyle w:val="2"/>
        <w:spacing w:line="500" w:lineRule="exact"/>
        <w:ind w:firstLine="482"/>
        <w:rPr>
          <w:rFonts w:hint="eastAsia" w:ascii="仿宋" w:hAnsi="仿宋" w:eastAsia="仿宋" w:cs="仿宋"/>
          <w:bCs/>
          <w:sz w:val="24"/>
          <w:highlight w:val="none"/>
        </w:rPr>
      </w:pPr>
      <w:r>
        <w:rPr>
          <w:rFonts w:hint="eastAsia" w:ascii="仿宋" w:hAnsi="仿宋" w:eastAsia="仿宋" w:cs="仿宋"/>
          <w:bCs/>
          <w:sz w:val="24"/>
          <w:highlight w:val="none"/>
        </w:rPr>
        <w:t>（一）如成交供应商不能按时按量完成服务的，采购人有权单方面解除合同，同时根据给采购人造成损失情况向需方赔偿。</w:t>
      </w:r>
    </w:p>
    <w:p w14:paraId="06009FF0">
      <w:pPr>
        <w:pStyle w:val="2"/>
        <w:spacing w:line="500" w:lineRule="exact"/>
        <w:ind w:firstLine="482"/>
        <w:rPr>
          <w:rFonts w:hint="eastAsia" w:ascii="仿宋" w:hAnsi="仿宋" w:eastAsia="仿宋" w:cs="仿宋"/>
          <w:bCs/>
          <w:sz w:val="24"/>
          <w:highlight w:val="none"/>
        </w:rPr>
      </w:pPr>
      <w:r>
        <w:rPr>
          <w:rFonts w:hint="eastAsia" w:ascii="仿宋" w:hAnsi="仿宋" w:eastAsia="仿宋" w:cs="仿宋"/>
          <w:bCs/>
          <w:sz w:val="24"/>
          <w:highlight w:val="none"/>
        </w:rPr>
        <w:t>（二）若成交供应商所供服务不符合合同及采购文件要求的质量、服务标准的或履约过程中有违约行为的，采购人有权拒收并不退还履约保证金，有权单方面解除合同，同时保留追究由此给采购人造成损失责任的权力。</w:t>
      </w:r>
    </w:p>
    <w:p w14:paraId="6906736C">
      <w:pPr>
        <w:pStyle w:val="2"/>
        <w:spacing w:line="500" w:lineRule="exact"/>
        <w:ind w:firstLine="482"/>
        <w:rPr>
          <w:rFonts w:hint="eastAsia" w:ascii="仿宋" w:hAnsi="仿宋" w:eastAsia="仿宋" w:cs="仿宋"/>
          <w:b/>
          <w:sz w:val="24"/>
          <w:highlight w:val="none"/>
        </w:rPr>
      </w:pPr>
      <w:bookmarkStart w:id="117" w:name="_Toc25967"/>
      <w:bookmarkStart w:id="118" w:name="_Toc24771"/>
      <w:r>
        <w:rPr>
          <w:rFonts w:hint="eastAsia" w:ascii="仿宋" w:hAnsi="仿宋" w:eastAsia="仿宋" w:cs="仿宋"/>
          <w:b/>
          <w:sz w:val="24"/>
          <w:highlight w:val="none"/>
        </w:rPr>
        <w:t>七、</w:t>
      </w:r>
      <w:bookmarkStart w:id="119" w:name="_Toc344475125"/>
      <w:r>
        <w:rPr>
          <w:rFonts w:hint="eastAsia" w:ascii="仿宋" w:hAnsi="仿宋" w:eastAsia="仿宋" w:cs="仿宋"/>
          <w:b/>
          <w:sz w:val="24"/>
          <w:highlight w:val="none"/>
        </w:rPr>
        <w:t>其他</w:t>
      </w:r>
      <w:bookmarkEnd w:id="116"/>
      <w:bookmarkEnd w:id="117"/>
      <w:bookmarkEnd w:id="118"/>
    </w:p>
    <w:bookmarkEnd w:id="119"/>
    <w:p w14:paraId="4B5AA7C1">
      <w:pPr>
        <w:pStyle w:val="2"/>
        <w:spacing w:line="500" w:lineRule="exact"/>
        <w:ind w:firstLine="482"/>
        <w:rPr>
          <w:rFonts w:hint="eastAsia" w:ascii="仿宋" w:hAnsi="仿宋" w:eastAsia="仿宋" w:cs="仿宋"/>
          <w:bCs/>
          <w:sz w:val="24"/>
          <w:highlight w:val="none"/>
        </w:rPr>
      </w:pPr>
      <w:r>
        <w:rPr>
          <w:rFonts w:hint="eastAsia" w:ascii="仿宋" w:hAnsi="仿宋" w:eastAsia="仿宋" w:cs="仿宋"/>
          <w:bCs/>
          <w:sz w:val="24"/>
          <w:highlight w:val="none"/>
        </w:rPr>
        <w:t>（一）供应商必须在响应文件中对以上条款和服务承诺明确列出，承诺内容必须达到本篇及竞争性谈判其他条款的要求。</w:t>
      </w:r>
    </w:p>
    <w:p w14:paraId="21ACD880">
      <w:pPr>
        <w:pStyle w:val="2"/>
        <w:spacing w:line="500" w:lineRule="exact"/>
        <w:ind w:firstLine="482"/>
        <w:rPr>
          <w:rFonts w:hint="eastAsia" w:ascii="仿宋" w:hAnsi="仿宋" w:eastAsia="仿宋" w:cs="仿宋"/>
          <w:bCs/>
          <w:sz w:val="24"/>
          <w:highlight w:val="none"/>
        </w:rPr>
      </w:pPr>
      <w:r>
        <w:rPr>
          <w:rFonts w:hint="eastAsia" w:ascii="仿宋" w:hAnsi="仿宋" w:eastAsia="仿宋" w:cs="仿宋"/>
          <w:bCs/>
          <w:sz w:val="24"/>
          <w:highlight w:val="none"/>
        </w:rPr>
        <w:t>（二）其他未尽事宜由供需双方在采购合同中详细约定。</w:t>
      </w:r>
    </w:p>
    <w:p w14:paraId="0F4B8D0E">
      <w:pPr>
        <w:pStyle w:val="2"/>
        <w:spacing w:line="500" w:lineRule="exact"/>
        <w:ind w:firstLine="482"/>
        <w:rPr>
          <w:rFonts w:hint="eastAsia" w:ascii="仿宋" w:hAnsi="仿宋" w:eastAsia="仿宋" w:cs="仿宋"/>
          <w:bCs/>
          <w:sz w:val="24"/>
          <w:highlight w:val="none"/>
        </w:rPr>
      </w:pPr>
      <w:r>
        <w:rPr>
          <w:rFonts w:hint="eastAsia" w:ascii="仿宋" w:hAnsi="仿宋" w:eastAsia="仿宋" w:cs="仿宋"/>
          <w:bCs/>
          <w:sz w:val="24"/>
          <w:highlight w:val="none"/>
        </w:rPr>
        <w:t>（三）如因实际需要，但清单内未列入的品名，优先在中标企业购买，如中标企业没有的，参照学校采购规定购买。</w:t>
      </w:r>
    </w:p>
    <w:p w14:paraId="1DB377B2">
      <w:pPr>
        <w:pStyle w:val="2"/>
        <w:spacing w:line="500" w:lineRule="exact"/>
        <w:ind w:firstLine="482"/>
        <w:rPr>
          <w:rFonts w:hint="eastAsia" w:ascii="仿宋" w:hAnsi="仿宋" w:eastAsia="仿宋" w:cs="仿宋"/>
          <w:b/>
          <w:sz w:val="24"/>
          <w:highlight w:val="none"/>
        </w:rPr>
      </w:pPr>
      <w:r>
        <w:rPr>
          <w:rFonts w:hint="eastAsia" w:ascii="仿宋" w:hAnsi="仿宋" w:eastAsia="仿宋" w:cs="仿宋"/>
          <w:bCs/>
          <w:sz w:val="24"/>
          <w:highlight w:val="none"/>
        </w:rPr>
        <w:t>（四）合同期间产生的非双方自身原因导致的其他事项，由双方协调解决。</w:t>
      </w:r>
    </w:p>
    <w:p w14:paraId="11FFBB51">
      <w:pPr>
        <w:spacing w:line="360" w:lineRule="auto"/>
        <w:ind w:firstLine="540"/>
        <w:rPr>
          <w:rFonts w:hint="eastAsia" w:ascii="仿宋" w:hAnsi="仿宋" w:eastAsia="仿宋" w:cs="仿宋"/>
          <w:sz w:val="24"/>
          <w:szCs w:val="24"/>
          <w:highlight w:val="none"/>
        </w:rPr>
      </w:pPr>
    </w:p>
    <w:p w14:paraId="453EF499">
      <w:pPr>
        <w:pStyle w:val="4"/>
        <w:spacing w:before="0" w:after="0" w:line="360" w:lineRule="auto"/>
        <w:jc w:val="center"/>
        <w:rPr>
          <w:rFonts w:hint="eastAsia" w:ascii="仿宋" w:hAnsi="仿宋" w:eastAsia="仿宋" w:cs="仿宋"/>
          <w:b w:val="0"/>
          <w:sz w:val="36"/>
          <w:szCs w:val="30"/>
          <w:highlight w:val="none"/>
        </w:rPr>
      </w:pPr>
      <w:bookmarkStart w:id="120" w:name="_Toc15903"/>
      <w:bookmarkStart w:id="121" w:name="_Toc24195"/>
      <w:bookmarkStart w:id="122" w:name="_Toc16123"/>
      <w:bookmarkStart w:id="123" w:name="_Toc65660349"/>
      <w:r>
        <w:rPr>
          <w:rFonts w:hint="eastAsia" w:ascii="仿宋" w:hAnsi="仿宋" w:eastAsia="仿宋" w:cs="仿宋"/>
          <w:b w:val="0"/>
          <w:sz w:val="36"/>
          <w:szCs w:val="30"/>
          <w:highlight w:val="none"/>
        </w:rPr>
        <w:br w:type="page"/>
      </w:r>
      <w:r>
        <w:rPr>
          <w:rFonts w:hint="eastAsia" w:ascii="仿宋" w:hAnsi="仿宋" w:eastAsia="仿宋" w:cs="仿宋"/>
          <w:b w:val="0"/>
          <w:sz w:val="36"/>
          <w:szCs w:val="30"/>
          <w:highlight w:val="none"/>
        </w:rPr>
        <w:t>第四篇  采购程序、评定成交的标准、无效谈判及采购终止</w:t>
      </w:r>
      <w:bookmarkEnd w:id="120"/>
      <w:bookmarkEnd w:id="121"/>
      <w:bookmarkEnd w:id="122"/>
      <w:bookmarkEnd w:id="123"/>
    </w:p>
    <w:p w14:paraId="2CF0C875">
      <w:pPr>
        <w:pStyle w:val="4"/>
        <w:spacing w:before="0" w:after="0" w:line="360" w:lineRule="auto"/>
        <w:ind w:firstLine="482" w:firstLineChars="200"/>
        <w:rPr>
          <w:rFonts w:hint="eastAsia" w:ascii="仿宋" w:hAnsi="仿宋" w:eastAsia="仿宋" w:cs="仿宋"/>
          <w:sz w:val="24"/>
          <w:highlight w:val="none"/>
        </w:rPr>
      </w:pPr>
      <w:bookmarkStart w:id="124" w:name="_Toc11227"/>
      <w:bookmarkStart w:id="125" w:name="_Toc64732012"/>
      <w:bookmarkStart w:id="126" w:name="_Toc9361"/>
      <w:bookmarkStart w:id="127" w:name="_Toc65660350"/>
      <w:bookmarkStart w:id="128" w:name="_Toc5167"/>
      <w:r>
        <w:rPr>
          <w:rFonts w:hint="eastAsia" w:ascii="仿宋" w:hAnsi="仿宋" w:eastAsia="仿宋" w:cs="仿宋"/>
          <w:sz w:val="24"/>
          <w:highlight w:val="none"/>
        </w:rPr>
        <w:t>一、采购程序</w:t>
      </w:r>
      <w:bookmarkEnd w:id="124"/>
      <w:bookmarkEnd w:id="125"/>
      <w:bookmarkEnd w:id="126"/>
      <w:bookmarkEnd w:id="127"/>
      <w:bookmarkEnd w:id="128"/>
    </w:p>
    <w:p w14:paraId="403C4855">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（一）谈判按竞争性谈判文件规定的时间和地点进行。供应商须有法定代表人（或其授权代表）或自然人参加并签到。</w:t>
      </w:r>
    </w:p>
    <w:p w14:paraId="17EFE367">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（二）竞争性谈判以抽签的形式确定谈判顺序，由本项目谈判小组分别与各供应商进行谈判。在谈判前，对各供应商的资格条件、实质性响应等进行审查。 </w:t>
      </w:r>
    </w:p>
    <w:p w14:paraId="2BAEC624">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1.资格性审查。依据法律法规和竞争性谈判文件的规定，对响应文件中的资格证明材料、保证金等进行审查。资格性审查内容如下：</w:t>
      </w:r>
    </w:p>
    <w:tbl>
      <w:tblPr>
        <w:tblStyle w:val="5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992"/>
        <w:gridCol w:w="2552"/>
        <w:gridCol w:w="5267"/>
      </w:tblGrid>
      <w:tr w14:paraId="6A94C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2DEA9D7">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4DA7940F">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7F56E229">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检查内容</w:t>
            </w:r>
          </w:p>
        </w:tc>
      </w:tr>
      <w:tr w14:paraId="33C70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13A616BD">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（一）</w:t>
            </w:r>
          </w:p>
        </w:tc>
        <w:tc>
          <w:tcPr>
            <w:tcW w:w="992" w:type="dxa"/>
            <w:vMerge w:val="restart"/>
            <w:vAlign w:val="center"/>
          </w:tcPr>
          <w:p w14:paraId="28FF0E48">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《中华人民共和国政府采购法》第二十二条规定</w:t>
            </w:r>
          </w:p>
        </w:tc>
        <w:tc>
          <w:tcPr>
            <w:tcW w:w="2552" w:type="dxa"/>
            <w:vAlign w:val="center"/>
          </w:tcPr>
          <w:p w14:paraId="626209DC">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1.具有独立承担民事责任的能力</w:t>
            </w:r>
          </w:p>
        </w:tc>
        <w:tc>
          <w:tcPr>
            <w:tcW w:w="5267" w:type="dxa"/>
            <w:vAlign w:val="center"/>
          </w:tcPr>
          <w:p w14:paraId="71A81607">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1.供应商法人营业执照（副本）或事业单位法人证书（副本）或个体工商户营业执照或有效的自然人身份证明或社会团体法人登记证书（提供复印件）。 </w:t>
            </w:r>
          </w:p>
          <w:p w14:paraId="77AAE31C">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2.供应商法定代表人身份证明和法定代表人授权代表委托书。</w:t>
            </w:r>
          </w:p>
        </w:tc>
      </w:tr>
      <w:tr w14:paraId="634C3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06D13A6">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1BA2B5AD">
            <w:pPr>
              <w:spacing w:line="360" w:lineRule="auto"/>
              <w:rPr>
                <w:rFonts w:hint="eastAsia" w:ascii="仿宋" w:hAnsi="仿宋" w:eastAsia="仿宋" w:cs="仿宋"/>
                <w:sz w:val="21"/>
                <w:szCs w:val="21"/>
                <w:highlight w:val="none"/>
                <w:lang w:val="zh-CN"/>
              </w:rPr>
            </w:pPr>
          </w:p>
        </w:tc>
        <w:tc>
          <w:tcPr>
            <w:tcW w:w="2552" w:type="dxa"/>
            <w:vAlign w:val="center"/>
          </w:tcPr>
          <w:p w14:paraId="01617AD2">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2.</w:t>
            </w:r>
            <w:r>
              <w:rPr>
                <w:rFonts w:hint="eastAsia" w:ascii="仿宋" w:hAnsi="仿宋" w:eastAsia="仿宋" w:cs="仿宋"/>
                <w:sz w:val="21"/>
                <w:szCs w:val="21"/>
                <w:highlight w:val="none"/>
              </w:rPr>
              <w:t>具有良好的商业信誉和健全的财务会计制度</w:t>
            </w:r>
          </w:p>
        </w:tc>
        <w:tc>
          <w:tcPr>
            <w:tcW w:w="5267" w:type="dxa"/>
            <w:vMerge w:val="restart"/>
            <w:vAlign w:val="center"/>
          </w:tcPr>
          <w:p w14:paraId="7D5848BB">
            <w:pPr>
              <w:spacing w:line="360" w:lineRule="auto"/>
              <w:rPr>
                <w:rFonts w:hint="eastAsia" w:ascii="仿宋" w:hAnsi="仿宋" w:eastAsia="仿宋" w:cs="仿宋"/>
                <w:b/>
                <w:sz w:val="21"/>
                <w:szCs w:val="21"/>
                <w:highlight w:val="none"/>
              </w:rPr>
            </w:pPr>
            <w:r>
              <w:rPr>
                <w:rFonts w:hint="eastAsia" w:ascii="仿宋" w:hAnsi="仿宋" w:eastAsia="仿宋" w:cs="仿宋"/>
                <w:sz w:val="21"/>
                <w:szCs w:val="21"/>
                <w:highlight w:val="none"/>
              </w:rPr>
              <w:t>供应商提供“基本资格条件承诺函”（格式详见第七篇）</w:t>
            </w:r>
          </w:p>
        </w:tc>
      </w:tr>
      <w:tr w14:paraId="0CC80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6648E56B">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788A131A">
            <w:pPr>
              <w:spacing w:line="360" w:lineRule="auto"/>
              <w:rPr>
                <w:rFonts w:hint="eastAsia" w:ascii="仿宋" w:hAnsi="仿宋" w:eastAsia="仿宋" w:cs="仿宋"/>
                <w:sz w:val="21"/>
                <w:szCs w:val="21"/>
                <w:highlight w:val="none"/>
                <w:lang w:val="zh-CN"/>
              </w:rPr>
            </w:pPr>
          </w:p>
        </w:tc>
        <w:tc>
          <w:tcPr>
            <w:tcW w:w="2552" w:type="dxa"/>
            <w:vAlign w:val="center"/>
          </w:tcPr>
          <w:p w14:paraId="3FE3D1A2">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3.具有履行合同所必需的设备和专业技术能力</w:t>
            </w:r>
          </w:p>
        </w:tc>
        <w:tc>
          <w:tcPr>
            <w:tcW w:w="5267" w:type="dxa"/>
            <w:vMerge w:val="continue"/>
            <w:vAlign w:val="center"/>
          </w:tcPr>
          <w:p w14:paraId="025B8A14">
            <w:pPr>
              <w:spacing w:line="360" w:lineRule="auto"/>
              <w:rPr>
                <w:rFonts w:hint="eastAsia" w:ascii="仿宋" w:hAnsi="仿宋" w:eastAsia="仿宋" w:cs="仿宋"/>
                <w:sz w:val="21"/>
                <w:szCs w:val="21"/>
                <w:highlight w:val="none"/>
              </w:rPr>
            </w:pPr>
          </w:p>
        </w:tc>
      </w:tr>
      <w:tr w14:paraId="0C3EC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4E3B64EF">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5C4331EE">
            <w:pPr>
              <w:spacing w:line="360" w:lineRule="auto"/>
              <w:rPr>
                <w:rFonts w:hint="eastAsia" w:ascii="仿宋" w:hAnsi="仿宋" w:eastAsia="仿宋" w:cs="仿宋"/>
                <w:sz w:val="21"/>
                <w:szCs w:val="21"/>
                <w:highlight w:val="none"/>
                <w:lang w:val="zh-CN"/>
              </w:rPr>
            </w:pPr>
          </w:p>
        </w:tc>
        <w:tc>
          <w:tcPr>
            <w:tcW w:w="2552" w:type="dxa"/>
            <w:vAlign w:val="center"/>
          </w:tcPr>
          <w:p w14:paraId="61B8F152">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4.有依法缴纳税收和社会保障金的良好记录</w:t>
            </w:r>
          </w:p>
        </w:tc>
        <w:tc>
          <w:tcPr>
            <w:tcW w:w="5267" w:type="dxa"/>
            <w:vMerge w:val="continue"/>
            <w:vAlign w:val="center"/>
          </w:tcPr>
          <w:p w14:paraId="01AFB7C4">
            <w:pPr>
              <w:spacing w:line="360" w:lineRule="auto"/>
              <w:rPr>
                <w:rFonts w:hint="eastAsia" w:ascii="仿宋" w:hAnsi="仿宋" w:eastAsia="仿宋" w:cs="仿宋"/>
                <w:sz w:val="21"/>
                <w:szCs w:val="21"/>
                <w:highlight w:val="none"/>
              </w:rPr>
            </w:pPr>
          </w:p>
        </w:tc>
      </w:tr>
      <w:tr w14:paraId="0464D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54CAEF3D">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61C20960">
            <w:pPr>
              <w:spacing w:line="360" w:lineRule="auto"/>
              <w:rPr>
                <w:rFonts w:hint="eastAsia" w:ascii="仿宋" w:hAnsi="仿宋" w:eastAsia="仿宋" w:cs="仿宋"/>
                <w:sz w:val="21"/>
                <w:szCs w:val="21"/>
                <w:highlight w:val="none"/>
                <w:lang w:val="zh-CN"/>
              </w:rPr>
            </w:pPr>
          </w:p>
        </w:tc>
        <w:tc>
          <w:tcPr>
            <w:tcW w:w="2552" w:type="dxa"/>
            <w:vAlign w:val="center"/>
          </w:tcPr>
          <w:p w14:paraId="0432725B">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5.参加政府采购活动前三年内，在经营活动中没有重大违法记录</w:t>
            </w:r>
          </w:p>
        </w:tc>
        <w:tc>
          <w:tcPr>
            <w:tcW w:w="5267" w:type="dxa"/>
            <w:vMerge w:val="continue"/>
            <w:vAlign w:val="center"/>
          </w:tcPr>
          <w:p w14:paraId="32F375EE">
            <w:pPr>
              <w:spacing w:line="360" w:lineRule="auto"/>
              <w:rPr>
                <w:rFonts w:hint="eastAsia" w:ascii="仿宋" w:hAnsi="仿宋" w:eastAsia="仿宋" w:cs="仿宋"/>
                <w:b/>
                <w:sz w:val="21"/>
                <w:szCs w:val="21"/>
                <w:highlight w:val="none"/>
              </w:rPr>
            </w:pPr>
          </w:p>
        </w:tc>
      </w:tr>
      <w:tr w14:paraId="278D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6D4AFBF2">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11459DE7">
            <w:pPr>
              <w:spacing w:line="360" w:lineRule="auto"/>
              <w:rPr>
                <w:rFonts w:hint="eastAsia" w:ascii="仿宋" w:hAnsi="仿宋" w:eastAsia="仿宋" w:cs="仿宋"/>
                <w:sz w:val="21"/>
                <w:szCs w:val="21"/>
                <w:highlight w:val="none"/>
              </w:rPr>
            </w:pPr>
          </w:p>
        </w:tc>
        <w:tc>
          <w:tcPr>
            <w:tcW w:w="2552" w:type="dxa"/>
            <w:vAlign w:val="center"/>
          </w:tcPr>
          <w:p w14:paraId="369FB8BA">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6.法律、行政法规规定的其他条件</w:t>
            </w:r>
          </w:p>
        </w:tc>
        <w:tc>
          <w:tcPr>
            <w:tcW w:w="5267" w:type="dxa"/>
            <w:vAlign w:val="center"/>
          </w:tcPr>
          <w:p w14:paraId="6C0AADC6">
            <w:pPr>
              <w:spacing w:line="360" w:lineRule="auto"/>
              <w:rPr>
                <w:rFonts w:hint="eastAsia" w:ascii="仿宋" w:hAnsi="仿宋" w:eastAsia="仿宋" w:cs="仿宋"/>
                <w:sz w:val="21"/>
                <w:szCs w:val="21"/>
                <w:highlight w:val="none"/>
              </w:rPr>
            </w:pPr>
          </w:p>
        </w:tc>
      </w:tr>
      <w:tr w14:paraId="12EB5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585D365C">
            <w:pPr>
              <w:spacing w:line="360" w:lineRule="auto"/>
              <w:jc w:val="center"/>
              <w:rPr>
                <w:rFonts w:hint="eastAsia" w:ascii="仿宋" w:hAnsi="仿宋" w:eastAsia="仿宋" w:cs="仿宋"/>
                <w:sz w:val="21"/>
                <w:szCs w:val="21"/>
                <w:highlight w:val="none"/>
              </w:rPr>
            </w:pPr>
          </w:p>
        </w:tc>
        <w:tc>
          <w:tcPr>
            <w:tcW w:w="992" w:type="dxa"/>
            <w:vMerge w:val="continue"/>
            <w:vAlign w:val="center"/>
          </w:tcPr>
          <w:p w14:paraId="7A952C1A">
            <w:pPr>
              <w:spacing w:line="360" w:lineRule="auto"/>
              <w:rPr>
                <w:rFonts w:hint="eastAsia" w:ascii="仿宋" w:hAnsi="仿宋" w:eastAsia="仿宋" w:cs="仿宋"/>
                <w:sz w:val="21"/>
                <w:szCs w:val="21"/>
                <w:highlight w:val="none"/>
              </w:rPr>
            </w:pPr>
          </w:p>
        </w:tc>
        <w:tc>
          <w:tcPr>
            <w:tcW w:w="2552" w:type="dxa"/>
            <w:vAlign w:val="center"/>
          </w:tcPr>
          <w:p w14:paraId="31424C49">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7.本项目的特定资格要求</w:t>
            </w:r>
          </w:p>
        </w:tc>
        <w:tc>
          <w:tcPr>
            <w:tcW w:w="5267" w:type="dxa"/>
            <w:vAlign w:val="center"/>
          </w:tcPr>
          <w:p w14:paraId="5D65C580">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按“第一篇三、供应商资格要求（三）本项目的特定资格要求”的要求提交（如果有）。</w:t>
            </w:r>
          </w:p>
        </w:tc>
      </w:tr>
      <w:tr w14:paraId="6BAA7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6D3A4E7">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（二）</w:t>
            </w:r>
          </w:p>
        </w:tc>
        <w:tc>
          <w:tcPr>
            <w:tcW w:w="3544" w:type="dxa"/>
            <w:gridSpan w:val="2"/>
            <w:vAlign w:val="center"/>
          </w:tcPr>
          <w:p w14:paraId="399E8C9D">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落实政府采购政策需满足的资格要求</w:t>
            </w:r>
          </w:p>
        </w:tc>
        <w:tc>
          <w:tcPr>
            <w:tcW w:w="5267" w:type="dxa"/>
            <w:vAlign w:val="center"/>
          </w:tcPr>
          <w:p w14:paraId="12E0DC94">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按“第一篇三、供应商资格要求（二）落实政府采购政策需满足的资格要求”的要求提交（如果有）。</w:t>
            </w:r>
          </w:p>
        </w:tc>
      </w:tr>
      <w:tr w14:paraId="108C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14:paraId="6D65C385">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（三）</w:t>
            </w:r>
          </w:p>
        </w:tc>
        <w:tc>
          <w:tcPr>
            <w:tcW w:w="3544" w:type="dxa"/>
            <w:gridSpan w:val="2"/>
            <w:vAlign w:val="top"/>
          </w:tcPr>
          <w:p w14:paraId="27D087CB">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保证金</w:t>
            </w:r>
          </w:p>
        </w:tc>
        <w:tc>
          <w:tcPr>
            <w:tcW w:w="5267" w:type="dxa"/>
            <w:vAlign w:val="top"/>
          </w:tcPr>
          <w:p w14:paraId="108B1D5D">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按照竞争性谈判文件要求足额交纳所参与包的保证金。</w:t>
            </w:r>
          </w:p>
        </w:tc>
      </w:tr>
    </w:tbl>
    <w:p w14:paraId="46A7F0E2">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w:t>
      </w:r>
    </w:p>
    <w:p w14:paraId="4C100BA3">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eq \o\ac(○,</w:instrText>
      </w:r>
      <w:r>
        <w:rPr>
          <w:rFonts w:hint="eastAsia" w:ascii="仿宋" w:hAnsi="仿宋" w:eastAsia="仿宋" w:cs="仿宋"/>
          <w:kern w:val="0"/>
          <w:position w:val="3"/>
          <w:sz w:val="16"/>
          <w:szCs w:val="24"/>
          <w:highlight w:val="none"/>
        </w:rPr>
        <w:instrText xml:space="preserve">1</w:instrText>
      </w:r>
      <w:r>
        <w:rPr>
          <w:rFonts w:hint="eastAsia" w:ascii="仿宋" w:hAnsi="仿宋" w:eastAsia="仿宋" w:cs="仿宋"/>
          <w:kern w:val="0"/>
          <w:sz w:val="24"/>
          <w:szCs w:val="24"/>
          <w:highlight w:val="none"/>
        </w:rPr>
        <w:instrText xml:space="preserve">)</w:instrTex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A854627">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5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94"/>
        <w:gridCol w:w="6259"/>
      </w:tblGrid>
      <w:tr w14:paraId="4E837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675" w:type="dxa"/>
            <w:vAlign w:val="center"/>
          </w:tcPr>
          <w:p w14:paraId="7BF4D96E">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2694" w:type="dxa"/>
            <w:vAlign w:val="center"/>
          </w:tcPr>
          <w:p w14:paraId="69FDB4A7">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审查因素</w:t>
            </w:r>
          </w:p>
        </w:tc>
        <w:tc>
          <w:tcPr>
            <w:tcW w:w="6259" w:type="dxa"/>
            <w:vAlign w:val="center"/>
          </w:tcPr>
          <w:p w14:paraId="3C2DD65B">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审查标准</w:t>
            </w:r>
          </w:p>
        </w:tc>
      </w:tr>
      <w:tr w14:paraId="39310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Merge w:val="restart"/>
            <w:vAlign w:val="center"/>
          </w:tcPr>
          <w:p w14:paraId="5CB39AEF">
            <w:pPr>
              <w:spacing w:line="36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2694" w:type="dxa"/>
            <w:vAlign w:val="center"/>
          </w:tcPr>
          <w:p w14:paraId="63E407DD">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响应文件签署或盖章</w:t>
            </w:r>
          </w:p>
        </w:tc>
        <w:tc>
          <w:tcPr>
            <w:tcW w:w="6259" w:type="dxa"/>
            <w:vAlign w:val="center"/>
          </w:tcPr>
          <w:p w14:paraId="26ECCF31">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按“第七篇响应文件格式要求”要求签署或盖章</w:t>
            </w:r>
          </w:p>
        </w:tc>
      </w:tr>
      <w:tr w14:paraId="57554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75" w:type="dxa"/>
            <w:vMerge w:val="continue"/>
            <w:vAlign w:val="center"/>
          </w:tcPr>
          <w:p w14:paraId="1B13EB0A">
            <w:pPr>
              <w:spacing w:line="360" w:lineRule="auto"/>
              <w:jc w:val="center"/>
              <w:rPr>
                <w:rFonts w:hint="eastAsia" w:ascii="仿宋" w:hAnsi="仿宋" w:eastAsia="仿宋" w:cs="仿宋"/>
                <w:kern w:val="0"/>
                <w:sz w:val="21"/>
                <w:szCs w:val="21"/>
                <w:highlight w:val="none"/>
              </w:rPr>
            </w:pPr>
          </w:p>
        </w:tc>
        <w:tc>
          <w:tcPr>
            <w:tcW w:w="2694" w:type="dxa"/>
            <w:vAlign w:val="center"/>
          </w:tcPr>
          <w:p w14:paraId="29FF378A">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w:t>
            </w:r>
          </w:p>
        </w:tc>
        <w:tc>
          <w:tcPr>
            <w:tcW w:w="6259" w:type="dxa"/>
            <w:vAlign w:val="center"/>
          </w:tcPr>
          <w:p w14:paraId="30A9F0D9">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法定代表人身份证明及授权委托书有效，符合竞争性谈判文件规定的格式，签署或盖章齐全。</w:t>
            </w:r>
          </w:p>
        </w:tc>
      </w:tr>
      <w:tr w14:paraId="6DA4C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675" w:type="dxa"/>
            <w:vMerge w:val="continue"/>
            <w:vAlign w:val="center"/>
          </w:tcPr>
          <w:p w14:paraId="78F7F8DA">
            <w:pPr>
              <w:spacing w:line="360" w:lineRule="auto"/>
              <w:jc w:val="center"/>
              <w:rPr>
                <w:rFonts w:hint="eastAsia" w:ascii="仿宋" w:hAnsi="仿宋" w:eastAsia="仿宋" w:cs="仿宋"/>
                <w:kern w:val="0"/>
                <w:sz w:val="21"/>
                <w:szCs w:val="21"/>
                <w:highlight w:val="none"/>
              </w:rPr>
            </w:pPr>
          </w:p>
        </w:tc>
        <w:tc>
          <w:tcPr>
            <w:tcW w:w="2694" w:type="dxa"/>
            <w:vAlign w:val="center"/>
          </w:tcPr>
          <w:p w14:paraId="23800CD5">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c>
          <w:tcPr>
            <w:tcW w:w="6259" w:type="dxa"/>
            <w:vAlign w:val="center"/>
          </w:tcPr>
          <w:p w14:paraId="203244D1">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lang w:val="zh-CN"/>
              </w:rPr>
              <w:t>只能有一个</w:t>
            </w: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r>
      <w:tr w14:paraId="26464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675" w:type="dxa"/>
            <w:vMerge w:val="continue"/>
            <w:vAlign w:val="center"/>
          </w:tcPr>
          <w:p w14:paraId="4CA42341">
            <w:pPr>
              <w:spacing w:line="360" w:lineRule="auto"/>
              <w:jc w:val="center"/>
              <w:rPr>
                <w:rFonts w:hint="eastAsia" w:ascii="仿宋" w:hAnsi="仿宋" w:eastAsia="仿宋" w:cs="仿宋"/>
                <w:kern w:val="0"/>
                <w:sz w:val="21"/>
                <w:szCs w:val="21"/>
                <w:highlight w:val="none"/>
              </w:rPr>
            </w:pPr>
          </w:p>
        </w:tc>
        <w:tc>
          <w:tcPr>
            <w:tcW w:w="2694" w:type="dxa"/>
            <w:vAlign w:val="center"/>
          </w:tcPr>
          <w:p w14:paraId="790D984F">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报价唯一</w:t>
            </w:r>
          </w:p>
        </w:tc>
        <w:tc>
          <w:tcPr>
            <w:tcW w:w="6259" w:type="dxa"/>
            <w:vAlign w:val="center"/>
          </w:tcPr>
          <w:p w14:paraId="652328DA">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只能有一个有效报价，不得提交选择性报价。</w:t>
            </w:r>
          </w:p>
        </w:tc>
      </w:tr>
      <w:tr w14:paraId="07312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675" w:type="dxa"/>
            <w:vAlign w:val="center"/>
          </w:tcPr>
          <w:p w14:paraId="3C7A25D8">
            <w:pPr>
              <w:spacing w:line="36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2694" w:type="dxa"/>
            <w:vAlign w:val="center"/>
          </w:tcPr>
          <w:p w14:paraId="4D54117F">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文件份数</w:t>
            </w:r>
          </w:p>
        </w:tc>
        <w:tc>
          <w:tcPr>
            <w:tcW w:w="6259" w:type="dxa"/>
            <w:vAlign w:val="center"/>
          </w:tcPr>
          <w:p w14:paraId="35993BB2">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文件正、副本数量（含电子文档）符合</w:t>
            </w:r>
            <w:r>
              <w:rPr>
                <w:rFonts w:hint="eastAsia" w:ascii="仿宋" w:hAnsi="仿宋" w:eastAsia="仿宋" w:cs="仿宋"/>
                <w:sz w:val="21"/>
                <w:szCs w:val="21"/>
                <w:highlight w:val="none"/>
              </w:rPr>
              <w:t>竞争性谈判</w:t>
            </w:r>
            <w:r>
              <w:rPr>
                <w:rFonts w:hint="eastAsia" w:ascii="仿宋" w:hAnsi="仿宋" w:eastAsia="仿宋" w:cs="仿宋"/>
                <w:sz w:val="21"/>
                <w:szCs w:val="21"/>
                <w:highlight w:val="none"/>
                <w:lang w:val="zh-CN"/>
              </w:rPr>
              <w:t>文件要求。</w:t>
            </w:r>
          </w:p>
        </w:tc>
      </w:tr>
      <w:tr w14:paraId="14451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675" w:type="dxa"/>
            <w:vMerge w:val="restart"/>
            <w:vAlign w:val="center"/>
          </w:tcPr>
          <w:p w14:paraId="2EDF65D9">
            <w:pPr>
              <w:spacing w:line="36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2694" w:type="dxa"/>
            <w:vAlign w:val="center"/>
          </w:tcPr>
          <w:p w14:paraId="6718DEDE">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响应文件内容</w:t>
            </w:r>
          </w:p>
        </w:tc>
        <w:tc>
          <w:tcPr>
            <w:tcW w:w="6259" w:type="dxa"/>
            <w:vAlign w:val="center"/>
          </w:tcPr>
          <w:p w14:paraId="6720A9CA">
            <w:pPr>
              <w:jc w:val="left"/>
              <w:rPr>
                <w:rFonts w:hint="eastAsia" w:ascii="仿宋" w:hAnsi="仿宋" w:eastAsia="仿宋" w:cs="仿宋"/>
                <w:kern w:val="0"/>
                <w:sz w:val="21"/>
                <w:szCs w:val="21"/>
                <w:highlight w:val="none"/>
              </w:rPr>
            </w:pPr>
            <w:r>
              <w:rPr>
                <w:rFonts w:hint="eastAsia" w:ascii="仿宋" w:hAnsi="仿宋" w:eastAsia="仿宋" w:cs="仿宋"/>
                <w:sz w:val="21"/>
                <w:szCs w:val="21"/>
                <w:highlight w:val="none"/>
              </w:rPr>
              <w:t>竞争性谈判文件第二篇、第三篇所列内容进行实质性响应，不允许负偏离。</w:t>
            </w:r>
          </w:p>
        </w:tc>
      </w:tr>
      <w:tr w14:paraId="04343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75" w:type="dxa"/>
            <w:vMerge w:val="continue"/>
            <w:vAlign w:val="center"/>
          </w:tcPr>
          <w:p w14:paraId="55EA9C5C">
            <w:pPr>
              <w:spacing w:line="360" w:lineRule="auto"/>
              <w:jc w:val="center"/>
              <w:rPr>
                <w:rFonts w:hint="eastAsia" w:ascii="仿宋" w:hAnsi="仿宋" w:eastAsia="仿宋" w:cs="仿宋"/>
                <w:kern w:val="0"/>
                <w:sz w:val="21"/>
                <w:szCs w:val="21"/>
                <w:highlight w:val="none"/>
              </w:rPr>
            </w:pPr>
          </w:p>
        </w:tc>
        <w:tc>
          <w:tcPr>
            <w:tcW w:w="2694" w:type="dxa"/>
            <w:vAlign w:val="center"/>
          </w:tcPr>
          <w:p w14:paraId="10D92538">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谈判有效期</w:t>
            </w:r>
          </w:p>
        </w:tc>
        <w:tc>
          <w:tcPr>
            <w:tcW w:w="6259" w:type="dxa"/>
            <w:vAlign w:val="center"/>
          </w:tcPr>
          <w:p w14:paraId="2F342A30">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响应文件及有关承诺文件有效期为提交响应文件截止时间起90天。</w:t>
            </w:r>
          </w:p>
        </w:tc>
      </w:tr>
    </w:tbl>
    <w:p w14:paraId="290932F0">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6A0527">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EE0DE67">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（四）在谈判过程中谈判的任何一方不得向他人透露与谈判有关的技术资料、价格或其他信息。</w:t>
      </w:r>
    </w:p>
    <w:p w14:paraId="75A15C36">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4E1CF8A5">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（六）供应商在谈判时作出的所有书面承诺须由法定代表人（或其授权代表）或自然人（供应商为自然人）签署。</w:t>
      </w:r>
    </w:p>
    <w:p w14:paraId="5A681D8B">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4888F5DF">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（八）评审的依据为竞争性谈判文件和响应文件（含有效的补充文件）。谈判小组判断响应文件对竞争性谈判文件的响应，仅基于响应文件本身而不靠外部证据。</w:t>
      </w:r>
    </w:p>
    <w:p w14:paraId="458DDB3A">
      <w:pPr>
        <w:pStyle w:val="4"/>
        <w:spacing w:before="0" w:after="0" w:line="360" w:lineRule="auto"/>
        <w:ind w:firstLine="482" w:firstLineChars="200"/>
        <w:rPr>
          <w:rFonts w:hint="eastAsia" w:ascii="仿宋" w:hAnsi="仿宋" w:eastAsia="仿宋" w:cs="仿宋"/>
          <w:sz w:val="24"/>
          <w:highlight w:val="none"/>
        </w:rPr>
      </w:pPr>
      <w:bookmarkStart w:id="129" w:name="_Toc30639"/>
      <w:bookmarkStart w:id="130" w:name="_Toc65660351"/>
      <w:bookmarkStart w:id="131" w:name="_Toc19186"/>
      <w:bookmarkStart w:id="132" w:name="_Toc11713"/>
      <w:bookmarkStart w:id="133" w:name="_Toc64732013"/>
      <w:r>
        <w:rPr>
          <w:rFonts w:hint="eastAsia" w:ascii="仿宋" w:hAnsi="仿宋" w:eastAsia="仿宋" w:cs="仿宋"/>
          <w:sz w:val="24"/>
          <w:highlight w:val="none"/>
        </w:rPr>
        <w:t>二、评定成交的标准</w:t>
      </w:r>
      <w:bookmarkEnd w:id="129"/>
      <w:bookmarkEnd w:id="130"/>
      <w:bookmarkEnd w:id="131"/>
      <w:bookmarkEnd w:id="132"/>
      <w:bookmarkEnd w:id="133"/>
    </w:p>
    <w:p w14:paraId="339048AE">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（一）谈判小组将依照本竞争性谈判文件相关规定对技术（质量）和服务均能满足竞争性谈判实质性响应要求的供应商所提交的最后报价按照由低到高的顺序提出3名以上成交候选人，并编写评审报告。</w:t>
      </w:r>
    </w:p>
    <w:p w14:paraId="20CC4611">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（二）若供应商的最后报价后价格相同，按技术（质量）的优劣顺序排列；以上都相同的，按服务条款的优劣顺序排列。</w:t>
      </w:r>
    </w:p>
    <w:p w14:paraId="62174CD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（三）成交价格=成交供应商的最后报价。</w:t>
      </w:r>
    </w:p>
    <w:p w14:paraId="415013AA">
      <w:pPr>
        <w:pStyle w:val="4"/>
        <w:spacing w:before="0" w:after="0" w:line="360" w:lineRule="auto"/>
        <w:ind w:firstLine="482" w:firstLineChars="200"/>
        <w:rPr>
          <w:rFonts w:hint="eastAsia" w:ascii="仿宋" w:hAnsi="仿宋" w:eastAsia="仿宋" w:cs="仿宋"/>
          <w:sz w:val="24"/>
          <w:highlight w:val="none"/>
        </w:rPr>
      </w:pPr>
      <w:bookmarkStart w:id="134" w:name="_Toc29113"/>
      <w:bookmarkStart w:id="135" w:name="_Toc65660352"/>
      <w:bookmarkStart w:id="136" w:name="_Toc12644"/>
      <w:bookmarkStart w:id="137" w:name="_Toc5750"/>
      <w:r>
        <w:rPr>
          <w:rFonts w:hint="eastAsia" w:ascii="仿宋" w:hAnsi="仿宋" w:eastAsia="仿宋" w:cs="仿宋"/>
          <w:sz w:val="24"/>
          <w:highlight w:val="none"/>
        </w:rPr>
        <w:t>三、无效谈判</w:t>
      </w:r>
      <w:bookmarkEnd w:id="134"/>
      <w:bookmarkEnd w:id="135"/>
      <w:bookmarkEnd w:id="136"/>
      <w:bookmarkEnd w:id="137"/>
    </w:p>
    <w:p w14:paraId="4BE408A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供应商发生以下条款情况之一者，视为无效谈判：</w:t>
      </w:r>
    </w:p>
    <w:p w14:paraId="0F8B4E68">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14:paraId="6AC8842D">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（二）供应商未通过实质性响应审查的；</w:t>
      </w:r>
    </w:p>
    <w:p w14:paraId="0F949A60">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（三）供应商的法定代表人（或其授权代表）或自然人未参加谈判的；</w:t>
      </w:r>
    </w:p>
    <w:p w14:paraId="73FA3BE7">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（四）供应商未在保证金到账截止时间前足额交纳所参与包保证金的；</w:t>
      </w:r>
    </w:p>
    <w:p w14:paraId="0A594372">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（五）供应商所提交的响应文件未按“第七篇响应文件格式要求”要求签署或盖章的；</w:t>
      </w:r>
    </w:p>
    <w:p w14:paraId="358071C6">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（六）供应商的最后报价超过采购预算或最高限价的；</w:t>
      </w:r>
    </w:p>
    <w:p w14:paraId="2E108A3A">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（七）供应商不接受谈判小组修正后的价格的；</w:t>
      </w:r>
    </w:p>
    <w:p w14:paraId="0C45F5CD">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（八）单位负责人为同一人或者存在直接控股、管理关系的不同供应商，参加同一合同项（包）谈判的；</w:t>
      </w:r>
    </w:p>
    <w:p w14:paraId="39C7664E">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（九）为采购项目提供整体设计、规范编制或者项目管理、监理、检测等服务的供应商再参加该采购项目的其他采购活动的；</w:t>
      </w:r>
    </w:p>
    <w:p w14:paraId="49B774B2">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（十）同一合同项（包）下的货物，制造商参与谈判，再委托代理商参与谈判的；</w:t>
      </w:r>
    </w:p>
    <w:p w14:paraId="66D24280">
      <w:pPr>
        <w:pStyle w:val="3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（十一）供应商响应文件内容有与国家现行法律法规相违背的内容，或附有采购人无法接受条件的；</w:t>
      </w:r>
    </w:p>
    <w:p w14:paraId="27EB46D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（十二）法律、法规和竞争性谈判文件规定的其他无效情形。</w:t>
      </w:r>
    </w:p>
    <w:p w14:paraId="6BC33D4E">
      <w:pPr>
        <w:pStyle w:val="4"/>
        <w:spacing w:before="0" w:after="0" w:line="360" w:lineRule="auto"/>
        <w:ind w:firstLine="482" w:firstLineChars="200"/>
        <w:rPr>
          <w:rFonts w:hint="eastAsia" w:ascii="仿宋" w:hAnsi="仿宋" w:eastAsia="仿宋" w:cs="仿宋"/>
          <w:sz w:val="24"/>
          <w:highlight w:val="none"/>
        </w:rPr>
      </w:pPr>
      <w:bookmarkStart w:id="138" w:name="_Toc29298"/>
      <w:bookmarkStart w:id="139" w:name="_Toc28422"/>
      <w:bookmarkStart w:id="140" w:name="_Toc65660353"/>
      <w:bookmarkStart w:id="141" w:name="_Toc21628"/>
      <w:r>
        <w:rPr>
          <w:rFonts w:hint="eastAsia" w:ascii="仿宋" w:hAnsi="仿宋" w:eastAsia="仿宋" w:cs="仿宋"/>
          <w:sz w:val="24"/>
          <w:highlight w:val="none"/>
        </w:rPr>
        <w:t>四、采购终止</w:t>
      </w:r>
      <w:bookmarkEnd w:id="138"/>
      <w:bookmarkEnd w:id="139"/>
      <w:bookmarkEnd w:id="140"/>
      <w:bookmarkEnd w:id="141"/>
    </w:p>
    <w:p w14:paraId="2126776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出现下列情形之一的，采购人或者采购代理机构应当终止竞争性谈判采购活动，发布项目终止公告并说明原因，重新开展采购活动：</w:t>
      </w:r>
    </w:p>
    <w:p w14:paraId="4DD059C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（一）因情况变化，不再符合规定的竞争性谈判采购方式适用情形的；</w:t>
      </w:r>
    </w:p>
    <w:p w14:paraId="788A9EB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14:paraId="66E8EF3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（三）在采购过程中符合竞争要求的供应商或者报价未超过采购预算的供应商不足3家的，但《政府采购非招标采购方式管理办法》第二十七条第二款规定的情形除外。</w:t>
      </w:r>
    </w:p>
    <w:p w14:paraId="7550EC70">
      <w:pPr>
        <w:pStyle w:val="4"/>
        <w:spacing w:before="0" w:after="0" w:line="360" w:lineRule="auto"/>
        <w:jc w:val="center"/>
        <w:rPr>
          <w:rFonts w:hint="eastAsia" w:ascii="仿宋" w:hAnsi="仿宋" w:eastAsia="仿宋" w:cs="仿宋"/>
          <w:b w:val="0"/>
          <w:sz w:val="36"/>
          <w:szCs w:val="30"/>
          <w:highlight w:val="none"/>
        </w:rPr>
      </w:pPr>
      <w:r>
        <w:rPr>
          <w:rFonts w:hint="eastAsia" w:ascii="仿宋" w:hAnsi="仿宋" w:eastAsia="仿宋" w:cs="仿宋"/>
          <w:sz w:val="24"/>
          <w:szCs w:val="24"/>
          <w:highlight w:val="none"/>
        </w:rPr>
        <w:br w:type="page"/>
      </w:r>
      <w:bookmarkStart w:id="142" w:name="_Toc65660354"/>
      <w:bookmarkStart w:id="143" w:name="_Toc20055"/>
      <w:bookmarkStart w:id="144" w:name="_Toc10768"/>
      <w:bookmarkStart w:id="145" w:name="_Toc10212"/>
      <w:r>
        <w:rPr>
          <w:rFonts w:hint="eastAsia" w:ascii="仿宋" w:hAnsi="仿宋" w:eastAsia="仿宋" w:cs="仿宋"/>
          <w:b w:val="0"/>
          <w:sz w:val="36"/>
          <w:szCs w:val="30"/>
          <w:highlight w:val="none"/>
        </w:rPr>
        <w:t>第五篇  供应商须知</w:t>
      </w:r>
      <w:bookmarkEnd w:id="142"/>
      <w:bookmarkEnd w:id="143"/>
      <w:bookmarkEnd w:id="144"/>
      <w:bookmarkEnd w:id="145"/>
    </w:p>
    <w:p w14:paraId="1A06A31C">
      <w:pPr>
        <w:pStyle w:val="4"/>
        <w:spacing w:before="0" w:after="0" w:line="500" w:lineRule="exact"/>
        <w:ind w:firstLine="482" w:firstLineChars="200"/>
        <w:rPr>
          <w:rFonts w:hint="eastAsia" w:ascii="仿宋" w:hAnsi="仿宋" w:eastAsia="仿宋" w:cs="仿宋"/>
          <w:sz w:val="24"/>
          <w:highlight w:val="none"/>
        </w:rPr>
      </w:pPr>
      <w:bookmarkStart w:id="146" w:name="_Toc5290"/>
      <w:bookmarkStart w:id="147" w:name="_Toc4855"/>
      <w:bookmarkStart w:id="148" w:name="_Toc65660355"/>
      <w:bookmarkStart w:id="149" w:name="_Toc16524"/>
      <w:r>
        <w:rPr>
          <w:rFonts w:hint="eastAsia" w:ascii="仿宋" w:hAnsi="仿宋" w:eastAsia="仿宋" w:cs="仿宋"/>
          <w:sz w:val="24"/>
          <w:highlight w:val="none"/>
        </w:rPr>
        <w:t>一、谈判费用</w:t>
      </w:r>
      <w:bookmarkEnd w:id="146"/>
      <w:bookmarkEnd w:id="147"/>
      <w:bookmarkEnd w:id="148"/>
      <w:bookmarkEnd w:id="149"/>
    </w:p>
    <w:p w14:paraId="6C43943A">
      <w:pPr>
        <w:pStyle w:val="13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参与谈判的供应商应承担其编制响应文件与递交响应文件所涉及的一切费用，不论谈判结果如何，采购人和采购代理机构在任何情况下无义务也无责任承担这些费用。</w:t>
      </w:r>
    </w:p>
    <w:p w14:paraId="1E624DD2">
      <w:pPr>
        <w:pStyle w:val="4"/>
        <w:spacing w:before="0" w:after="0" w:line="500" w:lineRule="exact"/>
        <w:ind w:firstLine="482" w:firstLineChars="200"/>
        <w:rPr>
          <w:rFonts w:hint="eastAsia" w:ascii="仿宋" w:hAnsi="仿宋" w:eastAsia="仿宋" w:cs="仿宋"/>
          <w:sz w:val="24"/>
          <w:highlight w:val="none"/>
        </w:rPr>
      </w:pPr>
      <w:bookmarkStart w:id="150" w:name="_Toc10004"/>
      <w:bookmarkStart w:id="151" w:name="_Toc65660356"/>
      <w:bookmarkStart w:id="152" w:name="_Toc31739"/>
      <w:bookmarkStart w:id="153" w:name="_Toc5915"/>
      <w:r>
        <w:rPr>
          <w:rFonts w:hint="eastAsia" w:ascii="仿宋" w:hAnsi="仿宋" w:eastAsia="仿宋" w:cs="仿宋"/>
          <w:sz w:val="24"/>
          <w:highlight w:val="none"/>
        </w:rPr>
        <w:t>二、竞争性谈判文件</w:t>
      </w:r>
      <w:bookmarkEnd w:id="150"/>
      <w:bookmarkEnd w:id="151"/>
      <w:bookmarkEnd w:id="152"/>
      <w:bookmarkEnd w:id="153"/>
      <w:r>
        <w:rPr>
          <w:rFonts w:hint="eastAsia" w:ascii="仿宋" w:hAnsi="仿宋" w:eastAsia="仿宋" w:cs="仿宋"/>
          <w:sz w:val="24"/>
          <w:highlight w:val="none"/>
        </w:rPr>
        <w:tab/>
      </w:r>
    </w:p>
    <w:p w14:paraId="69E9A500">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（一）竞争性谈判文件由竞争性谈判邀请书、谈判项目技术（质量）需求、谈判项目服务需求、采购程序、评定成交的标准、无效谈判及采购终止、供应商须知、合同草案条款、响应文件格式要求七部分组成。</w:t>
      </w:r>
    </w:p>
    <w:p w14:paraId="2B49DCC8">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（二）采购人（或采购代理机构）所作的一切有效的书面通知、修改及补充，都是竞争性谈判文件不可分割的部分。</w:t>
      </w:r>
    </w:p>
    <w:p w14:paraId="45F253E5">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（三）本竞争性谈判文件中，谈判小组根据与供应商谈判情况可能实质性变动的内容为竞争性谈判文件第二、三、六篇全部内容。</w:t>
      </w:r>
    </w:p>
    <w:p w14:paraId="48182967">
      <w:pPr>
        <w:pStyle w:val="4"/>
        <w:spacing w:before="0" w:after="0" w:line="500" w:lineRule="exact"/>
        <w:ind w:firstLine="482" w:firstLineChars="200"/>
        <w:rPr>
          <w:rFonts w:hint="eastAsia" w:ascii="仿宋" w:hAnsi="仿宋" w:eastAsia="仿宋" w:cs="仿宋"/>
          <w:sz w:val="24"/>
          <w:highlight w:val="none"/>
        </w:rPr>
      </w:pPr>
      <w:bookmarkStart w:id="154" w:name="_Toc65660357"/>
      <w:bookmarkStart w:id="155" w:name="_Toc26382"/>
      <w:bookmarkStart w:id="156" w:name="_Toc9532"/>
      <w:bookmarkStart w:id="157" w:name="_Toc3061"/>
      <w:r>
        <w:rPr>
          <w:rFonts w:hint="eastAsia" w:ascii="仿宋" w:hAnsi="仿宋" w:eastAsia="仿宋" w:cs="仿宋"/>
          <w:sz w:val="24"/>
          <w:highlight w:val="none"/>
        </w:rPr>
        <w:t>三、谈判要求</w:t>
      </w:r>
      <w:bookmarkEnd w:id="154"/>
      <w:bookmarkEnd w:id="155"/>
      <w:bookmarkEnd w:id="156"/>
      <w:bookmarkEnd w:id="157"/>
    </w:p>
    <w:p w14:paraId="610B0C92">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（一）响应文件</w:t>
      </w:r>
    </w:p>
    <w:p w14:paraId="0C47142B">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供应商应当按照竞争性谈判文件的要求编制响应文件，并对竞争性谈判文件提出的要求和条件作出实质性响应，响应文件原则上采用软面订本。</w:t>
      </w:r>
    </w:p>
    <w:p w14:paraId="34B4258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1.响应文件组成</w:t>
      </w:r>
    </w:p>
    <w:p w14:paraId="7B84DAD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6EF4B669">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2.谈判有效期：响应文件及有关承诺文件有效期为提交响应文件截止时间起90天。</w:t>
      </w:r>
    </w:p>
    <w:p w14:paraId="1676A5C9">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（二）保证金：</w:t>
      </w:r>
    </w:p>
    <w:p w14:paraId="22B5CB11">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1.供应商提交保证金金额和方式详见“</w:t>
      </w:r>
      <w:r>
        <w:rPr>
          <w:rFonts w:hint="eastAsia" w:ascii="仿宋" w:hAnsi="仿宋" w:eastAsia="仿宋" w:cs="仿宋"/>
          <w:b/>
          <w:sz w:val="24"/>
          <w:szCs w:val="24"/>
          <w:highlight w:val="none"/>
          <w:u w:val="single"/>
        </w:rPr>
        <w:t>第一篇  五、保证金”</w:t>
      </w:r>
      <w:r>
        <w:rPr>
          <w:rFonts w:hint="eastAsia" w:ascii="仿宋" w:hAnsi="仿宋" w:eastAsia="仿宋" w:cs="仿宋"/>
          <w:sz w:val="24"/>
          <w:szCs w:val="24"/>
          <w:highlight w:val="none"/>
        </w:rPr>
        <w:t>；</w:t>
      </w:r>
    </w:p>
    <w:p w14:paraId="7D3F1F9C">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2.发生以下情况之一者，保证金不予退还：</w:t>
      </w:r>
    </w:p>
    <w:p w14:paraId="02EE7A1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2.1供应商在提交响应文件截止时间后撤回响应文件的；</w:t>
      </w:r>
    </w:p>
    <w:p w14:paraId="072FE09E">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2.2供应商在响应文件中提供虚假材料的；</w:t>
      </w:r>
    </w:p>
    <w:p w14:paraId="48107747">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2.3除因不可抗力或竞争性谈判文件认可的情形以外，成交供应商不与采购人签订合同的；</w:t>
      </w:r>
    </w:p>
    <w:p w14:paraId="6A1DB03C">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2.4供应商与采购人、其他供应商或者采购代理机构恶意串通的；</w:t>
      </w:r>
    </w:p>
    <w:p w14:paraId="2AC9B8AF">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29E02361">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highlight w:val="none"/>
        </w:rPr>
        <w:t>保证金的有效期限在谈判有效期过后三十天继续有效。</w:t>
      </w:r>
    </w:p>
    <w:p w14:paraId="66DA485E">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（三）修正错误</w:t>
      </w:r>
    </w:p>
    <w:p w14:paraId="61BEFA2B">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若供应商所递交的响应文件或最后报价中的价格出现大写金额和小写金额不一致的错误，以大写金额修正为准。</w:t>
      </w:r>
    </w:p>
    <w:p w14:paraId="48E4BB43">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谈判小组按上述修正错误的原则及方法修正供应商的报价，供应商同意并签署确认后，修正后的报价对供应商具有约束作用。如果供应商不接受修正后的价格，将视为无效谈判。</w:t>
      </w:r>
    </w:p>
    <w:p w14:paraId="73406464">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（四）提交响应文件的份数和签署</w:t>
      </w:r>
    </w:p>
    <w:p w14:paraId="36AA2A69">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0DA39AE">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在响应文件正本中，竞争性谈判文件第七篇响应文件格式中规定签署、盖章的地方必须按其规定签署、盖章。</w:t>
      </w:r>
    </w:p>
    <w:p w14:paraId="5F85C796">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3.若供应商对响应文件的错处做必要修改，则应在修改处加盖供应商公章或由法定代表人（或其授权代表）或自然人</w:t>
      </w:r>
      <w:r>
        <w:rPr>
          <w:rFonts w:hint="eastAsia" w:ascii="仿宋" w:hAnsi="仿宋" w:eastAsia="仿宋" w:cs="仿宋"/>
          <w:sz w:val="24"/>
          <w:szCs w:val="24"/>
          <w:highlight w:val="none"/>
        </w:rPr>
        <w:t>（供应商为自然人）签署</w:t>
      </w:r>
      <w:r>
        <w:rPr>
          <w:rFonts w:hint="eastAsia" w:ascii="仿宋" w:hAnsi="仿宋" w:eastAsia="仿宋" w:cs="仿宋"/>
          <w:sz w:val="24"/>
          <w:highlight w:val="none"/>
        </w:rPr>
        <w:t>确认。</w:t>
      </w:r>
    </w:p>
    <w:p w14:paraId="1D60DA30">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4.电报、电话、传真形式的响应文件概不接受。</w:t>
      </w:r>
    </w:p>
    <w:p w14:paraId="23284716">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（五）响应文件的递交</w:t>
      </w:r>
    </w:p>
    <w:p w14:paraId="059B66DE">
      <w:pPr>
        <w:pStyle w:val="3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响应文件的正本、副本以及电子文档均应密封送达谈判地点，应在封套上注明谈判项目名称、供应商名称。若正本、副本以及电子文档分别进行密封的，还应在封套上注明“正本”、“副本”、“电子文档”字样。</w:t>
      </w:r>
    </w:p>
    <w:p w14:paraId="16B80ABC">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（六）响应文件语言：简体中文</w:t>
      </w:r>
    </w:p>
    <w:p w14:paraId="479A1478">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（七）供应商参与人员</w:t>
      </w:r>
    </w:p>
    <w:p w14:paraId="4FB8C6D0">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各供应商应当派1-2名代表参与谈判，至少1人应为法定代表人（或其授权代表）或自然人（供应商为自然人）。</w:t>
      </w:r>
    </w:p>
    <w:p w14:paraId="0289B2CB">
      <w:pPr>
        <w:pStyle w:val="4"/>
        <w:spacing w:before="0" w:after="0" w:line="500" w:lineRule="exact"/>
        <w:ind w:firstLine="482" w:firstLineChars="200"/>
        <w:rPr>
          <w:rFonts w:hint="eastAsia" w:ascii="仿宋" w:hAnsi="仿宋" w:eastAsia="仿宋" w:cs="仿宋"/>
          <w:sz w:val="24"/>
          <w:highlight w:val="none"/>
        </w:rPr>
      </w:pPr>
      <w:bookmarkStart w:id="158" w:name="_Toc26532"/>
      <w:bookmarkStart w:id="159" w:name="_Toc14702"/>
      <w:bookmarkStart w:id="160" w:name="_Toc6242"/>
      <w:bookmarkStart w:id="161" w:name="_Toc65660358"/>
      <w:r>
        <w:rPr>
          <w:rFonts w:hint="eastAsia" w:ascii="仿宋" w:hAnsi="仿宋" w:eastAsia="仿宋" w:cs="仿宋"/>
          <w:sz w:val="24"/>
          <w:highlight w:val="none"/>
        </w:rPr>
        <w:t>四、成交供应商的确定和变更</w:t>
      </w:r>
      <w:bookmarkEnd w:id="158"/>
      <w:bookmarkEnd w:id="159"/>
      <w:bookmarkEnd w:id="160"/>
      <w:bookmarkEnd w:id="161"/>
    </w:p>
    <w:p w14:paraId="6553CFC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2D56FBF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（二）成交供应商的变更</w:t>
      </w:r>
    </w:p>
    <w:p w14:paraId="2864E167">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5B8BAF4">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2.成交供应商无充分理由放弃成交的，采购人将向同级财政部门报告，财政部门将根据相关法律法规的规定进行处理。</w:t>
      </w:r>
    </w:p>
    <w:p w14:paraId="69117B22">
      <w:pPr>
        <w:pStyle w:val="4"/>
        <w:spacing w:before="0" w:after="0" w:line="500" w:lineRule="exact"/>
        <w:ind w:firstLine="482" w:firstLineChars="200"/>
        <w:rPr>
          <w:rFonts w:hint="eastAsia" w:ascii="仿宋" w:hAnsi="仿宋" w:eastAsia="仿宋" w:cs="仿宋"/>
          <w:sz w:val="24"/>
          <w:highlight w:val="none"/>
        </w:rPr>
      </w:pPr>
      <w:bookmarkStart w:id="162" w:name="_Toc29821"/>
      <w:bookmarkStart w:id="163" w:name="_Toc17414"/>
      <w:bookmarkStart w:id="164" w:name="_Toc1092"/>
      <w:bookmarkStart w:id="165" w:name="_Toc65660359"/>
      <w:r>
        <w:rPr>
          <w:rFonts w:hint="eastAsia" w:ascii="仿宋" w:hAnsi="仿宋" w:eastAsia="仿宋" w:cs="仿宋"/>
          <w:sz w:val="24"/>
          <w:highlight w:val="none"/>
        </w:rPr>
        <w:t>五、成交通知</w:t>
      </w:r>
      <w:bookmarkEnd w:id="162"/>
      <w:bookmarkEnd w:id="163"/>
      <w:bookmarkEnd w:id="164"/>
      <w:bookmarkEnd w:id="165"/>
    </w:p>
    <w:p w14:paraId="344E1FB5">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（一）成交供应商确定后，采购代理机构将在行采家（https://www.gec123.com/）上发布成交结果公告。</w:t>
      </w:r>
    </w:p>
    <w:p w14:paraId="19386702">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（二）结果公告发出同时，采购代理机构将以书面形式发出《成交通知书》。《成交通知书》一经发出即发生法律效力。</w:t>
      </w:r>
    </w:p>
    <w:p w14:paraId="55166BD4">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14:paraId="63297A34">
      <w:pPr>
        <w:pStyle w:val="4"/>
        <w:spacing w:before="0" w:after="0" w:line="500" w:lineRule="exact"/>
        <w:ind w:firstLine="482" w:firstLineChars="200"/>
        <w:rPr>
          <w:rFonts w:hint="eastAsia" w:ascii="仿宋" w:hAnsi="仿宋" w:eastAsia="仿宋" w:cs="仿宋"/>
          <w:sz w:val="24"/>
          <w:highlight w:val="none"/>
        </w:rPr>
      </w:pPr>
      <w:bookmarkStart w:id="166" w:name="_Toc65660360"/>
      <w:bookmarkStart w:id="167" w:name="_Toc1010"/>
      <w:bookmarkStart w:id="168" w:name="_Toc30909"/>
      <w:bookmarkStart w:id="169" w:name="_Toc30053"/>
      <w:r>
        <w:rPr>
          <w:rFonts w:hint="eastAsia" w:ascii="仿宋" w:hAnsi="仿宋" w:eastAsia="仿宋" w:cs="仿宋"/>
          <w:sz w:val="24"/>
          <w:highlight w:val="none"/>
        </w:rPr>
        <w:t>六、关于质疑和投诉</w:t>
      </w:r>
      <w:bookmarkEnd w:id="166"/>
      <w:bookmarkEnd w:id="167"/>
      <w:bookmarkEnd w:id="168"/>
      <w:bookmarkEnd w:id="169"/>
    </w:p>
    <w:p w14:paraId="3B157A08">
      <w:pPr>
        <w:spacing w:line="5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（一）质疑</w:t>
      </w:r>
    </w:p>
    <w:p w14:paraId="3C47F373">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供应商认为采购文件、采购过程和成交结果使自己的权益受到伤害的，可向采购人或采购代理机构以书面形式提出质疑。</w:t>
      </w:r>
    </w:p>
    <w:p w14:paraId="38E61038">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 xml:space="preserve">提出质疑的应当是参与所质疑项目采购活动的供应商。 </w:t>
      </w:r>
    </w:p>
    <w:p w14:paraId="4401782B">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1.质疑时限、内容</w:t>
      </w:r>
    </w:p>
    <w:p w14:paraId="784E322A">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3337D8CE">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1.2供应商提出质疑应当提交质疑函和必要的证明材料，质疑函应当包括下列内容：</w:t>
      </w:r>
    </w:p>
    <w:p w14:paraId="3F2864C2">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1.2.1供应商的姓名或者名称、地址、邮编、联系人及联系电话；</w:t>
      </w:r>
    </w:p>
    <w:p w14:paraId="0EEC7003">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1.2.2</w:t>
      </w:r>
      <w:r>
        <w:rPr>
          <w:rFonts w:hint="eastAsia" w:ascii="仿宋" w:hAnsi="仿宋" w:eastAsia="仿宋" w:cs="仿宋"/>
          <w:sz w:val="24"/>
          <w:szCs w:val="24"/>
          <w:highlight w:val="none"/>
        </w:rPr>
        <w:t>质疑项目的项目名称、采购编号以及采购执行编号</w:t>
      </w:r>
      <w:r>
        <w:rPr>
          <w:rFonts w:hint="eastAsia" w:ascii="仿宋" w:hAnsi="仿宋" w:eastAsia="仿宋" w:cs="仿宋"/>
          <w:sz w:val="24"/>
          <w:highlight w:val="none"/>
        </w:rPr>
        <w:t>；</w:t>
      </w:r>
    </w:p>
    <w:p w14:paraId="0AD38C2C">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1.2.3具体、明确的质疑事项和与质疑事项相关的请求；</w:t>
      </w:r>
    </w:p>
    <w:p w14:paraId="11DF4879">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1.2.4事实依据；</w:t>
      </w:r>
    </w:p>
    <w:p w14:paraId="613146FA">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1.2.5必要的法律依据；</w:t>
      </w:r>
    </w:p>
    <w:p w14:paraId="7C030553">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1.2.6提出质疑的日期；</w:t>
      </w:r>
    </w:p>
    <w:p w14:paraId="3E9892D8">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1.2.7营业执照（或事业单位法人证书，或个体工商户营业执照或有效的自然人身份证明）复印件；</w:t>
      </w:r>
    </w:p>
    <w:p w14:paraId="1FCC9836">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1.2.8法定代表人授权委托书原件、法定代表人身份证复印件和其授权代表的身份证复印件（供应商为自然人的提供自然人身份证复印件）；</w:t>
      </w:r>
    </w:p>
    <w:p w14:paraId="1E0F9AB1">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1.3供应商为自然人的，质疑函应当由本人签字；供应商为法人或者其他组织的，质疑函应当由法定代表人、主要负责人，或者其授权代表签字或者盖章，并加盖公章。</w:t>
      </w:r>
    </w:p>
    <w:p w14:paraId="20DFCEE0">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2.质疑答复</w:t>
      </w:r>
    </w:p>
    <w:p w14:paraId="1566E912">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采购人、采购代理机构应当在收到供应商的书面质疑后七个工作日内作出答复，并以书面形式通知质疑供应商和其他有关供应商。</w:t>
      </w:r>
    </w:p>
    <w:p w14:paraId="6ECC9DE7">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3.其他</w:t>
      </w:r>
    </w:p>
    <w:p w14:paraId="4CAE962B">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3.1供应商应按照《政府采购质疑和投诉办法》（财政部令第94号）及相关法律法规要求，在法定质疑期内一次性提出针对同一采购程序环节的质疑。</w:t>
      </w:r>
    </w:p>
    <w:p w14:paraId="2C0FBFC9">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3.2质疑函范本可在财政部门户网站和中国政府采购网下载。</w:t>
      </w:r>
    </w:p>
    <w:p w14:paraId="26B8C21A">
      <w:pPr>
        <w:spacing w:line="500" w:lineRule="exact"/>
        <w:ind w:right="12" w:firstLine="480"/>
        <w:outlineLvl w:val="2"/>
        <w:rPr>
          <w:rFonts w:hint="eastAsia" w:ascii="仿宋" w:hAnsi="仿宋" w:eastAsia="仿宋" w:cs="仿宋"/>
          <w:sz w:val="24"/>
          <w:highlight w:val="none"/>
        </w:rPr>
      </w:pPr>
      <w:r>
        <w:rPr>
          <w:rFonts w:hint="eastAsia" w:ascii="仿宋" w:hAnsi="仿宋" w:eastAsia="仿宋" w:cs="仿宋"/>
          <w:sz w:val="24"/>
          <w:highlight w:val="none"/>
        </w:rPr>
        <w:t>（二）投诉</w:t>
      </w:r>
    </w:p>
    <w:p w14:paraId="6817A741">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1.供应商对采购人、采购代理机构的答复不满意，或者采购人、采购代理机构未在规定时间内作出答复的，可以在答复期满后15个工作日内按照相关法律法规向财政部门提起投诉。</w:t>
      </w:r>
    </w:p>
    <w:p w14:paraId="43B70AB0">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2.供应商应按照《政府采购质疑和投诉办法》（财政部令第94号）及相关法律法规要求递交投诉书和必要的证明材料。投诉书范本可在财政部门户网站和中国政府采购网下载。</w:t>
      </w:r>
    </w:p>
    <w:p w14:paraId="338FC432">
      <w:pPr>
        <w:spacing w:line="5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中国台湾地区内形成的证据，应当履行相关的证明手续。</w:t>
      </w:r>
    </w:p>
    <w:p w14:paraId="0D24F42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17AB0060">
      <w:pPr>
        <w:pStyle w:val="4"/>
        <w:spacing w:before="0" w:after="0" w:line="500" w:lineRule="exact"/>
        <w:ind w:firstLine="482" w:firstLineChars="200"/>
        <w:rPr>
          <w:rFonts w:hint="eastAsia" w:ascii="仿宋" w:hAnsi="仿宋" w:eastAsia="仿宋" w:cs="仿宋"/>
          <w:sz w:val="24"/>
          <w:highlight w:val="none"/>
        </w:rPr>
      </w:pPr>
      <w:bookmarkStart w:id="170" w:name="_Toc65660361"/>
      <w:bookmarkStart w:id="171" w:name="_Toc10981"/>
      <w:bookmarkStart w:id="172" w:name="_Toc16648"/>
      <w:bookmarkStart w:id="173" w:name="_Toc3127"/>
      <w:r>
        <w:rPr>
          <w:rFonts w:hint="eastAsia" w:ascii="仿宋" w:hAnsi="仿宋" w:eastAsia="仿宋" w:cs="仿宋"/>
          <w:sz w:val="24"/>
          <w:highlight w:val="none"/>
        </w:rPr>
        <w:t>七、签订合同</w:t>
      </w:r>
      <w:bookmarkEnd w:id="170"/>
      <w:bookmarkEnd w:id="171"/>
      <w:bookmarkEnd w:id="172"/>
      <w:bookmarkEnd w:id="173"/>
    </w:p>
    <w:p w14:paraId="2E98A9EE">
      <w:pPr>
        <w:spacing w:line="500" w:lineRule="exact"/>
        <w:ind w:firstLine="360" w:firstLineChars="150"/>
        <w:rPr>
          <w:rFonts w:hint="eastAsia" w:ascii="仿宋" w:hAnsi="仿宋" w:eastAsia="仿宋" w:cs="仿宋"/>
          <w:sz w:val="24"/>
          <w:szCs w:val="24"/>
          <w:highlight w:val="none"/>
        </w:rPr>
      </w:pPr>
      <w:bookmarkStart w:id="174" w:name="_Toc5623"/>
      <w:r>
        <w:rPr>
          <w:rFonts w:hint="eastAsia" w:ascii="仿宋" w:hAnsi="仿宋" w:eastAsia="仿宋" w:cs="仿宋"/>
          <w:sz w:val="24"/>
          <w:szCs w:val="24"/>
          <w:highlight w:val="none"/>
        </w:rPr>
        <w:t>（一）</w:t>
      </w:r>
      <w:r>
        <w:rPr>
          <w:rFonts w:hint="eastAsia" w:ascii="仿宋" w:hAnsi="仿宋" w:eastAsia="仿宋" w:cs="仿宋"/>
          <w:sz w:val="24"/>
          <w:highlight w:val="none"/>
        </w:rPr>
        <w:t>采购人原则上应在成交通知书发出之日起二十日内和成交供应商签订政府采购合同，无正当理由不得拒绝或拖延合同签订</w:t>
      </w:r>
      <w:r>
        <w:rPr>
          <w:rFonts w:hint="eastAsia" w:ascii="仿宋" w:hAnsi="仿宋" w:eastAsia="仿宋" w:cs="仿宋"/>
          <w:sz w:val="24"/>
          <w:szCs w:val="24"/>
          <w:highlight w:val="none"/>
        </w:rPr>
        <w:t>。所签订的合同不得对竞争性谈判文件和供应商的响应文件作实质性修改。其他未尽事宜由采购人和成交供应商在采购合同中详细约定。</w:t>
      </w:r>
    </w:p>
    <w:p w14:paraId="58DE20BD">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（二）竞争性谈判文件、供应商的响应文件及澄清文件等，均为签订政府采购合同的依据。</w:t>
      </w:r>
    </w:p>
    <w:p w14:paraId="2E2F8DB6">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（三）合同生效条款由供需双方约定，法律、行政法规规定应当办理批准、登记等手续后生效的合同，依照其规定。</w:t>
      </w:r>
    </w:p>
    <w:p w14:paraId="10936486">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（四）合同原则上应按照《重庆市政府采购合同》签订，相关单位要求适用合同通用格式版本的，应按其要求另行签订其他合同。</w:t>
      </w:r>
    </w:p>
    <w:p w14:paraId="142D9EDF">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（五）采购人要求成交供应商提供履约保证金的，应当在竞争性谈判文件中予以约定。成交供应商履约完毕后，采购人根据采购文件规定无息退还其履约保证金。</w:t>
      </w:r>
    </w:p>
    <w:p w14:paraId="4AF7B685">
      <w:pPr>
        <w:pStyle w:val="4"/>
        <w:spacing w:before="0" w:after="0" w:line="500" w:lineRule="exact"/>
        <w:ind w:firstLine="482" w:firstLineChars="200"/>
        <w:rPr>
          <w:rFonts w:hint="eastAsia" w:ascii="仿宋" w:hAnsi="仿宋" w:eastAsia="仿宋" w:cs="仿宋"/>
          <w:sz w:val="24"/>
          <w:highlight w:val="none"/>
        </w:rPr>
      </w:pPr>
      <w:r>
        <w:rPr>
          <w:rFonts w:hint="eastAsia" w:ascii="仿宋" w:hAnsi="仿宋" w:eastAsia="仿宋" w:cs="仿宋"/>
          <w:sz w:val="24"/>
          <w:highlight w:val="none"/>
        </w:rPr>
        <w:t>八、项目验收</w:t>
      </w:r>
      <w:bookmarkEnd w:id="174"/>
    </w:p>
    <w:p w14:paraId="06B47028">
      <w:pPr>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highlight w:val="none"/>
        </w:rPr>
        <w:t>合同执行完毕，采购人或采购代理机构原则上应在7个工作日内组织履约情况验收，不得无故拖延或附加额外条件。</w:t>
      </w:r>
    </w:p>
    <w:p w14:paraId="04C8F195">
      <w:pPr>
        <w:pStyle w:val="4"/>
        <w:spacing w:before="0" w:after="0" w:line="500" w:lineRule="exact"/>
        <w:ind w:firstLine="482" w:firstLineChars="200"/>
        <w:rPr>
          <w:rFonts w:hint="eastAsia" w:ascii="仿宋" w:hAnsi="仿宋" w:eastAsia="仿宋" w:cs="仿宋"/>
          <w:sz w:val="24"/>
          <w:highlight w:val="none"/>
        </w:rPr>
      </w:pPr>
      <w:bookmarkStart w:id="175" w:name="_Toc65660362"/>
      <w:bookmarkStart w:id="176" w:name="_Toc14524"/>
      <w:bookmarkStart w:id="177" w:name="_Toc32594"/>
      <w:bookmarkStart w:id="178" w:name="_Toc29513"/>
      <w:r>
        <w:rPr>
          <w:rFonts w:hint="eastAsia" w:ascii="仿宋" w:hAnsi="仿宋" w:eastAsia="仿宋" w:cs="仿宋"/>
          <w:sz w:val="24"/>
          <w:highlight w:val="none"/>
        </w:rPr>
        <w:t>九、采购代理服务费</w:t>
      </w:r>
      <w:bookmarkEnd w:id="175"/>
      <w:bookmarkEnd w:id="176"/>
      <w:bookmarkEnd w:id="177"/>
      <w:bookmarkEnd w:id="178"/>
    </w:p>
    <w:p w14:paraId="2CC38323">
      <w:pPr>
        <w:spacing w:line="500" w:lineRule="exact"/>
        <w:ind w:firstLine="360" w:firstLineChars="150"/>
        <w:rPr>
          <w:rFonts w:hint="eastAsia" w:ascii="仿宋" w:hAnsi="仿宋" w:eastAsia="仿宋" w:cs="仿宋"/>
          <w:sz w:val="24"/>
          <w:highlight w:val="none"/>
        </w:rPr>
      </w:pPr>
      <w:bookmarkStart w:id="179" w:name="OLE_LINK8"/>
      <w:bookmarkStart w:id="180" w:name="OLE_LINK7"/>
      <w:bookmarkStart w:id="181" w:name="_Toc65660363"/>
      <w:bookmarkStart w:id="182" w:name="_Toc9730"/>
      <w:bookmarkStart w:id="183" w:name="_Toc4867"/>
      <w:r>
        <w:rPr>
          <w:rFonts w:hint="eastAsia" w:ascii="仿宋" w:hAnsi="仿宋" w:eastAsia="仿宋" w:cs="仿宋"/>
          <w:sz w:val="24"/>
          <w:highlight w:val="none"/>
        </w:rPr>
        <w:t>供应商成交后向采购代理机构缴纳采购代理服务费，采购代理服务费的收取标准按照以下标准执行:</w:t>
      </w:r>
      <w:bookmarkEnd w:id="179"/>
      <w:bookmarkEnd w:id="180"/>
      <w:r>
        <w:rPr>
          <w:rFonts w:hint="eastAsia" w:ascii="仿宋" w:hAnsi="仿宋" w:eastAsia="仿宋" w:cs="仿宋"/>
          <w:sz w:val="24"/>
          <w:highlight w:val="none"/>
        </w:rPr>
        <w:t>招标代理费按照国家计委计价格【2002】1980号文件规定的收费标准7折收取。若计算后的代理费不足3000元，则按3000元收取。</w:t>
      </w:r>
    </w:p>
    <w:tbl>
      <w:tblPr>
        <w:tblStyle w:val="57"/>
        <w:tblW w:w="0" w:type="auto"/>
        <w:tblInd w:w="-60" w:type="dxa"/>
        <w:tblLayout w:type="fixed"/>
        <w:tblCellMar>
          <w:top w:w="60" w:type="dxa"/>
          <w:left w:w="60" w:type="dxa"/>
          <w:bottom w:w="45" w:type="dxa"/>
          <w:right w:w="60" w:type="dxa"/>
        </w:tblCellMar>
      </w:tblPr>
      <w:tblGrid>
        <w:gridCol w:w="2813"/>
        <w:gridCol w:w="2088"/>
        <w:gridCol w:w="2268"/>
        <w:gridCol w:w="2484"/>
      </w:tblGrid>
      <w:tr w14:paraId="0D6D9695">
        <w:tblPrEx>
          <w:tblCellMar>
            <w:top w:w="60" w:type="dxa"/>
            <w:left w:w="60" w:type="dxa"/>
            <w:bottom w:w="45" w:type="dxa"/>
            <w:right w:w="60" w:type="dxa"/>
          </w:tblCellMar>
        </w:tblPrEx>
        <w:trPr>
          <w:trHeight w:val="675"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top"/>
          </w:tcPr>
          <w:p w14:paraId="0F2F4B3F">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招标类型中标金额（万元）</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D7DAA9F">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货物招标</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E7DBEE8">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服务招标</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857024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工程招标</w:t>
            </w:r>
          </w:p>
        </w:tc>
      </w:tr>
      <w:tr w14:paraId="34BFF3F6">
        <w:tblPrEx>
          <w:tblCellMar>
            <w:top w:w="60" w:type="dxa"/>
            <w:left w:w="60" w:type="dxa"/>
            <w:bottom w:w="45" w:type="dxa"/>
            <w:right w:w="60" w:type="dxa"/>
          </w:tblCellMar>
        </w:tblPrEx>
        <w:trPr>
          <w:trHeight w:val="355"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9BA49A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100以下</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257F17E">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1.5%</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A9297BE">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1.5%</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0B5352">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w:t>
            </w:r>
          </w:p>
        </w:tc>
      </w:tr>
      <w:tr w14:paraId="479EC2DC">
        <w:tblPrEx>
          <w:tblCellMar>
            <w:top w:w="60" w:type="dxa"/>
            <w:left w:w="60" w:type="dxa"/>
            <w:bottom w:w="45" w:type="dxa"/>
            <w:right w:w="60" w:type="dxa"/>
          </w:tblCellMar>
        </w:tblPrEx>
        <w:trPr>
          <w:trHeight w:val="390"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0666071">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100-500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C83E7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1.1%</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CB0084D">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0.8%</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4FEE15D">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0.7%</w:t>
            </w:r>
          </w:p>
        </w:tc>
      </w:tr>
      <w:tr w14:paraId="304F21AA">
        <w:tblPrEx>
          <w:tblCellMar>
            <w:top w:w="60" w:type="dxa"/>
            <w:left w:w="60" w:type="dxa"/>
            <w:bottom w:w="45" w:type="dxa"/>
            <w:right w:w="60" w:type="dxa"/>
          </w:tblCellMar>
        </w:tblPrEx>
        <w:trPr>
          <w:trHeight w:val="390"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1677FC7">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500-1000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1185F4C">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0.8%</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DE3CF8A">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0.45%</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A64C898">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0.55%</w:t>
            </w:r>
          </w:p>
        </w:tc>
      </w:tr>
      <w:tr w14:paraId="277AAC16">
        <w:tblPrEx>
          <w:tblCellMar>
            <w:top w:w="60" w:type="dxa"/>
            <w:left w:w="60" w:type="dxa"/>
            <w:bottom w:w="45" w:type="dxa"/>
            <w:right w:w="60" w:type="dxa"/>
          </w:tblCellMar>
        </w:tblPrEx>
        <w:trPr>
          <w:trHeight w:val="390"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1CF036E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1000-5000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CCFF6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0.5%</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9E68561">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0.25%</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DEE0FBA">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0.35%</w:t>
            </w:r>
          </w:p>
        </w:tc>
      </w:tr>
      <w:tr w14:paraId="2DE5D56B">
        <w:tblPrEx>
          <w:tblCellMar>
            <w:top w:w="60" w:type="dxa"/>
            <w:left w:w="60" w:type="dxa"/>
            <w:bottom w:w="45" w:type="dxa"/>
            <w:right w:w="60" w:type="dxa"/>
          </w:tblCellMar>
        </w:tblPrEx>
        <w:trPr>
          <w:trHeight w:val="390"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29162054">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5000-10000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50A2002">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0.25%</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CC51EF7">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0.1%</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293B59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0.2%</w:t>
            </w:r>
          </w:p>
        </w:tc>
      </w:tr>
      <w:tr w14:paraId="50C2E886">
        <w:tblPrEx>
          <w:tblCellMar>
            <w:top w:w="60" w:type="dxa"/>
            <w:left w:w="60" w:type="dxa"/>
            <w:bottom w:w="45" w:type="dxa"/>
            <w:right w:w="60" w:type="dxa"/>
          </w:tblCellMar>
        </w:tblPrEx>
        <w:trPr>
          <w:trHeight w:val="465"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E518235">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10000-50000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91A23B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0.05%</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6DE407E">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0.05%</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4A735D2F">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0.05%</w:t>
            </w:r>
          </w:p>
        </w:tc>
      </w:tr>
      <w:tr w14:paraId="3C2E5B67">
        <w:tblPrEx>
          <w:tblCellMar>
            <w:top w:w="60" w:type="dxa"/>
            <w:left w:w="60" w:type="dxa"/>
            <w:bottom w:w="45" w:type="dxa"/>
            <w:right w:w="60" w:type="dxa"/>
          </w:tblCellMar>
        </w:tblPrEx>
        <w:trPr>
          <w:trHeight w:val="465" w:hRule="atLeast"/>
        </w:trPr>
        <w:tc>
          <w:tcPr>
            <w:tcW w:w="281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403002F">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50000-100000</w:t>
            </w:r>
          </w:p>
        </w:tc>
        <w:tc>
          <w:tcPr>
            <w:tcW w:w="208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0AFB02ED">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0.035%</w:t>
            </w:r>
          </w:p>
        </w:tc>
        <w:tc>
          <w:tcPr>
            <w:tcW w:w="226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8D5B957">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0.035%</w:t>
            </w:r>
          </w:p>
        </w:tc>
        <w:tc>
          <w:tcPr>
            <w:tcW w:w="248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32B219F6">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0.035%</w:t>
            </w:r>
          </w:p>
        </w:tc>
      </w:tr>
    </w:tbl>
    <w:p w14:paraId="0E16B39A">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注：采购代理服务收费按差额定率累进法计算。例如：某货物采购代理业务成交金额为100万元，计算采购代理服务收费额如下：</w:t>
      </w:r>
    </w:p>
    <w:p w14:paraId="63B932CC">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100万元×1.5%=1.5万元</w:t>
      </w:r>
    </w:p>
    <w:p w14:paraId="295ED8E9">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采购代理服务费70%计算=1.5*70%=1.05万元</w:t>
      </w:r>
    </w:p>
    <w:p w14:paraId="65D9D2B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注：成交供应商如未按上述规定缴付采购代理服务费，其保证金将不予退还。</w:t>
      </w:r>
    </w:p>
    <w:p w14:paraId="2888D72A">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（二）采购代理服务费缴纳账号：</w:t>
      </w:r>
    </w:p>
    <w:p w14:paraId="33F63F69">
      <w:pPr>
        <w:pStyle w:val="4"/>
        <w:spacing w:before="0" w:after="0" w:line="500" w:lineRule="exact"/>
        <w:ind w:firstLine="480" w:firstLineChars="200"/>
        <w:rPr>
          <w:rFonts w:hint="eastAsia" w:ascii="仿宋" w:hAnsi="仿宋" w:eastAsia="仿宋" w:cs="仿宋"/>
          <w:b w:val="0"/>
          <w:bCs/>
          <w:sz w:val="24"/>
          <w:highlight w:val="none"/>
        </w:rPr>
      </w:pPr>
      <w:bookmarkStart w:id="184" w:name="_Toc20591"/>
      <w:r>
        <w:rPr>
          <w:rFonts w:hint="eastAsia" w:ascii="仿宋" w:hAnsi="仿宋" w:eastAsia="仿宋" w:cs="仿宋"/>
          <w:b w:val="0"/>
          <w:bCs/>
          <w:sz w:val="24"/>
          <w:highlight w:val="none"/>
        </w:rPr>
        <w:t>户  名：鼎信项目管理咨询有限公司</w:t>
      </w:r>
    </w:p>
    <w:p w14:paraId="202B601A">
      <w:pPr>
        <w:pStyle w:val="4"/>
        <w:spacing w:before="0" w:after="0" w:line="500" w:lineRule="exact"/>
        <w:ind w:firstLine="480" w:firstLineChars="200"/>
        <w:rPr>
          <w:rFonts w:hint="eastAsia" w:ascii="仿宋" w:hAnsi="仿宋" w:eastAsia="仿宋" w:cs="仿宋"/>
          <w:b w:val="0"/>
          <w:bCs/>
          <w:sz w:val="24"/>
          <w:highlight w:val="none"/>
        </w:rPr>
      </w:pPr>
      <w:r>
        <w:rPr>
          <w:rFonts w:hint="eastAsia" w:ascii="仿宋" w:hAnsi="仿宋" w:eastAsia="仿宋" w:cs="仿宋"/>
          <w:b w:val="0"/>
          <w:bCs/>
          <w:sz w:val="24"/>
          <w:highlight w:val="none"/>
        </w:rPr>
        <w:t>开户行：工行袁家岗支行</w:t>
      </w:r>
    </w:p>
    <w:p w14:paraId="73E15127">
      <w:pPr>
        <w:pStyle w:val="4"/>
        <w:spacing w:before="0" w:after="0" w:line="500" w:lineRule="exact"/>
        <w:ind w:firstLine="480" w:firstLineChars="200"/>
        <w:rPr>
          <w:rFonts w:hint="eastAsia" w:ascii="仿宋" w:hAnsi="仿宋" w:eastAsia="仿宋" w:cs="仿宋"/>
          <w:b w:val="0"/>
          <w:bCs/>
          <w:sz w:val="24"/>
          <w:highlight w:val="none"/>
          <w:lang w:eastAsia="zh-CN"/>
        </w:rPr>
      </w:pPr>
      <w:r>
        <w:rPr>
          <w:rFonts w:hint="eastAsia" w:ascii="仿宋" w:hAnsi="仿宋" w:eastAsia="仿宋" w:cs="仿宋"/>
          <w:b w:val="0"/>
          <w:bCs/>
          <w:sz w:val="24"/>
          <w:highlight w:val="none"/>
        </w:rPr>
        <w:t>账  号：</w:t>
      </w:r>
      <w:r>
        <w:rPr>
          <w:rFonts w:hint="eastAsia" w:ascii="仿宋" w:hAnsi="仿宋" w:eastAsia="仿宋" w:cs="仿宋"/>
          <w:b w:val="0"/>
          <w:bCs/>
          <w:sz w:val="24"/>
          <w:highlight w:val="none"/>
          <w:lang w:eastAsia="zh-CN"/>
        </w:rPr>
        <w:t>9558833100006787138</w:t>
      </w:r>
    </w:p>
    <w:p w14:paraId="4CB3D7A9">
      <w:pPr>
        <w:pStyle w:val="4"/>
        <w:spacing w:before="0" w:after="0" w:line="500" w:lineRule="exact"/>
        <w:ind w:firstLine="482" w:firstLineChars="200"/>
        <w:rPr>
          <w:rFonts w:hint="eastAsia" w:ascii="仿宋" w:hAnsi="仿宋" w:eastAsia="仿宋" w:cs="仿宋"/>
          <w:sz w:val="24"/>
          <w:highlight w:val="none"/>
        </w:rPr>
      </w:pPr>
      <w:r>
        <w:rPr>
          <w:rFonts w:hint="eastAsia" w:ascii="仿宋" w:hAnsi="仿宋" w:eastAsia="仿宋" w:cs="仿宋"/>
          <w:sz w:val="24"/>
          <w:highlight w:val="none"/>
        </w:rPr>
        <w:t>十、交易服务费</w:t>
      </w:r>
      <w:bookmarkEnd w:id="181"/>
      <w:bookmarkEnd w:id="182"/>
      <w:bookmarkEnd w:id="183"/>
      <w:bookmarkEnd w:id="184"/>
    </w:p>
    <w:p w14:paraId="20CD692B">
      <w:pPr>
        <w:pStyle w:val="4"/>
        <w:spacing w:before="0" w:after="0" w:line="500" w:lineRule="exact"/>
        <w:ind w:firstLine="480" w:firstLineChars="200"/>
        <w:rPr>
          <w:rFonts w:hint="eastAsia" w:ascii="仿宋" w:hAnsi="仿宋" w:eastAsia="仿宋" w:cs="仿宋"/>
          <w:b w:val="0"/>
          <w:sz w:val="24"/>
          <w:highlight w:val="none"/>
        </w:rPr>
      </w:pPr>
      <w:bookmarkStart w:id="185" w:name="_Toc17793"/>
      <w:bookmarkStart w:id="186" w:name="_Toc18609"/>
      <w:bookmarkStart w:id="187" w:name="_Toc1715"/>
      <w:bookmarkStart w:id="188" w:name="_Toc65660364"/>
      <w:r>
        <w:rPr>
          <w:rFonts w:hint="eastAsia" w:ascii="仿宋" w:hAnsi="仿宋" w:eastAsia="仿宋" w:cs="仿宋"/>
          <w:b w:val="0"/>
          <w:sz w:val="24"/>
          <w:highlight w:val="none"/>
        </w:rPr>
        <w:t>无</w:t>
      </w:r>
      <w:bookmarkEnd w:id="185"/>
    </w:p>
    <w:p w14:paraId="7B992D06">
      <w:pPr>
        <w:pStyle w:val="4"/>
        <w:spacing w:before="0" w:after="0" w:line="500" w:lineRule="exact"/>
        <w:ind w:firstLine="482" w:firstLineChars="200"/>
        <w:rPr>
          <w:rFonts w:hint="eastAsia" w:ascii="仿宋" w:hAnsi="仿宋" w:eastAsia="仿宋" w:cs="仿宋"/>
          <w:sz w:val="24"/>
          <w:highlight w:val="none"/>
        </w:rPr>
      </w:pPr>
      <w:bookmarkStart w:id="189" w:name="_Toc15672"/>
      <w:r>
        <w:rPr>
          <w:rFonts w:hint="eastAsia" w:ascii="仿宋" w:hAnsi="仿宋" w:eastAsia="仿宋" w:cs="仿宋"/>
          <w:sz w:val="24"/>
          <w:highlight w:val="none"/>
        </w:rPr>
        <w:t>十一、政府采购信用融资</w:t>
      </w:r>
      <w:bookmarkEnd w:id="186"/>
      <w:bookmarkEnd w:id="187"/>
      <w:bookmarkEnd w:id="188"/>
      <w:bookmarkEnd w:id="189"/>
    </w:p>
    <w:p w14:paraId="78DACF28">
      <w:pPr>
        <w:spacing w:line="500" w:lineRule="exact"/>
        <w:ind w:firstLine="480" w:firstLineChars="200"/>
        <w:rPr>
          <w:rFonts w:hint="eastAsia" w:ascii="仿宋" w:hAnsi="仿宋" w:eastAsia="仿宋" w:cs="仿宋"/>
          <w:sz w:val="24"/>
          <w:szCs w:val="24"/>
          <w:highlight w:val="none"/>
        </w:rPr>
        <w:sectPr>
          <w:pgSz w:w="11907" w:h="16840"/>
          <w:pgMar w:top="1134" w:right="1191" w:bottom="1134" w:left="1304" w:header="964" w:footer="992" w:gutter="0"/>
          <w:cols w:space="720" w:num="1"/>
          <w:docGrid w:linePitch="312" w:charSpace="0"/>
        </w:sectPr>
      </w:pPr>
      <w:r>
        <w:rPr>
          <w:rFonts w:hint="eastAsia" w:ascii="仿宋" w:hAnsi="仿宋" w:eastAsia="仿宋" w:cs="仿宋"/>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bookmarkEnd w:id="87"/>
    <w:p w14:paraId="3D2598E7">
      <w:pPr>
        <w:pStyle w:val="3"/>
        <w:tabs>
          <w:tab w:val="left" w:pos="720"/>
        </w:tabs>
        <w:spacing w:before="240" w:after="240"/>
        <w:jc w:val="center"/>
        <w:rPr>
          <w:rFonts w:hint="eastAsia" w:ascii="仿宋" w:hAnsi="仿宋" w:eastAsia="仿宋" w:cs="仿宋"/>
          <w:sz w:val="36"/>
          <w:szCs w:val="22"/>
          <w:highlight w:val="none"/>
        </w:rPr>
      </w:pPr>
      <w:bookmarkStart w:id="190" w:name="_Toc27037"/>
      <w:bookmarkStart w:id="191" w:name="_Toc5301"/>
      <w:bookmarkStart w:id="192" w:name="_Toc10229"/>
      <w:bookmarkStart w:id="193" w:name="_Toc11856"/>
      <w:bookmarkStart w:id="194" w:name="_Toc29823"/>
      <w:bookmarkStart w:id="195" w:name="_Toc90373260"/>
      <w:bookmarkStart w:id="196" w:name="_Toc32474"/>
      <w:bookmarkStart w:id="197" w:name="_Toc31635"/>
      <w:bookmarkStart w:id="198" w:name="_Toc13545"/>
      <w:bookmarkStart w:id="199" w:name="_Toc71201076"/>
      <w:r>
        <w:rPr>
          <w:rFonts w:hint="eastAsia" w:ascii="仿宋" w:hAnsi="仿宋" w:eastAsia="仿宋" w:cs="仿宋"/>
          <w:sz w:val="36"/>
          <w:szCs w:val="22"/>
          <w:highlight w:val="none"/>
        </w:rPr>
        <w:t>第六篇  合同</w:t>
      </w:r>
      <w:bookmarkEnd w:id="190"/>
      <w:bookmarkEnd w:id="191"/>
      <w:bookmarkEnd w:id="192"/>
      <w:bookmarkEnd w:id="193"/>
      <w:bookmarkEnd w:id="194"/>
      <w:bookmarkEnd w:id="195"/>
      <w:bookmarkEnd w:id="196"/>
      <w:bookmarkEnd w:id="197"/>
      <w:bookmarkEnd w:id="198"/>
      <w:bookmarkEnd w:id="199"/>
      <w:r>
        <w:rPr>
          <w:rFonts w:hint="eastAsia" w:ascii="仿宋" w:hAnsi="仿宋" w:eastAsia="仿宋" w:cs="仿宋"/>
          <w:sz w:val="36"/>
          <w:szCs w:val="22"/>
          <w:highlight w:val="none"/>
        </w:rPr>
        <w:t>草案条款</w:t>
      </w:r>
    </w:p>
    <w:p w14:paraId="63123D55">
      <w:pPr>
        <w:spacing w:line="500" w:lineRule="exact"/>
        <w:jc w:val="center"/>
        <w:rPr>
          <w:rFonts w:hint="eastAsia" w:ascii="仿宋" w:hAnsi="仿宋" w:eastAsia="仿宋" w:cs="仿宋"/>
          <w:highlight w:val="none"/>
        </w:rPr>
      </w:pPr>
      <w:bookmarkStart w:id="200" w:name="_Hlt41879464"/>
      <w:bookmarkEnd w:id="200"/>
      <w:bookmarkStart w:id="201" w:name="_Toc30161"/>
      <w:bookmarkStart w:id="202" w:name="_Toc65660378"/>
      <w:bookmarkStart w:id="203" w:name="_Toc9538"/>
      <w:bookmarkStart w:id="204" w:name="_Toc6968"/>
      <w:bookmarkStart w:id="205" w:name="_Toc12789072"/>
      <w:r>
        <w:rPr>
          <w:rFonts w:hint="eastAsia" w:ascii="仿宋" w:hAnsi="仿宋" w:eastAsia="仿宋" w:cs="仿宋"/>
          <w:highlight w:val="none"/>
        </w:rPr>
        <w:t>（供供应商参看，以实际签订为准）</w:t>
      </w:r>
    </w:p>
    <w:p w14:paraId="46A0A37F">
      <w:pPr>
        <w:spacing w:line="500" w:lineRule="exact"/>
        <w:jc w:val="center"/>
        <w:rPr>
          <w:rFonts w:hint="eastAsia" w:ascii="仿宋" w:hAnsi="仿宋" w:eastAsia="仿宋" w:cs="仿宋"/>
          <w:b/>
          <w:sz w:val="44"/>
          <w:highlight w:val="none"/>
        </w:rPr>
      </w:pPr>
      <w:r>
        <w:rPr>
          <w:rFonts w:hint="eastAsia" w:ascii="仿宋" w:hAnsi="仿宋" w:eastAsia="仿宋" w:cs="仿宋"/>
          <w:b/>
          <w:sz w:val="44"/>
          <w:highlight w:val="none"/>
        </w:rPr>
        <w:t>重庆市政府采购合同</w:t>
      </w:r>
    </w:p>
    <w:p w14:paraId="53F3C201">
      <w:pPr>
        <w:spacing w:line="500" w:lineRule="exact"/>
        <w:jc w:val="center"/>
        <w:rPr>
          <w:rFonts w:hint="eastAsia" w:ascii="仿宋" w:hAnsi="仿宋" w:eastAsia="仿宋" w:cs="仿宋"/>
          <w:highlight w:val="none"/>
        </w:rPr>
      </w:pPr>
      <w:r>
        <w:rPr>
          <w:rFonts w:hint="eastAsia" w:ascii="仿宋" w:hAnsi="仿宋" w:eastAsia="仿宋" w:cs="仿宋"/>
          <w:highlight w:val="none"/>
        </w:rPr>
        <w:t>（项目号：     ）</w:t>
      </w:r>
    </w:p>
    <w:p w14:paraId="459FB04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甲方（需方）：___________________________      计价单位：____________</w:t>
      </w:r>
    </w:p>
    <w:p w14:paraId="56F6FA12">
      <w:pPr>
        <w:pBdr>
          <w:bottom w:val="none" w:color="auto" w:sz="0" w:space="0"/>
        </w:pBdr>
        <w:spacing w:line="500" w:lineRule="exact"/>
        <w:rPr>
          <w:rFonts w:hint="eastAsia" w:ascii="仿宋" w:hAnsi="仿宋" w:eastAsia="仿宋" w:cs="仿宋"/>
          <w:sz w:val="24"/>
          <w:highlight w:val="none"/>
        </w:rPr>
      </w:pPr>
      <w:r>
        <w:rPr>
          <w:rFonts w:hint="eastAsia" w:ascii="仿宋" w:hAnsi="仿宋" w:eastAsia="仿宋" w:cs="仿宋"/>
          <w:sz w:val="24"/>
          <w:highlight w:val="none"/>
        </w:rPr>
        <w:t>乙方（供方）：___________________________      计量单位：_____________</w:t>
      </w:r>
    </w:p>
    <w:p w14:paraId="2633014D">
      <w:pPr>
        <w:spacing w:line="500" w:lineRule="exact"/>
        <w:rPr>
          <w:rFonts w:hint="eastAsia"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5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51D7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trPr>
        <w:tc>
          <w:tcPr>
            <w:tcW w:w="3071" w:type="dxa"/>
            <w:vAlign w:val="center"/>
          </w:tcPr>
          <w:p w14:paraId="70467390">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磋商项目名称</w:t>
            </w:r>
          </w:p>
        </w:tc>
        <w:tc>
          <w:tcPr>
            <w:tcW w:w="984" w:type="dxa"/>
            <w:vAlign w:val="center"/>
          </w:tcPr>
          <w:p w14:paraId="2A75A3A2">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1298" w:type="dxa"/>
            <w:gridSpan w:val="2"/>
            <w:vAlign w:val="center"/>
          </w:tcPr>
          <w:p w14:paraId="186E5D27">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综合单价</w:t>
            </w:r>
          </w:p>
        </w:tc>
        <w:tc>
          <w:tcPr>
            <w:tcW w:w="1134" w:type="dxa"/>
            <w:vAlign w:val="center"/>
          </w:tcPr>
          <w:p w14:paraId="62DE2464">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总价</w:t>
            </w:r>
          </w:p>
        </w:tc>
        <w:tc>
          <w:tcPr>
            <w:tcW w:w="1559" w:type="dxa"/>
            <w:vAlign w:val="center"/>
          </w:tcPr>
          <w:p w14:paraId="466B245C">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服务时间</w:t>
            </w:r>
          </w:p>
        </w:tc>
        <w:tc>
          <w:tcPr>
            <w:tcW w:w="1567" w:type="dxa"/>
            <w:vAlign w:val="center"/>
          </w:tcPr>
          <w:p w14:paraId="1AB2DEC6">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服务地点</w:t>
            </w:r>
          </w:p>
        </w:tc>
      </w:tr>
      <w:tr w14:paraId="5912A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trPr>
        <w:tc>
          <w:tcPr>
            <w:tcW w:w="3071" w:type="dxa"/>
            <w:vAlign w:val="center"/>
          </w:tcPr>
          <w:p w14:paraId="58EC8D5B">
            <w:pPr>
              <w:spacing w:line="240" w:lineRule="atLeast"/>
              <w:jc w:val="center"/>
              <w:rPr>
                <w:rFonts w:hint="eastAsia" w:ascii="仿宋" w:hAnsi="仿宋" w:eastAsia="仿宋" w:cs="仿宋"/>
                <w:sz w:val="21"/>
                <w:szCs w:val="21"/>
                <w:highlight w:val="none"/>
              </w:rPr>
            </w:pPr>
          </w:p>
        </w:tc>
        <w:tc>
          <w:tcPr>
            <w:tcW w:w="984" w:type="dxa"/>
            <w:vAlign w:val="center"/>
          </w:tcPr>
          <w:p w14:paraId="5E90AC4D">
            <w:pPr>
              <w:spacing w:line="240" w:lineRule="atLeast"/>
              <w:jc w:val="center"/>
              <w:rPr>
                <w:rFonts w:hint="eastAsia" w:ascii="仿宋" w:hAnsi="仿宋" w:eastAsia="仿宋" w:cs="仿宋"/>
                <w:sz w:val="21"/>
                <w:szCs w:val="21"/>
                <w:highlight w:val="none"/>
              </w:rPr>
            </w:pPr>
          </w:p>
        </w:tc>
        <w:tc>
          <w:tcPr>
            <w:tcW w:w="1298" w:type="dxa"/>
            <w:gridSpan w:val="2"/>
            <w:vAlign w:val="center"/>
          </w:tcPr>
          <w:p w14:paraId="53502E48">
            <w:pPr>
              <w:spacing w:line="240" w:lineRule="atLeast"/>
              <w:jc w:val="center"/>
              <w:rPr>
                <w:rFonts w:hint="eastAsia" w:ascii="仿宋" w:hAnsi="仿宋" w:eastAsia="仿宋" w:cs="仿宋"/>
                <w:sz w:val="21"/>
                <w:szCs w:val="21"/>
                <w:highlight w:val="none"/>
              </w:rPr>
            </w:pPr>
          </w:p>
        </w:tc>
        <w:tc>
          <w:tcPr>
            <w:tcW w:w="1134" w:type="dxa"/>
            <w:vAlign w:val="center"/>
          </w:tcPr>
          <w:p w14:paraId="7BD65CA9">
            <w:pPr>
              <w:spacing w:line="240" w:lineRule="atLeast"/>
              <w:jc w:val="center"/>
              <w:rPr>
                <w:rFonts w:hint="eastAsia" w:ascii="仿宋" w:hAnsi="仿宋" w:eastAsia="仿宋" w:cs="仿宋"/>
                <w:sz w:val="21"/>
                <w:szCs w:val="21"/>
                <w:highlight w:val="none"/>
              </w:rPr>
            </w:pPr>
          </w:p>
        </w:tc>
        <w:tc>
          <w:tcPr>
            <w:tcW w:w="1559" w:type="dxa"/>
            <w:vAlign w:val="center"/>
          </w:tcPr>
          <w:p w14:paraId="64EC1EAC">
            <w:pPr>
              <w:spacing w:line="240" w:lineRule="atLeast"/>
              <w:jc w:val="center"/>
              <w:rPr>
                <w:rFonts w:hint="eastAsia" w:ascii="仿宋" w:hAnsi="仿宋" w:eastAsia="仿宋" w:cs="仿宋"/>
                <w:sz w:val="21"/>
                <w:szCs w:val="21"/>
                <w:highlight w:val="none"/>
              </w:rPr>
            </w:pPr>
          </w:p>
        </w:tc>
        <w:tc>
          <w:tcPr>
            <w:tcW w:w="1567" w:type="dxa"/>
            <w:vAlign w:val="center"/>
          </w:tcPr>
          <w:p w14:paraId="1FD514D0">
            <w:pPr>
              <w:spacing w:line="240" w:lineRule="atLeast"/>
              <w:jc w:val="center"/>
              <w:rPr>
                <w:rFonts w:hint="eastAsia" w:ascii="仿宋" w:hAnsi="仿宋" w:eastAsia="仿宋" w:cs="仿宋"/>
                <w:sz w:val="21"/>
                <w:szCs w:val="21"/>
                <w:highlight w:val="none"/>
              </w:rPr>
            </w:pPr>
          </w:p>
        </w:tc>
      </w:tr>
      <w:tr w14:paraId="5D5D0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trPr>
        <w:tc>
          <w:tcPr>
            <w:tcW w:w="3071" w:type="dxa"/>
            <w:vAlign w:val="center"/>
          </w:tcPr>
          <w:p w14:paraId="0A7E5FAF">
            <w:pPr>
              <w:spacing w:line="240" w:lineRule="atLeast"/>
              <w:jc w:val="center"/>
              <w:rPr>
                <w:rFonts w:hint="eastAsia" w:ascii="仿宋" w:hAnsi="仿宋" w:eastAsia="仿宋" w:cs="仿宋"/>
                <w:sz w:val="21"/>
                <w:szCs w:val="21"/>
                <w:highlight w:val="none"/>
              </w:rPr>
            </w:pPr>
          </w:p>
        </w:tc>
        <w:tc>
          <w:tcPr>
            <w:tcW w:w="984" w:type="dxa"/>
            <w:vAlign w:val="center"/>
          </w:tcPr>
          <w:p w14:paraId="10A8D6AA">
            <w:pPr>
              <w:spacing w:line="240" w:lineRule="atLeast"/>
              <w:jc w:val="center"/>
              <w:rPr>
                <w:rFonts w:hint="eastAsia" w:ascii="仿宋" w:hAnsi="仿宋" w:eastAsia="仿宋" w:cs="仿宋"/>
                <w:sz w:val="21"/>
                <w:szCs w:val="21"/>
                <w:highlight w:val="none"/>
              </w:rPr>
            </w:pPr>
          </w:p>
        </w:tc>
        <w:tc>
          <w:tcPr>
            <w:tcW w:w="1298" w:type="dxa"/>
            <w:gridSpan w:val="2"/>
            <w:vAlign w:val="center"/>
          </w:tcPr>
          <w:p w14:paraId="4732F9D7">
            <w:pPr>
              <w:spacing w:line="240" w:lineRule="atLeast"/>
              <w:jc w:val="center"/>
              <w:rPr>
                <w:rFonts w:hint="eastAsia" w:ascii="仿宋" w:hAnsi="仿宋" w:eastAsia="仿宋" w:cs="仿宋"/>
                <w:sz w:val="21"/>
                <w:szCs w:val="21"/>
                <w:highlight w:val="none"/>
              </w:rPr>
            </w:pPr>
          </w:p>
        </w:tc>
        <w:tc>
          <w:tcPr>
            <w:tcW w:w="1134" w:type="dxa"/>
            <w:vAlign w:val="center"/>
          </w:tcPr>
          <w:p w14:paraId="47F79F41">
            <w:pPr>
              <w:spacing w:line="240" w:lineRule="atLeast"/>
              <w:jc w:val="center"/>
              <w:rPr>
                <w:rFonts w:hint="eastAsia" w:ascii="仿宋" w:hAnsi="仿宋" w:eastAsia="仿宋" w:cs="仿宋"/>
                <w:sz w:val="21"/>
                <w:szCs w:val="21"/>
                <w:highlight w:val="none"/>
              </w:rPr>
            </w:pPr>
          </w:p>
        </w:tc>
        <w:tc>
          <w:tcPr>
            <w:tcW w:w="1559" w:type="dxa"/>
            <w:vAlign w:val="center"/>
          </w:tcPr>
          <w:p w14:paraId="0174FCC2">
            <w:pPr>
              <w:spacing w:line="240" w:lineRule="atLeast"/>
              <w:jc w:val="center"/>
              <w:rPr>
                <w:rFonts w:hint="eastAsia" w:ascii="仿宋" w:hAnsi="仿宋" w:eastAsia="仿宋" w:cs="仿宋"/>
                <w:sz w:val="21"/>
                <w:szCs w:val="21"/>
                <w:highlight w:val="none"/>
              </w:rPr>
            </w:pPr>
          </w:p>
        </w:tc>
        <w:tc>
          <w:tcPr>
            <w:tcW w:w="1567" w:type="dxa"/>
            <w:vAlign w:val="center"/>
          </w:tcPr>
          <w:p w14:paraId="04F0EBA7">
            <w:pPr>
              <w:spacing w:line="240" w:lineRule="atLeast"/>
              <w:jc w:val="center"/>
              <w:rPr>
                <w:rFonts w:hint="eastAsia" w:ascii="仿宋" w:hAnsi="仿宋" w:eastAsia="仿宋" w:cs="仿宋"/>
                <w:sz w:val="21"/>
                <w:szCs w:val="21"/>
                <w:highlight w:val="none"/>
              </w:rPr>
            </w:pPr>
          </w:p>
        </w:tc>
      </w:tr>
      <w:tr w14:paraId="49A55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trPr>
        <w:tc>
          <w:tcPr>
            <w:tcW w:w="9613" w:type="dxa"/>
            <w:gridSpan w:val="7"/>
            <w:vAlign w:val="center"/>
          </w:tcPr>
          <w:p w14:paraId="1A84E14D">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合计人民币（小写）：</w:t>
            </w:r>
          </w:p>
        </w:tc>
      </w:tr>
      <w:tr w14:paraId="0BFF2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trPr>
        <w:tc>
          <w:tcPr>
            <w:tcW w:w="9613" w:type="dxa"/>
            <w:gridSpan w:val="7"/>
            <w:vAlign w:val="center"/>
          </w:tcPr>
          <w:p w14:paraId="7FB42B51">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合计人民币（大写）：</w:t>
            </w:r>
          </w:p>
        </w:tc>
      </w:tr>
      <w:tr w14:paraId="71A44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trHeight w:val="776" w:hRule="atLeast"/>
        </w:trPr>
        <w:tc>
          <w:tcPr>
            <w:tcW w:w="9613" w:type="dxa"/>
            <w:gridSpan w:val="7"/>
            <w:vAlign w:val="top"/>
          </w:tcPr>
          <w:p w14:paraId="15FAB0C0">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一、服务要求</w:t>
            </w:r>
          </w:p>
        </w:tc>
      </w:tr>
      <w:tr w14:paraId="0B56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9628" w:type="dxa"/>
            <w:gridSpan w:val="8"/>
            <w:vAlign w:val="top"/>
          </w:tcPr>
          <w:p w14:paraId="7FC885C2">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二、考核方式</w:t>
            </w:r>
          </w:p>
        </w:tc>
      </w:tr>
      <w:tr w14:paraId="65104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9628" w:type="dxa"/>
            <w:gridSpan w:val="8"/>
            <w:vAlign w:val="top"/>
          </w:tcPr>
          <w:p w14:paraId="72AEEEC0">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三、付款方式：</w:t>
            </w:r>
          </w:p>
          <w:p w14:paraId="786AD190">
            <w:pPr>
              <w:rPr>
                <w:rFonts w:hint="eastAsia" w:ascii="仿宋" w:hAnsi="仿宋" w:eastAsia="仿宋" w:cs="仿宋"/>
                <w:highlight w:val="none"/>
              </w:rPr>
            </w:pPr>
          </w:p>
        </w:tc>
      </w:tr>
      <w:tr w14:paraId="6BAAA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trPr>
        <w:tc>
          <w:tcPr>
            <w:tcW w:w="9628" w:type="dxa"/>
            <w:gridSpan w:val="8"/>
            <w:vAlign w:val="top"/>
          </w:tcPr>
          <w:p w14:paraId="6C8631D5">
            <w:pPr>
              <w:rPr>
                <w:rFonts w:hint="eastAsia" w:ascii="仿宋" w:hAnsi="仿宋" w:eastAsia="仿宋" w:cs="仿宋"/>
                <w:sz w:val="21"/>
                <w:szCs w:val="21"/>
                <w:highlight w:val="none"/>
              </w:rPr>
            </w:pPr>
            <w:r>
              <w:rPr>
                <w:rFonts w:hint="eastAsia" w:ascii="仿宋" w:hAnsi="仿宋" w:eastAsia="仿宋" w:cs="仿宋"/>
                <w:sz w:val="21"/>
                <w:szCs w:val="21"/>
                <w:highlight w:val="none"/>
              </w:rPr>
              <w:t>X、履约保证金：</w:t>
            </w:r>
          </w:p>
        </w:tc>
      </w:tr>
      <w:tr w14:paraId="07456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8"/>
            <w:vAlign w:val="top"/>
          </w:tcPr>
          <w:p w14:paraId="78DFE9EE">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四、违约责任：</w:t>
            </w:r>
          </w:p>
          <w:p w14:paraId="18AEFE40">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按《中华人民共和国民法典》、《中华人民共和国政府采购法》执行，或按双方约定。</w:t>
            </w:r>
          </w:p>
        </w:tc>
      </w:tr>
      <w:tr w14:paraId="1F0E5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8"/>
            <w:vAlign w:val="top"/>
          </w:tcPr>
          <w:p w14:paraId="2B097CD5">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五、其他约定事项：</w:t>
            </w:r>
          </w:p>
          <w:p w14:paraId="505DCC97">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1.采购文件及其澄清文件、响应文件和承诺是本合同不可分割的部分。</w:t>
            </w:r>
          </w:p>
          <w:p w14:paraId="75C716F9">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2.本合同如发生争议由双方协商解决，协商不成向需方所在人民法院提起诉讼。</w:t>
            </w:r>
          </w:p>
          <w:p w14:paraId="1B8495CB">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3.本合同一式__份， 需方__份，供方__份，具同等法律效力。</w:t>
            </w:r>
          </w:p>
          <w:p w14:paraId="48369EFE">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4.其他：</w:t>
            </w:r>
          </w:p>
        </w:tc>
      </w:tr>
      <w:tr w14:paraId="0AB71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3"/>
            <w:vAlign w:val="top"/>
          </w:tcPr>
          <w:p w14:paraId="0AF36557">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需方：</w:t>
            </w:r>
          </w:p>
          <w:p w14:paraId="68D70F96">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14:paraId="0A38AE35">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联系电话：</w:t>
            </w:r>
          </w:p>
          <w:p w14:paraId="067E13A2">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tc>
        <w:tc>
          <w:tcPr>
            <w:tcW w:w="4984" w:type="dxa"/>
            <w:gridSpan w:val="5"/>
            <w:vAlign w:val="top"/>
          </w:tcPr>
          <w:p w14:paraId="3002439E">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供方：</w:t>
            </w:r>
          </w:p>
          <w:p w14:paraId="032F83C7">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14:paraId="3E7C1CF3">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p w14:paraId="7CA9DF38">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传真：</w:t>
            </w:r>
          </w:p>
          <w:p w14:paraId="508C9846">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p w14:paraId="1FB60E46">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账号：</w:t>
            </w:r>
          </w:p>
          <w:p w14:paraId="49CCE1F1">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p w14:paraId="510C7DBF">
            <w:pPr>
              <w:widowControl/>
              <w:spacing w:line="240" w:lineRule="atLeas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（本栏请用计算机打印以便于准确付款）</w:t>
            </w:r>
          </w:p>
        </w:tc>
      </w:tr>
      <w:tr w14:paraId="711D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8"/>
            <w:vAlign w:val="top"/>
          </w:tcPr>
          <w:p w14:paraId="10D40AA9">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581C7C0">
            <w:pPr>
              <w:spacing w:line="240" w:lineRule="atLeast"/>
              <w:rPr>
                <w:rFonts w:hint="eastAsia" w:ascii="仿宋" w:hAnsi="仿宋" w:eastAsia="仿宋" w:cs="仿宋"/>
                <w:sz w:val="21"/>
                <w:szCs w:val="21"/>
                <w:highlight w:val="none"/>
              </w:rPr>
            </w:pPr>
          </w:p>
          <w:p w14:paraId="58BC636D">
            <w:pPr>
              <w:spacing w:line="240" w:lineRule="atLeast"/>
              <w:rPr>
                <w:rFonts w:hint="eastAsia" w:ascii="仿宋" w:hAnsi="仿宋" w:eastAsia="仿宋" w:cs="仿宋"/>
                <w:sz w:val="21"/>
                <w:szCs w:val="21"/>
                <w:highlight w:val="none"/>
              </w:rPr>
            </w:pPr>
          </w:p>
        </w:tc>
      </w:tr>
    </w:tbl>
    <w:p w14:paraId="0C8DD18F">
      <w:pPr>
        <w:rPr>
          <w:rFonts w:hint="eastAsia" w:ascii="仿宋" w:hAnsi="仿宋" w:eastAsia="仿宋" w:cs="仿宋"/>
          <w:sz w:val="21"/>
          <w:szCs w:val="21"/>
          <w:highlight w:val="none"/>
        </w:rPr>
        <w:sectPr>
          <w:footerReference r:id="rId5" w:type="default"/>
          <w:footerReference r:id="rId6" w:type="even"/>
          <w:pgSz w:w="11907" w:h="16840"/>
          <w:pgMar w:top="1134" w:right="1191" w:bottom="1134" w:left="1304" w:header="964" w:footer="992" w:gutter="0"/>
          <w:cols w:space="720" w:num="1"/>
          <w:docGrid w:linePitch="312" w:charSpace="0"/>
        </w:sectPr>
      </w:pPr>
      <w:r>
        <w:rPr>
          <w:rFonts w:hint="eastAsia" w:ascii="仿宋" w:hAnsi="仿宋" w:eastAsia="仿宋" w:cs="仿宋"/>
          <w:sz w:val="24"/>
          <w:highlight w:val="none"/>
        </w:rPr>
        <w:t>签约时间：           年   月   日      签约地点：</w:t>
      </w:r>
    </w:p>
    <w:p w14:paraId="5D7573DD">
      <w:pPr>
        <w:pStyle w:val="4"/>
        <w:spacing w:before="0" w:after="0" w:line="360" w:lineRule="auto"/>
        <w:jc w:val="center"/>
        <w:rPr>
          <w:rFonts w:hint="eastAsia" w:ascii="仿宋" w:hAnsi="仿宋" w:eastAsia="仿宋" w:cs="仿宋"/>
          <w:b w:val="0"/>
          <w:sz w:val="36"/>
          <w:szCs w:val="30"/>
          <w:highlight w:val="none"/>
        </w:rPr>
      </w:pPr>
      <w:r>
        <w:rPr>
          <w:rFonts w:hint="eastAsia" w:ascii="仿宋" w:hAnsi="仿宋" w:eastAsia="仿宋" w:cs="仿宋"/>
          <w:b w:val="0"/>
          <w:sz w:val="36"/>
          <w:szCs w:val="30"/>
          <w:highlight w:val="none"/>
        </w:rPr>
        <w:t>第七篇  响应文件格式要求</w:t>
      </w:r>
      <w:bookmarkEnd w:id="201"/>
      <w:bookmarkEnd w:id="202"/>
      <w:bookmarkEnd w:id="203"/>
      <w:bookmarkEnd w:id="204"/>
      <w:bookmarkEnd w:id="205"/>
    </w:p>
    <w:p w14:paraId="7C85E55D">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一、经济部分</w:t>
      </w:r>
    </w:p>
    <w:p w14:paraId="1045657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（一）竞争性报价函</w:t>
      </w:r>
    </w:p>
    <w:p w14:paraId="5406C670">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二、技术（质量）部分</w:t>
      </w:r>
    </w:p>
    <w:p w14:paraId="2BF36BD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（一）技术（质量）响应偏离表</w:t>
      </w:r>
    </w:p>
    <w:p w14:paraId="313AA3C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14:paraId="02CC75FE">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三、服务部分</w:t>
      </w:r>
    </w:p>
    <w:p w14:paraId="10E2877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（一）服务响应偏离表</w:t>
      </w:r>
    </w:p>
    <w:p w14:paraId="4839C14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（二）其他优惠服务承诺（格式自定）</w:t>
      </w:r>
    </w:p>
    <w:p w14:paraId="7A89066C">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四、资格条件及其他</w:t>
      </w:r>
    </w:p>
    <w:p w14:paraId="747C82D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w:t>
      </w:r>
    </w:p>
    <w:p w14:paraId="1A4129C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14:paraId="51DDAAB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1CE1B2C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14:paraId="5477B71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（五）特定资格条件证书或证明文件（如有）</w:t>
      </w:r>
    </w:p>
    <w:p w14:paraId="68C1F370">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五、其他资料</w:t>
      </w:r>
    </w:p>
    <w:p w14:paraId="7E8F2DE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（一）其他与项目有关的资料（自附）</w:t>
      </w:r>
    </w:p>
    <w:p w14:paraId="5F5DFCC6">
      <w:pPr>
        <w:spacing w:line="360" w:lineRule="auto"/>
        <w:rPr>
          <w:sz w:val="24"/>
          <w:szCs w:val="24"/>
          <w:highlight w:val="none"/>
          <w:bdr w:val="single" w:color="auto" w:sz="4" w:space="0"/>
        </w:rPr>
        <w:sectPr>
          <w:footerReference r:id="rId7" w:type="default"/>
          <w:pgSz w:w="11907" w:h="16840"/>
          <w:pgMar w:top="1134" w:right="1191" w:bottom="1134" w:left="1304" w:header="851" w:footer="992" w:gutter="0"/>
          <w:cols w:space="720" w:num="1"/>
          <w:docGrid w:linePitch="380" w:charSpace="-5735"/>
        </w:sectPr>
      </w:pPr>
    </w:p>
    <w:p w14:paraId="1988167D">
      <w:pPr>
        <w:pStyle w:val="4"/>
        <w:spacing w:before="0" w:after="0" w:line="360" w:lineRule="auto"/>
        <w:ind w:firstLine="482" w:firstLineChars="200"/>
        <w:rPr>
          <w:rFonts w:hint="eastAsia" w:ascii="仿宋" w:hAnsi="仿宋" w:eastAsia="仿宋" w:cs="仿宋"/>
          <w:sz w:val="24"/>
          <w:highlight w:val="none"/>
        </w:rPr>
      </w:pPr>
      <w:bookmarkStart w:id="206" w:name="_Toc342913419"/>
      <w:bookmarkStart w:id="207" w:name="_Toc14244"/>
      <w:bookmarkStart w:id="208" w:name="_Toc65660379"/>
      <w:bookmarkStart w:id="209" w:name="_Toc26343"/>
      <w:bookmarkStart w:id="210" w:name="_Toc313008356"/>
      <w:bookmarkStart w:id="211" w:name="_Toc313888360"/>
      <w:bookmarkStart w:id="212" w:name="_Toc6163"/>
      <w:bookmarkStart w:id="213" w:name="_Toc12789073"/>
      <w:bookmarkStart w:id="214" w:name="_Toc283382454"/>
      <w:r>
        <w:rPr>
          <w:rFonts w:hint="eastAsia" w:ascii="仿宋" w:hAnsi="仿宋" w:eastAsia="仿宋" w:cs="仿宋"/>
          <w:sz w:val="24"/>
          <w:highlight w:val="none"/>
        </w:rPr>
        <w:t>一、经济部分</w:t>
      </w:r>
      <w:bookmarkEnd w:id="206"/>
      <w:bookmarkEnd w:id="207"/>
      <w:bookmarkEnd w:id="208"/>
      <w:bookmarkEnd w:id="209"/>
      <w:bookmarkEnd w:id="210"/>
      <w:bookmarkEnd w:id="211"/>
      <w:bookmarkEnd w:id="212"/>
    </w:p>
    <w:bookmarkEnd w:id="213"/>
    <w:bookmarkEnd w:id="214"/>
    <w:p w14:paraId="16F42E5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（一）竞争性报价函</w:t>
      </w:r>
    </w:p>
    <w:p w14:paraId="2B45F6DD">
      <w:pPr>
        <w:tabs>
          <w:tab w:val="left" w:pos="6300"/>
        </w:tabs>
        <w:spacing w:line="360" w:lineRule="auto"/>
        <w:ind w:firstLine="562" w:firstLineChars="200"/>
        <w:jc w:val="center"/>
        <w:rPr>
          <w:rFonts w:hint="eastAsia" w:ascii="仿宋" w:hAnsi="仿宋" w:eastAsia="仿宋" w:cs="仿宋"/>
          <w:b/>
          <w:szCs w:val="28"/>
          <w:highlight w:val="none"/>
        </w:rPr>
      </w:pPr>
      <w:r>
        <w:rPr>
          <w:rFonts w:hint="eastAsia" w:ascii="仿宋" w:hAnsi="仿宋" w:eastAsia="仿宋" w:cs="仿宋"/>
          <w:b/>
          <w:szCs w:val="28"/>
          <w:highlight w:val="none"/>
        </w:rPr>
        <w:t>竞争性报价函</w:t>
      </w:r>
    </w:p>
    <w:p w14:paraId="707AB3D0">
      <w:pPr>
        <w:tabs>
          <w:tab w:val="left" w:pos="6300"/>
        </w:tabs>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（采购代理机构名称）</w:t>
      </w:r>
      <w:r>
        <w:rPr>
          <w:rFonts w:hint="eastAsia" w:ascii="仿宋" w:hAnsi="仿宋" w:eastAsia="仿宋" w:cs="仿宋"/>
          <w:sz w:val="24"/>
          <w:szCs w:val="24"/>
          <w:highlight w:val="none"/>
        </w:rPr>
        <w:t>：</w:t>
      </w:r>
    </w:p>
    <w:p w14:paraId="16F7FD14">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我方收到____________________________（谈判项目名称）的竞争性谈判文件，经详细研究，决定参加该谈判项目的竞争谈判。</w:t>
      </w:r>
    </w:p>
    <w:p w14:paraId="546DEDCA">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1.愿意按照竞争性谈判文件中的一切要求，提供本项目的交货及技术服务，项目初始报价为大写：</w:t>
      </w:r>
      <w:r>
        <w:rPr>
          <w:rFonts w:hint="eastAsia" w:ascii="仿宋" w:hAnsi="仿宋" w:eastAsia="仿宋" w:cs="仿宋"/>
          <w:sz w:val="24"/>
          <w:szCs w:val="24"/>
          <w:highlight w:val="none"/>
          <w:u w:val="single"/>
        </w:rPr>
        <w:t xml:space="preserve">     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元</w:t>
      </w:r>
      <w:r>
        <w:rPr>
          <w:rFonts w:hint="eastAsia" w:ascii="仿宋" w:hAnsi="仿宋" w:eastAsia="仿宋" w:cs="仿宋"/>
          <w:sz w:val="24"/>
          <w:szCs w:val="24"/>
          <w:highlight w:val="none"/>
        </w:rPr>
        <w:t xml:space="preserve"> 。以我公司最后报价为准。</w:t>
      </w:r>
    </w:p>
    <w:p w14:paraId="156AE91F">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2.我方现提交的响应文件为：响应文件正本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份，电子文档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1DB21922">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3.我方承诺：本次谈判的有效期为提交响应文件截止时间起90天。</w:t>
      </w:r>
    </w:p>
    <w:p w14:paraId="3B4A9859">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4.我方完全理解和接受贵方竞争性谈判文件的一切规定和要求及谈判评审办法。</w:t>
      </w:r>
    </w:p>
    <w:p w14:paraId="1C5ACEC2">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5.在整个竞争性谈判过程中，我方若有违规行为，接受按照《中华人民共和国政府采购法》和《竞争性谈判文件》之规定给予惩罚。</w:t>
      </w:r>
    </w:p>
    <w:p w14:paraId="1152D26E">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6.我方若成为成交供应商，将按照最终谈判结果签订合同，并且严格履行合同义务。本承诺函将成为合同不可分割的一部分，与合同具有同等的法律效力。</w:t>
      </w:r>
    </w:p>
    <w:p w14:paraId="54937090">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7.我方同意按竞争性谈判文件规定，交纳竞争性谈判文件要求的保证金。如果我方成为成交供应商，保证在接到成交通知书后，向采购代理机构缴纳竞争性谈判文件规定的采购代理服务费。</w:t>
      </w:r>
    </w:p>
    <w:p w14:paraId="5B94607D">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8"/>
          <w:highlight w:val="none"/>
        </w:rPr>
        <w:t>我方未</w:t>
      </w:r>
      <w:r>
        <w:rPr>
          <w:rFonts w:hint="eastAsia" w:ascii="仿宋" w:hAnsi="仿宋" w:eastAsia="仿宋" w:cs="仿宋"/>
          <w:sz w:val="24"/>
          <w:szCs w:val="24"/>
          <w:highlight w:val="none"/>
        </w:rPr>
        <w:t>为采购项目提供整体设计、规范编制或者项目管理、监理、检测等服务。</w:t>
      </w:r>
    </w:p>
    <w:p w14:paraId="4D1E15E8">
      <w:pPr>
        <w:tabs>
          <w:tab w:val="left" w:pos="6300"/>
        </w:tabs>
        <w:spacing w:line="52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供应商（公章）或自然人签署：</w:t>
      </w:r>
    </w:p>
    <w:p w14:paraId="389FA97E">
      <w:pPr>
        <w:tabs>
          <w:tab w:val="left" w:pos="6300"/>
        </w:tabs>
        <w:spacing w:line="52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p>
    <w:p w14:paraId="12C5A54B">
      <w:pPr>
        <w:tabs>
          <w:tab w:val="left" w:pos="6300"/>
        </w:tabs>
        <w:spacing w:line="52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电话：                           传真：</w:t>
      </w:r>
    </w:p>
    <w:p w14:paraId="5B73EA8E">
      <w:pPr>
        <w:tabs>
          <w:tab w:val="left" w:pos="6300"/>
        </w:tabs>
        <w:spacing w:line="52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网址：                           邮编：</w:t>
      </w:r>
    </w:p>
    <w:p w14:paraId="1ADAE671">
      <w:pPr>
        <w:tabs>
          <w:tab w:val="left" w:pos="6300"/>
        </w:tabs>
        <w:spacing w:line="52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p w14:paraId="39427B71">
      <w:pPr>
        <w:spacing w:line="520" w:lineRule="exact"/>
        <w:ind w:firstLine="480" w:firstLineChars="200"/>
        <w:rPr>
          <w:rFonts w:hint="eastAsia" w:ascii="仿宋" w:hAnsi="仿宋" w:eastAsia="仿宋" w:cs="仿宋"/>
          <w:sz w:val="24"/>
          <w:szCs w:val="24"/>
          <w:highlight w:val="none"/>
        </w:rPr>
        <w:sectPr>
          <w:pgSz w:w="11907" w:h="16840"/>
          <w:pgMar w:top="1134" w:right="1191" w:bottom="1134" w:left="1304" w:header="851" w:footer="992" w:gutter="0"/>
          <w:cols w:space="720" w:num="1"/>
          <w:docGrid w:linePitch="380" w:charSpace="-5735"/>
        </w:sectPr>
      </w:pPr>
      <w:r>
        <w:rPr>
          <w:rFonts w:hint="eastAsia" w:ascii="仿宋" w:hAnsi="仿宋" w:eastAsia="仿宋" w:cs="仿宋"/>
          <w:sz w:val="24"/>
          <w:szCs w:val="24"/>
          <w:highlight w:val="none"/>
        </w:rPr>
        <w:t xml:space="preserve">                               年   月   日</w:t>
      </w:r>
    </w:p>
    <w:p w14:paraId="1A020D33">
      <w:pPr>
        <w:pStyle w:val="4"/>
        <w:spacing w:before="0" w:after="0" w:line="360" w:lineRule="auto"/>
        <w:ind w:firstLine="482" w:firstLineChars="200"/>
        <w:rPr>
          <w:rFonts w:hint="eastAsia" w:ascii="仿宋" w:hAnsi="仿宋" w:eastAsia="仿宋" w:cs="仿宋"/>
          <w:sz w:val="24"/>
          <w:highlight w:val="none"/>
        </w:rPr>
      </w:pPr>
      <w:bookmarkStart w:id="215" w:name="_Toc342913420"/>
      <w:bookmarkStart w:id="216" w:name="_Toc14073"/>
      <w:bookmarkStart w:id="217" w:name="_Toc313888361"/>
      <w:bookmarkStart w:id="218" w:name="_Toc65660380"/>
      <w:bookmarkStart w:id="219" w:name="_Toc313008357"/>
      <w:bookmarkStart w:id="220" w:name="_Toc22655"/>
      <w:bookmarkStart w:id="221" w:name="_Toc11167"/>
      <w:r>
        <w:rPr>
          <w:rFonts w:hint="eastAsia" w:ascii="仿宋" w:hAnsi="仿宋" w:eastAsia="仿宋" w:cs="仿宋"/>
          <w:sz w:val="24"/>
          <w:highlight w:val="none"/>
        </w:rPr>
        <w:t>二、技术（质量）部分</w:t>
      </w:r>
      <w:bookmarkEnd w:id="215"/>
      <w:bookmarkEnd w:id="216"/>
      <w:bookmarkEnd w:id="217"/>
      <w:bookmarkEnd w:id="218"/>
      <w:bookmarkEnd w:id="219"/>
      <w:bookmarkEnd w:id="220"/>
      <w:bookmarkEnd w:id="221"/>
    </w:p>
    <w:p w14:paraId="31816C3C">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（一）技术（质量）响应偏离表</w:t>
      </w:r>
    </w:p>
    <w:p w14:paraId="05530CFC">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采购编号：                               </w:t>
      </w:r>
    </w:p>
    <w:p w14:paraId="520B50FD">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谈判项目名称：</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8"/>
        <w:gridCol w:w="2844"/>
        <w:gridCol w:w="2952"/>
        <w:gridCol w:w="2212"/>
      </w:tblGrid>
      <w:tr w14:paraId="08994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218" w:type="dxa"/>
            <w:vAlign w:val="center"/>
          </w:tcPr>
          <w:p w14:paraId="05E4A158">
            <w:pPr>
              <w:tabs>
                <w:tab w:val="left" w:pos="6300"/>
              </w:tabs>
              <w:spacing w:line="360" w:lineRule="auto"/>
              <w:jc w:val="center"/>
              <w:outlineLvl w:val="0"/>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2844" w:type="dxa"/>
            <w:vAlign w:val="center"/>
          </w:tcPr>
          <w:p w14:paraId="65D06B16">
            <w:pPr>
              <w:tabs>
                <w:tab w:val="left" w:pos="6300"/>
              </w:tabs>
              <w:spacing w:line="360" w:lineRule="auto"/>
              <w:jc w:val="center"/>
              <w:outlineLvl w:val="0"/>
              <w:rPr>
                <w:rFonts w:hint="eastAsia" w:ascii="仿宋" w:hAnsi="仿宋" w:eastAsia="仿宋" w:cs="仿宋"/>
                <w:b/>
                <w:sz w:val="21"/>
                <w:szCs w:val="21"/>
                <w:highlight w:val="none"/>
              </w:rPr>
            </w:pPr>
            <w:r>
              <w:rPr>
                <w:rFonts w:hint="eastAsia" w:ascii="仿宋" w:hAnsi="仿宋" w:eastAsia="仿宋" w:cs="仿宋"/>
                <w:b/>
                <w:sz w:val="21"/>
                <w:szCs w:val="21"/>
                <w:highlight w:val="none"/>
              </w:rPr>
              <w:t>采购需求</w:t>
            </w:r>
          </w:p>
        </w:tc>
        <w:tc>
          <w:tcPr>
            <w:tcW w:w="2952" w:type="dxa"/>
            <w:vAlign w:val="center"/>
          </w:tcPr>
          <w:p w14:paraId="46545E17">
            <w:pPr>
              <w:tabs>
                <w:tab w:val="left" w:pos="6300"/>
              </w:tabs>
              <w:spacing w:line="360" w:lineRule="auto"/>
              <w:jc w:val="center"/>
              <w:outlineLvl w:val="0"/>
              <w:rPr>
                <w:rFonts w:hint="eastAsia" w:ascii="仿宋" w:hAnsi="仿宋" w:eastAsia="仿宋" w:cs="仿宋"/>
                <w:b/>
                <w:sz w:val="21"/>
                <w:szCs w:val="21"/>
                <w:highlight w:val="none"/>
              </w:rPr>
            </w:pPr>
            <w:r>
              <w:rPr>
                <w:rFonts w:hint="eastAsia" w:ascii="仿宋" w:hAnsi="仿宋" w:eastAsia="仿宋" w:cs="仿宋"/>
                <w:b/>
                <w:sz w:val="21"/>
                <w:szCs w:val="21"/>
                <w:highlight w:val="none"/>
              </w:rPr>
              <w:t>响应情况</w:t>
            </w:r>
          </w:p>
        </w:tc>
        <w:tc>
          <w:tcPr>
            <w:tcW w:w="2212" w:type="dxa"/>
            <w:vAlign w:val="center"/>
          </w:tcPr>
          <w:p w14:paraId="2CC44123">
            <w:pPr>
              <w:tabs>
                <w:tab w:val="left" w:pos="6300"/>
              </w:tabs>
              <w:spacing w:line="360" w:lineRule="auto"/>
              <w:jc w:val="center"/>
              <w:outlineLvl w:val="0"/>
              <w:rPr>
                <w:rFonts w:hint="eastAsia" w:ascii="仿宋" w:hAnsi="仿宋" w:eastAsia="仿宋" w:cs="仿宋"/>
                <w:b/>
                <w:sz w:val="21"/>
                <w:szCs w:val="21"/>
                <w:highlight w:val="none"/>
              </w:rPr>
            </w:pPr>
            <w:r>
              <w:rPr>
                <w:rFonts w:hint="eastAsia" w:ascii="仿宋" w:hAnsi="仿宋" w:eastAsia="仿宋" w:cs="仿宋"/>
                <w:b/>
                <w:sz w:val="21"/>
                <w:szCs w:val="21"/>
                <w:highlight w:val="none"/>
              </w:rPr>
              <w:t>差异说明</w:t>
            </w:r>
          </w:p>
        </w:tc>
      </w:tr>
      <w:tr w14:paraId="133BF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28533B62">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7AA25038">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4E102876">
            <w:pPr>
              <w:tabs>
                <w:tab w:val="left" w:pos="6300"/>
              </w:tabs>
              <w:spacing w:line="360" w:lineRule="auto"/>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提醒：请注明技术参数或具体内容以及响应文件中技术参数或具体内容的位置（页码）</w:t>
            </w:r>
          </w:p>
        </w:tc>
        <w:tc>
          <w:tcPr>
            <w:tcW w:w="2212" w:type="dxa"/>
            <w:vAlign w:val="center"/>
          </w:tcPr>
          <w:p w14:paraId="61FB08A6">
            <w:pPr>
              <w:tabs>
                <w:tab w:val="left" w:pos="6300"/>
              </w:tabs>
              <w:spacing w:line="360" w:lineRule="auto"/>
              <w:jc w:val="center"/>
              <w:outlineLvl w:val="0"/>
              <w:rPr>
                <w:rFonts w:hint="eastAsia" w:ascii="仿宋" w:hAnsi="仿宋" w:eastAsia="仿宋" w:cs="仿宋"/>
                <w:sz w:val="21"/>
                <w:szCs w:val="21"/>
                <w:highlight w:val="none"/>
              </w:rPr>
            </w:pPr>
          </w:p>
        </w:tc>
      </w:tr>
      <w:tr w14:paraId="6181B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43281C2D">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6E775C64">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3E4D08D6">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787CA5B6">
            <w:pPr>
              <w:tabs>
                <w:tab w:val="left" w:pos="6300"/>
              </w:tabs>
              <w:spacing w:line="360" w:lineRule="auto"/>
              <w:jc w:val="center"/>
              <w:outlineLvl w:val="0"/>
              <w:rPr>
                <w:rFonts w:hint="eastAsia" w:ascii="仿宋" w:hAnsi="仿宋" w:eastAsia="仿宋" w:cs="仿宋"/>
                <w:sz w:val="21"/>
                <w:szCs w:val="21"/>
                <w:highlight w:val="none"/>
              </w:rPr>
            </w:pPr>
          </w:p>
        </w:tc>
      </w:tr>
      <w:tr w14:paraId="01C80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23C58085">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1D982178">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235DC165">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2656FD71">
            <w:pPr>
              <w:tabs>
                <w:tab w:val="left" w:pos="6300"/>
              </w:tabs>
              <w:spacing w:line="360" w:lineRule="auto"/>
              <w:jc w:val="center"/>
              <w:outlineLvl w:val="0"/>
              <w:rPr>
                <w:rFonts w:hint="eastAsia" w:ascii="仿宋" w:hAnsi="仿宋" w:eastAsia="仿宋" w:cs="仿宋"/>
                <w:sz w:val="21"/>
                <w:szCs w:val="21"/>
                <w:highlight w:val="none"/>
              </w:rPr>
            </w:pPr>
          </w:p>
        </w:tc>
      </w:tr>
      <w:tr w14:paraId="423B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11E41C3E">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6AE4C45B">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736658D7">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65BF041C">
            <w:pPr>
              <w:tabs>
                <w:tab w:val="left" w:pos="6300"/>
              </w:tabs>
              <w:spacing w:line="360" w:lineRule="auto"/>
              <w:jc w:val="center"/>
              <w:outlineLvl w:val="0"/>
              <w:rPr>
                <w:rFonts w:hint="eastAsia" w:ascii="仿宋" w:hAnsi="仿宋" w:eastAsia="仿宋" w:cs="仿宋"/>
                <w:sz w:val="21"/>
                <w:szCs w:val="21"/>
                <w:highlight w:val="none"/>
              </w:rPr>
            </w:pPr>
          </w:p>
        </w:tc>
      </w:tr>
      <w:tr w14:paraId="5192C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6D03B372">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13F7AA99">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167286DF">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7B201DFF">
            <w:pPr>
              <w:tabs>
                <w:tab w:val="left" w:pos="6300"/>
              </w:tabs>
              <w:spacing w:line="360" w:lineRule="auto"/>
              <w:jc w:val="center"/>
              <w:outlineLvl w:val="0"/>
              <w:rPr>
                <w:rFonts w:hint="eastAsia" w:ascii="仿宋" w:hAnsi="仿宋" w:eastAsia="仿宋" w:cs="仿宋"/>
                <w:sz w:val="21"/>
                <w:szCs w:val="21"/>
                <w:highlight w:val="none"/>
              </w:rPr>
            </w:pPr>
          </w:p>
        </w:tc>
      </w:tr>
      <w:tr w14:paraId="119B6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05A4F581">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4D78CBF4">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2C3504B5">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3D4BD2EC">
            <w:pPr>
              <w:tabs>
                <w:tab w:val="left" w:pos="6300"/>
              </w:tabs>
              <w:spacing w:line="360" w:lineRule="auto"/>
              <w:jc w:val="center"/>
              <w:outlineLvl w:val="0"/>
              <w:rPr>
                <w:rFonts w:hint="eastAsia" w:ascii="仿宋" w:hAnsi="仿宋" w:eastAsia="仿宋" w:cs="仿宋"/>
                <w:sz w:val="21"/>
                <w:szCs w:val="21"/>
                <w:highlight w:val="none"/>
              </w:rPr>
            </w:pPr>
          </w:p>
        </w:tc>
      </w:tr>
      <w:tr w14:paraId="47EF8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50E970CB">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54179314">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7376DEB4">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790BE205">
            <w:pPr>
              <w:tabs>
                <w:tab w:val="left" w:pos="6300"/>
              </w:tabs>
              <w:spacing w:line="360" w:lineRule="auto"/>
              <w:jc w:val="center"/>
              <w:outlineLvl w:val="0"/>
              <w:rPr>
                <w:rFonts w:hint="eastAsia" w:ascii="仿宋" w:hAnsi="仿宋" w:eastAsia="仿宋" w:cs="仿宋"/>
                <w:sz w:val="21"/>
                <w:szCs w:val="21"/>
                <w:highlight w:val="none"/>
              </w:rPr>
            </w:pPr>
          </w:p>
        </w:tc>
      </w:tr>
      <w:tr w14:paraId="004F8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011DB4B2">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4B0BE7B2">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61218EEE">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4212F177">
            <w:pPr>
              <w:tabs>
                <w:tab w:val="left" w:pos="6300"/>
              </w:tabs>
              <w:spacing w:line="360" w:lineRule="auto"/>
              <w:jc w:val="center"/>
              <w:outlineLvl w:val="0"/>
              <w:rPr>
                <w:rFonts w:hint="eastAsia" w:ascii="仿宋" w:hAnsi="仿宋" w:eastAsia="仿宋" w:cs="仿宋"/>
                <w:sz w:val="21"/>
                <w:szCs w:val="21"/>
                <w:highlight w:val="none"/>
              </w:rPr>
            </w:pPr>
          </w:p>
        </w:tc>
      </w:tr>
      <w:tr w14:paraId="60B3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39BD68D6">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79933264">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7B3DEE22">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7F5AF187">
            <w:pPr>
              <w:tabs>
                <w:tab w:val="left" w:pos="6300"/>
              </w:tabs>
              <w:spacing w:line="360" w:lineRule="auto"/>
              <w:jc w:val="center"/>
              <w:outlineLvl w:val="0"/>
              <w:rPr>
                <w:rFonts w:hint="eastAsia" w:ascii="仿宋" w:hAnsi="仿宋" w:eastAsia="仿宋" w:cs="仿宋"/>
                <w:sz w:val="21"/>
                <w:szCs w:val="21"/>
                <w:highlight w:val="none"/>
              </w:rPr>
            </w:pPr>
          </w:p>
        </w:tc>
      </w:tr>
      <w:tr w14:paraId="52EEC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57897B08">
            <w:pPr>
              <w:tabs>
                <w:tab w:val="left" w:pos="6300"/>
              </w:tabs>
              <w:spacing w:line="360" w:lineRule="auto"/>
              <w:jc w:val="center"/>
              <w:outlineLvl w:val="0"/>
              <w:rPr>
                <w:rFonts w:hint="eastAsia" w:ascii="仿宋" w:hAnsi="仿宋" w:eastAsia="仿宋" w:cs="仿宋"/>
                <w:sz w:val="21"/>
                <w:szCs w:val="21"/>
                <w:highlight w:val="none"/>
              </w:rPr>
            </w:pPr>
          </w:p>
        </w:tc>
        <w:tc>
          <w:tcPr>
            <w:tcW w:w="2844" w:type="dxa"/>
            <w:vAlign w:val="center"/>
          </w:tcPr>
          <w:p w14:paraId="6198CB97">
            <w:pPr>
              <w:tabs>
                <w:tab w:val="left" w:pos="6300"/>
              </w:tabs>
              <w:spacing w:line="360" w:lineRule="auto"/>
              <w:jc w:val="center"/>
              <w:outlineLvl w:val="0"/>
              <w:rPr>
                <w:rFonts w:hint="eastAsia" w:ascii="仿宋" w:hAnsi="仿宋" w:eastAsia="仿宋" w:cs="仿宋"/>
                <w:sz w:val="21"/>
                <w:szCs w:val="21"/>
                <w:highlight w:val="none"/>
              </w:rPr>
            </w:pPr>
          </w:p>
        </w:tc>
        <w:tc>
          <w:tcPr>
            <w:tcW w:w="2952" w:type="dxa"/>
            <w:vAlign w:val="center"/>
          </w:tcPr>
          <w:p w14:paraId="65975466">
            <w:pPr>
              <w:tabs>
                <w:tab w:val="left" w:pos="6300"/>
              </w:tabs>
              <w:spacing w:line="360" w:lineRule="auto"/>
              <w:jc w:val="center"/>
              <w:outlineLvl w:val="0"/>
              <w:rPr>
                <w:rFonts w:hint="eastAsia" w:ascii="仿宋" w:hAnsi="仿宋" w:eastAsia="仿宋" w:cs="仿宋"/>
                <w:sz w:val="21"/>
                <w:szCs w:val="21"/>
                <w:highlight w:val="none"/>
              </w:rPr>
            </w:pPr>
          </w:p>
        </w:tc>
        <w:tc>
          <w:tcPr>
            <w:tcW w:w="2212" w:type="dxa"/>
            <w:vAlign w:val="center"/>
          </w:tcPr>
          <w:p w14:paraId="2175214C">
            <w:pPr>
              <w:tabs>
                <w:tab w:val="left" w:pos="6300"/>
              </w:tabs>
              <w:spacing w:line="360" w:lineRule="auto"/>
              <w:jc w:val="center"/>
              <w:outlineLvl w:val="0"/>
              <w:rPr>
                <w:rFonts w:hint="eastAsia" w:ascii="仿宋" w:hAnsi="仿宋" w:eastAsia="仿宋" w:cs="仿宋"/>
                <w:sz w:val="21"/>
                <w:szCs w:val="21"/>
                <w:highlight w:val="none"/>
              </w:rPr>
            </w:pPr>
          </w:p>
        </w:tc>
      </w:tr>
    </w:tbl>
    <w:p w14:paraId="589F9C99">
      <w:pPr>
        <w:spacing w:line="360" w:lineRule="auto"/>
        <w:ind w:firstLine="600" w:firstLineChars="25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r>
        <w:rPr>
          <w:rFonts w:hint="eastAsia" w:ascii="仿宋" w:hAnsi="仿宋" w:eastAsia="仿宋" w:cs="仿宋"/>
          <w:sz w:val="24"/>
          <w:szCs w:val="28"/>
          <w:highlight w:val="none"/>
        </w:rPr>
        <w:t>：</w:t>
      </w:r>
    </w:p>
    <w:p w14:paraId="63A6E75C">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14:paraId="3271744B">
      <w:pPr>
        <w:spacing w:line="360" w:lineRule="auto"/>
        <w:ind w:firstLine="720" w:firstLineChars="30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                               （</w:t>
      </w:r>
      <w:r>
        <w:rPr>
          <w:rFonts w:hint="eastAsia" w:ascii="仿宋" w:hAnsi="仿宋" w:eastAsia="仿宋" w:cs="仿宋"/>
          <w:sz w:val="24"/>
          <w:szCs w:val="24"/>
          <w:highlight w:val="none"/>
        </w:rPr>
        <w:t>签署</w:t>
      </w:r>
      <w:r>
        <w:rPr>
          <w:rFonts w:hint="eastAsia" w:ascii="仿宋" w:hAnsi="仿宋" w:eastAsia="仿宋" w:cs="仿宋"/>
          <w:sz w:val="24"/>
          <w:szCs w:val="28"/>
          <w:highlight w:val="none"/>
        </w:rPr>
        <w:t>或盖章）</w:t>
      </w:r>
    </w:p>
    <w:p w14:paraId="6661C971">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14:paraId="0A44E6DB">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w:t>
      </w:r>
    </w:p>
    <w:p w14:paraId="51C08F9A">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本表即为对本项目“第二篇  谈判项目技术（质量）需求”中所列条款进行比较和响应；</w:t>
      </w:r>
    </w:p>
    <w:p w14:paraId="6917E89C">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2.本表可扩展。</w:t>
      </w:r>
    </w:p>
    <w:p w14:paraId="36992146">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sz w:val="24"/>
          <w:szCs w:val="24"/>
          <w:highlight w:val="none"/>
        </w:rPr>
        <w:t>（二）其他资料（格式自定）</w:t>
      </w:r>
    </w:p>
    <w:p w14:paraId="1F0F352B">
      <w:pPr>
        <w:tabs>
          <w:tab w:val="left" w:pos="6300"/>
        </w:tabs>
        <w:spacing w:line="360" w:lineRule="auto"/>
        <w:ind w:firstLine="480" w:firstLineChars="200"/>
        <w:rPr>
          <w:rFonts w:hint="eastAsia" w:ascii="仿宋" w:hAnsi="仿宋" w:eastAsia="仿宋" w:cs="仿宋"/>
          <w:sz w:val="24"/>
          <w:szCs w:val="24"/>
          <w:highlight w:val="none"/>
        </w:rPr>
      </w:pPr>
    </w:p>
    <w:p w14:paraId="4DF971AC">
      <w:pPr>
        <w:pStyle w:val="4"/>
        <w:spacing w:before="0" w:after="0" w:line="360" w:lineRule="auto"/>
        <w:ind w:firstLine="640" w:firstLineChars="200"/>
        <w:rPr>
          <w:rFonts w:hint="eastAsia" w:ascii="仿宋" w:hAnsi="仿宋" w:eastAsia="仿宋" w:cs="仿宋"/>
          <w:sz w:val="24"/>
          <w:highlight w:val="none"/>
        </w:rPr>
      </w:pPr>
      <w:r>
        <w:rPr>
          <w:rFonts w:hint="eastAsia" w:ascii="仿宋" w:hAnsi="仿宋" w:eastAsia="仿宋" w:cs="仿宋"/>
          <w:b w:val="0"/>
          <w:highlight w:val="none"/>
        </w:rPr>
        <w:br w:type="page"/>
      </w:r>
      <w:bookmarkStart w:id="222" w:name="_Toc32339"/>
      <w:bookmarkStart w:id="223" w:name="_Toc32158"/>
      <w:bookmarkStart w:id="224" w:name="_Toc26294"/>
      <w:bookmarkStart w:id="225" w:name="_Toc65660381"/>
      <w:bookmarkStart w:id="226" w:name="_Toc313888362"/>
      <w:bookmarkStart w:id="227" w:name="_Toc342913421"/>
      <w:bookmarkStart w:id="228" w:name="_Toc313008358"/>
      <w:r>
        <w:rPr>
          <w:rFonts w:hint="eastAsia" w:ascii="仿宋" w:hAnsi="仿宋" w:eastAsia="仿宋" w:cs="仿宋"/>
          <w:sz w:val="24"/>
          <w:highlight w:val="none"/>
        </w:rPr>
        <w:t>三、服务部分</w:t>
      </w:r>
      <w:bookmarkEnd w:id="222"/>
      <w:bookmarkEnd w:id="223"/>
      <w:bookmarkEnd w:id="224"/>
      <w:bookmarkEnd w:id="225"/>
    </w:p>
    <w:p w14:paraId="2E55719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（一）服务响应偏离表</w:t>
      </w:r>
    </w:p>
    <w:p w14:paraId="7AD3A0A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采购编号：                               </w:t>
      </w:r>
    </w:p>
    <w:p w14:paraId="32B4266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谈判项目名称：</w:t>
      </w:r>
    </w:p>
    <w:tbl>
      <w:tblPr>
        <w:tblStyle w:val="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3184"/>
        <w:gridCol w:w="2438"/>
        <w:gridCol w:w="2359"/>
      </w:tblGrid>
      <w:tr w14:paraId="6800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1512" w:type="dxa"/>
            <w:vAlign w:val="center"/>
          </w:tcPr>
          <w:p w14:paraId="3066FA73">
            <w:pPr>
              <w:tabs>
                <w:tab w:val="left" w:pos="6300"/>
              </w:tabs>
              <w:spacing w:line="360" w:lineRule="auto"/>
              <w:jc w:val="center"/>
              <w:outlineLvl w:val="0"/>
              <w:rPr>
                <w:rFonts w:hint="eastAsia" w:ascii="仿宋" w:hAnsi="仿宋" w:eastAsia="仿宋" w:cs="仿宋"/>
                <w:b/>
                <w:sz w:val="21"/>
                <w:szCs w:val="24"/>
                <w:highlight w:val="none"/>
              </w:rPr>
            </w:pPr>
            <w:r>
              <w:rPr>
                <w:rFonts w:hint="eastAsia" w:ascii="仿宋" w:hAnsi="仿宋" w:eastAsia="仿宋" w:cs="仿宋"/>
                <w:b/>
                <w:sz w:val="21"/>
                <w:szCs w:val="24"/>
                <w:highlight w:val="none"/>
              </w:rPr>
              <w:t>序号</w:t>
            </w:r>
          </w:p>
        </w:tc>
        <w:tc>
          <w:tcPr>
            <w:tcW w:w="3184" w:type="dxa"/>
            <w:vAlign w:val="center"/>
          </w:tcPr>
          <w:p w14:paraId="6E1F9896">
            <w:pPr>
              <w:tabs>
                <w:tab w:val="left" w:pos="6300"/>
              </w:tabs>
              <w:spacing w:line="360" w:lineRule="auto"/>
              <w:jc w:val="center"/>
              <w:outlineLvl w:val="0"/>
              <w:rPr>
                <w:rFonts w:hint="eastAsia" w:ascii="仿宋" w:hAnsi="仿宋" w:eastAsia="仿宋" w:cs="仿宋"/>
                <w:b/>
                <w:sz w:val="21"/>
                <w:szCs w:val="24"/>
                <w:highlight w:val="none"/>
              </w:rPr>
            </w:pPr>
            <w:r>
              <w:rPr>
                <w:rFonts w:hint="eastAsia" w:ascii="仿宋" w:hAnsi="仿宋" w:eastAsia="仿宋" w:cs="仿宋"/>
                <w:b/>
                <w:sz w:val="21"/>
                <w:szCs w:val="24"/>
                <w:highlight w:val="none"/>
              </w:rPr>
              <w:t>采购需求</w:t>
            </w:r>
          </w:p>
        </w:tc>
        <w:tc>
          <w:tcPr>
            <w:tcW w:w="2438" w:type="dxa"/>
            <w:vAlign w:val="center"/>
          </w:tcPr>
          <w:p w14:paraId="33B8E3D8">
            <w:pPr>
              <w:tabs>
                <w:tab w:val="left" w:pos="6300"/>
              </w:tabs>
              <w:spacing w:line="360" w:lineRule="auto"/>
              <w:jc w:val="center"/>
              <w:outlineLvl w:val="0"/>
              <w:rPr>
                <w:rFonts w:hint="eastAsia" w:ascii="仿宋" w:hAnsi="仿宋" w:eastAsia="仿宋" w:cs="仿宋"/>
                <w:b/>
                <w:sz w:val="21"/>
                <w:szCs w:val="24"/>
                <w:highlight w:val="none"/>
              </w:rPr>
            </w:pPr>
            <w:r>
              <w:rPr>
                <w:rFonts w:hint="eastAsia" w:ascii="仿宋" w:hAnsi="仿宋" w:eastAsia="仿宋" w:cs="仿宋"/>
                <w:b/>
                <w:sz w:val="21"/>
                <w:szCs w:val="24"/>
                <w:highlight w:val="none"/>
              </w:rPr>
              <w:t>响应情况</w:t>
            </w:r>
          </w:p>
        </w:tc>
        <w:tc>
          <w:tcPr>
            <w:tcW w:w="2359" w:type="dxa"/>
            <w:vAlign w:val="center"/>
          </w:tcPr>
          <w:p w14:paraId="181056AA">
            <w:pPr>
              <w:tabs>
                <w:tab w:val="left" w:pos="6300"/>
              </w:tabs>
              <w:spacing w:line="360" w:lineRule="auto"/>
              <w:jc w:val="center"/>
              <w:outlineLvl w:val="0"/>
              <w:rPr>
                <w:rFonts w:hint="eastAsia" w:ascii="仿宋" w:hAnsi="仿宋" w:eastAsia="仿宋" w:cs="仿宋"/>
                <w:b/>
                <w:sz w:val="21"/>
                <w:szCs w:val="24"/>
                <w:highlight w:val="none"/>
              </w:rPr>
            </w:pPr>
            <w:r>
              <w:rPr>
                <w:rFonts w:hint="eastAsia" w:ascii="仿宋" w:hAnsi="仿宋" w:eastAsia="仿宋" w:cs="仿宋"/>
                <w:b/>
                <w:sz w:val="21"/>
                <w:szCs w:val="21"/>
                <w:highlight w:val="none"/>
              </w:rPr>
              <w:t>差异说明</w:t>
            </w:r>
          </w:p>
        </w:tc>
      </w:tr>
      <w:tr w14:paraId="6CCAF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6CBE4F1D">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30E9B0BC">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2561E1A5">
            <w:pPr>
              <w:tabs>
                <w:tab w:val="left" w:pos="6300"/>
              </w:tabs>
              <w:spacing w:line="360" w:lineRule="auto"/>
              <w:outlineLvl w:val="0"/>
              <w:rPr>
                <w:rFonts w:hint="eastAsia" w:ascii="仿宋" w:hAnsi="仿宋" w:eastAsia="仿宋" w:cs="仿宋"/>
                <w:sz w:val="21"/>
                <w:szCs w:val="24"/>
                <w:highlight w:val="none"/>
              </w:rPr>
            </w:pPr>
            <w:r>
              <w:rPr>
                <w:rFonts w:hint="eastAsia" w:ascii="仿宋" w:hAnsi="仿宋" w:eastAsia="仿宋" w:cs="仿宋"/>
                <w:sz w:val="21"/>
                <w:szCs w:val="21"/>
                <w:highlight w:val="none"/>
              </w:rPr>
              <w:t>提醒：请注明具体内容以及响应文件中具体内容的位置（页码）</w:t>
            </w:r>
          </w:p>
        </w:tc>
        <w:tc>
          <w:tcPr>
            <w:tcW w:w="2359" w:type="dxa"/>
            <w:vAlign w:val="center"/>
          </w:tcPr>
          <w:p w14:paraId="29A770B6">
            <w:pPr>
              <w:tabs>
                <w:tab w:val="left" w:pos="6300"/>
              </w:tabs>
              <w:spacing w:line="360" w:lineRule="auto"/>
              <w:jc w:val="center"/>
              <w:outlineLvl w:val="0"/>
              <w:rPr>
                <w:rFonts w:hint="eastAsia" w:ascii="仿宋" w:hAnsi="仿宋" w:eastAsia="仿宋" w:cs="仿宋"/>
                <w:sz w:val="21"/>
                <w:szCs w:val="24"/>
                <w:highlight w:val="none"/>
              </w:rPr>
            </w:pPr>
          </w:p>
        </w:tc>
      </w:tr>
      <w:tr w14:paraId="75AED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4E2FA0C1">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180B9606">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2DE8DFF1">
            <w:pPr>
              <w:tabs>
                <w:tab w:val="left" w:pos="6300"/>
              </w:tabs>
              <w:spacing w:line="360" w:lineRule="auto"/>
              <w:jc w:val="center"/>
              <w:outlineLvl w:val="0"/>
              <w:rPr>
                <w:rFonts w:hint="eastAsia" w:ascii="仿宋" w:hAnsi="仿宋" w:eastAsia="仿宋" w:cs="仿宋"/>
                <w:sz w:val="21"/>
                <w:szCs w:val="24"/>
                <w:highlight w:val="none"/>
              </w:rPr>
            </w:pPr>
          </w:p>
        </w:tc>
        <w:tc>
          <w:tcPr>
            <w:tcW w:w="2359" w:type="dxa"/>
            <w:vAlign w:val="center"/>
          </w:tcPr>
          <w:p w14:paraId="0B1C9895">
            <w:pPr>
              <w:tabs>
                <w:tab w:val="left" w:pos="6300"/>
              </w:tabs>
              <w:spacing w:line="360" w:lineRule="auto"/>
              <w:jc w:val="center"/>
              <w:outlineLvl w:val="0"/>
              <w:rPr>
                <w:rFonts w:hint="eastAsia" w:ascii="仿宋" w:hAnsi="仿宋" w:eastAsia="仿宋" w:cs="仿宋"/>
                <w:sz w:val="21"/>
                <w:szCs w:val="24"/>
                <w:highlight w:val="none"/>
              </w:rPr>
            </w:pPr>
          </w:p>
        </w:tc>
      </w:tr>
      <w:tr w14:paraId="2638C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65E0DA18">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2BE07254">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3B37E27C">
            <w:pPr>
              <w:tabs>
                <w:tab w:val="left" w:pos="6300"/>
              </w:tabs>
              <w:spacing w:line="360" w:lineRule="auto"/>
              <w:jc w:val="center"/>
              <w:outlineLvl w:val="0"/>
              <w:rPr>
                <w:rFonts w:hint="eastAsia" w:ascii="仿宋" w:hAnsi="仿宋" w:eastAsia="仿宋" w:cs="仿宋"/>
                <w:sz w:val="21"/>
                <w:szCs w:val="24"/>
                <w:highlight w:val="none"/>
              </w:rPr>
            </w:pPr>
          </w:p>
        </w:tc>
        <w:tc>
          <w:tcPr>
            <w:tcW w:w="2359" w:type="dxa"/>
            <w:vAlign w:val="center"/>
          </w:tcPr>
          <w:p w14:paraId="76031FC6">
            <w:pPr>
              <w:tabs>
                <w:tab w:val="left" w:pos="6300"/>
              </w:tabs>
              <w:spacing w:line="360" w:lineRule="auto"/>
              <w:jc w:val="center"/>
              <w:outlineLvl w:val="0"/>
              <w:rPr>
                <w:rFonts w:hint="eastAsia" w:ascii="仿宋" w:hAnsi="仿宋" w:eastAsia="仿宋" w:cs="仿宋"/>
                <w:sz w:val="21"/>
                <w:szCs w:val="24"/>
                <w:highlight w:val="none"/>
              </w:rPr>
            </w:pPr>
          </w:p>
        </w:tc>
      </w:tr>
      <w:tr w14:paraId="67D46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061CF786">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0F3A82CE">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7AB0B2BD">
            <w:pPr>
              <w:tabs>
                <w:tab w:val="left" w:pos="6300"/>
              </w:tabs>
              <w:spacing w:line="360" w:lineRule="auto"/>
              <w:jc w:val="center"/>
              <w:outlineLvl w:val="0"/>
              <w:rPr>
                <w:rFonts w:hint="eastAsia" w:ascii="仿宋" w:hAnsi="仿宋" w:eastAsia="仿宋" w:cs="仿宋"/>
                <w:sz w:val="21"/>
                <w:szCs w:val="24"/>
                <w:highlight w:val="none"/>
              </w:rPr>
            </w:pPr>
          </w:p>
        </w:tc>
        <w:tc>
          <w:tcPr>
            <w:tcW w:w="2359" w:type="dxa"/>
            <w:vAlign w:val="center"/>
          </w:tcPr>
          <w:p w14:paraId="6DD680B4">
            <w:pPr>
              <w:tabs>
                <w:tab w:val="left" w:pos="6300"/>
              </w:tabs>
              <w:spacing w:line="360" w:lineRule="auto"/>
              <w:jc w:val="center"/>
              <w:outlineLvl w:val="0"/>
              <w:rPr>
                <w:rFonts w:hint="eastAsia" w:ascii="仿宋" w:hAnsi="仿宋" w:eastAsia="仿宋" w:cs="仿宋"/>
                <w:sz w:val="21"/>
                <w:szCs w:val="24"/>
                <w:highlight w:val="none"/>
              </w:rPr>
            </w:pPr>
          </w:p>
        </w:tc>
      </w:tr>
      <w:tr w14:paraId="0E618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5B052105">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6E865458">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68EFC217">
            <w:pPr>
              <w:tabs>
                <w:tab w:val="left" w:pos="6300"/>
              </w:tabs>
              <w:spacing w:line="360" w:lineRule="auto"/>
              <w:jc w:val="center"/>
              <w:outlineLvl w:val="0"/>
              <w:rPr>
                <w:rFonts w:hint="eastAsia" w:ascii="仿宋" w:hAnsi="仿宋" w:eastAsia="仿宋" w:cs="仿宋"/>
                <w:sz w:val="21"/>
                <w:szCs w:val="24"/>
                <w:highlight w:val="none"/>
              </w:rPr>
            </w:pPr>
          </w:p>
        </w:tc>
        <w:tc>
          <w:tcPr>
            <w:tcW w:w="2359" w:type="dxa"/>
            <w:vAlign w:val="center"/>
          </w:tcPr>
          <w:p w14:paraId="559A1D9D">
            <w:pPr>
              <w:tabs>
                <w:tab w:val="left" w:pos="6300"/>
              </w:tabs>
              <w:spacing w:line="360" w:lineRule="auto"/>
              <w:jc w:val="center"/>
              <w:outlineLvl w:val="0"/>
              <w:rPr>
                <w:rFonts w:hint="eastAsia" w:ascii="仿宋" w:hAnsi="仿宋" w:eastAsia="仿宋" w:cs="仿宋"/>
                <w:sz w:val="21"/>
                <w:szCs w:val="24"/>
                <w:highlight w:val="none"/>
              </w:rPr>
            </w:pPr>
          </w:p>
        </w:tc>
      </w:tr>
      <w:tr w14:paraId="43AC6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089A500D">
            <w:pPr>
              <w:tabs>
                <w:tab w:val="left" w:pos="6300"/>
              </w:tabs>
              <w:spacing w:line="360" w:lineRule="auto"/>
              <w:jc w:val="center"/>
              <w:outlineLvl w:val="0"/>
              <w:rPr>
                <w:rFonts w:hint="eastAsia" w:ascii="仿宋" w:hAnsi="仿宋" w:eastAsia="仿宋" w:cs="仿宋"/>
                <w:sz w:val="21"/>
                <w:szCs w:val="24"/>
                <w:highlight w:val="none"/>
              </w:rPr>
            </w:pPr>
          </w:p>
        </w:tc>
        <w:tc>
          <w:tcPr>
            <w:tcW w:w="3184" w:type="dxa"/>
            <w:vAlign w:val="center"/>
          </w:tcPr>
          <w:p w14:paraId="561C205C">
            <w:pPr>
              <w:tabs>
                <w:tab w:val="left" w:pos="6300"/>
              </w:tabs>
              <w:spacing w:line="360" w:lineRule="auto"/>
              <w:jc w:val="center"/>
              <w:outlineLvl w:val="0"/>
              <w:rPr>
                <w:rFonts w:hint="eastAsia" w:ascii="仿宋" w:hAnsi="仿宋" w:eastAsia="仿宋" w:cs="仿宋"/>
                <w:sz w:val="21"/>
                <w:szCs w:val="24"/>
                <w:highlight w:val="none"/>
              </w:rPr>
            </w:pPr>
          </w:p>
        </w:tc>
        <w:tc>
          <w:tcPr>
            <w:tcW w:w="2438" w:type="dxa"/>
            <w:vAlign w:val="center"/>
          </w:tcPr>
          <w:p w14:paraId="32381B1A">
            <w:pPr>
              <w:tabs>
                <w:tab w:val="left" w:pos="6300"/>
              </w:tabs>
              <w:spacing w:line="360" w:lineRule="auto"/>
              <w:jc w:val="center"/>
              <w:outlineLvl w:val="0"/>
              <w:rPr>
                <w:rFonts w:hint="eastAsia" w:ascii="仿宋" w:hAnsi="仿宋" w:eastAsia="仿宋" w:cs="仿宋"/>
                <w:sz w:val="21"/>
                <w:szCs w:val="24"/>
                <w:highlight w:val="none"/>
              </w:rPr>
            </w:pPr>
          </w:p>
        </w:tc>
        <w:tc>
          <w:tcPr>
            <w:tcW w:w="2359" w:type="dxa"/>
            <w:vAlign w:val="center"/>
          </w:tcPr>
          <w:p w14:paraId="61120CA9">
            <w:pPr>
              <w:tabs>
                <w:tab w:val="left" w:pos="6300"/>
              </w:tabs>
              <w:spacing w:line="360" w:lineRule="auto"/>
              <w:jc w:val="center"/>
              <w:outlineLvl w:val="0"/>
              <w:rPr>
                <w:rFonts w:hint="eastAsia" w:ascii="仿宋" w:hAnsi="仿宋" w:eastAsia="仿宋" w:cs="仿宋"/>
                <w:sz w:val="21"/>
                <w:szCs w:val="24"/>
                <w:highlight w:val="none"/>
              </w:rPr>
            </w:pPr>
          </w:p>
        </w:tc>
      </w:tr>
    </w:tbl>
    <w:p w14:paraId="64B5BFC1">
      <w:pPr>
        <w:spacing w:line="520" w:lineRule="exact"/>
        <w:ind w:firstLine="600" w:firstLineChars="25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r>
        <w:rPr>
          <w:rFonts w:hint="eastAsia" w:ascii="仿宋" w:hAnsi="仿宋" w:eastAsia="仿宋" w:cs="仿宋"/>
          <w:sz w:val="24"/>
          <w:szCs w:val="28"/>
          <w:highlight w:val="none"/>
        </w:rPr>
        <w:t>：</w:t>
      </w:r>
    </w:p>
    <w:p w14:paraId="23AD3BF3">
      <w:pPr>
        <w:spacing w:line="52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14:paraId="0674D870">
      <w:pPr>
        <w:spacing w:line="520" w:lineRule="exact"/>
        <w:ind w:firstLine="360" w:firstLineChars="15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14:paraId="016F8E73">
      <w:pPr>
        <w:tabs>
          <w:tab w:val="left" w:pos="6300"/>
        </w:tabs>
        <w:spacing w:line="520" w:lineRule="exact"/>
        <w:ind w:firstLine="570"/>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14:paraId="1B474986">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w:t>
      </w:r>
    </w:p>
    <w:p w14:paraId="4BC5A766">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本表即为对本项目“第三篇  谈判项目服务需求”中所列条款进行比较和响应；</w:t>
      </w:r>
    </w:p>
    <w:p w14:paraId="2F40F80A">
      <w:pPr>
        <w:tabs>
          <w:tab w:val="left" w:pos="6300"/>
        </w:tabs>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2.本表可扩展</w:t>
      </w:r>
      <w:r>
        <w:rPr>
          <w:rFonts w:hint="eastAsia" w:ascii="仿宋" w:hAnsi="仿宋" w:eastAsia="仿宋" w:cs="仿宋"/>
          <w:sz w:val="24"/>
          <w:szCs w:val="24"/>
          <w:highlight w:val="none"/>
        </w:rPr>
        <w:t>。</w:t>
      </w:r>
    </w:p>
    <w:p w14:paraId="2B665D13">
      <w:pPr>
        <w:tabs>
          <w:tab w:val="left" w:pos="6300"/>
        </w:tabs>
        <w:spacing w:line="360" w:lineRule="auto"/>
        <w:ind w:firstLine="480" w:firstLineChars="200"/>
        <w:rPr>
          <w:rFonts w:hint="eastAsia" w:ascii="仿宋" w:hAnsi="仿宋" w:eastAsia="仿宋" w:cs="仿宋"/>
          <w:sz w:val="24"/>
          <w:szCs w:val="24"/>
          <w:highlight w:val="none"/>
        </w:rPr>
      </w:pPr>
    </w:p>
    <w:p w14:paraId="0A663061">
      <w:pPr>
        <w:pStyle w:val="2"/>
        <w:rPr>
          <w:rFonts w:hint="eastAsia" w:ascii="仿宋" w:hAnsi="仿宋" w:eastAsia="仿宋" w:cs="仿宋"/>
          <w:sz w:val="24"/>
          <w:szCs w:val="24"/>
          <w:highlight w:val="none"/>
        </w:rPr>
      </w:pPr>
    </w:p>
    <w:p w14:paraId="5FC08902">
      <w:pPr>
        <w:rPr>
          <w:rFonts w:hint="eastAsia" w:ascii="仿宋" w:hAnsi="仿宋" w:eastAsia="仿宋" w:cs="仿宋"/>
          <w:sz w:val="24"/>
          <w:szCs w:val="24"/>
          <w:highlight w:val="none"/>
        </w:rPr>
      </w:pPr>
    </w:p>
    <w:p w14:paraId="0C80FAC0">
      <w:pPr>
        <w:pStyle w:val="2"/>
        <w:rPr>
          <w:rFonts w:hint="eastAsia"/>
          <w:highlight w:val="none"/>
        </w:rPr>
      </w:pPr>
    </w:p>
    <w:p w14:paraId="24EF4413">
      <w:pPr>
        <w:tabs>
          <w:tab w:val="left" w:pos="630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（二）其他优惠服务承诺（格式自定）</w:t>
      </w:r>
    </w:p>
    <w:p w14:paraId="268D93C1">
      <w:pPr>
        <w:tabs>
          <w:tab w:val="left" w:pos="6300"/>
        </w:tabs>
        <w:spacing w:line="360" w:lineRule="auto"/>
        <w:ind w:firstLine="480" w:firstLineChars="200"/>
        <w:rPr>
          <w:rFonts w:hint="eastAsia" w:ascii="仿宋" w:hAnsi="仿宋" w:eastAsia="仿宋" w:cs="仿宋"/>
          <w:sz w:val="24"/>
          <w:szCs w:val="24"/>
          <w:highlight w:val="none"/>
        </w:rPr>
      </w:pPr>
    </w:p>
    <w:p w14:paraId="027B6801">
      <w:pPr>
        <w:pStyle w:val="4"/>
        <w:spacing w:before="0" w:after="0" w:line="360" w:lineRule="auto"/>
        <w:ind w:firstLine="482" w:firstLineChars="200"/>
        <w:rPr>
          <w:rFonts w:hint="eastAsia" w:ascii="仿宋" w:hAnsi="仿宋" w:eastAsia="仿宋" w:cs="仿宋"/>
          <w:sz w:val="24"/>
          <w:highlight w:val="none"/>
        </w:rPr>
      </w:pPr>
      <w:r>
        <w:rPr>
          <w:rFonts w:hint="eastAsia" w:ascii="仿宋" w:hAnsi="仿宋" w:eastAsia="仿宋" w:cs="仿宋"/>
          <w:sz w:val="24"/>
          <w:szCs w:val="24"/>
          <w:highlight w:val="none"/>
        </w:rPr>
        <w:br w:type="page"/>
      </w:r>
      <w:bookmarkStart w:id="229" w:name="_Toc65660382"/>
      <w:bookmarkStart w:id="230" w:name="_Toc26159"/>
      <w:bookmarkStart w:id="231" w:name="_Toc2082"/>
      <w:bookmarkStart w:id="232" w:name="_Toc20162"/>
      <w:r>
        <w:rPr>
          <w:rFonts w:hint="eastAsia" w:ascii="仿宋" w:hAnsi="仿宋" w:eastAsia="仿宋" w:cs="仿宋"/>
          <w:sz w:val="24"/>
          <w:highlight w:val="none"/>
        </w:rPr>
        <w:t>四、</w:t>
      </w:r>
      <w:bookmarkEnd w:id="226"/>
      <w:bookmarkEnd w:id="227"/>
      <w:bookmarkEnd w:id="228"/>
      <w:r>
        <w:rPr>
          <w:rFonts w:hint="eastAsia" w:ascii="仿宋" w:hAnsi="仿宋" w:eastAsia="仿宋" w:cs="仿宋"/>
          <w:sz w:val="24"/>
          <w:highlight w:val="none"/>
        </w:rPr>
        <w:t>资格条件及其他</w:t>
      </w:r>
      <w:bookmarkEnd w:id="229"/>
      <w:bookmarkEnd w:id="230"/>
      <w:bookmarkEnd w:id="231"/>
      <w:bookmarkEnd w:id="232"/>
      <w:bookmarkStart w:id="233" w:name="_Toc313888363"/>
      <w:bookmarkStart w:id="234" w:name="_Toc342913422"/>
      <w:bookmarkStart w:id="235" w:name="_Toc313008359"/>
    </w:p>
    <w:p w14:paraId="2AE7455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75A52BE4">
      <w:pPr>
        <w:tabs>
          <w:tab w:val="left" w:pos="6300"/>
        </w:tabs>
        <w:spacing w:line="360" w:lineRule="auto"/>
        <w:ind w:firstLine="570"/>
        <w:rPr>
          <w:rFonts w:hint="eastAsia" w:ascii="仿宋" w:hAnsi="仿宋" w:eastAsia="仿宋" w:cs="仿宋"/>
          <w:sz w:val="24"/>
          <w:szCs w:val="24"/>
          <w:highlight w:val="none"/>
        </w:rPr>
      </w:pPr>
    </w:p>
    <w:p w14:paraId="05E44BA7">
      <w:pPr>
        <w:tabs>
          <w:tab w:val="left" w:pos="6300"/>
        </w:tabs>
        <w:spacing w:line="360" w:lineRule="auto"/>
        <w:ind w:firstLine="570"/>
        <w:rPr>
          <w:rFonts w:hint="eastAsia" w:ascii="仿宋" w:hAnsi="仿宋" w:eastAsia="仿宋" w:cs="仿宋"/>
          <w:highlight w:val="none"/>
        </w:rPr>
      </w:pPr>
    </w:p>
    <w:p w14:paraId="66031D97">
      <w:pPr>
        <w:tabs>
          <w:tab w:val="left" w:pos="6300"/>
        </w:tabs>
        <w:spacing w:line="360" w:lineRule="auto"/>
        <w:ind w:firstLine="570"/>
        <w:rPr>
          <w:rFonts w:hint="eastAsia" w:ascii="仿宋" w:hAnsi="仿宋" w:eastAsia="仿宋" w:cs="仿宋"/>
          <w:highlight w:val="none"/>
        </w:rPr>
      </w:pPr>
    </w:p>
    <w:p w14:paraId="4B1AEA4D">
      <w:pPr>
        <w:tabs>
          <w:tab w:val="left" w:pos="6300"/>
        </w:tabs>
        <w:spacing w:line="360" w:lineRule="auto"/>
        <w:ind w:firstLine="570"/>
        <w:rPr>
          <w:rFonts w:hint="eastAsia" w:ascii="仿宋" w:hAnsi="仿宋" w:eastAsia="仿宋" w:cs="仿宋"/>
          <w:highlight w:val="none"/>
        </w:rPr>
      </w:pPr>
    </w:p>
    <w:p w14:paraId="05FA3579">
      <w:pPr>
        <w:tabs>
          <w:tab w:val="left" w:pos="6300"/>
        </w:tabs>
        <w:spacing w:line="360" w:lineRule="auto"/>
        <w:ind w:firstLine="570"/>
        <w:rPr>
          <w:rFonts w:hint="eastAsia" w:ascii="仿宋" w:hAnsi="仿宋" w:eastAsia="仿宋" w:cs="仿宋"/>
          <w:highlight w:val="none"/>
        </w:rPr>
      </w:pPr>
    </w:p>
    <w:p w14:paraId="425FBB90">
      <w:pPr>
        <w:widowControl/>
        <w:spacing w:line="360" w:lineRule="auto"/>
        <w:ind w:firstLine="560" w:firstLineChars="200"/>
        <w:jc w:val="left"/>
        <w:rPr>
          <w:rFonts w:hint="eastAsia"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（二）法定代表人身份证明书（格式）</w:t>
      </w:r>
    </w:p>
    <w:p w14:paraId="4F7F35F6">
      <w:pPr>
        <w:tabs>
          <w:tab w:val="left" w:pos="6300"/>
        </w:tabs>
        <w:spacing w:line="360" w:lineRule="auto"/>
        <w:ind w:firstLine="570"/>
        <w:rPr>
          <w:rFonts w:hint="eastAsia" w:ascii="仿宋" w:hAnsi="仿宋" w:eastAsia="仿宋" w:cs="仿宋"/>
          <w:sz w:val="24"/>
          <w:highlight w:val="none"/>
        </w:rPr>
      </w:pPr>
    </w:p>
    <w:p w14:paraId="6CBD22B0">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谈判项目名称：</w:t>
      </w:r>
      <w:r>
        <w:rPr>
          <w:rFonts w:hint="eastAsia" w:ascii="仿宋" w:hAnsi="仿宋" w:eastAsia="仿宋" w:cs="仿宋"/>
          <w:sz w:val="24"/>
          <w:highlight w:val="none"/>
          <w:u w:val="single"/>
        </w:rPr>
        <w:t xml:space="preserve">                                                </w:t>
      </w:r>
    </w:p>
    <w:p w14:paraId="4EF5F031">
      <w:pPr>
        <w:tabs>
          <w:tab w:val="left" w:pos="6300"/>
        </w:tabs>
        <w:spacing w:line="360" w:lineRule="auto"/>
        <w:ind w:firstLine="570"/>
        <w:rPr>
          <w:rFonts w:hint="eastAsia" w:ascii="仿宋" w:hAnsi="仿宋" w:eastAsia="仿宋" w:cs="仿宋"/>
          <w:sz w:val="24"/>
          <w:highlight w:val="none"/>
        </w:rPr>
      </w:pPr>
    </w:p>
    <w:p w14:paraId="2FE8328B">
      <w:pPr>
        <w:tabs>
          <w:tab w:val="left" w:pos="630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3200058C">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（法定代表人姓名）在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（职务名称）职务，是（供应商名称）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w:t>
      </w:r>
    </w:p>
    <w:p w14:paraId="0206B36A">
      <w:pPr>
        <w:tabs>
          <w:tab w:val="left" w:pos="6300"/>
        </w:tabs>
        <w:spacing w:line="360" w:lineRule="auto"/>
        <w:ind w:firstLine="570"/>
        <w:rPr>
          <w:rFonts w:hint="eastAsia" w:ascii="仿宋" w:hAnsi="仿宋" w:eastAsia="仿宋" w:cs="仿宋"/>
          <w:sz w:val="24"/>
          <w:highlight w:val="none"/>
        </w:rPr>
      </w:pPr>
    </w:p>
    <w:p w14:paraId="6A7E2C88">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特此证明。</w:t>
      </w:r>
    </w:p>
    <w:p w14:paraId="082C3338">
      <w:pPr>
        <w:tabs>
          <w:tab w:val="left" w:pos="6300"/>
        </w:tabs>
        <w:spacing w:line="360" w:lineRule="auto"/>
        <w:ind w:firstLine="570"/>
        <w:rPr>
          <w:rFonts w:hint="eastAsia" w:ascii="仿宋" w:hAnsi="仿宋" w:eastAsia="仿宋" w:cs="仿宋"/>
          <w:sz w:val="24"/>
          <w:highlight w:val="none"/>
        </w:rPr>
      </w:pPr>
    </w:p>
    <w:p w14:paraId="3F6914B1">
      <w:pPr>
        <w:tabs>
          <w:tab w:val="left" w:pos="6300"/>
        </w:tabs>
        <w:spacing w:line="360" w:lineRule="auto"/>
        <w:ind w:firstLine="570"/>
        <w:rPr>
          <w:rFonts w:hint="eastAsia" w:ascii="仿宋" w:hAnsi="仿宋" w:eastAsia="仿宋" w:cs="仿宋"/>
          <w:sz w:val="24"/>
          <w:highlight w:val="none"/>
        </w:rPr>
      </w:pPr>
    </w:p>
    <w:p w14:paraId="491AB3F2">
      <w:pPr>
        <w:tabs>
          <w:tab w:val="left" w:pos="6300"/>
        </w:tabs>
        <w:spacing w:line="360" w:lineRule="auto"/>
        <w:ind w:firstLine="570"/>
        <w:rPr>
          <w:rFonts w:hint="eastAsia" w:ascii="仿宋" w:hAnsi="仿宋" w:eastAsia="仿宋" w:cs="仿宋"/>
          <w:sz w:val="24"/>
          <w:highlight w:val="none"/>
        </w:rPr>
      </w:pPr>
    </w:p>
    <w:p w14:paraId="2E7B2272">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 xml:space="preserve">                                             （供应商公章）</w:t>
      </w:r>
    </w:p>
    <w:p w14:paraId="6EE78A12">
      <w:pPr>
        <w:tabs>
          <w:tab w:val="left" w:pos="6300"/>
        </w:tabs>
        <w:spacing w:line="360" w:lineRule="auto"/>
        <w:ind w:firstLine="570"/>
        <w:rPr>
          <w:rFonts w:hint="eastAsia" w:ascii="仿宋" w:hAnsi="仿宋" w:eastAsia="仿宋" w:cs="仿宋"/>
          <w:sz w:val="24"/>
          <w:highlight w:val="none"/>
        </w:rPr>
      </w:pPr>
    </w:p>
    <w:p w14:paraId="19D02B82">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77AB5ED0">
      <w:pPr>
        <w:tabs>
          <w:tab w:val="left" w:pos="6300"/>
        </w:tabs>
        <w:spacing w:line="360" w:lineRule="auto"/>
        <w:ind w:firstLine="570"/>
        <w:rPr>
          <w:rFonts w:hint="eastAsia" w:ascii="仿宋" w:hAnsi="仿宋" w:eastAsia="仿宋" w:cs="仿宋"/>
          <w:sz w:val="24"/>
          <w:highlight w:val="none"/>
        </w:rPr>
      </w:pPr>
    </w:p>
    <w:p w14:paraId="65281D45">
      <w:pPr>
        <w:tabs>
          <w:tab w:val="left" w:pos="6300"/>
        </w:tabs>
        <w:spacing w:line="360" w:lineRule="auto"/>
        <w:ind w:firstLine="570"/>
        <w:rPr>
          <w:rFonts w:hint="eastAsia" w:ascii="仿宋" w:hAnsi="仿宋" w:eastAsia="仿宋" w:cs="仿宋"/>
          <w:sz w:val="24"/>
          <w:highlight w:val="none"/>
        </w:rPr>
      </w:pPr>
    </w:p>
    <w:p w14:paraId="51979EB3">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法定代表人电话：XXXXXXX      电子邮箱：XXXXXX@XXXXX（若授权他人办理并签署响应文件的可不填写）</w:t>
      </w:r>
    </w:p>
    <w:p w14:paraId="0409CBB3">
      <w:pPr>
        <w:tabs>
          <w:tab w:val="left" w:pos="6300"/>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（附：法定代表人身份证正反面复印件）</w:t>
      </w:r>
    </w:p>
    <w:p w14:paraId="5E8C267A">
      <w:pPr>
        <w:tabs>
          <w:tab w:val="left" w:pos="6300"/>
        </w:tabs>
        <w:spacing w:line="360" w:lineRule="auto"/>
        <w:ind w:firstLine="570"/>
        <w:rPr>
          <w:rFonts w:hint="eastAsia" w:ascii="仿宋" w:hAnsi="仿宋" w:eastAsia="仿宋" w:cs="仿宋"/>
          <w:sz w:val="24"/>
          <w:highlight w:val="none"/>
        </w:rPr>
      </w:pPr>
    </w:p>
    <w:p w14:paraId="338C00D1">
      <w:pPr>
        <w:tabs>
          <w:tab w:val="left" w:pos="6300"/>
        </w:tabs>
        <w:spacing w:line="360" w:lineRule="auto"/>
        <w:ind w:firstLine="570"/>
        <w:rPr>
          <w:rFonts w:hint="eastAsia" w:ascii="仿宋" w:hAnsi="仿宋" w:eastAsia="仿宋" w:cs="仿宋"/>
          <w:sz w:val="24"/>
          <w:highlight w:val="none"/>
        </w:rPr>
      </w:pPr>
    </w:p>
    <w:p w14:paraId="4856A5C6">
      <w:pPr>
        <w:tabs>
          <w:tab w:val="left" w:pos="6300"/>
        </w:tabs>
        <w:spacing w:line="360" w:lineRule="auto"/>
        <w:ind w:firstLine="570"/>
        <w:rPr>
          <w:rFonts w:hint="eastAsia" w:ascii="仿宋" w:hAnsi="仿宋" w:eastAsia="仿宋" w:cs="仿宋"/>
          <w:sz w:val="24"/>
          <w:highlight w:val="none"/>
        </w:rPr>
      </w:pPr>
    </w:p>
    <w:p w14:paraId="5DEA7F03">
      <w:pPr>
        <w:pStyle w:val="2"/>
        <w:rPr>
          <w:rFonts w:hint="eastAsia" w:ascii="仿宋" w:hAnsi="仿宋" w:eastAsia="仿宋" w:cs="仿宋"/>
          <w:sz w:val="24"/>
          <w:highlight w:val="none"/>
        </w:rPr>
      </w:pPr>
    </w:p>
    <w:p w14:paraId="3E622CFE">
      <w:pPr>
        <w:rPr>
          <w:rFonts w:hint="eastAsia" w:ascii="仿宋" w:hAnsi="仿宋" w:eastAsia="仿宋" w:cs="仿宋"/>
          <w:sz w:val="24"/>
          <w:highlight w:val="none"/>
        </w:rPr>
      </w:pPr>
    </w:p>
    <w:p w14:paraId="11402009">
      <w:pPr>
        <w:pStyle w:val="2"/>
        <w:rPr>
          <w:rFonts w:hint="eastAsia" w:ascii="仿宋" w:hAnsi="仿宋" w:eastAsia="仿宋" w:cs="仿宋"/>
          <w:sz w:val="24"/>
          <w:highlight w:val="none"/>
        </w:rPr>
      </w:pPr>
    </w:p>
    <w:p w14:paraId="4EAA3AC6">
      <w:pPr>
        <w:rPr>
          <w:rFonts w:hint="eastAsia" w:ascii="仿宋" w:hAnsi="仿宋" w:eastAsia="仿宋" w:cs="仿宋"/>
          <w:sz w:val="24"/>
          <w:highlight w:val="none"/>
        </w:rPr>
      </w:pPr>
    </w:p>
    <w:p w14:paraId="172F10B9">
      <w:pPr>
        <w:pStyle w:val="2"/>
        <w:rPr>
          <w:rFonts w:hint="eastAsia" w:ascii="仿宋" w:hAnsi="仿宋" w:eastAsia="仿宋" w:cs="仿宋"/>
          <w:sz w:val="24"/>
          <w:highlight w:val="none"/>
        </w:rPr>
      </w:pPr>
    </w:p>
    <w:p w14:paraId="070FC26E">
      <w:pPr>
        <w:rPr>
          <w:rFonts w:hint="eastAsia" w:ascii="仿宋" w:hAnsi="仿宋" w:eastAsia="仿宋" w:cs="仿宋"/>
          <w:sz w:val="24"/>
          <w:highlight w:val="none"/>
        </w:rPr>
      </w:pPr>
    </w:p>
    <w:p w14:paraId="102D48C7">
      <w:pPr>
        <w:pStyle w:val="2"/>
        <w:rPr>
          <w:rFonts w:hint="eastAsia" w:ascii="仿宋" w:hAnsi="仿宋" w:eastAsia="仿宋" w:cs="仿宋"/>
          <w:sz w:val="24"/>
          <w:highlight w:val="none"/>
        </w:rPr>
      </w:pPr>
    </w:p>
    <w:p w14:paraId="1C09C83E">
      <w:pPr>
        <w:rPr>
          <w:rFonts w:hint="eastAsia" w:ascii="仿宋" w:hAnsi="仿宋" w:eastAsia="仿宋" w:cs="仿宋"/>
          <w:sz w:val="24"/>
          <w:highlight w:val="none"/>
        </w:rPr>
      </w:pPr>
    </w:p>
    <w:p w14:paraId="14A78ED7">
      <w:pPr>
        <w:pStyle w:val="2"/>
        <w:rPr>
          <w:rFonts w:hint="eastAsia" w:ascii="仿宋" w:hAnsi="仿宋" w:eastAsia="仿宋" w:cs="仿宋"/>
          <w:sz w:val="24"/>
          <w:highlight w:val="none"/>
        </w:rPr>
      </w:pPr>
    </w:p>
    <w:p w14:paraId="09E87C5E">
      <w:pPr>
        <w:rPr>
          <w:rFonts w:hint="eastAsia" w:ascii="仿宋" w:hAnsi="仿宋" w:eastAsia="仿宋" w:cs="仿宋"/>
          <w:sz w:val="24"/>
          <w:highlight w:val="none"/>
        </w:rPr>
      </w:pPr>
    </w:p>
    <w:p w14:paraId="025AC730">
      <w:pPr>
        <w:pStyle w:val="2"/>
        <w:rPr>
          <w:rFonts w:hint="eastAsia"/>
          <w:highlight w:val="none"/>
        </w:rPr>
      </w:pPr>
    </w:p>
    <w:p w14:paraId="4156C2D2">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1ABA019F">
      <w:pPr>
        <w:tabs>
          <w:tab w:val="left" w:pos="6300"/>
        </w:tabs>
        <w:spacing w:line="52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588FDCF7">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szCs w:val="28"/>
          <w:highlight w:val="none"/>
        </w:rPr>
        <w:t>谈判项目名称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19CD5D97">
      <w:pPr>
        <w:tabs>
          <w:tab w:val="left" w:pos="6300"/>
        </w:tabs>
        <w:spacing w:line="520" w:lineRule="exact"/>
        <w:ind w:firstLine="570"/>
        <w:rPr>
          <w:rFonts w:hint="eastAsia" w:ascii="仿宋" w:hAnsi="仿宋" w:eastAsia="仿宋" w:cs="仿宋"/>
          <w:sz w:val="24"/>
          <w:highlight w:val="none"/>
        </w:rPr>
      </w:pPr>
    </w:p>
    <w:p w14:paraId="29A4935D">
      <w:pPr>
        <w:tabs>
          <w:tab w:val="left" w:pos="6300"/>
        </w:tabs>
        <w:spacing w:line="520" w:lineRule="exac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15F5730F">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（供应商法定代表人名称）是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（被授权人姓名及身份证代码）代表我单位全权办理上述项目的谈判、签约等具体工作，并签署全部有关文件、协议及合同。</w:t>
      </w:r>
    </w:p>
    <w:p w14:paraId="4C5C7C88">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我单位对被授权人的</w:t>
      </w:r>
      <w:r>
        <w:rPr>
          <w:rFonts w:hint="eastAsia" w:ascii="仿宋" w:hAnsi="仿宋" w:eastAsia="仿宋" w:cs="仿宋"/>
          <w:sz w:val="24"/>
          <w:szCs w:val="28"/>
          <w:highlight w:val="none"/>
        </w:rPr>
        <w:t>签署</w:t>
      </w:r>
      <w:r>
        <w:rPr>
          <w:rFonts w:hint="eastAsia" w:ascii="仿宋" w:hAnsi="仿宋" w:eastAsia="仿宋" w:cs="仿宋"/>
          <w:sz w:val="24"/>
          <w:highlight w:val="none"/>
        </w:rPr>
        <w:t>负全部责任。</w:t>
      </w:r>
    </w:p>
    <w:p w14:paraId="7697D3E6">
      <w:pPr>
        <w:tabs>
          <w:tab w:val="left" w:pos="6300"/>
        </w:tabs>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在撤销授权的书面通知以前，本授权书一直有效。被授权人在授权书有效期内签署的所有文件不因授权的撤销而失效。</w:t>
      </w:r>
    </w:p>
    <w:p w14:paraId="5BBED9C2">
      <w:pPr>
        <w:tabs>
          <w:tab w:val="left" w:pos="6300"/>
        </w:tabs>
        <w:spacing w:line="520" w:lineRule="exact"/>
        <w:ind w:firstLine="570"/>
        <w:rPr>
          <w:rFonts w:hint="eastAsia" w:ascii="仿宋" w:hAnsi="仿宋" w:eastAsia="仿宋" w:cs="仿宋"/>
          <w:sz w:val="24"/>
          <w:highlight w:val="none"/>
        </w:rPr>
      </w:pPr>
    </w:p>
    <w:p w14:paraId="6413B10B">
      <w:pPr>
        <w:tabs>
          <w:tab w:val="left" w:pos="6300"/>
        </w:tabs>
        <w:spacing w:line="520" w:lineRule="exact"/>
        <w:ind w:firstLine="570"/>
        <w:rPr>
          <w:rFonts w:hint="eastAsia" w:ascii="仿宋" w:hAnsi="仿宋" w:eastAsia="仿宋" w:cs="仿宋"/>
          <w:sz w:val="24"/>
          <w:highlight w:val="none"/>
        </w:rPr>
      </w:pPr>
    </w:p>
    <w:p w14:paraId="6890D3BC">
      <w:pPr>
        <w:tabs>
          <w:tab w:val="left" w:pos="6300"/>
        </w:tabs>
        <w:spacing w:line="520" w:lineRule="exact"/>
        <w:ind w:firstLine="570"/>
        <w:rPr>
          <w:rFonts w:hint="eastAsia" w:ascii="仿宋" w:hAnsi="仿宋" w:eastAsia="仿宋" w:cs="仿宋"/>
          <w:sz w:val="24"/>
          <w:highlight w:val="none"/>
        </w:rPr>
      </w:pPr>
      <w:r>
        <w:rPr>
          <w:rFonts w:hint="eastAsia" w:ascii="仿宋" w:hAnsi="仿宋" w:eastAsia="仿宋" w:cs="仿宋"/>
          <w:sz w:val="24"/>
          <w:highlight w:val="none"/>
        </w:rPr>
        <w:t>被授权人：                                 供应商法定代表人：</w:t>
      </w:r>
    </w:p>
    <w:p w14:paraId="0A4221D1">
      <w:pPr>
        <w:tabs>
          <w:tab w:val="left" w:pos="6300"/>
        </w:tabs>
        <w:spacing w:line="520" w:lineRule="exact"/>
        <w:ind w:firstLine="570"/>
        <w:rPr>
          <w:rFonts w:hint="eastAsia" w:ascii="仿宋" w:hAnsi="仿宋" w:eastAsia="仿宋" w:cs="仿宋"/>
          <w:sz w:val="24"/>
          <w:szCs w:val="28"/>
          <w:highlight w:val="none"/>
        </w:rPr>
      </w:pPr>
      <w:r>
        <w:rPr>
          <w:rFonts w:hint="eastAsia" w:ascii="仿宋" w:hAnsi="仿宋" w:eastAsia="仿宋" w:cs="仿宋"/>
          <w:sz w:val="24"/>
          <w:szCs w:val="28"/>
          <w:highlight w:val="none"/>
        </w:rPr>
        <w:t>（签署或盖章）                                （签署或盖章）</w:t>
      </w:r>
    </w:p>
    <w:p w14:paraId="203D9756">
      <w:pPr>
        <w:tabs>
          <w:tab w:val="left" w:pos="6300"/>
        </w:tabs>
        <w:spacing w:line="520" w:lineRule="exact"/>
        <w:ind w:firstLine="570"/>
        <w:rPr>
          <w:rFonts w:hint="eastAsia" w:ascii="仿宋" w:hAnsi="仿宋" w:eastAsia="仿宋" w:cs="仿宋"/>
          <w:sz w:val="24"/>
          <w:szCs w:val="28"/>
          <w:highlight w:val="none"/>
        </w:rPr>
      </w:pPr>
    </w:p>
    <w:p w14:paraId="2EA7C497">
      <w:pPr>
        <w:tabs>
          <w:tab w:val="left" w:pos="6300"/>
        </w:tabs>
        <w:spacing w:line="520" w:lineRule="exact"/>
        <w:ind w:firstLine="570"/>
        <w:rPr>
          <w:rFonts w:hint="eastAsia" w:ascii="仿宋" w:hAnsi="仿宋" w:eastAsia="仿宋" w:cs="仿宋"/>
          <w:sz w:val="24"/>
          <w:highlight w:val="none"/>
        </w:rPr>
      </w:pPr>
    </w:p>
    <w:p w14:paraId="152D3DD5">
      <w:pPr>
        <w:tabs>
          <w:tab w:val="left" w:pos="6300"/>
        </w:tabs>
        <w:spacing w:line="520" w:lineRule="exact"/>
        <w:ind w:firstLine="570"/>
        <w:rPr>
          <w:rFonts w:hint="eastAsia" w:ascii="仿宋" w:hAnsi="仿宋" w:eastAsia="仿宋" w:cs="仿宋"/>
          <w:sz w:val="24"/>
          <w:highlight w:val="none"/>
        </w:rPr>
      </w:pPr>
      <w:r>
        <w:rPr>
          <w:rFonts w:hint="eastAsia" w:ascii="仿宋" w:hAnsi="仿宋" w:eastAsia="仿宋" w:cs="仿宋"/>
          <w:sz w:val="24"/>
          <w:highlight w:val="none"/>
        </w:rPr>
        <w:t>（附：被授权人身份证正反面复印件）</w:t>
      </w:r>
    </w:p>
    <w:p w14:paraId="52877F9C">
      <w:pPr>
        <w:tabs>
          <w:tab w:val="left" w:pos="6300"/>
        </w:tabs>
        <w:spacing w:line="52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673BC363">
      <w:pPr>
        <w:tabs>
          <w:tab w:val="left" w:pos="6300"/>
        </w:tabs>
        <w:spacing w:line="520" w:lineRule="exact"/>
        <w:ind w:firstLine="570"/>
        <w:rPr>
          <w:rFonts w:hint="eastAsia" w:ascii="仿宋" w:hAnsi="仿宋" w:eastAsia="仿宋" w:cs="仿宋"/>
          <w:sz w:val="24"/>
          <w:highlight w:val="none"/>
        </w:rPr>
      </w:pPr>
    </w:p>
    <w:p w14:paraId="3B53FEFE">
      <w:pPr>
        <w:tabs>
          <w:tab w:val="left" w:pos="6300"/>
        </w:tabs>
        <w:spacing w:line="520" w:lineRule="exact"/>
        <w:ind w:firstLine="570"/>
        <w:rPr>
          <w:rFonts w:hint="eastAsia" w:ascii="仿宋" w:hAnsi="仿宋" w:eastAsia="仿宋" w:cs="仿宋"/>
          <w:sz w:val="24"/>
          <w:highlight w:val="none"/>
        </w:rPr>
      </w:pPr>
    </w:p>
    <w:p w14:paraId="5FFCB976">
      <w:pPr>
        <w:tabs>
          <w:tab w:val="left" w:pos="6300"/>
        </w:tabs>
        <w:spacing w:line="520" w:lineRule="exact"/>
        <w:ind w:right="480" w:firstLine="570"/>
        <w:jc w:val="right"/>
        <w:rPr>
          <w:rFonts w:hint="eastAsia" w:ascii="仿宋" w:hAnsi="仿宋" w:eastAsia="仿宋" w:cs="仿宋"/>
          <w:sz w:val="24"/>
          <w:highlight w:val="none"/>
        </w:rPr>
      </w:pPr>
      <w:r>
        <w:rPr>
          <w:rFonts w:hint="eastAsia" w:ascii="仿宋" w:hAnsi="仿宋" w:eastAsia="仿宋" w:cs="仿宋"/>
          <w:sz w:val="24"/>
          <w:highlight w:val="none"/>
        </w:rPr>
        <w:t>（供应商公章）</w:t>
      </w:r>
    </w:p>
    <w:p w14:paraId="1CE53D1E">
      <w:pPr>
        <w:tabs>
          <w:tab w:val="left" w:pos="6300"/>
        </w:tabs>
        <w:spacing w:line="520" w:lineRule="exact"/>
        <w:ind w:right="480" w:firstLine="570"/>
        <w:jc w:val="right"/>
        <w:rPr>
          <w:rFonts w:hint="eastAsia" w:ascii="仿宋" w:hAnsi="仿宋" w:eastAsia="仿宋" w:cs="仿宋"/>
          <w:sz w:val="24"/>
          <w:highlight w:val="none"/>
        </w:rPr>
      </w:pPr>
      <w:r>
        <w:rPr>
          <w:rFonts w:hint="eastAsia" w:ascii="仿宋" w:hAnsi="仿宋" w:eastAsia="仿宋" w:cs="仿宋"/>
          <w:sz w:val="24"/>
          <w:highlight w:val="none"/>
        </w:rPr>
        <w:t>年   月   日</w:t>
      </w:r>
    </w:p>
    <w:p w14:paraId="24F0A520">
      <w:pPr>
        <w:tabs>
          <w:tab w:val="left" w:pos="6300"/>
        </w:tabs>
        <w:spacing w:line="520" w:lineRule="exact"/>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被授权人电话：XXXXXXX     电子邮箱：XXXXXX@XXXXX（若法定代表人办理并签署响应文件的可不填写）</w:t>
      </w:r>
    </w:p>
    <w:p w14:paraId="01594ABC">
      <w:pPr>
        <w:tabs>
          <w:tab w:val="left" w:pos="6300"/>
        </w:tabs>
        <w:spacing w:line="520" w:lineRule="exact"/>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注：</w:t>
      </w:r>
    </w:p>
    <w:p w14:paraId="035A2BF7">
      <w:pPr>
        <w:tabs>
          <w:tab w:val="left" w:pos="6300"/>
        </w:tabs>
        <w:spacing w:line="520" w:lineRule="exact"/>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1.若为法定代表人办理并签署响应文件的，不提供此文件。</w:t>
      </w:r>
    </w:p>
    <w:p w14:paraId="38AD74F2">
      <w:pPr>
        <w:widowControl/>
        <w:spacing w:line="360" w:lineRule="auto"/>
        <w:ind w:firstLine="560" w:firstLineChars="200"/>
        <w:jc w:val="left"/>
        <w:rPr>
          <w:rFonts w:hint="eastAsia"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（四）基本资格条件承诺函（格式）</w:t>
      </w:r>
    </w:p>
    <w:p w14:paraId="637B77C4">
      <w:pPr>
        <w:tabs>
          <w:tab w:val="left" w:pos="6300"/>
        </w:tabs>
        <w:spacing w:line="360" w:lineRule="auto"/>
        <w:ind w:firstLine="643" w:firstLineChars="20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基本资格条件承诺函</w:t>
      </w:r>
    </w:p>
    <w:p w14:paraId="6BD7AF04">
      <w:pPr>
        <w:tabs>
          <w:tab w:val="left" w:pos="6300"/>
        </w:tabs>
        <w:spacing w:line="360" w:lineRule="auto"/>
        <w:rPr>
          <w:rFonts w:hint="eastAsia" w:ascii="仿宋" w:hAnsi="仿宋" w:eastAsia="仿宋" w:cs="仿宋"/>
          <w:sz w:val="24"/>
          <w:highlight w:val="none"/>
        </w:rPr>
      </w:pPr>
    </w:p>
    <w:p w14:paraId="28A33542">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33AC7A21">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（供应商名称）郑重承诺：</w:t>
      </w:r>
    </w:p>
    <w:p w14:paraId="462A3CAB">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1.我方具有良好的商业信誉和健全的财务会计制度，具有履行合同所必需的设备和专业技术能力，具</w:t>
      </w:r>
      <w:r>
        <w:rPr>
          <w:rFonts w:hint="eastAsia" w:ascii="仿宋" w:hAnsi="仿宋" w:eastAsia="仿宋" w:cs="仿宋"/>
          <w:sz w:val="24"/>
          <w:highlight w:val="none"/>
          <w:lang w:val="zh-CN"/>
        </w:rPr>
        <w:t>有依法缴纳税收和社会保障金的良好记录</w:t>
      </w:r>
      <w:r>
        <w:rPr>
          <w:rFonts w:hint="eastAsia" w:ascii="仿宋" w:hAnsi="仿宋" w:eastAsia="仿宋" w:cs="仿宋"/>
          <w:sz w:val="24"/>
          <w:highlight w:val="none"/>
        </w:rPr>
        <w:t>，参加本项目采购活动前三年内无重大违法活动记录。</w:t>
      </w:r>
    </w:p>
    <w:p w14:paraId="2C776ED6">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2.我方未列入在信用中国网站（www.creditchina.gov.cn）“失信被执行人”、“重大税收违法失信主体名单”中，也未列入中国政府采购网（www.ccgp.gov.cn）“政府采购严重违法失信行为记录名单”中。</w:t>
      </w:r>
    </w:p>
    <w:p w14:paraId="26466E9D">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3.我方在采购项目评审（评标）环节结束后，随时接受采购人、采购代理机构的检查验证，配合提供相关证明材料，证明符合《中华人民共和国政府采购法》规定的供应商基本资格条件。</w:t>
      </w:r>
    </w:p>
    <w:p w14:paraId="1A92237D">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我方对以上承诺负全部法律责任。</w:t>
      </w:r>
    </w:p>
    <w:p w14:paraId="1DF1D68D">
      <w:pPr>
        <w:tabs>
          <w:tab w:val="left" w:pos="630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28B50D43">
      <w:pPr>
        <w:tabs>
          <w:tab w:val="left" w:pos="6300"/>
        </w:tabs>
        <w:spacing w:line="360" w:lineRule="auto"/>
        <w:ind w:firstLine="480" w:firstLineChars="200"/>
        <w:rPr>
          <w:rFonts w:hint="eastAsia" w:ascii="仿宋" w:hAnsi="仿宋" w:eastAsia="仿宋" w:cs="仿宋"/>
          <w:sz w:val="24"/>
          <w:highlight w:val="none"/>
        </w:rPr>
      </w:pPr>
    </w:p>
    <w:p w14:paraId="45A716CD">
      <w:pPr>
        <w:tabs>
          <w:tab w:val="left" w:pos="6300"/>
        </w:tabs>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（供应商公章）</w:t>
      </w:r>
    </w:p>
    <w:p w14:paraId="49CCB4F6">
      <w:pPr>
        <w:widowControl/>
        <w:spacing w:line="360" w:lineRule="auto"/>
        <w:ind w:firstLine="7920" w:firstLineChars="3300"/>
        <w:jc w:val="left"/>
        <w:rPr>
          <w:rFonts w:hint="eastAsia" w:ascii="仿宋" w:hAnsi="仿宋" w:eastAsia="仿宋" w:cs="仿宋"/>
          <w:sz w:val="24"/>
          <w:szCs w:val="24"/>
          <w:highlight w:val="none"/>
        </w:rPr>
      </w:pPr>
      <w:r>
        <w:rPr>
          <w:rFonts w:hint="eastAsia" w:ascii="仿宋" w:hAnsi="仿宋" w:eastAsia="仿宋" w:cs="仿宋"/>
          <w:sz w:val="24"/>
          <w:highlight w:val="none"/>
        </w:rPr>
        <w:t>年   月   日</w:t>
      </w:r>
    </w:p>
    <w:p w14:paraId="0A5C15B1">
      <w:pPr>
        <w:widowControl/>
        <w:spacing w:line="360" w:lineRule="auto"/>
        <w:ind w:firstLine="560" w:firstLineChars="200"/>
        <w:jc w:val="left"/>
        <w:rPr>
          <w:rFonts w:hint="eastAsia"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（五）特定资格条件证书或证明文件(如有）</w:t>
      </w:r>
    </w:p>
    <w:p w14:paraId="6D2A640F">
      <w:pPr>
        <w:widowControl/>
        <w:spacing w:line="360" w:lineRule="auto"/>
        <w:ind w:firstLine="480" w:firstLineChars="200"/>
        <w:jc w:val="left"/>
        <w:rPr>
          <w:rFonts w:hint="eastAsia" w:ascii="仿宋" w:hAnsi="仿宋" w:eastAsia="仿宋" w:cs="仿宋"/>
          <w:sz w:val="24"/>
          <w:szCs w:val="24"/>
          <w:highlight w:val="none"/>
        </w:rPr>
      </w:pPr>
    </w:p>
    <w:p w14:paraId="74D993F3">
      <w:pPr>
        <w:widowControl/>
        <w:spacing w:line="360" w:lineRule="auto"/>
        <w:ind w:firstLine="480" w:firstLineChars="200"/>
        <w:jc w:val="left"/>
        <w:rPr>
          <w:rFonts w:hint="eastAsia" w:ascii="仿宋" w:hAnsi="仿宋" w:eastAsia="仿宋" w:cs="仿宋"/>
          <w:sz w:val="24"/>
          <w:szCs w:val="24"/>
          <w:highlight w:val="none"/>
        </w:rPr>
      </w:pPr>
    </w:p>
    <w:p w14:paraId="446D1843">
      <w:pPr>
        <w:pStyle w:val="4"/>
        <w:spacing w:before="0" w:after="0" w:line="360" w:lineRule="auto"/>
        <w:ind w:firstLine="482" w:firstLineChars="200"/>
        <w:rPr>
          <w:rFonts w:hint="eastAsia" w:ascii="仿宋" w:hAnsi="仿宋" w:eastAsia="仿宋" w:cs="仿宋"/>
          <w:sz w:val="24"/>
          <w:highlight w:val="none"/>
        </w:rPr>
      </w:pPr>
      <w:r>
        <w:rPr>
          <w:rFonts w:hint="eastAsia" w:ascii="仿宋" w:hAnsi="仿宋" w:eastAsia="仿宋" w:cs="仿宋"/>
          <w:sz w:val="24"/>
          <w:szCs w:val="24"/>
          <w:highlight w:val="none"/>
        </w:rPr>
        <w:br w:type="page"/>
      </w:r>
      <w:bookmarkStart w:id="236" w:name="_Toc24509"/>
      <w:bookmarkStart w:id="237" w:name="_Toc65660383"/>
      <w:bookmarkStart w:id="238" w:name="_Toc2080"/>
      <w:bookmarkStart w:id="239" w:name="_Toc17010"/>
      <w:r>
        <w:rPr>
          <w:rFonts w:hint="eastAsia" w:ascii="仿宋" w:hAnsi="仿宋" w:eastAsia="仿宋" w:cs="仿宋"/>
          <w:sz w:val="24"/>
          <w:highlight w:val="none"/>
        </w:rPr>
        <w:t>五、</w:t>
      </w:r>
      <w:bookmarkEnd w:id="233"/>
      <w:bookmarkEnd w:id="234"/>
      <w:bookmarkEnd w:id="235"/>
      <w:r>
        <w:rPr>
          <w:rFonts w:hint="eastAsia" w:ascii="仿宋" w:hAnsi="仿宋" w:eastAsia="仿宋" w:cs="仿宋"/>
          <w:sz w:val="24"/>
          <w:highlight w:val="none"/>
        </w:rPr>
        <w:t>其他资料</w:t>
      </w:r>
      <w:bookmarkEnd w:id="236"/>
      <w:bookmarkEnd w:id="237"/>
      <w:bookmarkEnd w:id="238"/>
      <w:bookmarkEnd w:id="239"/>
    </w:p>
    <w:p w14:paraId="5AC02516">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（一）其他与项目有关的资料（自附）</w:t>
      </w:r>
    </w:p>
    <w:p w14:paraId="3B757FBD">
      <w:pPr>
        <w:spacing w:line="360" w:lineRule="auto"/>
        <w:ind w:firstLine="480" w:firstLineChars="200"/>
        <w:rPr>
          <w:rFonts w:hint="eastAsia" w:ascii="仿宋" w:hAnsi="仿宋" w:eastAsia="仿宋" w:cs="仿宋"/>
          <w:sz w:val="24"/>
          <w:szCs w:val="24"/>
          <w:highlight w:val="none"/>
        </w:rPr>
      </w:pPr>
    </w:p>
    <w:p w14:paraId="1A4D83CA">
      <w:pPr>
        <w:spacing w:line="360" w:lineRule="auto"/>
        <w:ind w:firstLine="480" w:firstLineChars="200"/>
        <w:jc w:val="center"/>
        <w:rPr>
          <w:rFonts w:hint="eastAsia" w:ascii="仿宋" w:hAnsi="仿宋" w:eastAsia="仿宋" w:cs="仿宋"/>
          <w:sz w:val="24"/>
          <w:szCs w:val="24"/>
          <w:highlight w:val="none"/>
        </w:rPr>
      </w:pPr>
    </w:p>
    <w:p w14:paraId="3FE66865">
      <w:pPr>
        <w:spacing w:line="360" w:lineRule="auto"/>
        <w:ind w:firstLine="480" w:firstLineChars="200"/>
        <w:jc w:val="center"/>
        <w:rPr>
          <w:rFonts w:hint="eastAsia" w:ascii="仿宋" w:hAnsi="仿宋" w:eastAsia="仿宋" w:cs="仿宋"/>
          <w:sz w:val="24"/>
          <w:szCs w:val="24"/>
          <w:highlight w:val="none"/>
        </w:rPr>
      </w:pPr>
    </w:p>
    <w:p w14:paraId="208AD358">
      <w:pPr>
        <w:spacing w:line="360" w:lineRule="auto"/>
        <w:ind w:firstLine="480" w:firstLineChars="200"/>
        <w:jc w:val="center"/>
        <w:rPr>
          <w:rFonts w:hint="eastAsia" w:ascii="仿宋" w:hAnsi="仿宋" w:eastAsia="仿宋" w:cs="仿宋"/>
          <w:sz w:val="24"/>
          <w:szCs w:val="24"/>
          <w:highlight w:val="none"/>
        </w:rPr>
      </w:pPr>
    </w:p>
    <w:p w14:paraId="2931B6A4">
      <w:pPr>
        <w:spacing w:line="360" w:lineRule="auto"/>
        <w:ind w:firstLine="480" w:firstLineChars="200"/>
        <w:jc w:val="center"/>
        <w:rPr>
          <w:rFonts w:hint="eastAsia" w:ascii="仿宋" w:hAnsi="仿宋" w:eastAsia="仿宋" w:cs="仿宋"/>
          <w:sz w:val="24"/>
          <w:szCs w:val="24"/>
          <w:highlight w:val="none"/>
        </w:rPr>
      </w:pPr>
    </w:p>
    <w:p w14:paraId="6ED485EB">
      <w:pPr>
        <w:spacing w:line="360" w:lineRule="auto"/>
        <w:ind w:firstLine="480" w:firstLineChars="200"/>
        <w:jc w:val="center"/>
        <w:rPr>
          <w:rFonts w:hint="eastAsia" w:ascii="仿宋" w:hAnsi="仿宋" w:eastAsia="仿宋" w:cs="仿宋"/>
          <w:sz w:val="24"/>
          <w:szCs w:val="24"/>
          <w:highlight w:val="none"/>
        </w:rPr>
      </w:pPr>
    </w:p>
    <w:p w14:paraId="504D6716">
      <w:pPr>
        <w:spacing w:line="360" w:lineRule="auto"/>
        <w:ind w:firstLine="480" w:firstLineChars="200"/>
        <w:jc w:val="center"/>
        <w:rPr>
          <w:rFonts w:hint="eastAsia" w:ascii="仿宋" w:hAnsi="仿宋" w:eastAsia="仿宋" w:cs="仿宋"/>
          <w:sz w:val="24"/>
          <w:szCs w:val="24"/>
          <w:highlight w:val="none"/>
        </w:rPr>
      </w:pPr>
    </w:p>
    <w:p w14:paraId="6D3106F5">
      <w:pPr>
        <w:spacing w:line="360" w:lineRule="auto"/>
        <w:ind w:firstLine="480" w:firstLineChars="200"/>
        <w:jc w:val="center"/>
        <w:rPr>
          <w:rFonts w:hint="eastAsia" w:ascii="仿宋" w:hAnsi="仿宋" w:eastAsia="仿宋" w:cs="仿宋"/>
          <w:sz w:val="24"/>
          <w:szCs w:val="24"/>
          <w:highlight w:val="none"/>
        </w:rPr>
      </w:pPr>
    </w:p>
    <w:p w14:paraId="29E639FE">
      <w:pPr>
        <w:spacing w:line="360" w:lineRule="auto"/>
        <w:ind w:firstLine="480" w:firstLineChars="200"/>
        <w:jc w:val="center"/>
        <w:rPr>
          <w:rFonts w:hint="eastAsia" w:ascii="仿宋" w:hAnsi="仿宋" w:eastAsia="仿宋" w:cs="仿宋"/>
          <w:sz w:val="24"/>
          <w:szCs w:val="24"/>
          <w:highlight w:val="none"/>
        </w:rPr>
      </w:pPr>
    </w:p>
    <w:p w14:paraId="42BB723F">
      <w:pPr>
        <w:spacing w:line="360" w:lineRule="auto"/>
        <w:ind w:firstLine="480" w:firstLineChars="200"/>
        <w:jc w:val="center"/>
        <w:rPr>
          <w:rFonts w:hint="eastAsia" w:ascii="仿宋" w:hAnsi="仿宋" w:eastAsia="仿宋" w:cs="仿宋"/>
          <w:sz w:val="24"/>
          <w:szCs w:val="24"/>
          <w:highlight w:val="none"/>
        </w:rPr>
      </w:pPr>
    </w:p>
    <w:p w14:paraId="707809FF">
      <w:pPr>
        <w:spacing w:line="360" w:lineRule="auto"/>
        <w:ind w:firstLine="480" w:firstLineChars="200"/>
        <w:jc w:val="center"/>
        <w:rPr>
          <w:rFonts w:hint="eastAsia" w:ascii="仿宋" w:hAnsi="仿宋" w:eastAsia="仿宋" w:cs="仿宋"/>
          <w:sz w:val="24"/>
          <w:szCs w:val="24"/>
          <w:highlight w:val="none"/>
        </w:rPr>
      </w:pPr>
    </w:p>
    <w:p w14:paraId="53CFE6BE">
      <w:pPr>
        <w:spacing w:line="360" w:lineRule="auto"/>
        <w:ind w:firstLine="480" w:firstLineChars="200"/>
        <w:jc w:val="center"/>
        <w:rPr>
          <w:rFonts w:hint="eastAsia" w:ascii="仿宋" w:hAnsi="仿宋" w:eastAsia="仿宋" w:cs="仿宋"/>
          <w:sz w:val="24"/>
          <w:szCs w:val="24"/>
          <w:highlight w:val="none"/>
        </w:rPr>
      </w:pPr>
    </w:p>
    <w:p w14:paraId="62E261DE">
      <w:pPr>
        <w:spacing w:line="360" w:lineRule="auto"/>
        <w:ind w:firstLine="480" w:firstLineChars="200"/>
        <w:jc w:val="center"/>
        <w:rPr>
          <w:rFonts w:hint="eastAsia" w:ascii="仿宋" w:hAnsi="仿宋" w:eastAsia="仿宋" w:cs="仿宋"/>
          <w:sz w:val="24"/>
          <w:szCs w:val="24"/>
          <w:highlight w:val="none"/>
        </w:rPr>
      </w:pPr>
    </w:p>
    <w:p w14:paraId="356293CC">
      <w:pPr>
        <w:spacing w:line="360" w:lineRule="auto"/>
        <w:ind w:firstLine="480" w:firstLineChars="200"/>
        <w:jc w:val="center"/>
        <w:rPr>
          <w:rFonts w:hint="eastAsia" w:ascii="仿宋" w:hAnsi="仿宋" w:eastAsia="仿宋" w:cs="仿宋"/>
          <w:sz w:val="24"/>
          <w:szCs w:val="24"/>
          <w:highlight w:val="none"/>
        </w:rPr>
      </w:pPr>
    </w:p>
    <w:p w14:paraId="4388F085">
      <w:pPr>
        <w:spacing w:line="360" w:lineRule="auto"/>
        <w:ind w:firstLine="480" w:firstLineChars="200"/>
        <w:jc w:val="center"/>
        <w:rPr>
          <w:rFonts w:hint="eastAsia" w:ascii="仿宋" w:hAnsi="仿宋" w:eastAsia="仿宋" w:cs="仿宋"/>
          <w:sz w:val="24"/>
          <w:szCs w:val="24"/>
          <w:highlight w:val="none"/>
        </w:rPr>
      </w:pPr>
    </w:p>
    <w:p w14:paraId="3D78C1B6">
      <w:pPr>
        <w:spacing w:line="360" w:lineRule="auto"/>
        <w:ind w:firstLine="480" w:firstLineChars="200"/>
        <w:jc w:val="center"/>
        <w:rPr>
          <w:rFonts w:hint="eastAsia" w:ascii="仿宋" w:hAnsi="仿宋" w:eastAsia="仿宋" w:cs="仿宋"/>
          <w:sz w:val="24"/>
          <w:szCs w:val="24"/>
          <w:highlight w:val="none"/>
        </w:rPr>
      </w:pPr>
    </w:p>
    <w:p w14:paraId="08068CC9">
      <w:pPr>
        <w:spacing w:line="360" w:lineRule="auto"/>
        <w:ind w:firstLine="480" w:firstLineChars="200"/>
        <w:jc w:val="center"/>
        <w:rPr>
          <w:rFonts w:hint="eastAsia" w:ascii="仿宋" w:hAnsi="仿宋" w:eastAsia="仿宋" w:cs="仿宋"/>
          <w:sz w:val="24"/>
          <w:szCs w:val="24"/>
          <w:highlight w:val="none"/>
        </w:rPr>
      </w:pPr>
    </w:p>
    <w:p w14:paraId="3CAE1C47">
      <w:pPr>
        <w:spacing w:line="360" w:lineRule="auto"/>
        <w:ind w:firstLine="480" w:firstLineChars="200"/>
        <w:jc w:val="center"/>
        <w:rPr>
          <w:rFonts w:hint="eastAsia" w:ascii="仿宋" w:hAnsi="仿宋" w:eastAsia="仿宋" w:cs="仿宋"/>
          <w:sz w:val="24"/>
          <w:szCs w:val="24"/>
          <w:highlight w:val="none"/>
        </w:rPr>
      </w:pPr>
    </w:p>
    <w:p w14:paraId="75162923">
      <w:pPr>
        <w:spacing w:line="360" w:lineRule="auto"/>
        <w:ind w:firstLine="480" w:firstLineChars="200"/>
        <w:jc w:val="center"/>
        <w:rPr>
          <w:rFonts w:hint="eastAsia" w:ascii="仿宋" w:hAnsi="仿宋" w:eastAsia="仿宋" w:cs="仿宋"/>
          <w:sz w:val="24"/>
          <w:szCs w:val="24"/>
          <w:highlight w:val="none"/>
        </w:rPr>
      </w:pPr>
    </w:p>
    <w:p w14:paraId="50605A83">
      <w:pPr>
        <w:spacing w:line="360" w:lineRule="auto"/>
        <w:ind w:firstLine="480" w:firstLineChars="200"/>
        <w:jc w:val="center"/>
        <w:rPr>
          <w:rFonts w:hint="eastAsia" w:ascii="仿宋" w:hAnsi="仿宋" w:eastAsia="仿宋" w:cs="仿宋"/>
          <w:sz w:val="24"/>
          <w:szCs w:val="24"/>
          <w:highlight w:val="none"/>
        </w:rPr>
      </w:pPr>
    </w:p>
    <w:p w14:paraId="6E91A0E6">
      <w:pPr>
        <w:spacing w:line="360" w:lineRule="auto"/>
        <w:ind w:firstLine="480" w:firstLineChars="200"/>
        <w:jc w:val="center"/>
        <w:rPr>
          <w:rFonts w:hint="eastAsia" w:ascii="仿宋" w:hAnsi="仿宋" w:eastAsia="仿宋" w:cs="仿宋"/>
          <w:sz w:val="24"/>
          <w:szCs w:val="24"/>
          <w:highlight w:val="none"/>
        </w:rPr>
      </w:pPr>
    </w:p>
    <w:p w14:paraId="1B325E7F">
      <w:pPr>
        <w:spacing w:line="360" w:lineRule="auto"/>
        <w:ind w:firstLine="480" w:firstLineChars="200"/>
        <w:jc w:val="center"/>
        <w:rPr>
          <w:rFonts w:hint="eastAsia" w:ascii="仿宋" w:hAnsi="仿宋" w:eastAsia="仿宋" w:cs="仿宋"/>
          <w:sz w:val="24"/>
          <w:szCs w:val="24"/>
          <w:highlight w:val="none"/>
        </w:rPr>
      </w:pPr>
    </w:p>
    <w:p w14:paraId="3B3A99EB">
      <w:pPr>
        <w:spacing w:line="360" w:lineRule="auto"/>
        <w:ind w:firstLine="560" w:firstLineChars="200"/>
        <w:jc w:val="center"/>
        <w:rPr>
          <w:rFonts w:hint="eastAsia" w:ascii="仿宋" w:hAnsi="仿宋" w:eastAsia="仿宋" w:cs="仿宋"/>
          <w:highlight w:val="none"/>
        </w:rPr>
      </w:pPr>
      <w:r>
        <w:rPr>
          <w:rFonts w:hint="eastAsia" w:ascii="仿宋" w:hAnsi="仿宋" w:eastAsia="仿宋" w:cs="仿宋"/>
          <w:highlight w:val="none"/>
        </w:rPr>
        <w:t>（结束）</w:t>
      </w: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683B6E9-3B67-4F7E-86F2-5754F9C71A1D}"/>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B2151FF4-4C82-4BB9-A1FD-333EBD226D9D}"/>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_GBK">
    <w:panose1 w:val="02000000000000000000"/>
    <w:charset w:val="86"/>
    <w:family w:val="script"/>
    <w:pitch w:val="default"/>
    <w:sig w:usb0="A00002BF" w:usb1="38CF7CFA" w:usb2="00082016" w:usb3="00000000" w:csb0="00040001" w:csb1="00000000"/>
    <w:embedRegular r:id="rId3" w:fontKey="{0991C42C-F11C-4B06-81B2-63962711AA64}"/>
  </w:font>
  <w:font w:name="time">
    <w:altName w:val="Times New Roman"/>
    <w:panose1 w:val="00000000000000000000"/>
    <w:charset w:val="00"/>
    <w:family w:val="roman"/>
    <w:pitch w:val="default"/>
    <w:sig w:usb0="00000000" w:usb1="00000000" w:usb2="00000000" w:usb3="00000000" w:csb0="00040001" w:csb1="00000000"/>
    <w:embedRegular r:id="rId4" w:fontKey="{E40E9277-E977-4DA0-A98C-56F746AAEB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6655">
    <w:pPr>
      <w:pStyle w:val="35"/>
      <w:framePr w:wrap="around" w:vAnchor="text" w:hAnchor="margin" w:xAlign="center" w:y="1"/>
      <w:tabs>
        <w:tab w:val="clear" w:pos="4153"/>
        <w:tab w:val="clear" w:pos="8306"/>
      </w:tabs>
      <w:jc w:val="center"/>
      <w:rPr>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14:paraId="2D76BE0C">
    <w:pPr>
      <w:pStyle w:val="3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E6E06">
    <w:pPr>
      <w:pStyle w:val="35"/>
      <w:tabs>
        <w:tab w:val="clear" w:pos="4153"/>
        <w:tab w:val="clear" w:pos="8306"/>
      </w:tabs>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- 21 -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12AE">
    <w:pPr>
      <w:pStyle w:val="35"/>
      <w:framePr w:wrap="around" w:vAnchor="text" w:hAnchor="margin" w:xAlign="center" w:y="1"/>
      <w:tabs>
        <w:tab w:val="clear" w:pos="4153"/>
        <w:tab w:val="clear" w:pos="8306"/>
      </w:tabs>
    </w:pPr>
    <w:r>
      <w:fldChar w:fldCharType="begin"/>
    </w:r>
    <w:r>
      <w:rPr>
        <w:rStyle w:val="61"/>
      </w:rPr>
      <w:instrText xml:space="preserve">PAGE  </w:instrText>
    </w:r>
    <w:r>
      <w:fldChar w:fldCharType="separate"/>
    </w:r>
    <w:r>
      <w:fldChar w:fldCharType="end"/>
    </w:r>
  </w:p>
  <w:p w14:paraId="1B6EA450">
    <w:pPr>
      <w:pStyle w:val="35"/>
      <w:tabs>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AC1F0">
    <w:pPr>
      <w:pStyle w:val="35"/>
      <w:tabs>
        <w:tab w:val="clear" w:pos="4153"/>
        <w:tab w:val="clear" w:pos="8306"/>
      </w:tabs>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- 33 -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8DC66">
    <w:pPr>
      <w:pStyle w:val="36"/>
      <w:tabs>
        <w:tab w:val="clear" w:pos="4153"/>
        <w:tab w:val="clear" w:pos="8306"/>
      </w:tabs>
      <w:jc w:val="both"/>
      <w:rPr>
        <w:rFonts w:hint="eastAsia" w:ascii="方正仿宋_GBK" w:eastAsia="方正仿宋_GBK"/>
        <w:sz w:val="21"/>
        <w:szCs w:val="21"/>
      </w:rPr>
    </w:pPr>
    <w:r>
      <w:rPr>
        <w:rFonts w:hint="eastAsia" w:ascii="方正仿宋_GBK" w:eastAsia="方正仿宋_GBK"/>
        <w:sz w:val="21"/>
        <w:szCs w:val="21"/>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19"/>
      <w:suff w:val="nothing"/>
      <w:lvlText w:val="附　录　%1"/>
      <w:lvlJc w:val="left"/>
      <w:pPr>
        <w:ind w:left="0" w:firstLine="0"/>
      </w:pPr>
      <w:rPr>
        <w:rFonts w:hint="eastAsia" w:ascii="黑体" w:hAnsi="Times New Roman" w:eastAsia="黑体"/>
        <w:b w:val="0"/>
        <w:i w:val="0"/>
        <w:sz w:val="21"/>
      </w:rPr>
    </w:lvl>
    <w:lvl w:ilvl="1" w:tentative="0">
      <w:start w:val="1"/>
      <w:numFmt w:val="decimal"/>
      <w:pStyle w:val="9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71"/>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5"/>
      <w:lvlText w:val=""/>
      <w:lvlJc w:val="left"/>
      <w:pPr>
        <w:tabs>
          <w:tab w:val="left" w:pos="360"/>
        </w:tabs>
        <w:ind w:left="360" w:hanging="360"/>
      </w:pPr>
      <w:rPr>
        <w:rFonts w:ascii="Wingdings" w:hAnsi="Wingdings"/>
      </w:rPr>
    </w:lvl>
  </w:abstractNum>
  <w:abstractNum w:abstractNumId="3">
    <w:nsid w:val="0000000D"/>
    <w:multiLevelType w:val="singleLevel"/>
    <w:tmpl w:val="0000000D"/>
    <w:lvl w:ilvl="0" w:tentative="0">
      <w:start w:val="1"/>
      <w:numFmt w:val="bullet"/>
      <w:pStyle w:val="116"/>
      <w:lvlText w:val=""/>
      <w:lvlJc w:val="left"/>
      <w:pPr>
        <w:tabs>
          <w:tab w:val="left" w:pos="1200"/>
        </w:tabs>
        <w:ind w:left="1200" w:hanging="360"/>
      </w:pPr>
      <w:rPr>
        <w:rFonts w:ascii="Wingdings" w:hAnsi="Wingdings"/>
      </w:rPr>
    </w:lvl>
  </w:abstractNum>
  <w:abstractNum w:abstractNumId="4">
    <w:nsid w:val="0000000E"/>
    <w:multiLevelType w:val="multilevel"/>
    <w:tmpl w:val="0000000E"/>
    <w:lvl w:ilvl="0" w:tentative="0">
      <w:start w:val="1"/>
      <w:numFmt w:val="bullet"/>
      <w:pStyle w:val="118"/>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5">
    <w:nsid w:val="00000010"/>
    <w:multiLevelType w:val="singleLevel"/>
    <w:tmpl w:val="00000010"/>
    <w:lvl w:ilvl="0" w:tentative="0">
      <w:start w:val="1"/>
      <w:numFmt w:val="bullet"/>
      <w:pStyle w:val="216"/>
      <w:lvlText w:val=""/>
      <w:lvlJc w:val="left"/>
      <w:pPr>
        <w:tabs>
          <w:tab w:val="left" w:pos="1620"/>
        </w:tabs>
        <w:ind w:left="1620" w:hanging="360"/>
      </w:pPr>
      <w:rPr>
        <w:rFonts w:ascii="Wingdings" w:hAnsi="Wingdings"/>
      </w:rPr>
    </w:lvl>
  </w:abstractNum>
  <w:abstractNum w:abstractNumId="6">
    <w:nsid w:val="00000011"/>
    <w:multiLevelType w:val="multilevel"/>
    <w:tmpl w:val="00000011"/>
    <w:lvl w:ilvl="0" w:tentative="0">
      <w:start w:val="1"/>
      <w:numFmt w:val="decimal"/>
      <w:pStyle w:val="167"/>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40"/>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ascii="Wingdings" w:hAnsi="Wingdings"/>
      </w:rPr>
    </w:lvl>
  </w:abstractNum>
  <w:abstractNum w:abstractNumId="10">
    <w:nsid w:val="00000016"/>
    <w:multiLevelType w:val="singleLevel"/>
    <w:tmpl w:val="00000016"/>
    <w:lvl w:ilvl="0" w:tentative="0">
      <w:start w:val="1"/>
      <w:numFmt w:val="decimal"/>
      <w:pStyle w:val="8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9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C26E52A"/>
    <w:multiLevelType w:val="singleLevel"/>
    <w:tmpl w:val="2C26E52A"/>
    <w:lvl w:ilvl="0" w:tentative="0">
      <w:start w:val="1"/>
      <w:numFmt w:val="decimal"/>
      <w:suff w:val="nothing"/>
      <w:lvlText w:val="%1、"/>
      <w:lvlJc w:val="left"/>
    </w:lvl>
  </w:abstractNum>
  <w:num w:numId="1">
    <w:abstractNumId w:val="8"/>
  </w:num>
  <w:num w:numId="2">
    <w:abstractNumId w:val="5"/>
  </w:num>
  <w:num w:numId="3">
    <w:abstractNumId w:val="3"/>
  </w:num>
  <w:num w:numId="4">
    <w:abstractNumId w:val="9"/>
  </w:num>
  <w:num w:numId="5">
    <w:abstractNumId w:val="1"/>
  </w:num>
  <w:num w:numId="6">
    <w:abstractNumId w:val="10"/>
  </w:num>
  <w:num w:numId="7">
    <w:abstractNumId w:val="11"/>
  </w:num>
  <w:num w:numId="8">
    <w:abstractNumId w:val="0"/>
  </w:num>
  <w:num w:numId="9">
    <w:abstractNumId w:val="4"/>
  </w:num>
  <w:num w:numId="10">
    <w:abstractNumId w:val="7"/>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318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pacing w:line="360" w:lineRule="atLeast"/>
      <w:outlineLvl w:val="0"/>
    </w:pPr>
    <w:rPr>
      <w:rFonts w:ascii="宋体"/>
    </w:rPr>
  </w:style>
  <w:style w:type="paragraph" w:styleId="4">
    <w:name w:val="heading 2"/>
    <w:basedOn w:val="1"/>
    <w:next w:val="1"/>
    <w:link w:val="148"/>
    <w:qFormat/>
    <w:uiPriority w:val="0"/>
    <w:pPr>
      <w:keepNext/>
      <w:keepLines/>
      <w:spacing w:before="260" w:beforeAutospacing="0" w:after="260" w:afterAutospacing="0" w:line="413" w:lineRule="auto"/>
      <w:outlineLvl w:val="1"/>
    </w:pPr>
    <w:rPr>
      <w:rFonts w:ascii="Arial" w:hAnsi="Arial" w:eastAsia="黑体"/>
      <w:b/>
      <w:sz w:val="32"/>
    </w:rPr>
  </w:style>
  <w:style w:type="paragraph" w:styleId="5">
    <w:name w:val="heading 3"/>
    <w:basedOn w:val="1"/>
    <w:next w:val="1"/>
    <w:link w:val="91"/>
    <w:qFormat/>
    <w:uiPriority w:val="0"/>
    <w:pPr>
      <w:keepNext/>
      <w:keepLines/>
      <w:spacing w:before="260" w:beforeAutospacing="0" w:after="260" w:afterAutospacing="0" w:line="413" w:lineRule="auto"/>
      <w:outlineLvl w:val="2"/>
    </w:pPr>
    <w:rPr>
      <w:b/>
      <w:sz w:val="32"/>
    </w:rPr>
  </w:style>
  <w:style w:type="paragraph" w:styleId="6">
    <w:name w:val="heading 4"/>
    <w:basedOn w:val="1"/>
    <w:next w:val="1"/>
    <w:qFormat/>
    <w:uiPriority w:val="0"/>
    <w:pPr>
      <w:keepNext/>
      <w:keepLines/>
      <w:spacing w:before="280" w:beforeAutospacing="0" w:after="29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Autospacing="0" w:after="29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spacing w:before="240" w:beforeAutospacing="0" w:after="64"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spacing w:before="240" w:beforeAutospacing="0" w:after="64"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spacing w:before="240" w:beforeAutospacing="0" w:after="64"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spacing w:before="240" w:beforeAutospacing="0" w:after="64" w:afterAutospacing="0" w:line="317" w:lineRule="auto"/>
      <w:ind w:left="1584" w:hanging="1584"/>
      <w:outlineLvl w:val="8"/>
    </w:pPr>
    <w:rPr>
      <w:rFonts w:ascii="Arial" w:hAnsi="Arial" w:eastAsia="黑体"/>
      <w:b/>
      <w:sz w:val="24"/>
    </w:rPr>
  </w:style>
  <w:style w:type="character" w:default="1" w:styleId="59">
    <w:name w:val="Default Paragraph Font"/>
    <w:link w:val="1"/>
    <w:qFormat/>
    <w:uiPriority w:val="0"/>
  </w:style>
  <w:style w:type="table" w:default="1" w:styleId="57">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仿宋_GB2312" w:eastAsia="仿宋_GB2312"/>
      <w:sz w:val="32"/>
    </w:rPr>
  </w:style>
  <w:style w:type="paragraph" w:styleId="12">
    <w:name w:val="List 3"/>
    <w:basedOn w:val="1"/>
    <w:uiPriority w:val="0"/>
    <w:pPr>
      <w:spacing w:line="360" w:lineRule="auto"/>
      <w:ind w:left="100" w:leftChars="400" w:hanging="200" w:hangingChars="200"/>
    </w:pPr>
    <w:rPr>
      <w:sz w:val="24"/>
    </w:rPr>
  </w:style>
  <w:style w:type="paragraph" w:styleId="13">
    <w:name w:val="toc 7"/>
    <w:basedOn w:val="1"/>
    <w:next w:val="1"/>
    <w:uiPriority w:val="0"/>
    <w:pPr>
      <w:ind w:left="2520" w:leftChars="1200"/>
    </w:pPr>
  </w:style>
  <w:style w:type="paragraph" w:styleId="14">
    <w:name w:val="List Number 2"/>
    <w:basedOn w:val="1"/>
    <w:uiPriority w:val="0"/>
    <w:pPr>
      <w:numPr>
        <w:ilvl w:val="0"/>
        <w:numId w:val="1"/>
      </w:numPr>
      <w:tabs>
        <w:tab w:val="clear" w:pos="425"/>
      </w:tabs>
      <w:spacing w:line="360" w:lineRule="auto"/>
    </w:pPr>
    <w:rPr>
      <w:sz w:val="24"/>
    </w:rPr>
  </w:style>
  <w:style w:type="paragraph" w:styleId="15">
    <w:name w:val="List Bullet 4"/>
    <w:basedOn w:val="1"/>
    <w:uiPriority w:val="0"/>
    <w:pPr>
      <w:widowControl/>
      <w:numPr>
        <w:ilvl w:val="0"/>
        <w:numId w:val="2"/>
      </w:numPr>
      <w:tabs>
        <w:tab w:val="clear" w:pos="1620"/>
      </w:tabs>
      <w:spacing w:before="120" w:line="280" w:lineRule="atLeast"/>
      <w:ind w:left="1418" w:hanging="284"/>
      <w:jc w:val="left"/>
    </w:pPr>
    <w:rPr>
      <w:rFonts w:ascii="宋体"/>
      <w:kern w:val="0"/>
      <w:sz w:val="22"/>
    </w:rPr>
  </w:style>
  <w:style w:type="paragraph" w:styleId="16">
    <w:name w:val="Normal Indent"/>
    <w:basedOn w:val="1"/>
    <w:uiPriority w:val="0"/>
    <w:pPr>
      <w:spacing w:line="360" w:lineRule="auto"/>
      <w:ind w:firstLine="420"/>
    </w:pPr>
    <w:rPr>
      <w:sz w:val="24"/>
    </w:rPr>
  </w:style>
  <w:style w:type="paragraph" w:styleId="17">
    <w:name w:val="caption"/>
    <w:basedOn w:val="1"/>
    <w:next w:val="1"/>
    <w:qFormat/>
    <w:uiPriority w:val="0"/>
    <w:pPr>
      <w:widowControl/>
      <w:tabs>
        <w:tab w:val="left" w:pos="1134"/>
      </w:tabs>
      <w:spacing w:line="280" w:lineRule="atLeast"/>
      <w:jc w:val="left"/>
    </w:pPr>
    <w:rPr>
      <w:rFonts w:eastAsia="PMingLiU"/>
      <w:b/>
      <w:kern w:val="0"/>
      <w:sz w:val="24"/>
      <w:lang w:eastAsia="zh-TW"/>
    </w:rPr>
  </w:style>
  <w:style w:type="paragraph" w:styleId="18">
    <w:name w:val="Document Map"/>
    <w:basedOn w:val="1"/>
    <w:uiPriority w:val="0"/>
    <w:pPr>
      <w:shd w:val="clear" w:color="auto" w:fill="000080"/>
    </w:pPr>
  </w:style>
  <w:style w:type="paragraph" w:styleId="19">
    <w:name w:val="toa heading"/>
    <w:basedOn w:val="1"/>
    <w:next w:val="1"/>
    <w:uiPriority w:val="0"/>
    <w:pPr>
      <w:spacing w:before="120"/>
    </w:pPr>
    <w:rPr>
      <w:rFonts w:ascii="Arial" w:hAnsi="Arial"/>
      <w:sz w:val="24"/>
    </w:rPr>
  </w:style>
  <w:style w:type="paragraph" w:styleId="20">
    <w:name w:val="annotation text"/>
    <w:basedOn w:val="1"/>
    <w:link w:val="75"/>
    <w:uiPriority w:val="0"/>
    <w:pPr>
      <w:spacing w:line="360" w:lineRule="atLeast"/>
      <w:jc w:val="left"/>
    </w:pPr>
    <w:rPr>
      <w:kern w:val="0"/>
      <w:sz w:val="24"/>
    </w:rPr>
  </w:style>
  <w:style w:type="paragraph" w:styleId="21">
    <w:name w:val="Body Text 3"/>
    <w:basedOn w:val="1"/>
    <w:uiPriority w:val="0"/>
    <w:pPr>
      <w:spacing w:after="120" w:afterAutospacing="0" w:line="360" w:lineRule="auto"/>
    </w:pPr>
    <w:rPr>
      <w:sz w:val="16"/>
    </w:rPr>
  </w:style>
  <w:style w:type="paragraph" w:styleId="22">
    <w:name w:val="List Bullet 3"/>
    <w:basedOn w:val="1"/>
    <w:qFormat/>
    <w:uiPriority w:val="0"/>
    <w:pPr>
      <w:numPr>
        <w:ilvl w:val="0"/>
        <w:numId w:val="3"/>
      </w:numPr>
      <w:tabs>
        <w:tab w:val="clear" w:pos="1200"/>
      </w:tabs>
      <w:spacing w:line="360" w:lineRule="auto"/>
    </w:pPr>
    <w:rPr>
      <w:sz w:val="24"/>
    </w:rPr>
  </w:style>
  <w:style w:type="paragraph" w:styleId="23">
    <w:name w:val="Body Text Indent"/>
    <w:basedOn w:val="1"/>
    <w:link w:val="183"/>
    <w:uiPriority w:val="0"/>
    <w:pPr>
      <w:spacing w:line="700" w:lineRule="exact"/>
      <w:ind w:left="960"/>
    </w:pPr>
    <w:rPr>
      <w:sz w:val="44"/>
    </w:rPr>
  </w:style>
  <w:style w:type="paragraph" w:styleId="24">
    <w:name w:val="List Number 3"/>
    <w:basedOn w:val="1"/>
    <w:uiPriority w:val="0"/>
    <w:pPr>
      <w:tabs>
        <w:tab w:val="left" w:pos="2120"/>
      </w:tabs>
      <w:spacing w:line="360" w:lineRule="auto"/>
      <w:ind w:left="2120" w:hanging="720"/>
    </w:pPr>
    <w:rPr>
      <w:sz w:val="24"/>
    </w:rPr>
  </w:style>
  <w:style w:type="paragraph" w:styleId="25">
    <w:name w:val="List 2"/>
    <w:basedOn w:val="1"/>
    <w:uiPriority w:val="0"/>
    <w:pPr>
      <w:spacing w:line="360" w:lineRule="auto"/>
      <w:ind w:left="100" w:leftChars="200" w:hanging="200" w:hangingChars="200"/>
    </w:pPr>
    <w:rPr>
      <w:sz w:val="24"/>
    </w:rPr>
  </w:style>
  <w:style w:type="paragraph" w:styleId="26">
    <w:name w:val="List Continue"/>
    <w:basedOn w:val="1"/>
    <w:uiPriority w:val="0"/>
    <w:pPr>
      <w:spacing w:after="120" w:afterAutospacing="0" w:line="360" w:lineRule="auto"/>
      <w:ind w:left="420" w:leftChars="200"/>
    </w:pPr>
    <w:rPr>
      <w:sz w:val="24"/>
    </w:rPr>
  </w:style>
  <w:style w:type="paragraph" w:styleId="27">
    <w:name w:val="List Bullet 2"/>
    <w:basedOn w:val="1"/>
    <w:qFormat/>
    <w:uiPriority w:val="0"/>
    <w:pPr>
      <w:numPr>
        <w:ilvl w:val="0"/>
        <w:numId w:val="4"/>
      </w:numPr>
      <w:tabs>
        <w:tab w:val="clear" w:pos="780"/>
      </w:tabs>
      <w:spacing w:line="360" w:lineRule="auto"/>
    </w:pPr>
    <w:rPr>
      <w:sz w:val="24"/>
    </w:rPr>
  </w:style>
  <w:style w:type="paragraph" w:styleId="28">
    <w:name w:val="toc 5"/>
    <w:basedOn w:val="1"/>
    <w:next w:val="1"/>
    <w:uiPriority w:val="0"/>
    <w:pPr>
      <w:ind w:left="1680" w:leftChars="800"/>
    </w:pPr>
  </w:style>
  <w:style w:type="paragraph" w:styleId="29">
    <w:name w:val="toc 3"/>
    <w:basedOn w:val="1"/>
    <w:next w:val="1"/>
    <w:uiPriority w:val="39"/>
    <w:pPr>
      <w:ind w:left="840" w:leftChars="400"/>
    </w:pPr>
  </w:style>
  <w:style w:type="paragraph" w:styleId="30">
    <w:name w:val="Plain Text"/>
    <w:basedOn w:val="1"/>
    <w:link w:val="214"/>
    <w:uiPriority w:val="0"/>
    <w:rPr>
      <w:rFonts w:ascii="宋体" w:hAnsi="Courier New"/>
      <w:sz w:val="21"/>
    </w:rPr>
  </w:style>
  <w:style w:type="paragraph" w:styleId="31">
    <w:name w:val="toc 8"/>
    <w:basedOn w:val="1"/>
    <w:next w:val="1"/>
    <w:uiPriority w:val="0"/>
    <w:pPr>
      <w:ind w:left="2940" w:leftChars="1400"/>
    </w:pPr>
  </w:style>
  <w:style w:type="paragraph" w:styleId="32">
    <w:name w:val="Date"/>
    <w:basedOn w:val="1"/>
    <w:next w:val="1"/>
    <w:link w:val="241"/>
    <w:qFormat/>
    <w:uiPriority w:val="0"/>
  </w:style>
  <w:style w:type="paragraph" w:styleId="33">
    <w:name w:val="Body Text Indent 2"/>
    <w:basedOn w:val="1"/>
    <w:link w:val="163"/>
    <w:uiPriority w:val="0"/>
    <w:pPr>
      <w:spacing w:line="560" w:lineRule="atLeast"/>
      <w:ind w:firstLine="540"/>
    </w:pPr>
  </w:style>
  <w:style w:type="paragraph" w:styleId="34">
    <w:name w:val="Balloon Text"/>
    <w:basedOn w:val="1"/>
    <w:uiPriority w:val="0"/>
    <w:rPr>
      <w:sz w:val="18"/>
    </w:rPr>
  </w:style>
  <w:style w:type="paragraph" w:styleId="35">
    <w:name w:val="footer"/>
    <w:basedOn w:val="1"/>
    <w:link w:val="223"/>
    <w:qFormat/>
    <w:uiPriority w:val="99"/>
    <w:pPr>
      <w:tabs>
        <w:tab w:val="center" w:pos="4153"/>
        <w:tab w:val="right" w:pos="8306"/>
      </w:tabs>
      <w:jc w:val="left"/>
    </w:pPr>
    <w:rPr>
      <w:sz w:val="18"/>
    </w:rPr>
  </w:style>
  <w:style w:type="paragraph" w:styleId="36">
    <w:name w:val="header"/>
    <w:basedOn w:val="1"/>
    <w:link w:val="191"/>
    <w:qFormat/>
    <w:uiPriority w:val="99"/>
    <w:pPr>
      <w:pBdr>
        <w:bottom w:val="single" w:color="000000" w:sz="6" w:space="1"/>
      </w:pBdr>
      <w:tabs>
        <w:tab w:val="center" w:pos="4153"/>
        <w:tab w:val="right" w:pos="8306"/>
      </w:tabs>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uiPriority w:val="0"/>
    <w:pPr>
      <w:spacing w:after="120" w:afterAutospacing="0" w:line="360" w:lineRule="auto"/>
      <w:ind w:left="1680" w:leftChars="800"/>
    </w:pPr>
    <w:rPr>
      <w:sz w:val="24"/>
    </w:rPr>
  </w:style>
  <w:style w:type="paragraph" w:styleId="39">
    <w:name w:val="toc 4"/>
    <w:basedOn w:val="1"/>
    <w:next w:val="1"/>
    <w:uiPriority w:val="0"/>
    <w:pPr>
      <w:ind w:left="1260" w:leftChars="600"/>
    </w:pPr>
  </w:style>
  <w:style w:type="paragraph" w:styleId="40">
    <w:name w:val="footnote text"/>
    <w:basedOn w:val="1"/>
    <w:link w:val="206"/>
    <w:uiPriority w:val="0"/>
    <w:pPr>
      <w:spacing w:line="360" w:lineRule="auto"/>
    </w:pPr>
    <w:rPr>
      <w:sz w:val="18"/>
    </w:rPr>
  </w:style>
  <w:style w:type="paragraph" w:styleId="41">
    <w:name w:val="toc 6"/>
    <w:basedOn w:val="1"/>
    <w:next w:val="1"/>
    <w:uiPriority w:val="0"/>
    <w:pPr>
      <w:ind w:left="2100" w:leftChars="1000"/>
    </w:pPr>
  </w:style>
  <w:style w:type="paragraph" w:styleId="42">
    <w:name w:val="List 5"/>
    <w:basedOn w:val="1"/>
    <w:uiPriority w:val="0"/>
    <w:pPr>
      <w:spacing w:line="360" w:lineRule="auto"/>
      <w:ind w:left="100" w:leftChars="800" w:hanging="200" w:hangingChars="200"/>
    </w:pPr>
    <w:rPr>
      <w:sz w:val="24"/>
    </w:rPr>
  </w:style>
  <w:style w:type="paragraph" w:styleId="43">
    <w:name w:val="Body Text Indent 3"/>
    <w:basedOn w:val="1"/>
    <w:uiPriority w:val="0"/>
    <w:pPr>
      <w:spacing w:line="360" w:lineRule="auto"/>
      <w:ind w:firstLine="632"/>
    </w:pPr>
    <w:rPr>
      <w:rFonts w:ascii="黑体" w:eastAsia="黑体"/>
    </w:rPr>
  </w:style>
  <w:style w:type="paragraph" w:styleId="44">
    <w:name w:val="table of figures"/>
    <w:basedOn w:val="1"/>
    <w:next w:val="1"/>
    <w:uiPriority w:val="0"/>
    <w:pPr>
      <w:tabs>
        <w:tab w:val="right" w:leader="dot" w:pos="8640"/>
      </w:tabs>
      <w:spacing w:line="360" w:lineRule="auto"/>
      <w:ind w:left="400" w:hanging="400"/>
    </w:pPr>
    <w:rPr>
      <w:sz w:val="24"/>
    </w:rPr>
  </w:style>
  <w:style w:type="paragraph" w:styleId="45">
    <w:name w:val="toc 2"/>
    <w:basedOn w:val="1"/>
    <w:next w:val="1"/>
    <w:uiPriority w:val="39"/>
    <w:pPr>
      <w:ind w:left="420" w:leftChars="200"/>
    </w:pPr>
  </w:style>
  <w:style w:type="paragraph" w:styleId="46">
    <w:name w:val="toc 9"/>
    <w:basedOn w:val="1"/>
    <w:next w:val="1"/>
    <w:uiPriority w:val="0"/>
    <w:pPr>
      <w:ind w:left="3360" w:leftChars="1600"/>
    </w:pPr>
  </w:style>
  <w:style w:type="paragraph" w:styleId="47">
    <w:name w:val="Body Text 2"/>
    <w:basedOn w:val="1"/>
    <w:uiPriority w:val="0"/>
    <w:pPr>
      <w:spacing w:before="120" w:beforeAutospacing="0" w:line="360" w:lineRule="auto"/>
      <w:ind w:firstLine="480"/>
    </w:pPr>
    <w:rPr>
      <w:sz w:val="24"/>
    </w:rPr>
  </w:style>
  <w:style w:type="paragraph" w:styleId="48">
    <w:name w:val="List 4"/>
    <w:basedOn w:val="1"/>
    <w:uiPriority w:val="0"/>
    <w:pPr>
      <w:spacing w:line="360" w:lineRule="auto"/>
      <w:ind w:left="100" w:leftChars="600" w:hanging="200" w:hangingChars="200"/>
    </w:pPr>
    <w:rPr>
      <w:sz w:val="24"/>
    </w:rPr>
  </w:style>
  <w:style w:type="paragraph" w:styleId="49">
    <w:name w:val="List Continue 2"/>
    <w:basedOn w:val="1"/>
    <w:uiPriority w:val="0"/>
    <w:pPr>
      <w:spacing w:after="120" w:afterAutospacing="0" w:line="360" w:lineRule="auto"/>
      <w:ind w:left="840" w:leftChars="400"/>
    </w:pPr>
    <w:rPr>
      <w:sz w:val="24"/>
    </w:rPr>
  </w:style>
  <w:style w:type="paragraph" w:styleId="50">
    <w:name w:val="Normal (Web)"/>
    <w:basedOn w:val="1"/>
    <w:uiPriority w:val="0"/>
    <w:pPr>
      <w:widowControl/>
      <w:spacing w:before="100" w:beforeAutospacing="1" w:after="100" w:afterAutospacing="1"/>
      <w:jc w:val="left"/>
    </w:pPr>
    <w:rPr>
      <w:rFonts w:ascii="宋体" w:hAnsi="宋体"/>
      <w:kern w:val="0"/>
      <w:sz w:val="24"/>
    </w:rPr>
  </w:style>
  <w:style w:type="paragraph" w:styleId="51">
    <w:name w:val="List Continue 3"/>
    <w:basedOn w:val="1"/>
    <w:uiPriority w:val="0"/>
    <w:pPr>
      <w:spacing w:after="120" w:afterAutospacing="0" w:line="360" w:lineRule="auto"/>
      <w:ind w:left="1260" w:leftChars="600"/>
    </w:pPr>
    <w:rPr>
      <w:sz w:val="24"/>
    </w:rPr>
  </w:style>
  <w:style w:type="paragraph" w:styleId="52">
    <w:name w:val="index 1"/>
    <w:basedOn w:val="1"/>
    <w:next w:val="1"/>
    <w:uiPriority w:val="0"/>
    <w:pPr>
      <w:spacing w:line="240" w:lineRule="atLeast"/>
    </w:pPr>
    <w:rPr>
      <w:rFonts w:ascii="宋体"/>
      <w:kern w:val="0"/>
      <w:sz w:val="21"/>
    </w:rPr>
  </w:style>
  <w:style w:type="paragraph" w:styleId="53">
    <w:name w:val="Title"/>
    <w:basedOn w:val="1"/>
    <w:qFormat/>
    <w:uiPriority w:val="0"/>
    <w:pPr>
      <w:widowControl/>
      <w:spacing w:after="240" w:afterAutospacing="0" w:line="360" w:lineRule="auto"/>
      <w:jc w:val="center"/>
    </w:pPr>
    <w:rPr>
      <w:rFonts w:ascii="Arial" w:hAnsi="Arial"/>
      <w:b/>
      <w:smallCaps/>
      <w:kern w:val="28"/>
      <w:sz w:val="36"/>
      <w:lang w:eastAsia="en-US"/>
    </w:rPr>
  </w:style>
  <w:style w:type="paragraph" w:styleId="54">
    <w:name w:val="annotation subject"/>
    <w:basedOn w:val="20"/>
    <w:next w:val="20"/>
    <w:link w:val="182"/>
    <w:uiPriority w:val="0"/>
    <w:pPr>
      <w:spacing w:line="240" w:lineRule="auto"/>
    </w:pPr>
  </w:style>
  <w:style w:type="paragraph" w:styleId="55">
    <w:name w:val="Body Text First Indent"/>
    <w:basedOn w:val="1"/>
    <w:uiPriority w:val="0"/>
    <w:pPr>
      <w:spacing w:line="360" w:lineRule="auto"/>
      <w:ind w:firstLine="420"/>
    </w:pPr>
    <w:rPr>
      <w:rFonts w:ascii="宋体" w:hAnsi="宋体"/>
      <w:sz w:val="24"/>
    </w:rPr>
  </w:style>
  <w:style w:type="paragraph" w:styleId="56">
    <w:name w:val="Body Text First Indent 2"/>
    <w:basedOn w:val="23"/>
    <w:link w:val="12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link w:val="1"/>
    <w:qFormat/>
    <w:uiPriority w:val="22"/>
    <w:rPr>
      <w:b/>
    </w:rPr>
  </w:style>
  <w:style w:type="character" w:styleId="61">
    <w:name w:val="page number"/>
    <w:link w:val="1"/>
    <w:uiPriority w:val="0"/>
  </w:style>
  <w:style w:type="character" w:styleId="62">
    <w:name w:val="FollowedHyperlink"/>
    <w:link w:val="1"/>
    <w:uiPriority w:val="0"/>
    <w:rPr>
      <w:color w:val="800080"/>
      <w:u w:val="single"/>
    </w:rPr>
  </w:style>
  <w:style w:type="character" w:styleId="63">
    <w:name w:val="Emphasis"/>
    <w:link w:val="1"/>
    <w:qFormat/>
    <w:uiPriority w:val="0"/>
    <w:rPr>
      <w:i/>
    </w:rPr>
  </w:style>
  <w:style w:type="character" w:styleId="64">
    <w:name w:val="Hyperlink"/>
    <w:link w:val="1"/>
    <w:uiPriority w:val="99"/>
    <w:rPr>
      <w:color w:val="0000FF"/>
      <w:u w:val="single"/>
    </w:rPr>
  </w:style>
  <w:style w:type="character" w:styleId="65">
    <w:name w:val="annotation reference"/>
    <w:link w:val="1"/>
    <w:uiPriority w:val="0"/>
    <w:rPr>
      <w:sz w:val="21"/>
      <w:szCs w:val="21"/>
    </w:rPr>
  </w:style>
  <w:style w:type="character" w:styleId="66">
    <w:name w:val="footnote reference"/>
    <w:link w:val="1"/>
    <w:uiPriority w:val="0"/>
    <w:rPr>
      <w:position w:val="6"/>
      <w:sz w:val="14"/>
      <w:vertAlign w:val="superscript"/>
    </w:rPr>
  </w:style>
  <w:style w:type="character" w:customStyle="1" w:styleId="67">
    <w:name w:val="标书正文:  0.74 厘米 Char1"/>
    <w:link w:val="1"/>
    <w:qFormat/>
    <w:uiPriority w:val="0"/>
    <w:rPr>
      <w:rFonts w:eastAsia="宋体"/>
      <w:kern w:val="2"/>
      <w:sz w:val="24"/>
      <w:lang w:val="en-US" w:eastAsia="zh-CN"/>
    </w:rPr>
  </w:style>
  <w:style w:type="paragraph" w:customStyle="1" w:styleId="68">
    <w:name w:val=" Char Char Char1 Char Char Char Char Char Char Char Char Char Char Char Char Char"/>
    <w:basedOn w:val="1"/>
    <w:uiPriority w:val="0"/>
    <w:pPr>
      <w:widowControl/>
      <w:spacing w:after="160" w:line="240" w:lineRule="exact"/>
      <w:jc w:val="left"/>
    </w:pPr>
    <w:rPr>
      <w:rFonts w:ascii="Verdana" w:hAnsi="Verdana"/>
      <w:kern w:val="0"/>
      <w:sz w:val="18"/>
      <w:lang w:eastAsia="en-US"/>
    </w:rPr>
  </w:style>
  <w:style w:type="paragraph" w:customStyle="1" w:styleId="69">
    <w:name w:val=" Char1"/>
    <w:basedOn w:val="1"/>
    <w:uiPriority w:val="0"/>
    <w:rPr>
      <w:sz w:val="21"/>
    </w:rPr>
  </w:style>
  <w:style w:type="paragraph" w:customStyle="1" w:styleId="70">
    <w:name w:val="Char"/>
    <w:basedOn w:val="1"/>
    <w:qFormat/>
    <w:uiPriority w:val="0"/>
    <w:pPr>
      <w:spacing w:line="240" w:lineRule="atLeast"/>
      <w:ind w:left="420" w:firstLine="420"/>
    </w:pPr>
    <w:rPr>
      <w:kern w:val="0"/>
      <w:sz w:val="21"/>
    </w:rPr>
  </w:style>
  <w:style w:type="paragraph" w:customStyle="1" w:styleId="71">
    <w:name w:val="样式 正文首行缩进 2 + 首行缩进:  2 字符"/>
    <w:basedOn w:val="1"/>
    <w:qFormat/>
    <w:uiPriority w:val="0"/>
    <w:pPr>
      <w:numPr>
        <w:ilvl w:val="0"/>
        <w:numId w:val="5"/>
      </w:numPr>
      <w:tabs>
        <w:tab w:val="clear" w:pos="987"/>
      </w:tabs>
      <w:spacing w:line="360" w:lineRule="auto"/>
    </w:pPr>
    <w:rPr>
      <w:rFonts w:ascii="Arial" w:hAnsi="Arial"/>
      <w:b/>
      <w:sz w:val="24"/>
    </w:rPr>
  </w:style>
  <w:style w:type="character" w:customStyle="1" w:styleId="72">
    <w:name w:val="font01"/>
    <w:link w:val="1"/>
    <w:qFormat/>
    <w:uiPriority w:val="0"/>
    <w:rPr>
      <w:rFonts w:hint="eastAsia" w:ascii="宋体" w:hAnsi="宋体" w:eastAsia="宋体" w:cs="宋体"/>
      <w:b/>
      <w:color w:val="000000"/>
      <w:sz w:val="18"/>
      <w:szCs w:val="18"/>
      <w:u w:val="none"/>
    </w:rPr>
  </w:style>
  <w:style w:type="paragraph" w:customStyle="1" w:styleId="73">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74">
    <w:name w:val="xl5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kern w:val="0"/>
      <w:sz w:val="24"/>
    </w:rPr>
  </w:style>
  <w:style w:type="character" w:customStyle="1" w:styleId="75">
    <w:name w:val="批注文字 Char"/>
    <w:link w:val="20"/>
    <w:qFormat/>
    <w:uiPriority w:val="0"/>
    <w:rPr>
      <w:sz w:val="24"/>
    </w:rPr>
  </w:style>
  <w:style w:type="paragraph" w:customStyle="1" w:styleId="76">
    <w:name w:val="图标"/>
    <w:basedOn w:val="1"/>
    <w:next w:val="1"/>
    <w:qFormat/>
    <w:uiPriority w:val="0"/>
    <w:pPr>
      <w:tabs>
        <w:tab w:val="left" w:pos="420"/>
        <w:tab w:val="left" w:pos="567"/>
        <w:tab w:val="left" w:pos="720"/>
      </w:tabs>
      <w:autoSpaceDE w:val="0"/>
      <w:autoSpaceDN w:val="0"/>
      <w:spacing w:before="120" w:beforeAutospacing="0" w:after="120" w:afterAutospacing="0" w:line="320" w:lineRule="atLeast"/>
      <w:ind w:left="420" w:hanging="420"/>
      <w:jc w:val="center"/>
    </w:pPr>
    <w:rPr>
      <w:rFonts w:eastAsia="仿宋_GB2312"/>
      <w:kern w:val="0"/>
      <w:sz w:val="24"/>
    </w:rPr>
  </w:style>
  <w:style w:type="character" w:customStyle="1" w:styleId="77">
    <w:name w:val="正文 + 三号 Char"/>
    <w:aliases w:val="加粗 Char"/>
    <w:link w:val="1"/>
    <w:qFormat/>
    <w:uiPriority w:val="0"/>
    <w:rPr>
      <w:rFonts w:eastAsia="宋体"/>
      <w:kern w:val="2"/>
      <w:sz w:val="21"/>
      <w:lang w:val="en-US" w:eastAsia="zh-CN"/>
    </w:rPr>
  </w:style>
  <w:style w:type="paragraph" w:customStyle="1" w:styleId="78">
    <w:name w:val="xl4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79">
    <w:name w:val="Table Text Char1"/>
    <w:qFormat/>
    <w:uiPriority w:val="0"/>
    <w:pPr>
      <w:spacing w:before="80" w:after="80"/>
    </w:pPr>
    <w:rPr>
      <w:rFonts w:ascii="Arial" w:hAnsi="Arial" w:eastAsia="宋体" w:cs="Times New Roman"/>
      <w:kern w:val="2"/>
      <w:sz w:val="18"/>
      <w:lang w:val="en-US" w:eastAsia="zh-CN" w:bidi="ar-SA"/>
    </w:rPr>
  </w:style>
  <w:style w:type="paragraph" w:customStyle="1" w:styleId="80">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81">
    <w:name w:val=" Char1 Char Char Char"/>
    <w:basedOn w:val="1"/>
    <w:qFormat/>
    <w:uiPriority w:val="0"/>
    <w:rPr>
      <w:rFonts w:ascii="Tahoma" w:hAnsi="Tahoma"/>
      <w:sz w:val="24"/>
    </w:rPr>
  </w:style>
  <w:style w:type="character" w:customStyle="1" w:styleId="82">
    <w:name w:val="未命名11"/>
    <w:link w:val="1"/>
    <w:qFormat/>
    <w:uiPriority w:val="0"/>
    <w:rPr>
      <w:color w:val="77FFFF"/>
      <w:sz w:val="24"/>
    </w:rPr>
  </w:style>
  <w:style w:type="paragraph" w:customStyle="1" w:styleId="83">
    <w:name w:val="操作步骤"/>
    <w:basedOn w:val="1"/>
    <w:qFormat/>
    <w:uiPriority w:val="0"/>
    <w:pPr>
      <w:numPr>
        <w:ilvl w:val="0"/>
        <w:numId w:val="6"/>
      </w:numPr>
      <w:tabs>
        <w:tab w:val="clear" w:pos="425"/>
      </w:tabs>
      <w:autoSpaceDE w:val="0"/>
      <w:autoSpaceDN w:val="0"/>
      <w:spacing w:line="40" w:lineRule="atLeast"/>
    </w:pPr>
    <w:rPr>
      <w:rFonts w:ascii="昆仑楷体" w:eastAsia="楷体_GB2312"/>
      <w:kern w:val="0"/>
      <w:sz w:val="21"/>
    </w:rPr>
  </w:style>
  <w:style w:type="paragraph" w:customStyle="1" w:styleId="84">
    <w:name w:val="xl23"/>
    <w:basedOn w:val="1"/>
    <w:uiPriority w:val="0"/>
    <w:pPr>
      <w:widowControl/>
      <w:spacing w:before="100" w:beforeAutospacing="1" w:after="100" w:afterAutospacing="1" w:line="360" w:lineRule="auto"/>
    </w:pPr>
    <w:rPr>
      <w:kern w:val="0"/>
      <w:sz w:val="24"/>
    </w:rPr>
  </w:style>
  <w:style w:type="character" w:customStyle="1" w:styleId="85">
    <w:name w:val="font21"/>
    <w:link w:val="1"/>
    <w:qFormat/>
    <w:uiPriority w:val="0"/>
    <w:rPr>
      <w:rFonts w:hint="eastAsia" w:ascii="宋体" w:hAnsi="宋体" w:eastAsia="宋体" w:cs="宋体"/>
      <w:color w:val="000000"/>
      <w:sz w:val="18"/>
      <w:szCs w:val="18"/>
      <w:u w:val="none"/>
    </w:rPr>
  </w:style>
  <w:style w:type="character" w:customStyle="1" w:styleId="86">
    <w:name w:val=" Char Char2"/>
    <w:link w:val="1"/>
    <w:qFormat/>
    <w:uiPriority w:val="0"/>
    <w:rPr>
      <w:rFonts w:eastAsia="宋体"/>
      <w:kern w:val="2"/>
      <w:sz w:val="18"/>
      <w:lang w:val="en-US" w:eastAsia="zh-CN"/>
    </w:rPr>
  </w:style>
  <w:style w:type="paragraph" w:customStyle="1" w:styleId="87">
    <w:name w:val="表格1"/>
    <w:basedOn w:val="1"/>
    <w:next w:val="1"/>
    <w:uiPriority w:val="0"/>
    <w:pPr>
      <w:kinsoku w:val="0"/>
      <w:wordWrap w:val="0"/>
      <w:overflowPunct w:val="0"/>
      <w:autoSpaceDE w:val="0"/>
      <w:autoSpaceDN w:val="0"/>
      <w:spacing w:line="288" w:lineRule="auto"/>
      <w:jc w:val="center"/>
    </w:pPr>
    <w:rPr>
      <w:rFonts w:ascii="宋体"/>
      <w:kern w:val="0"/>
      <w:sz w:val="18"/>
    </w:rPr>
  </w:style>
  <w:style w:type="paragraph" w:customStyle="1" w:styleId="8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89">
    <w:name w:val="标题3——2"/>
    <w:basedOn w:val="5"/>
    <w:next w:val="55"/>
    <w:uiPriority w:val="0"/>
    <w:pPr>
      <w:tabs>
        <w:tab w:val="left" w:pos="1280"/>
        <w:tab w:val="right" w:leader="dot" w:pos="8777"/>
      </w:tabs>
      <w:spacing w:before="312" w:beforeAutospacing="0" w:after="0" w:afterAutospacing="0" w:line="240" w:lineRule="auto"/>
      <w:ind w:left="851" w:hanging="851"/>
      <w:outlineLvl w:val="9"/>
    </w:pPr>
    <w:rPr>
      <w:rFonts w:ascii="黑体" w:hAnsi="宋体" w:eastAsia="黑体"/>
      <w:sz w:val="30"/>
    </w:rPr>
  </w:style>
  <w:style w:type="paragraph" w:customStyle="1" w:styleId="90">
    <w:name w:val="表格内文字"/>
    <w:basedOn w:val="30"/>
    <w:qFormat/>
    <w:uiPriority w:val="0"/>
    <w:rPr>
      <w:color w:val="000000"/>
      <w:lang w:val="en-GB"/>
    </w:rPr>
  </w:style>
  <w:style w:type="character" w:customStyle="1" w:styleId="91">
    <w:name w:val="标题 3 Char"/>
    <w:link w:val="5"/>
    <w:uiPriority w:val="0"/>
    <w:rPr>
      <w:rFonts w:eastAsia="宋体"/>
      <w:b/>
      <w:kern w:val="2"/>
      <w:sz w:val="32"/>
      <w:lang w:val="en-US" w:eastAsia="zh-CN"/>
    </w:rPr>
  </w:style>
  <w:style w:type="paragraph" w:customStyle="1" w:styleId="92">
    <w:name w:val="内容标题"/>
    <w:basedOn w:val="18"/>
    <w:uiPriority w:val="0"/>
    <w:rPr>
      <w:rFonts w:ascii="Tahoma" w:hAnsi="Tahoma"/>
      <w:sz w:val="24"/>
    </w:rPr>
  </w:style>
  <w:style w:type="paragraph" w:customStyle="1" w:styleId="9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94">
    <w:name w:val="样式 首行缩进:  0.74 厘米"/>
    <w:basedOn w:val="1"/>
    <w:qFormat/>
    <w:uiPriority w:val="0"/>
    <w:pPr>
      <w:spacing w:line="360" w:lineRule="auto"/>
      <w:ind w:firstLine="420"/>
    </w:pPr>
    <w:rPr>
      <w:sz w:val="24"/>
    </w:rPr>
  </w:style>
  <w:style w:type="paragraph" w:customStyle="1" w:styleId="95">
    <w:name w:val="样式2"/>
    <w:basedOn w:val="6"/>
    <w:qFormat/>
    <w:uiPriority w:val="0"/>
    <w:pPr>
      <w:numPr>
        <w:ilvl w:val="0"/>
        <w:numId w:val="7"/>
      </w:numPr>
      <w:tabs>
        <w:tab w:val="clear" w:pos="720"/>
      </w:tabs>
      <w:spacing w:before="560" w:line="400" w:lineRule="exact"/>
      <w:jc w:val="center"/>
      <w:outlineLvl w:val="0"/>
    </w:pPr>
    <w:rPr>
      <w:b w:val="0"/>
      <w:sz w:val="44"/>
    </w:rPr>
  </w:style>
  <w:style w:type="paragraph" w:customStyle="1" w:styleId="96">
    <w:name w:val="一级条标题"/>
    <w:basedOn w:val="97"/>
    <w:next w:val="98"/>
    <w:qFormat/>
    <w:uiPriority w:val="0"/>
    <w:pPr>
      <w:numPr>
        <w:ilvl w:val="1"/>
        <w:numId w:val="0"/>
      </w:numPr>
      <w:spacing w:before="0" w:beforeAutospacing="0" w:after="0" w:afterAutospacing="0"/>
      <w:ind w:left="525"/>
      <w:outlineLvl w:val="2"/>
    </w:pPr>
    <w:rPr>
      <w:sz w:val="21"/>
    </w:rPr>
  </w:style>
  <w:style w:type="paragraph" w:customStyle="1" w:styleId="97">
    <w:name w:val="章标题"/>
    <w:next w:val="1"/>
    <w:uiPriority w:val="0"/>
    <w:pPr>
      <w:numPr>
        <w:ilvl w:val="1"/>
        <w:numId w:val="8"/>
      </w:numPr>
      <w:spacing w:before="156" w:after="156"/>
      <w:ind w:left="0"/>
      <w:jc w:val="both"/>
      <w:outlineLvl w:val="1"/>
    </w:pPr>
    <w:rPr>
      <w:rFonts w:ascii="黑体" w:hAnsi="Times New Roman" w:eastAsia="黑体" w:cs="Times New Roman"/>
      <w:sz w:val="24"/>
      <w:lang w:val="en-US" w:eastAsia="zh-CN" w:bidi="ar-SA"/>
    </w:rPr>
  </w:style>
  <w:style w:type="paragraph" w:customStyle="1" w:styleId="98">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9">
    <w:name w:val="正文格式 Char"/>
    <w:basedOn w:val="1"/>
    <w:uiPriority w:val="0"/>
    <w:pPr>
      <w:widowControl/>
      <w:spacing w:line="440" w:lineRule="atLeast"/>
      <w:ind w:firstLine="510"/>
    </w:pPr>
    <w:rPr>
      <w:kern w:val="0"/>
      <w:sz w:val="24"/>
    </w:rPr>
  </w:style>
  <w:style w:type="paragraph" w:customStyle="1" w:styleId="100">
    <w:name w:val="修订"/>
    <w:uiPriority w:val="0"/>
    <w:rPr>
      <w:rFonts w:ascii="Times New Roman" w:hAnsi="Times New Roman" w:eastAsia="宋体" w:cs="Times New Roman"/>
      <w:kern w:val="2"/>
      <w:sz w:val="21"/>
      <w:lang w:val="en-US" w:eastAsia="zh-CN" w:bidi="ar-SA"/>
    </w:rPr>
  </w:style>
  <w:style w:type="paragraph" w:customStyle="1" w:styleId="101">
    <w:name w:val="00"/>
    <w:basedOn w:val="1"/>
    <w:uiPriority w:val="0"/>
    <w:pPr>
      <w:autoSpaceDE w:val="0"/>
      <w:autoSpaceDN w:val="0"/>
      <w:jc w:val="left"/>
    </w:pPr>
    <w:rPr>
      <w:rFonts w:ascii="黑体" w:eastAsia="黑体"/>
      <w:b/>
      <w:kern w:val="0"/>
      <w:sz w:val="20"/>
    </w:rPr>
  </w:style>
  <w:style w:type="character" w:customStyle="1" w:styleId="102">
    <w:name w:val="Table Text Char"/>
    <w:link w:val="103"/>
    <w:uiPriority w:val="0"/>
    <w:rPr>
      <w:rFonts w:ascii="Arial" w:hAnsi="Arial"/>
      <w:kern w:val="2"/>
      <w:sz w:val="18"/>
      <w:lang w:val="en-US" w:eastAsia="zh-CN" w:bidi="ar-SA"/>
    </w:rPr>
  </w:style>
  <w:style w:type="paragraph" w:customStyle="1" w:styleId="103">
    <w:name w:val="Table Text"/>
    <w:link w:val="102"/>
    <w:uiPriority w:val="0"/>
    <w:pPr>
      <w:spacing w:before="80" w:after="80"/>
    </w:pPr>
    <w:rPr>
      <w:rFonts w:ascii="Arial" w:hAnsi="Arial" w:eastAsia="宋体" w:cs="Times New Roman"/>
      <w:kern w:val="2"/>
      <w:sz w:val="18"/>
      <w:lang w:val="en-US" w:eastAsia="zh-CN" w:bidi="ar-SA"/>
    </w:rPr>
  </w:style>
  <w:style w:type="paragraph" w:customStyle="1" w:styleId="104">
    <w:name w:val="列出段落"/>
    <w:basedOn w:val="1"/>
    <w:qFormat/>
    <w:uiPriority w:val="34"/>
    <w:pPr>
      <w:ind w:firstLine="420" w:firstLineChars="200"/>
    </w:pPr>
  </w:style>
  <w:style w:type="paragraph" w:customStyle="1" w:styleId="105">
    <w:name w:val="CSS1级正文 Char"/>
    <w:basedOn w:val="2"/>
    <w:uiPriority w:val="0"/>
    <w:pPr>
      <w:spacing w:line="360" w:lineRule="auto"/>
      <w:ind w:firstLine="480"/>
    </w:pPr>
    <w:rPr>
      <w:rFonts w:ascii="Times New Roman" w:eastAsia="宋体"/>
      <w:sz w:val="24"/>
    </w:rPr>
  </w:style>
  <w:style w:type="paragraph" w:customStyle="1" w:styleId="106">
    <w:name w:val="Table Contents"/>
    <w:basedOn w:val="2"/>
    <w:qFormat/>
    <w:uiPriority w:val="0"/>
    <w:pPr>
      <w:suppressAutoHyphens/>
      <w:jc w:val="left"/>
    </w:pPr>
    <w:rPr>
      <w:rFonts w:ascii="Times New Roman" w:eastAsia="Times New Roman"/>
      <w:kern w:val="0"/>
      <w:sz w:val="24"/>
      <w:lang w:eastAsia="en-US"/>
    </w:rPr>
  </w:style>
  <w:style w:type="paragraph" w:customStyle="1" w:styleId="107">
    <w:name w:val="样式 样式 正文首行缩进 2 + 左  0 字符 + 首行缩进:  2.57 字符"/>
    <w:basedOn w:val="1"/>
    <w:next w:val="1"/>
    <w:uiPriority w:val="0"/>
    <w:pPr>
      <w:spacing w:after="120" w:afterAutospacing="0"/>
      <w:ind w:firstLine="540" w:firstLineChars="257"/>
    </w:pPr>
    <w:rPr>
      <w:sz w:val="21"/>
    </w:rPr>
  </w:style>
  <w:style w:type="character" w:customStyle="1" w:styleId="108">
    <w:name w:val=" Char Char4"/>
    <w:link w:val="1"/>
    <w:uiPriority w:val="0"/>
    <w:rPr>
      <w:rFonts w:eastAsia="宋体"/>
      <w:b/>
      <w:kern w:val="2"/>
      <w:sz w:val="21"/>
      <w:lang w:val="en-US" w:eastAsia="zh-CN"/>
    </w:rPr>
  </w:style>
  <w:style w:type="paragraph" w:customStyle="1" w:styleId="109">
    <w:name w:val="二级条标题"/>
    <w:basedOn w:val="96"/>
    <w:next w:val="98"/>
    <w:uiPriority w:val="0"/>
    <w:pPr>
      <w:ind w:left="840"/>
      <w:outlineLvl w:val="3"/>
    </w:pPr>
  </w:style>
  <w:style w:type="paragraph" w:customStyle="1" w:styleId="110">
    <w:name w:val="Item Step"/>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1">
    <w:name w:val="正文1"/>
    <w:basedOn w:val="1"/>
    <w:uiPriority w:val="0"/>
    <w:pPr>
      <w:spacing w:line="300" w:lineRule="auto"/>
      <w:ind w:firstLine="200" w:firstLineChars="200"/>
    </w:pPr>
    <w:rPr>
      <w:sz w:val="24"/>
    </w:rPr>
  </w:style>
  <w:style w:type="paragraph" w:customStyle="1" w:styleId="112">
    <w:name w:val="样式 正文缩进正文（首行缩进两字）表正文正文非缩进特点标题4段1 + 首行缩进:  2 字符"/>
    <w:basedOn w:val="16"/>
    <w:uiPriority w:val="0"/>
    <w:pPr>
      <w:ind w:firstLine="480" w:firstLineChars="200"/>
    </w:pPr>
  </w:style>
  <w:style w:type="paragraph" w:customStyle="1" w:styleId="113">
    <w:name w:val="Note"/>
    <w:basedOn w:val="1"/>
    <w:uiPriority w:val="0"/>
    <w:pPr>
      <w:pBdr>
        <w:top w:val="single" w:color="000000" w:sz="12" w:space="3"/>
        <w:bottom w:val="single" w:color="000000" w:sz="12" w:space="3"/>
      </w:pBdr>
      <w:spacing w:line="360" w:lineRule="auto"/>
    </w:pPr>
    <w:rPr>
      <w:sz w:val="24"/>
    </w:rPr>
  </w:style>
  <w:style w:type="paragraph" w:customStyle="1" w:styleId="114">
    <w:name w:val="编号正文"/>
    <w:basedOn w:val="115"/>
    <w:uiPriority w:val="0"/>
    <w:pPr>
      <w:spacing w:line="360" w:lineRule="auto"/>
      <w:ind w:left="1407" w:hanging="1047"/>
      <w:jc w:val="left"/>
    </w:pPr>
    <w:rPr>
      <w:rFonts w:eastAsia="仿宋_GB2312"/>
    </w:rPr>
  </w:style>
  <w:style w:type="paragraph" w:customStyle="1" w:styleId="115">
    <w:name w:val="文档正文"/>
    <w:basedOn w:val="1"/>
    <w:uiPriority w:val="0"/>
    <w:pPr>
      <w:spacing w:line="440" w:lineRule="exact"/>
      <w:ind w:firstLine="567"/>
    </w:pPr>
    <w:rPr>
      <w:rFonts w:ascii="Arial Narrow" w:hAnsi="Arial Narrow"/>
      <w:kern w:val="0"/>
      <w:sz w:val="24"/>
    </w:rPr>
  </w:style>
  <w:style w:type="paragraph" w:customStyle="1" w:styleId="116">
    <w:name w:val="列表项目"/>
    <w:basedOn w:val="1"/>
    <w:uiPriority w:val="0"/>
    <w:pPr>
      <w:numPr>
        <w:ilvl w:val="0"/>
        <w:numId w:val="3"/>
      </w:numPr>
      <w:tabs>
        <w:tab w:val="clear" w:pos="1200"/>
      </w:tabs>
      <w:spacing w:line="288" w:lineRule="auto"/>
      <w:ind w:left="840" w:leftChars="200" w:hanging="420" w:hangingChars="200"/>
    </w:pPr>
    <w:rPr>
      <w:sz w:val="21"/>
    </w:rPr>
  </w:style>
  <w:style w:type="paragraph" w:customStyle="1" w:styleId="117">
    <w:name w:val="样式 行距: 1.5 倍行距1"/>
    <w:basedOn w:val="1"/>
    <w:uiPriority w:val="0"/>
    <w:rPr>
      <w:sz w:val="21"/>
    </w:rPr>
  </w:style>
  <w:style w:type="paragraph" w:customStyle="1" w:styleId="118">
    <w:name w:val="首行缩进"/>
    <w:basedOn w:val="1"/>
    <w:uiPriority w:val="0"/>
    <w:pPr>
      <w:numPr>
        <w:ilvl w:val="0"/>
        <w:numId w:val="9"/>
      </w:numPr>
      <w:tabs>
        <w:tab w:val="clear" w:pos="540"/>
      </w:tabs>
      <w:spacing w:line="360" w:lineRule="auto"/>
    </w:pPr>
    <w:rPr>
      <w:rFonts w:eastAsia="仿宋_GB2312"/>
    </w:rPr>
  </w:style>
  <w:style w:type="paragraph" w:customStyle="1" w:styleId="119">
    <w:name w:val="Item Step in Table"/>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character" w:customStyle="1" w:styleId="120">
    <w:name w:val="正文首行缩进 2 Char"/>
    <w:link w:val="56"/>
    <w:uiPriority w:val="0"/>
  </w:style>
  <w:style w:type="paragraph" w:customStyle="1" w:styleId="121">
    <w:name w:val="Title - Revision"/>
    <w:basedOn w:val="53"/>
    <w:uiPriority w:val="0"/>
    <w:pPr>
      <w:spacing w:before="720" w:beforeAutospacing="0"/>
    </w:pPr>
  </w:style>
  <w:style w:type="paragraph" w:customStyle="1" w:styleId="122">
    <w:name w:val=" Char Char Char Char Char Char Char"/>
    <w:basedOn w:val="1"/>
    <w:uiPriority w:val="0"/>
    <w:rPr>
      <w:rFonts w:ascii="Tahoma" w:hAnsi="Tahoma"/>
      <w:sz w:val="24"/>
    </w:rPr>
  </w:style>
  <w:style w:type="character" w:customStyle="1" w:styleId="123">
    <w:name w:val=" Char Char"/>
    <w:link w:val="1"/>
    <w:uiPriority w:val="0"/>
    <w:rPr>
      <w:rFonts w:ascii="宋体" w:hAnsi="宋体" w:eastAsia="宋体"/>
      <w:kern w:val="2"/>
      <w:sz w:val="24"/>
      <w:lang w:val="en-US" w:eastAsia="zh-CN" w:bidi="ar-SA"/>
    </w:rPr>
  </w:style>
  <w:style w:type="paragraph" w:customStyle="1" w:styleId="124">
    <w:name w:val="表头文本"/>
    <w:uiPriority w:val="0"/>
    <w:pPr>
      <w:jc w:val="center"/>
    </w:pPr>
    <w:rPr>
      <w:rFonts w:ascii="Arial" w:hAnsi="Arial" w:eastAsia="宋体" w:cs="Times New Roman"/>
      <w:b/>
      <w:sz w:val="21"/>
      <w:lang w:val="en-US" w:eastAsia="zh-CN" w:bidi="ar-SA"/>
    </w:rPr>
  </w:style>
  <w:style w:type="paragraph" w:customStyle="1" w:styleId="125">
    <w:name w:val="附录1"/>
    <w:basedOn w:val="1"/>
    <w:next w:val="1"/>
    <w:uiPriority w:val="0"/>
    <w:pPr>
      <w:tabs>
        <w:tab w:val="left" w:pos="1304"/>
      </w:tabs>
      <w:ind w:left="425" w:hanging="425"/>
      <w:outlineLvl w:val="0"/>
    </w:pPr>
    <w:rPr>
      <w:rFonts w:ascii="黑体" w:hAnsi="黑体" w:eastAsia="黑体"/>
      <w:b/>
      <w:sz w:val="44"/>
    </w:rPr>
  </w:style>
  <w:style w:type="character" w:customStyle="1" w:styleId="126">
    <w:name w:val="日期 字符1"/>
    <w:link w:val="1"/>
    <w:qFormat/>
    <w:uiPriority w:val="99"/>
    <w:rPr>
      <w:kern w:val="2"/>
      <w:sz w:val="28"/>
    </w:rPr>
  </w:style>
  <w:style w:type="paragraph" w:customStyle="1" w:styleId="127">
    <w:name w:val="段落正文"/>
    <w:basedOn w:val="1"/>
    <w:uiPriority w:val="0"/>
    <w:pPr>
      <w:spacing w:before="156" w:beforeAutospacing="0" w:line="360" w:lineRule="auto"/>
      <w:ind w:firstLine="200" w:firstLineChars="200"/>
    </w:pPr>
    <w:rPr>
      <w:spacing w:val="2"/>
      <w:sz w:val="24"/>
    </w:rPr>
  </w:style>
  <w:style w:type="paragraph" w:customStyle="1" w:styleId="128">
    <w:name w:val="xl27"/>
    <w:basedOn w:val="1"/>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kern w:val="0"/>
      <w:sz w:val="21"/>
    </w:rPr>
  </w:style>
  <w:style w:type="paragraph" w:customStyle="1" w:styleId="129">
    <w:name w:val="Char Char Char Char Char Char Char"/>
    <w:basedOn w:val="18"/>
    <w:uiPriority w:val="0"/>
    <w:rPr>
      <w:rFonts w:ascii="宋体" w:hAnsi="Tahoma"/>
    </w:rPr>
  </w:style>
  <w:style w:type="paragraph" w:customStyle="1" w:styleId="130">
    <w:name w:val="1"/>
    <w:basedOn w:val="1"/>
    <w:next w:val="30"/>
    <w:uiPriority w:val="0"/>
    <w:rPr>
      <w:rFonts w:ascii="宋体" w:hAnsi="Courier New"/>
      <w:sz w:val="21"/>
    </w:rPr>
  </w:style>
  <w:style w:type="paragraph" w:customStyle="1" w:styleId="131">
    <w:name w:val="文档正文 Char Char Char Char Char"/>
    <w:basedOn w:val="1"/>
    <w:uiPriority w:val="0"/>
    <w:pPr>
      <w:spacing w:line="440" w:lineRule="exact"/>
      <w:ind w:firstLine="420"/>
    </w:pPr>
    <w:rPr>
      <w:rFonts w:ascii="Arial Narrow" w:hAnsi="Arial Narrow"/>
      <w:kern w:val="0"/>
      <w:sz w:val="24"/>
    </w:rPr>
  </w:style>
  <w:style w:type="paragraph" w:customStyle="1" w:styleId="132">
    <w:name w:val="表格正文"/>
    <w:basedOn w:val="1"/>
    <w:uiPriority w:val="0"/>
    <w:rPr>
      <w:rFonts w:ascii="Calibri" w:hAnsi="Calibri" w:eastAsia="仿宋" w:cs="宋体"/>
      <w:sz w:val="24"/>
    </w:rPr>
  </w:style>
  <w:style w:type="character" w:customStyle="1" w:styleId="133">
    <w:name w:val="font41"/>
    <w:link w:val="1"/>
    <w:uiPriority w:val="0"/>
    <w:rPr>
      <w:rFonts w:ascii="黑体" w:eastAsia="黑体" w:cs="黑体"/>
      <w:color w:val="000000"/>
      <w:sz w:val="24"/>
      <w:szCs w:val="24"/>
      <w:u w:val="none"/>
    </w:rPr>
  </w:style>
  <w:style w:type="paragraph" w:customStyle="1" w:styleId="134">
    <w:name w:val="默认段落字体 Para Char Char Char Char Char Char Char Char Char1 Char Char Char Char"/>
    <w:basedOn w:val="1"/>
    <w:uiPriority w:val="0"/>
    <w:rPr>
      <w:rFonts w:ascii="Tahoma" w:hAnsi="Tahoma"/>
      <w:sz w:val="24"/>
    </w:rPr>
  </w:style>
  <w:style w:type="paragraph" w:customStyle="1" w:styleId="135">
    <w:name w:val="Table Text Char Char Char"/>
    <w:link w:val="202"/>
    <w:uiPriority w:val="0"/>
    <w:pPr>
      <w:spacing w:before="80" w:after="80"/>
    </w:pPr>
    <w:rPr>
      <w:rFonts w:ascii="Arial" w:hAnsi="Arial" w:eastAsia="宋体" w:cs="Times New Roman"/>
      <w:kern w:val="2"/>
      <w:sz w:val="18"/>
      <w:lang w:val="en-US" w:eastAsia="zh-CN" w:bidi="ar-SA"/>
    </w:rPr>
  </w:style>
  <w:style w:type="paragraph" w:customStyle="1" w:styleId="136">
    <w:name w:val="二级列表"/>
    <w:basedOn w:val="127"/>
    <w:next w:val="127"/>
    <w:uiPriority w:val="0"/>
    <w:pPr>
      <w:tabs>
        <w:tab w:val="left" w:pos="2120"/>
      </w:tabs>
      <w:ind w:firstLine="0" w:firstLineChars="0"/>
    </w:pPr>
    <w:rPr>
      <w:b/>
    </w:rPr>
  </w:style>
  <w:style w:type="paragraph" w:customStyle="1" w:styleId="137">
    <w:name w:val="标题5"/>
    <w:basedOn w:val="1"/>
    <w:uiPriority w:val="0"/>
    <w:pPr>
      <w:tabs>
        <w:tab w:val="left" w:pos="0"/>
      </w:tabs>
      <w:autoSpaceDE w:val="0"/>
      <w:autoSpaceDN w:val="0"/>
      <w:spacing w:line="320" w:lineRule="atLeast"/>
    </w:pPr>
    <w:rPr>
      <w:rFonts w:ascii="宋体"/>
      <w:kern w:val="0"/>
      <w:sz w:val="21"/>
    </w:rPr>
  </w:style>
  <w:style w:type="paragraph" w:customStyle="1" w:styleId="138">
    <w:name w:val="样式 标题 6第五层条 + 三号 段前: 0.5 行"/>
    <w:basedOn w:val="8"/>
    <w:uiPriority w:val="0"/>
    <w:pPr>
      <w:widowControl/>
      <w:numPr>
        <w:ilvl w:val="0"/>
        <w:numId w:val="0"/>
      </w:numPr>
      <w:tabs>
        <w:tab w:val="clear" w:pos="1152"/>
      </w:tabs>
      <w:spacing w:before="156" w:beforeAutospacing="0"/>
      <w:ind w:left="1152" w:hanging="1152"/>
      <w:jc w:val="left"/>
    </w:pPr>
    <w:rPr>
      <w:snapToGrid w:val="0"/>
      <w:kern w:val="24"/>
      <w:sz w:val="28"/>
    </w:rPr>
  </w:style>
  <w:style w:type="paragraph" w:customStyle="1" w:styleId="139">
    <w:name w:val="Table Text Char Char"/>
    <w:uiPriority w:val="0"/>
    <w:pPr>
      <w:spacing w:before="80" w:after="80"/>
    </w:pPr>
    <w:rPr>
      <w:rFonts w:ascii="Arial" w:hAnsi="Arial" w:eastAsia="宋体" w:cs="Times New Roman"/>
      <w:kern w:val="2"/>
      <w:sz w:val="18"/>
      <w:lang w:val="en-US" w:eastAsia="zh-CN" w:bidi="ar-SA"/>
    </w:rPr>
  </w:style>
  <w:style w:type="paragraph" w:customStyle="1" w:styleId="140">
    <w:name w:val="Item List"/>
    <w:uiPriority w:val="0"/>
    <w:pPr>
      <w:numPr>
        <w:ilvl w:val="0"/>
        <w:numId w:val="10"/>
      </w:numPr>
      <w:tabs>
        <w:tab w:val="clear" w:pos="1644"/>
      </w:tabs>
      <w:spacing w:line="300" w:lineRule="auto"/>
      <w:jc w:val="both"/>
    </w:pPr>
    <w:rPr>
      <w:rFonts w:ascii="Arial" w:hAnsi="Arial" w:eastAsia="宋体" w:cs="Times New Roman"/>
      <w:sz w:val="21"/>
      <w:lang w:val="en-US" w:eastAsia="zh-CN" w:bidi="ar-SA"/>
    </w:rPr>
  </w:style>
  <w:style w:type="paragraph" w:customStyle="1" w:styleId="141">
    <w:name w:val=" Char Char Char Char Char Char Char Char Char Char Char Char Char"/>
    <w:basedOn w:val="1"/>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142">
    <w:name w:val="af"/>
    <w:basedOn w:val="1"/>
    <w:uiPriority w:val="0"/>
    <w:pPr>
      <w:widowControl/>
      <w:spacing w:line="300" w:lineRule="atLeast"/>
      <w:jc w:val="left"/>
    </w:pPr>
    <w:rPr>
      <w:rFonts w:ascii="宋体" w:hAnsi="宋体"/>
      <w:kern w:val="0"/>
      <w:sz w:val="18"/>
    </w:rPr>
  </w:style>
  <w:style w:type="character" w:customStyle="1" w:styleId="143">
    <w:name w:val="v151"/>
    <w:link w:val="1"/>
    <w:uiPriority w:val="0"/>
    <w:rPr>
      <w:sz w:val="18"/>
    </w:rPr>
  </w:style>
  <w:style w:type="paragraph" w:customStyle="1" w:styleId="144">
    <w:name w:val="项目"/>
    <w:basedOn w:val="1"/>
    <w:uiPriority w:val="0"/>
    <w:pPr>
      <w:tabs>
        <w:tab w:val="left" w:pos="1280"/>
      </w:tabs>
      <w:spacing w:before="120" w:beforeAutospacing="0" w:after="120" w:afterAutospacing="0" w:line="360" w:lineRule="auto"/>
      <w:ind w:left="-7" w:firstLine="567"/>
      <w:jc w:val="left"/>
    </w:pPr>
    <w:rPr>
      <w:rFonts w:ascii="宋体"/>
      <w:kern w:val="0"/>
      <w:sz w:val="24"/>
    </w:rPr>
  </w:style>
  <w:style w:type="paragraph" w:customStyle="1" w:styleId="145">
    <w:name w:val="表格文本"/>
    <w:uiPriority w:val="0"/>
    <w:pPr>
      <w:tabs>
        <w:tab w:val="decimal" w:pos="0"/>
      </w:tabs>
    </w:pPr>
    <w:rPr>
      <w:rFonts w:ascii="Arial" w:hAnsi="Arial" w:eastAsia="宋体" w:cs="Times New Roman"/>
      <w:sz w:val="21"/>
      <w:lang w:val="en-US" w:eastAsia="zh-CN" w:bidi="ar-SA"/>
    </w:rPr>
  </w:style>
  <w:style w:type="paragraph" w:customStyle="1" w:styleId="146">
    <w:name w:val="标题2"/>
    <w:basedOn w:val="4"/>
    <w:uiPriority w:val="0"/>
    <w:pPr>
      <w:keepNext w:val="0"/>
      <w:keepLines w:val="0"/>
      <w:spacing w:before="0" w:after="0" w:line="360" w:lineRule="auto"/>
      <w:ind w:firstLine="574" w:firstLineChars="196"/>
      <w:outlineLvl w:val="9"/>
    </w:pPr>
    <w:rPr>
      <w:rFonts w:ascii="宋体" w:hAnsi="宋体" w:eastAsia="宋体"/>
      <w:spacing w:val="6"/>
      <w:sz w:val="28"/>
      <w:u w:val="single"/>
    </w:rPr>
  </w:style>
  <w:style w:type="paragraph" w:customStyle="1" w:styleId="147">
    <w:name w:val="附录3"/>
    <w:basedOn w:val="1"/>
    <w:next w:val="1"/>
    <w:uiPriority w:val="0"/>
    <w:pPr>
      <w:numPr>
        <w:ilvl w:val="0"/>
        <w:numId w:val="0"/>
      </w:numPr>
      <w:tabs>
        <w:tab w:val="left" w:pos="851"/>
      </w:tabs>
      <w:ind w:left="425" w:hanging="425"/>
      <w:outlineLvl w:val="2"/>
    </w:pPr>
    <w:rPr>
      <w:rFonts w:eastAsia="黑体"/>
      <w:b/>
      <w:sz w:val="32"/>
    </w:rPr>
  </w:style>
  <w:style w:type="character" w:customStyle="1" w:styleId="148">
    <w:name w:val="标题 2 Char"/>
    <w:link w:val="4"/>
    <w:uiPriority w:val="0"/>
    <w:rPr>
      <w:rFonts w:ascii="Arial" w:hAnsi="Arial" w:eastAsia="黑体"/>
      <w:b/>
      <w:kern w:val="2"/>
      <w:sz w:val="32"/>
    </w:rPr>
  </w:style>
  <w:style w:type="paragraph" w:customStyle="1" w:styleId="149">
    <w:name w:val="IN Step"/>
    <w:basedOn w:val="1"/>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character" w:customStyle="1" w:styleId="150">
    <w:name w:val="小 Char"/>
    <w:aliases w:val="表格文字 Char,普通文字 Char Char1"/>
    <w:link w:val="1"/>
    <w:uiPriority w:val="0"/>
    <w:rPr>
      <w:rFonts w:ascii="宋体" w:hAnsi="Courier New" w:eastAsia="宋体"/>
      <w:kern w:val="2"/>
      <w:sz w:val="21"/>
      <w:lang w:val="en-US" w:eastAsia="zh-CN" w:bidi="ar-SA"/>
    </w:rPr>
  </w:style>
  <w:style w:type="paragraph" w:customStyle="1" w:styleId="151">
    <w:name w:val=" Char Char Char"/>
    <w:basedOn w:val="1"/>
    <w:uiPriority w:val="0"/>
    <w:rPr>
      <w:rFonts w:ascii="Tahoma" w:hAnsi="Tahoma"/>
      <w:sz w:val="24"/>
    </w:rPr>
  </w:style>
  <w:style w:type="paragraph" w:customStyle="1" w:styleId="152">
    <w:name w:val=" Char"/>
    <w:basedOn w:val="1"/>
    <w:uiPriority w:val="0"/>
    <w:pPr>
      <w:spacing w:line="240" w:lineRule="atLeast"/>
      <w:ind w:left="420" w:firstLine="420"/>
    </w:pPr>
    <w:rPr>
      <w:kern w:val="0"/>
      <w:sz w:val="21"/>
    </w:rPr>
  </w:style>
  <w:style w:type="paragraph" w:customStyle="1" w:styleId="153">
    <w:name w:val="tabletext"/>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54">
    <w:name w:val="font1"/>
    <w:link w:val="1"/>
    <w:uiPriority w:val="0"/>
    <w:rPr>
      <w:color w:val="000000"/>
      <w:sz w:val="18"/>
    </w:rPr>
  </w:style>
  <w:style w:type="paragraph" w:customStyle="1" w:styleId="155">
    <w:name w:val="Title - Date"/>
    <w:basedOn w:val="53"/>
    <w:next w:val="1"/>
    <w:uiPriority w:val="0"/>
    <w:pPr>
      <w:spacing w:before="240" w:beforeAutospacing="0" w:after="720" w:afterAutospacing="0"/>
    </w:pPr>
    <w:rPr>
      <w:sz w:val="28"/>
    </w:rPr>
  </w:style>
  <w:style w:type="paragraph" w:customStyle="1" w:styleId="156">
    <w:name w:val="Char1 Char Char Char"/>
    <w:basedOn w:val="1"/>
    <w:uiPriority w:val="0"/>
    <w:rPr>
      <w:rFonts w:ascii="Tahoma" w:hAnsi="Tahoma"/>
      <w:sz w:val="30"/>
    </w:rPr>
  </w:style>
  <w:style w:type="paragraph" w:customStyle="1" w:styleId="157">
    <w:name w:val="小标题 1"/>
    <w:basedOn w:val="1"/>
    <w:uiPriority w:val="0"/>
    <w:pPr>
      <w:autoSpaceDE w:val="0"/>
      <w:autoSpaceDN w:val="0"/>
      <w:spacing w:line="360" w:lineRule="atLeast"/>
    </w:pPr>
    <w:rPr>
      <w:rFonts w:ascii="文鼎粗黑" w:eastAsia="文鼎粗黑"/>
      <w:kern w:val="0"/>
      <w:sz w:val="22"/>
    </w:rPr>
  </w:style>
  <w:style w:type="paragraph" w:customStyle="1" w:styleId="158">
    <w:name w:val="标书正文:  0.74 厘米"/>
    <w:basedOn w:val="1"/>
    <w:uiPriority w:val="0"/>
    <w:pPr>
      <w:spacing w:line="360" w:lineRule="auto"/>
      <w:ind w:firstLine="420"/>
    </w:pPr>
    <w:rPr>
      <w:sz w:val="24"/>
    </w:rPr>
  </w:style>
  <w:style w:type="paragraph" w:customStyle="1" w:styleId="159">
    <w:name w:val="正文格式"/>
    <w:basedOn w:val="1"/>
    <w:uiPriority w:val="0"/>
    <w:pPr>
      <w:widowControl/>
      <w:spacing w:before="60" w:beforeAutospacing="0" w:line="360" w:lineRule="auto"/>
      <w:ind w:firstLine="480" w:firstLineChars="200"/>
      <w:jc w:val="left"/>
    </w:pPr>
    <w:rPr>
      <w:rFonts w:ascii="宋体" w:hAnsi="宋体"/>
      <w:color w:val="000000"/>
      <w:kern w:val="0"/>
      <w:sz w:val="24"/>
    </w:rPr>
  </w:style>
  <w:style w:type="character" w:customStyle="1" w:styleId="160">
    <w:name w:val="font11"/>
    <w:link w:val="1"/>
    <w:uiPriority w:val="0"/>
    <w:rPr>
      <w:rFonts w:hint="eastAsia" w:ascii="宋体" w:hAnsi="宋体" w:eastAsia="宋体" w:cs="宋体"/>
      <w:color w:val="000000"/>
      <w:sz w:val="21"/>
      <w:szCs w:val="21"/>
      <w:u w:val="none"/>
    </w:rPr>
  </w:style>
  <w:style w:type="paragraph" w:customStyle="1" w:styleId="161">
    <w:name w:val=" Char Char1"/>
    <w:basedOn w:val="1"/>
    <w:uiPriority w:val="0"/>
    <w:pPr>
      <w:widowControl/>
      <w:spacing w:after="160" w:afterAutospacing="0" w:line="240" w:lineRule="exact"/>
      <w:jc w:val="left"/>
    </w:pPr>
    <w:rPr>
      <w:rFonts w:ascii="Verdana" w:hAnsi="Verdana"/>
      <w:kern w:val="0"/>
      <w:sz w:val="20"/>
      <w:lang w:eastAsia="en-US"/>
    </w:rPr>
  </w:style>
  <w:style w:type="paragraph" w:customStyle="1" w:styleId="162">
    <w:name w:val="图片文字"/>
    <w:basedOn w:val="1"/>
    <w:uiPriority w:val="0"/>
    <w:pPr>
      <w:spacing w:line="240" w:lineRule="atLeast"/>
      <w:jc w:val="center"/>
    </w:pPr>
    <w:rPr>
      <w:sz w:val="21"/>
    </w:rPr>
  </w:style>
  <w:style w:type="character" w:customStyle="1" w:styleId="163">
    <w:name w:val="正文文本缩进 2 Char"/>
    <w:link w:val="33"/>
    <w:uiPriority w:val="0"/>
    <w:rPr>
      <w:kern w:val="2"/>
      <w:sz w:val="28"/>
    </w:rPr>
  </w:style>
  <w:style w:type="paragraph" w:customStyle="1" w:styleId="164">
    <w:name w:val="1.正文"/>
    <w:basedOn w:val="1"/>
    <w:uiPriority w:val="0"/>
    <w:pPr>
      <w:spacing w:line="360" w:lineRule="auto"/>
      <w:ind w:left="540" w:leftChars="225" w:firstLine="540" w:firstLineChars="225"/>
    </w:pPr>
    <w:rPr>
      <w:sz w:val="24"/>
    </w:rPr>
  </w:style>
  <w:style w:type="paragraph" w:customStyle="1" w:styleId="165">
    <w:name w:val=" Char Char Char Char Char Char Char Char Char Char Char Char Char Char Char Char"/>
    <w:basedOn w:val="1"/>
    <w:uiPriority w:val="0"/>
    <w:pPr>
      <w:tabs>
        <w:tab w:val="left" w:pos="360"/>
      </w:tabs>
    </w:pPr>
    <w:rPr>
      <w:sz w:val="24"/>
    </w:rPr>
  </w:style>
  <w:style w:type="paragraph" w:customStyle="1" w:styleId="166">
    <w:name w:val="AA Numbering"/>
    <w:basedOn w:val="1"/>
    <w:uiPriority w:val="0"/>
    <w:pPr>
      <w:widowControl/>
      <w:tabs>
        <w:tab w:val="left" w:pos="1134"/>
        <w:tab w:val="left" w:pos="1280"/>
      </w:tabs>
      <w:spacing w:line="280" w:lineRule="atLeast"/>
      <w:jc w:val="left"/>
    </w:pPr>
    <w:rPr>
      <w:rFonts w:eastAsia="PMingLiU"/>
      <w:kern w:val="0"/>
      <w:sz w:val="24"/>
      <w:lang w:eastAsia="zh-TW"/>
    </w:rPr>
  </w:style>
  <w:style w:type="paragraph" w:customStyle="1" w:styleId="167">
    <w:name w:val="样式 样式 首行缩进:  2 字符 + 首行缩进:  2 字符"/>
    <w:basedOn w:val="1"/>
    <w:uiPriority w:val="0"/>
    <w:pPr>
      <w:numPr>
        <w:ilvl w:val="0"/>
        <w:numId w:val="11"/>
      </w:numPr>
      <w:tabs>
        <w:tab w:val="clear" w:pos="1230"/>
      </w:tabs>
      <w:spacing w:line="360" w:lineRule="auto"/>
      <w:ind w:firstLine="480" w:firstLineChars="200"/>
    </w:pPr>
    <w:rPr>
      <w:sz w:val="24"/>
    </w:rPr>
  </w:style>
  <w:style w:type="paragraph" w:customStyle="1" w:styleId="168">
    <w:name w:val=" Char Char 字元 字元 字元 Char Char Char Char"/>
    <w:basedOn w:val="1"/>
    <w:uiPriority w:val="0"/>
    <w:pPr>
      <w:spacing w:line="360" w:lineRule="auto"/>
    </w:pPr>
    <w:rPr>
      <w:kern w:val="0"/>
      <w:sz w:val="24"/>
    </w:rPr>
  </w:style>
  <w:style w:type="character" w:customStyle="1" w:styleId="169">
    <w:name w:val="H2 Char"/>
    <w:aliases w:val="h2 Char,Heading 2 Hidden Char,Heading 2 CCBS Char,2nd level Char,2 Char,Header 2 Char,l2 Char,Fab-2 Char,PIM2 Char,heading 2 Char,Titre3 Char,HD2 Char,sect 1.2 Char,第一章 标题 2 Char,ISO1 Char,Underrubrik1 Char,prop2 Char,UNDERRUBRIK 1-2 Char"/>
    <w:link w:val="1"/>
    <w:uiPriority w:val="0"/>
    <w:rPr>
      <w:rFonts w:ascii="Arial" w:hAnsi="Arial" w:eastAsia="宋体"/>
      <w:kern w:val="2"/>
      <w:sz w:val="28"/>
      <w:lang w:val="en-US" w:eastAsia="zh-CN"/>
    </w:rPr>
  </w:style>
  <w:style w:type="paragraph" w:customStyle="1" w:styleId="170">
    <w:name w:val="表头样式"/>
    <w:basedOn w:val="1"/>
    <w:uiPriority w:val="0"/>
    <w:pPr>
      <w:autoSpaceDE w:val="0"/>
      <w:autoSpaceDN w:val="0"/>
      <w:spacing w:line="360" w:lineRule="auto"/>
      <w:jc w:val="left"/>
    </w:pPr>
    <w:rPr>
      <w:b/>
      <w:kern w:val="0"/>
      <w:sz w:val="21"/>
    </w:rPr>
  </w:style>
  <w:style w:type="paragraph" w:customStyle="1" w:styleId="171">
    <w:name w:val="样式 宋体 五号 行距: 单倍行距"/>
    <w:basedOn w:val="1"/>
    <w:uiPriority w:val="0"/>
    <w:pPr>
      <w:jc w:val="left"/>
    </w:pPr>
    <w:rPr>
      <w:rFonts w:ascii="宋体" w:hAnsi="宋体"/>
      <w:kern w:val="0"/>
      <w:sz w:val="21"/>
    </w:rPr>
  </w:style>
  <w:style w:type="paragraph" w:customStyle="1" w:styleId="172">
    <w:name w:val="IN Feature"/>
    <w:next w:val="149"/>
    <w:uiPriority w:val="0"/>
    <w:pPr>
      <w:keepNext/>
      <w:keepLines/>
      <w:spacing w:before="240" w:after="240"/>
      <w:outlineLvl w:val="7"/>
    </w:pPr>
    <w:rPr>
      <w:rFonts w:ascii="Arial" w:hAnsi="Arial" w:eastAsia="黑体" w:cs="Times New Roman"/>
      <w:sz w:val="21"/>
      <w:lang w:val="en-US" w:eastAsia="zh-CN" w:bidi="ar-SA"/>
    </w:rPr>
  </w:style>
  <w:style w:type="paragraph" w:customStyle="1" w:styleId="173">
    <w:name w:val="Figure Description"/>
    <w:next w:val="1"/>
    <w:uiPriority w:val="0"/>
    <w:pPr>
      <w:spacing w:before="80" w:after="320"/>
      <w:ind w:left="1134"/>
      <w:jc w:val="center"/>
    </w:pPr>
    <w:rPr>
      <w:rFonts w:ascii="Arial" w:hAnsi="Arial" w:eastAsia="黑体" w:cs="Times New Roman"/>
      <w:sz w:val="18"/>
      <w:lang w:val="en-US" w:eastAsia="zh-CN" w:bidi="ar-SA"/>
    </w:rPr>
  </w:style>
  <w:style w:type="paragraph" w:customStyle="1" w:styleId="174">
    <w:name w:val="标准正文"/>
    <w:basedOn w:val="23"/>
    <w:uiPriority w:val="0"/>
    <w:pPr>
      <w:spacing w:before="60" w:after="60" w:line="360" w:lineRule="auto"/>
      <w:ind w:left="0" w:firstLine="482"/>
    </w:pPr>
    <w:rPr>
      <w:rFonts w:ascii="Arial" w:hAnsi="Arial"/>
      <w:sz w:val="24"/>
    </w:rPr>
  </w:style>
  <w:style w:type="paragraph" w:customStyle="1" w:styleId="175">
    <w:name w:val="表号"/>
    <w:basedOn w:val="1"/>
    <w:uiPriority w:val="0"/>
    <w:pPr>
      <w:numPr>
        <w:ilvl w:val="0"/>
        <w:numId w:val="12"/>
      </w:numPr>
      <w:tabs>
        <w:tab w:val="clear" w:pos="360"/>
      </w:tabs>
      <w:autoSpaceDE w:val="0"/>
      <w:autoSpaceDN w:val="0"/>
      <w:spacing w:before="210" w:after="210"/>
      <w:ind w:left="425" w:hanging="137"/>
      <w:jc w:val="center"/>
    </w:pPr>
    <w:rPr>
      <w:kern w:val="0"/>
      <w:sz w:val="21"/>
      <w:lang w:eastAsia="en-US"/>
    </w:rPr>
  </w:style>
  <w:style w:type="paragraph" w:customStyle="1" w:styleId="176">
    <w:name w:val="正文4"/>
    <w:basedOn w:val="1"/>
    <w:uiPriority w:val="0"/>
    <w:pPr>
      <w:tabs>
        <w:tab w:val="left" w:pos="1275"/>
      </w:tabs>
      <w:spacing w:before="60" w:beforeAutospacing="0" w:after="60" w:afterAutospacing="0" w:line="360" w:lineRule="auto"/>
      <w:ind w:left="820" w:leftChars="400" w:hanging="705"/>
    </w:pPr>
    <w:rPr>
      <w:sz w:val="24"/>
    </w:rPr>
  </w:style>
  <w:style w:type="character" w:customStyle="1" w:styleId="177">
    <w:name w:val="content-white1"/>
    <w:link w:val="1"/>
    <w:uiPriority w:val="0"/>
    <w:rPr>
      <w:color w:val="000000"/>
      <w:sz w:val="18"/>
      <w:u w:val="none"/>
    </w:rPr>
  </w:style>
  <w:style w:type="paragraph" w:customStyle="1" w:styleId="178">
    <w:name w:val="文本框样式1"/>
    <w:basedOn w:val="1"/>
    <w:uiPriority w:val="0"/>
    <w:pPr>
      <w:spacing w:before="60" w:beforeAutospacing="0" w:line="180" w:lineRule="exact"/>
      <w:jc w:val="center"/>
    </w:pPr>
    <w:rPr>
      <w:sz w:val="21"/>
    </w:rPr>
  </w:style>
  <w:style w:type="character" w:customStyle="1" w:styleId="179">
    <w:name w:val="文字 Char"/>
    <w:link w:val="180"/>
    <w:uiPriority w:val="0"/>
    <w:rPr>
      <w:rFonts w:ascii="宋体"/>
      <w:kern w:val="2"/>
      <w:sz w:val="28"/>
    </w:rPr>
  </w:style>
  <w:style w:type="paragraph" w:customStyle="1" w:styleId="180">
    <w:name w:val="文字"/>
    <w:basedOn w:val="1"/>
    <w:link w:val="179"/>
    <w:uiPriority w:val="0"/>
    <w:pPr>
      <w:tabs>
        <w:tab w:val="left" w:pos="8520"/>
      </w:tabs>
      <w:spacing w:line="312" w:lineRule="auto"/>
      <w:ind w:right="-210" w:firstLine="556"/>
    </w:pPr>
    <w:rPr>
      <w:rFonts w:ascii="宋体"/>
    </w:rPr>
  </w:style>
  <w:style w:type="paragraph" w:customStyle="1" w:styleId="181">
    <w:name w:val=" Char2 Char Char Char Char Char Char"/>
    <w:basedOn w:val="1"/>
    <w:uiPriority w:val="0"/>
    <w:rPr>
      <w:rFonts w:ascii="仿宋_GB2312"/>
      <w:b/>
      <w:sz w:val="30"/>
    </w:rPr>
  </w:style>
  <w:style w:type="character" w:customStyle="1" w:styleId="182">
    <w:name w:val="批注主题 Char"/>
    <w:link w:val="54"/>
    <w:uiPriority w:val="0"/>
  </w:style>
  <w:style w:type="character" w:customStyle="1" w:styleId="183">
    <w:name w:val="正文文本缩进 Char"/>
    <w:link w:val="23"/>
    <w:uiPriority w:val="0"/>
    <w:rPr>
      <w:kern w:val="2"/>
      <w:sz w:val="44"/>
    </w:rPr>
  </w:style>
  <w:style w:type="paragraph" w:customStyle="1" w:styleId="184">
    <w:name w:val=" Char Char Char Char Char Char1 Char"/>
    <w:basedOn w:val="1"/>
    <w:uiPriority w:val="0"/>
    <w:pPr>
      <w:widowControl/>
      <w:spacing w:after="160" w:afterAutospacing="0" w:line="240" w:lineRule="exact"/>
      <w:jc w:val="left"/>
    </w:pPr>
    <w:rPr>
      <w:rFonts w:ascii="Verdana" w:hAnsi="Verdana"/>
      <w:kern w:val="0"/>
      <w:sz w:val="21"/>
      <w:lang w:eastAsia="en-US"/>
    </w:rPr>
  </w:style>
  <w:style w:type="paragraph" w:customStyle="1" w:styleId="185">
    <w:name w:val="标题无"/>
    <w:basedOn w:val="1"/>
    <w:uiPriority w:val="0"/>
    <w:pPr>
      <w:spacing w:line="360" w:lineRule="auto"/>
    </w:pPr>
    <w:rPr>
      <w:sz w:val="24"/>
    </w:rPr>
  </w:style>
  <w:style w:type="paragraph" w:customStyle="1" w:styleId="186">
    <w:name w:val="首行缩进 1"/>
    <w:basedOn w:val="1"/>
    <w:uiPriority w:val="0"/>
    <w:pPr>
      <w:spacing w:after="120" w:afterAutospacing="0" w:line="360" w:lineRule="auto"/>
      <w:ind w:firstLine="200" w:firstLineChars="200"/>
    </w:pPr>
    <w:rPr>
      <w:sz w:val="24"/>
    </w:rPr>
  </w:style>
  <w:style w:type="paragraph" w:customStyle="1" w:styleId="187">
    <w:name w:val="没有缩进（为图形使用）"/>
    <w:basedOn w:val="1"/>
    <w:uiPriority w:val="0"/>
    <w:pPr>
      <w:spacing w:before="120" w:beforeAutospacing="0" w:after="120" w:afterAutospacing="0" w:line="360" w:lineRule="auto"/>
    </w:pPr>
    <w:rPr>
      <w:sz w:val="24"/>
    </w:rPr>
  </w:style>
  <w:style w:type="paragraph" w:customStyle="1" w:styleId="188">
    <w:name w:val="style1"/>
    <w:basedOn w:val="1"/>
    <w:uiPriority w:val="0"/>
    <w:pPr>
      <w:widowControl/>
      <w:spacing w:before="100" w:beforeAutospacing="1" w:after="100" w:afterAutospacing="1"/>
      <w:jc w:val="left"/>
    </w:pPr>
    <w:rPr>
      <w:rFonts w:ascii="宋体" w:hAnsi="宋体"/>
      <w:kern w:val="0"/>
      <w:sz w:val="21"/>
    </w:rPr>
  </w:style>
  <w:style w:type="paragraph" w:customStyle="1" w:styleId="189">
    <w:name w:val="附录4"/>
    <w:basedOn w:val="1"/>
    <w:next w:val="1"/>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0">
    <w:name w:val="bt"/>
    <w:basedOn w:val="1"/>
    <w:next w:val="2"/>
    <w:uiPriority w:val="0"/>
    <w:pPr>
      <w:numPr>
        <w:ilvl w:val="0"/>
        <w:numId w:val="0"/>
      </w:numPr>
      <w:overflowPunct w:val="0"/>
      <w:autoSpaceDE w:val="0"/>
      <w:autoSpaceDN w:val="0"/>
      <w:spacing w:before="100" w:beforeAutospacing="0" w:after="100" w:afterAutospacing="0" w:line="240" w:lineRule="atLeast"/>
      <w:ind w:left="2880" w:hanging="360"/>
    </w:pPr>
    <w:rPr>
      <w:rFonts w:ascii="宋体"/>
      <w:kern w:val="0"/>
      <w:sz w:val="20"/>
    </w:rPr>
  </w:style>
  <w:style w:type="character" w:customStyle="1" w:styleId="191">
    <w:name w:val="页眉 Char"/>
    <w:link w:val="36"/>
    <w:qFormat/>
    <w:uiPriority w:val="99"/>
    <w:rPr>
      <w:kern w:val="2"/>
      <w:sz w:val="18"/>
    </w:rPr>
  </w:style>
  <w:style w:type="paragraph" w:customStyle="1" w:styleId="192">
    <w:name w:val="È±Ê¡ÎÄ±¾"/>
    <w:basedOn w:val="1"/>
    <w:uiPriority w:val="0"/>
    <w:pPr>
      <w:widowControl/>
      <w:overflowPunct w:val="0"/>
      <w:autoSpaceDE w:val="0"/>
      <w:autoSpaceDN w:val="0"/>
      <w:jc w:val="left"/>
    </w:pPr>
    <w:rPr>
      <w:kern w:val="0"/>
      <w:sz w:val="24"/>
    </w:rPr>
  </w:style>
  <w:style w:type="paragraph" w:customStyle="1" w:styleId="193">
    <w:name w:val="_"/>
    <w:basedOn w:val="1"/>
    <w:uiPriority w:val="0"/>
    <w:pPr>
      <w:spacing w:line="360" w:lineRule="auto"/>
      <w:ind w:left="480" w:firstLine="200" w:firstLineChars="200"/>
    </w:pPr>
    <w:rPr>
      <w:kern w:val="0"/>
      <w:sz w:val="24"/>
    </w:rPr>
  </w:style>
  <w:style w:type="paragraph" w:customStyle="1" w:styleId="194">
    <w:name w:val="正文字缩2字"/>
    <w:basedOn w:val="1"/>
    <w:uiPriority w:val="0"/>
    <w:pPr>
      <w:spacing w:before="60" w:beforeAutospacing="0" w:after="60" w:afterAutospacing="0" w:line="360" w:lineRule="auto"/>
      <w:ind w:left="200" w:leftChars="200" w:firstLine="200" w:firstLineChars="200"/>
    </w:pPr>
    <w:rPr>
      <w:sz w:val="24"/>
    </w:rPr>
  </w:style>
  <w:style w:type="paragraph" w:customStyle="1" w:styleId="195">
    <w:name w:val="文档正文 Char Char Char Char"/>
    <w:basedOn w:val="1"/>
    <w:uiPriority w:val="0"/>
    <w:pPr>
      <w:spacing w:line="440" w:lineRule="exact"/>
      <w:ind w:firstLine="420"/>
    </w:pPr>
    <w:rPr>
      <w:rFonts w:ascii="Arial Narrow" w:hAnsi="Arial Narrow"/>
      <w:kern w:val="0"/>
      <w:sz w:val="24"/>
    </w:rPr>
  </w:style>
  <w:style w:type="paragraph" w:customStyle="1" w:styleId="196">
    <w:name w:val="样式 标题 1章标题Heading 0Section HeadPIM 1H1h11st levell11H1..."/>
    <w:basedOn w:val="3"/>
    <w:uiPriority w:val="0"/>
    <w:pPr>
      <w:keepLines/>
      <w:pageBreakBefore/>
      <w:tabs>
        <w:tab w:val="left" w:pos="432"/>
      </w:tabs>
      <w:autoSpaceDE w:val="0"/>
      <w:autoSpaceDN w:val="0"/>
      <w:spacing w:before="340" w:beforeAutospacing="0" w:after="330" w:afterAutospacing="0" w:line="578" w:lineRule="atLeast"/>
    </w:pPr>
    <w:rPr>
      <w:rFonts w:hAnsi="宋体" w:eastAsia="黑体"/>
      <w:b/>
      <w:kern w:val="44"/>
      <w:sz w:val="36"/>
    </w:rPr>
  </w:style>
  <w:style w:type="paragraph" w:customStyle="1" w:styleId="197">
    <w:name w:val="Char Char Char Char"/>
    <w:basedOn w:val="1"/>
    <w:uiPriority w:val="0"/>
    <w:pPr>
      <w:pageBreakBefore/>
      <w:widowControl/>
      <w:spacing w:after="160" w:line="240" w:lineRule="exact"/>
      <w:jc w:val="left"/>
    </w:pPr>
    <w:rPr>
      <w:rFonts w:ascii="Verdana" w:hAnsi="Verdana"/>
      <w:kern w:val="0"/>
      <w:sz w:val="20"/>
      <w:lang w:eastAsia="en-US"/>
    </w:rPr>
  </w:style>
  <w:style w:type="paragraph" w:customStyle="1" w:styleId="198">
    <w:name w:val="表文字"/>
    <w:uiPriority w:val="0"/>
    <w:rPr>
      <w:rFonts w:ascii="宋体" w:hAnsi="Times New Roman" w:eastAsia="宋体" w:cs="Times New Roman"/>
      <w:kern w:val="2"/>
      <w:lang w:val="en-US" w:eastAsia="zh-CN" w:bidi="ar-SA"/>
    </w:rPr>
  </w:style>
  <w:style w:type="paragraph" w:customStyle="1" w:styleId="199">
    <w:name w:val="简单回函地址"/>
    <w:basedOn w:val="1"/>
    <w:uiPriority w:val="0"/>
    <w:pPr>
      <w:spacing w:line="360" w:lineRule="auto"/>
    </w:pPr>
    <w:rPr>
      <w:sz w:val="24"/>
    </w:rPr>
  </w:style>
  <w:style w:type="paragraph" w:customStyle="1" w:styleId="200">
    <w:name w:val="样式 标题 1 + 居中 段前: 6 磅 段后: 6 磅 行距: 1.5 倍行距"/>
    <w:basedOn w:val="3"/>
    <w:uiPriority w:val="0"/>
    <w:pPr>
      <w:keepLines/>
      <w:spacing w:before="120" w:beforeAutospacing="0" w:after="120" w:afterAutospacing="0" w:line="360" w:lineRule="auto"/>
      <w:jc w:val="center"/>
    </w:pPr>
    <w:rPr>
      <w:rFonts w:ascii="Times New Roman"/>
      <w:b/>
      <w:kern w:val="44"/>
      <w:sz w:val="32"/>
    </w:rPr>
  </w:style>
  <w:style w:type="paragraph" w:customStyle="1" w:styleId="201">
    <w:name w:val="样式 宋体 五号 两端对齐 行距: 单倍行距"/>
    <w:basedOn w:val="1"/>
    <w:uiPriority w:val="0"/>
    <w:rPr>
      <w:rFonts w:ascii="宋体" w:hAnsi="宋体"/>
      <w:kern w:val="0"/>
      <w:sz w:val="21"/>
    </w:rPr>
  </w:style>
  <w:style w:type="character" w:customStyle="1" w:styleId="202">
    <w:name w:val="Table Text Char Char Char Char"/>
    <w:link w:val="135"/>
    <w:uiPriority w:val="0"/>
    <w:rPr>
      <w:rFonts w:ascii="Arial" w:hAnsi="Arial"/>
      <w:kern w:val="2"/>
      <w:sz w:val="18"/>
      <w:lang w:val="en-US" w:eastAsia="zh-CN" w:bidi="ar-SA"/>
    </w:rPr>
  </w:style>
  <w:style w:type="paragraph" w:customStyle="1" w:styleId="203">
    <w:name w:val="段 Char"/>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可研正文"/>
    <w:basedOn w:val="2"/>
    <w:uiPriority w:val="0"/>
    <w:pPr>
      <w:spacing w:line="440" w:lineRule="exact"/>
      <w:ind w:firstLine="567"/>
    </w:pPr>
    <w:rPr>
      <w:sz w:val="28"/>
    </w:rPr>
  </w:style>
  <w:style w:type="paragraph" w:customStyle="1" w:styleId="205">
    <w:name w:val="Table Heading"/>
    <w:uiPriority w:val="0"/>
    <w:pPr>
      <w:keepNext/>
      <w:spacing w:before="80" w:after="80"/>
      <w:jc w:val="center"/>
    </w:pPr>
    <w:rPr>
      <w:rFonts w:ascii="Arial" w:hAnsi="Arial" w:eastAsia="黑体" w:cs="Times New Roman"/>
      <w:sz w:val="18"/>
      <w:lang w:val="en-US" w:eastAsia="zh-CN" w:bidi="ar-SA"/>
    </w:rPr>
  </w:style>
  <w:style w:type="character" w:customStyle="1" w:styleId="206">
    <w:name w:val="脚注文本 Char"/>
    <w:link w:val="40"/>
    <w:uiPriority w:val="0"/>
    <w:rPr>
      <w:kern w:val="2"/>
      <w:sz w:val="18"/>
    </w:rPr>
  </w:style>
  <w:style w:type="paragraph" w:customStyle="1" w:styleId="207">
    <w:name w:val="普通正文"/>
    <w:basedOn w:val="1"/>
    <w:uiPriority w:val="0"/>
    <w:pPr>
      <w:spacing w:before="120" w:beforeAutospacing="0" w:after="120" w:afterAutospacing="0" w:line="360" w:lineRule="auto"/>
      <w:ind w:firstLine="480"/>
      <w:jc w:val="left"/>
    </w:pPr>
    <w:rPr>
      <w:rFonts w:ascii="Arial" w:hAnsi="Arial"/>
      <w:kern w:val="0"/>
      <w:sz w:val="24"/>
    </w:rPr>
  </w:style>
  <w:style w:type="character" w:customStyle="1" w:styleId="208">
    <w:name w:val=" Char Char7"/>
    <w:link w:val="1"/>
    <w:uiPriority w:val="0"/>
    <w:rPr>
      <w:rFonts w:ascii="宋体" w:hAnsi="宋体" w:eastAsia="宋体"/>
      <w:kern w:val="2"/>
      <w:sz w:val="28"/>
    </w:rPr>
  </w:style>
  <w:style w:type="paragraph" w:customStyle="1" w:styleId="209">
    <w:name w:val=" Char Char1 Char Char Char Char Char Char Char Char Char Char Char Char Char Char"/>
    <w:basedOn w:val="1"/>
    <w:uiPriority w:val="0"/>
    <w:pPr>
      <w:widowControl/>
      <w:spacing w:after="160" w:afterAutospacing="0" w:line="240" w:lineRule="exact"/>
      <w:jc w:val="left"/>
    </w:pPr>
    <w:rPr>
      <w:rFonts w:ascii="Verdana" w:hAnsi="Verdana"/>
      <w:kern w:val="0"/>
      <w:sz w:val="20"/>
      <w:lang w:eastAsia="en-US"/>
    </w:rPr>
  </w:style>
  <w:style w:type="paragraph" w:customStyle="1" w:styleId="210">
    <w:name w:val="关键词"/>
    <w:basedOn w:val="1"/>
    <w:next w:val="1"/>
    <w:uiPriority w:val="0"/>
    <w:pPr>
      <w:spacing w:line="360" w:lineRule="auto"/>
    </w:pPr>
    <w:rPr>
      <w:rFonts w:eastAsia="黑体"/>
      <w:sz w:val="20"/>
    </w:rPr>
  </w:style>
  <w:style w:type="paragraph" w:customStyle="1" w:styleId="211">
    <w:name w:val=" Char Char1 Char"/>
    <w:basedOn w:val="1"/>
    <w:uiPriority w:val="0"/>
    <w:rPr>
      <w:rFonts w:ascii="Tahoma" w:hAnsi="Tahoma"/>
      <w:sz w:val="24"/>
      <w:szCs w:val="24"/>
    </w:rPr>
  </w:style>
  <w:style w:type="paragraph" w:customStyle="1" w:styleId="212">
    <w:name w:val="样式1"/>
    <w:basedOn w:val="6"/>
    <w:uiPriority w:val="0"/>
    <w:pPr>
      <w:tabs>
        <w:tab w:val="left" w:pos="720"/>
      </w:tabs>
      <w:spacing w:before="500" w:beforeAutospacing="0" w:after="260" w:afterAutospacing="0" w:line="560" w:lineRule="atLeast"/>
      <w:ind w:left="420" w:hanging="420"/>
    </w:pPr>
  </w:style>
  <w:style w:type="paragraph" w:customStyle="1" w:styleId="213">
    <w:name w:val="样式1xz"/>
    <w:basedOn w:val="1"/>
    <w:uiPriority w:val="0"/>
    <w:pPr>
      <w:tabs>
        <w:tab w:val="left" w:pos="1050"/>
        <w:tab w:val="right" w:leader="dot" w:pos="8296"/>
      </w:tabs>
    </w:pPr>
    <w:rPr>
      <w:caps/>
      <w:spacing w:val="20"/>
      <w:sz w:val="24"/>
    </w:rPr>
  </w:style>
  <w:style w:type="character" w:customStyle="1" w:styleId="214">
    <w:name w:val="纯文本 Char"/>
    <w:link w:val="30"/>
    <w:uiPriority w:val="0"/>
    <w:rPr>
      <w:rFonts w:ascii="宋体" w:hAnsi="Courier New"/>
      <w:kern w:val="2"/>
      <w:sz w:val="21"/>
    </w:rPr>
  </w:style>
  <w:style w:type="character" w:customStyle="1" w:styleId="215">
    <w:name w:val="Table Heading Char Char"/>
    <w:link w:val="1"/>
    <w:uiPriority w:val="0"/>
    <w:rPr>
      <w:rFonts w:ascii="Arial" w:hAnsi="Arial" w:eastAsia="黑体"/>
      <w:kern w:val="2"/>
      <w:sz w:val="18"/>
      <w:lang w:val="en-US" w:eastAsia="zh-CN"/>
    </w:rPr>
  </w:style>
  <w:style w:type="paragraph" w:customStyle="1" w:styleId="216">
    <w:name w:val=" Char Char Char Char Char"/>
    <w:basedOn w:val="1"/>
    <w:uiPriority w:val="0"/>
    <w:pPr>
      <w:numPr>
        <w:ilvl w:val="0"/>
        <w:numId w:val="2"/>
      </w:numPr>
      <w:tabs>
        <w:tab w:val="clear" w:pos="1620"/>
      </w:tabs>
    </w:pPr>
    <w:rPr>
      <w:rFonts w:ascii="Tahoma" w:hAnsi="Tahoma"/>
      <w:sz w:val="24"/>
    </w:rPr>
  </w:style>
  <w:style w:type="paragraph" w:customStyle="1" w:styleId="217">
    <w:name w:val=" Char Char14 Char Char"/>
    <w:basedOn w:val="1"/>
    <w:uiPriority w:val="0"/>
    <w:rPr>
      <w:sz w:val="21"/>
      <w:szCs w:val="24"/>
    </w:rPr>
  </w:style>
  <w:style w:type="paragraph" w:customStyle="1" w:styleId="218">
    <w:name w:val="正文表格"/>
    <w:basedOn w:val="1"/>
    <w:uiPriority w:val="0"/>
    <w:pPr>
      <w:spacing w:before="40" w:beforeAutospacing="0" w:after="40" w:afterAutospacing="0"/>
    </w:pPr>
    <w:rPr>
      <w:sz w:val="24"/>
    </w:rPr>
  </w:style>
  <w:style w:type="paragraph" w:customStyle="1" w:styleId="219">
    <w:name w:val="文本1"/>
    <w:basedOn w:val="1"/>
    <w:uiPriority w:val="0"/>
    <w:pPr>
      <w:spacing w:line="312" w:lineRule="atLeast"/>
      <w:jc w:val="center"/>
    </w:pPr>
    <w:rPr>
      <w:kern w:val="0"/>
      <w:sz w:val="18"/>
    </w:rPr>
  </w:style>
  <w:style w:type="paragraph" w:customStyle="1" w:styleId="220">
    <w:name w:val="正文 + 三号"/>
    <w:basedOn w:val="1"/>
    <w:uiPriority w:val="0"/>
    <w:rPr>
      <w:sz w:val="21"/>
    </w:rPr>
  </w:style>
  <w:style w:type="paragraph" w:customStyle="1" w:styleId="221">
    <w:name w:val="摘要"/>
    <w:basedOn w:val="1"/>
    <w:next w:val="4"/>
    <w:uiPriority w:val="0"/>
    <w:pPr>
      <w:spacing w:line="360" w:lineRule="auto"/>
    </w:pPr>
    <w:rPr>
      <w:rFonts w:eastAsia="黑体"/>
      <w:sz w:val="20"/>
    </w:rPr>
  </w:style>
  <w:style w:type="character" w:customStyle="1" w:styleId="222">
    <w:name w:val=" Char Char6"/>
    <w:link w:val="1"/>
    <w:uiPriority w:val="0"/>
    <w:rPr>
      <w:rFonts w:ascii="仿宋_GB2312" w:eastAsia="仿宋_GB2312"/>
      <w:kern w:val="2"/>
      <w:sz w:val="32"/>
    </w:rPr>
  </w:style>
  <w:style w:type="character" w:customStyle="1" w:styleId="223">
    <w:name w:val="页脚 Char"/>
    <w:link w:val="35"/>
    <w:qFormat/>
    <w:uiPriority w:val="99"/>
    <w:rPr>
      <w:kern w:val="2"/>
      <w:sz w:val="18"/>
    </w:rPr>
  </w:style>
  <w:style w:type="paragraph" w:customStyle="1" w:styleId="224">
    <w:name w:val="正文（首行不缩进）"/>
    <w:basedOn w:val="1"/>
    <w:uiPriority w:val="0"/>
    <w:pPr>
      <w:autoSpaceDE w:val="0"/>
      <w:autoSpaceDN w:val="0"/>
      <w:spacing w:line="360" w:lineRule="auto"/>
      <w:jc w:val="left"/>
    </w:pPr>
    <w:rPr>
      <w:kern w:val="0"/>
      <w:sz w:val="21"/>
    </w:rPr>
  </w:style>
  <w:style w:type="paragraph" w:customStyle="1" w:styleId="225">
    <w:name w:val="默认段落字体 Para Char Char Char Char Char Char Char"/>
    <w:basedOn w:val="1"/>
    <w:uiPriority w:val="0"/>
    <w:rPr>
      <w:rFonts w:ascii="Tahoma" w:hAnsi="Tahoma"/>
      <w:sz w:val="24"/>
    </w:rPr>
  </w:style>
  <w:style w:type="paragraph" w:customStyle="1" w:styleId="226">
    <w:name w:val="样式4"/>
    <w:basedOn w:val="6"/>
    <w:uiPriority w:val="0"/>
  </w:style>
  <w:style w:type="character" w:customStyle="1" w:styleId="227">
    <w:name w:val=" Char Char3"/>
    <w:link w:val="1"/>
    <w:uiPriority w:val="0"/>
    <w:rPr>
      <w:rFonts w:eastAsia="宋体"/>
      <w:kern w:val="2"/>
      <w:sz w:val="18"/>
      <w:lang w:val="en-US" w:eastAsia="zh-CN"/>
    </w:rPr>
  </w:style>
  <w:style w:type="character" w:customStyle="1" w:styleId="228">
    <w:name w:val="top-det1"/>
    <w:link w:val="1"/>
    <w:uiPriority w:val="0"/>
    <w:rPr>
      <w:b/>
      <w:color w:val="000000"/>
    </w:rPr>
  </w:style>
  <w:style w:type="paragraph" w:customStyle="1" w:styleId="229">
    <w:name w:val="表头"/>
    <w:basedOn w:val="132"/>
    <w:uiPriority w:val="0"/>
    <w:pPr>
      <w:jc w:val="center"/>
    </w:pPr>
    <w:rPr>
      <w:b/>
      <w:bCs/>
    </w:rPr>
  </w:style>
  <w:style w:type="character" w:customStyle="1" w:styleId="230">
    <w:name w:val="crowed11"/>
    <w:link w:val="1"/>
    <w:uiPriority w:val="0"/>
    <w:rPr>
      <w:sz w:val="24"/>
    </w:rPr>
  </w:style>
  <w:style w:type="character" w:customStyle="1" w:styleId="231">
    <w:name w:val=" Char Char5"/>
    <w:link w:val="1"/>
    <w:uiPriority w:val="0"/>
    <w:rPr>
      <w:rFonts w:ascii="Arial" w:hAnsi="Arial" w:eastAsia="宋体"/>
      <w:b/>
      <w:smallCaps/>
      <w:kern w:val="28"/>
      <w:sz w:val="36"/>
      <w:lang w:val="en-US" w:eastAsia="en-US"/>
    </w:rPr>
  </w:style>
  <w:style w:type="paragraph" w:customStyle="1" w:styleId="232">
    <w:name w:val="Style Heading 3h3Heading 3 - oldLevel 3 HeadH3level_3PIM 3se..."/>
    <w:basedOn w:val="5"/>
    <w:uiPriority w:val="0"/>
    <w:pPr>
      <w:numPr>
        <w:ilvl w:val="2"/>
        <w:numId w:val="2"/>
      </w:numPr>
      <w:tabs>
        <w:tab w:val="left" w:pos="709"/>
        <w:tab w:val="left" w:pos="1620"/>
      </w:tabs>
      <w:spacing w:line="413" w:lineRule="auto"/>
    </w:pPr>
  </w:style>
  <w:style w:type="character" w:customStyle="1" w:styleId="233">
    <w:name w:val="title_emph1"/>
    <w:link w:val="1"/>
    <w:uiPriority w:val="0"/>
    <w:rPr>
      <w:rFonts w:ascii="Arial" w:hAnsi="Arial"/>
      <w:b/>
      <w:sz w:val="20"/>
    </w:rPr>
  </w:style>
  <w:style w:type="paragraph" w:customStyle="1" w:styleId="234">
    <w:name w:val="Defaul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235">
    <w:name w:val="文章正文"/>
    <w:basedOn w:val="1"/>
    <w:uiPriority w:val="0"/>
    <w:pPr>
      <w:ind w:firstLine="560" w:firstLineChars="200"/>
    </w:pPr>
    <w:rPr>
      <w:rFonts w:ascii="仿宋_GB2312" w:hAnsi="宋体" w:eastAsia="仿宋_GB2312"/>
      <w:color w:val="000000"/>
    </w:rPr>
  </w:style>
  <w:style w:type="character" w:customStyle="1" w:styleId="236">
    <w:name w:val="Table Text Char1 Char"/>
    <w:link w:val="1"/>
    <w:uiPriority w:val="0"/>
    <w:rPr>
      <w:rFonts w:ascii="Arial" w:hAnsi="Arial"/>
      <w:kern w:val="2"/>
      <w:sz w:val="18"/>
      <w:lang w:val="en-US" w:eastAsia="zh-CN" w:bidi="ar-SA"/>
    </w:rPr>
  </w:style>
  <w:style w:type="character" w:customStyle="1" w:styleId="237">
    <w:name w:val=" Char Char11"/>
    <w:link w:val="1"/>
    <w:uiPriority w:val="0"/>
    <w:rPr>
      <w:rFonts w:ascii="宋体"/>
      <w:kern w:val="2"/>
      <w:sz w:val="28"/>
    </w:rPr>
  </w:style>
  <w:style w:type="paragraph" w:customStyle="1" w:styleId="238">
    <w:name w:val="Table Description"/>
    <w:next w:val="1"/>
    <w:uiPriority w:val="0"/>
    <w:pPr>
      <w:keepNext/>
      <w:spacing w:before="160" w:after="80"/>
      <w:ind w:left="1134"/>
      <w:jc w:val="center"/>
    </w:pPr>
    <w:rPr>
      <w:rFonts w:ascii="Arial" w:hAnsi="Arial" w:eastAsia="黑体" w:cs="Times New Roman"/>
      <w:sz w:val="18"/>
      <w:lang w:val="en-US" w:eastAsia="zh-CN" w:bidi="ar-SA"/>
    </w:rPr>
  </w:style>
  <w:style w:type="paragraph" w:customStyle="1" w:styleId="239">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0">
    <w:name w:val="缺省文本"/>
    <w:basedOn w:val="1"/>
    <w:uiPriority w:val="0"/>
    <w:pPr>
      <w:tabs>
        <w:tab w:val="left" w:pos="1260"/>
      </w:tabs>
      <w:autoSpaceDE w:val="0"/>
      <w:autoSpaceDN w:val="0"/>
      <w:spacing w:line="360" w:lineRule="auto"/>
      <w:jc w:val="left"/>
    </w:pPr>
    <w:rPr>
      <w:kern w:val="0"/>
      <w:sz w:val="24"/>
    </w:rPr>
  </w:style>
  <w:style w:type="character" w:customStyle="1" w:styleId="241">
    <w:name w:val="日期 Char"/>
    <w:link w:val="32"/>
    <w:uiPriority w:val="0"/>
    <w:rPr>
      <w:kern w:val="2"/>
      <w:sz w:val="28"/>
    </w:rPr>
  </w:style>
  <w:style w:type="character" w:customStyle="1" w:styleId="242">
    <w:name w:val="样式 宋体"/>
    <w:link w:val="1"/>
    <w:uiPriority w:val="0"/>
    <w:rPr>
      <w:rFonts w:ascii="宋体" w:hAnsi="宋体" w:eastAsia="宋体"/>
      <w:sz w:val="28"/>
    </w:rPr>
  </w:style>
  <w:style w:type="paragraph" w:customStyle="1" w:styleId="243">
    <w:name w:val="司法正文"/>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4">
    <w:name w:val="样式3"/>
    <w:basedOn w:val="3"/>
    <w:next w:val="3"/>
    <w:uiPriority w:val="0"/>
    <w:pPr>
      <w:keepLines/>
      <w:spacing w:before="340" w:beforeAutospacing="0" w:after="330" w:afterAutospacing="0" w:line="576" w:lineRule="auto"/>
    </w:pPr>
    <w:rPr>
      <w:rFonts w:ascii="Times New Roman" w:eastAsia="黑体"/>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6563</Words>
  <Characters>6965</Characters>
  <TotalTime>37</TotalTime>
  <ScaleCrop>false</ScaleCrop>
  <LinksUpToDate>false</LinksUpToDate>
  <CharactersWithSpaces>7135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2025-10-11T10:44:00Z</dcterms:created>
  <dc:creator>15023</dc:creator>
  <cp:lastModifiedBy>JRs</cp:lastModifiedBy>
  <dcterms:modified xsi:type="dcterms:W3CDTF">2025-10-15T01:41:24Z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eyJoZGlkIjoiZWRhZTBhN2E4ZDNlZTE0NzkwN2ZkYmJlNWQ0MjM2NmUiLCJ1c2VySWQiOiIzODM1NzM3MTQifQ==</vt:lpwstr>
  </property>
  <property fmtid="{D5CDD505-2E9C-101B-9397-08002B2CF9AE}" pid="3" name="KSOProductBuildVer">
    <vt:lpwstr>2052-12.1.0.22529</vt:lpwstr>
  </property>
  <property fmtid="{D5CDD505-2E9C-101B-9397-08002B2CF9AE}" pid="4" name="ICV">
    <vt:lpwstr>59C0C49170BA4744867C90D1F885DE5E_13</vt:lpwstr>
  </property>
</Properties>
</file>