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14A898D">
      <w:pPr>
        <w:jc w:val="center"/>
        <w:rPr>
          <w:rFonts w:ascii="宋体" w:hAnsi="宋体" w:cs="宋体"/>
          <w:color w:val="auto"/>
        </w:rPr>
      </w:pPr>
      <w:r>
        <w:rPr>
          <w:rFonts w:hint="eastAsia" w:ascii="宋体" w:hAnsi="宋体" w:cs="宋体"/>
          <w:color w:val="auto"/>
        </w:rPr>
        <w:t xml:space="preserve"> . </w:t>
      </w:r>
    </w:p>
    <w:p w14:paraId="57CA5A77">
      <w:pPr>
        <w:jc w:val="center"/>
        <w:rPr>
          <w:rFonts w:ascii="宋体" w:hAnsi="宋体" w:cs="宋体"/>
          <w:color w:val="auto"/>
        </w:rPr>
      </w:pPr>
    </w:p>
    <w:p w14:paraId="00C77827">
      <w:pPr>
        <w:jc w:val="center"/>
        <w:rPr>
          <w:rFonts w:ascii="宋体" w:hAnsi="宋体" w:cs="宋体"/>
          <w:color w:val="auto"/>
        </w:rPr>
      </w:pPr>
    </w:p>
    <w:p w14:paraId="258B58D4">
      <w:pPr>
        <w:jc w:val="center"/>
        <w:outlineLvl w:val="0"/>
        <w:rPr>
          <w:rFonts w:ascii="宋体" w:hAnsi="宋体" w:cs="宋体"/>
          <w:color w:val="auto"/>
          <w:spacing w:val="80"/>
          <w:sz w:val="112"/>
          <w:szCs w:val="112"/>
        </w:rPr>
      </w:pPr>
      <w:r>
        <w:rPr>
          <w:rFonts w:hint="eastAsia" w:ascii="宋体" w:hAnsi="宋体" w:cs="宋体"/>
          <w:color w:val="auto"/>
          <w:spacing w:val="80"/>
          <w:sz w:val="112"/>
          <w:szCs w:val="112"/>
        </w:rPr>
        <w:t>竞争性磋商</w:t>
      </w:r>
    </w:p>
    <w:p w14:paraId="544C16EA">
      <w:pPr>
        <w:jc w:val="center"/>
        <w:outlineLvl w:val="0"/>
        <w:rPr>
          <w:rFonts w:ascii="宋体" w:hAnsi="宋体" w:cs="宋体"/>
          <w:color w:val="auto"/>
          <w:spacing w:val="80"/>
          <w:sz w:val="112"/>
          <w:szCs w:val="112"/>
        </w:rPr>
      </w:pPr>
      <w:r>
        <w:rPr>
          <w:rFonts w:hint="eastAsia" w:ascii="宋体" w:hAnsi="宋体" w:cs="宋体"/>
          <w:color w:val="auto"/>
          <w:spacing w:val="80"/>
          <w:sz w:val="112"/>
          <w:szCs w:val="112"/>
        </w:rPr>
        <w:t>文件</w:t>
      </w:r>
    </w:p>
    <w:p w14:paraId="1FC01E9C">
      <w:pPr>
        <w:spacing w:line="700" w:lineRule="exact"/>
        <w:jc w:val="center"/>
        <w:rPr>
          <w:rFonts w:ascii="宋体" w:hAnsi="宋体" w:cs="宋体"/>
          <w:color w:val="auto"/>
          <w:sz w:val="32"/>
        </w:rPr>
      </w:pPr>
    </w:p>
    <w:p w14:paraId="2BD22CC5">
      <w:pPr>
        <w:spacing w:line="700" w:lineRule="exact"/>
        <w:jc w:val="center"/>
        <w:rPr>
          <w:rFonts w:ascii="宋体" w:hAnsi="宋体" w:cs="宋体"/>
          <w:color w:val="auto"/>
          <w:sz w:val="32"/>
        </w:rPr>
      </w:pPr>
    </w:p>
    <w:p w14:paraId="4479A207">
      <w:pPr>
        <w:spacing w:line="700" w:lineRule="exact"/>
        <w:rPr>
          <w:rFonts w:ascii="宋体" w:hAnsi="宋体" w:cs="宋体"/>
          <w:color w:val="auto"/>
          <w:sz w:val="32"/>
        </w:rPr>
      </w:pPr>
    </w:p>
    <w:p w14:paraId="63878B93">
      <w:pPr>
        <w:spacing w:line="700" w:lineRule="exact"/>
        <w:rPr>
          <w:rFonts w:ascii="宋体" w:hAnsi="宋体" w:cs="宋体"/>
          <w:color w:val="auto"/>
          <w:sz w:val="36"/>
          <w:szCs w:val="30"/>
        </w:rPr>
      </w:pPr>
      <w:r>
        <w:rPr>
          <w:rFonts w:hint="eastAsia" w:ascii="宋体" w:hAnsi="宋体" w:cs="宋体"/>
          <w:color w:val="auto"/>
          <w:sz w:val="36"/>
          <w:szCs w:val="30"/>
        </w:rPr>
        <w:t>项 目 号 ：WLZC-F-2025-118</w:t>
      </w:r>
    </w:p>
    <w:p w14:paraId="3F00D338">
      <w:pPr>
        <w:spacing w:line="700" w:lineRule="exact"/>
        <w:rPr>
          <w:rFonts w:ascii="宋体" w:hAnsi="宋体" w:cs="宋体"/>
          <w:color w:val="auto"/>
          <w:sz w:val="36"/>
          <w:szCs w:val="30"/>
        </w:rPr>
      </w:pPr>
      <w:r>
        <w:rPr>
          <w:rFonts w:hint="eastAsia" w:ascii="宋体" w:hAnsi="宋体" w:cs="宋体"/>
          <w:color w:val="auto"/>
          <w:sz w:val="36"/>
          <w:szCs w:val="30"/>
        </w:rPr>
        <w:t>项目执行编号：ZJZB-2025-16155</w:t>
      </w:r>
    </w:p>
    <w:p w14:paraId="36931BC0">
      <w:pPr>
        <w:spacing w:line="700" w:lineRule="exact"/>
        <w:rPr>
          <w:rFonts w:ascii="宋体" w:hAnsi="宋体" w:cs="宋体"/>
          <w:color w:val="auto"/>
          <w:sz w:val="36"/>
          <w:szCs w:val="30"/>
        </w:rPr>
      </w:pPr>
      <w:r>
        <w:rPr>
          <w:rFonts w:hint="eastAsia" w:ascii="宋体" w:hAnsi="宋体" w:cs="宋体"/>
          <w:color w:val="auto"/>
          <w:sz w:val="36"/>
          <w:szCs w:val="30"/>
        </w:rPr>
        <w:t>项 目 名 称 ：重庆文理学院食堂委托经营</w:t>
      </w:r>
    </w:p>
    <w:p w14:paraId="5AA2B866">
      <w:pPr>
        <w:spacing w:line="700" w:lineRule="exact"/>
        <w:ind w:firstLine="1749" w:firstLineChars="486"/>
        <w:rPr>
          <w:rFonts w:ascii="宋体" w:hAnsi="宋体" w:cs="宋体"/>
          <w:color w:val="auto"/>
          <w:sz w:val="36"/>
          <w:szCs w:val="30"/>
        </w:rPr>
      </w:pPr>
    </w:p>
    <w:p w14:paraId="4A9B8CF9">
      <w:pPr>
        <w:spacing w:line="700" w:lineRule="exact"/>
        <w:jc w:val="center"/>
        <w:rPr>
          <w:rFonts w:ascii="宋体" w:hAnsi="宋体" w:cs="宋体"/>
          <w:b/>
          <w:color w:val="auto"/>
          <w:sz w:val="30"/>
          <w:szCs w:val="30"/>
        </w:rPr>
      </w:pPr>
    </w:p>
    <w:p w14:paraId="77CA3BDD">
      <w:pPr>
        <w:spacing w:line="700" w:lineRule="exact"/>
        <w:jc w:val="center"/>
        <w:rPr>
          <w:rFonts w:ascii="宋体" w:hAnsi="宋体" w:cs="宋体"/>
          <w:b/>
          <w:color w:val="auto"/>
          <w:sz w:val="30"/>
          <w:szCs w:val="30"/>
        </w:rPr>
      </w:pPr>
    </w:p>
    <w:p w14:paraId="297FB866">
      <w:pPr>
        <w:spacing w:line="700" w:lineRule="exact"/>
        <w:ind w:firstLine="2160" w:firstLineChars="600"/>
        <w:rPr>
          <w:rFonts w:ascii="宋体" w:hAnsi="宋体" w:cs="宋体"/>
          <w:color w:val="auto"/>
          <w:sz w:val="48"/>
          <w:szCs w:val="32"/>
        </w:rPr>
      </w:pPr>
      <w:r>
        <w:rPr>
          <w:rFonts w:hint="eastAsia" w:ascii="宋体" w:hAnsi="宋体" w:cs="宋体"/>
          <w:color w:val="auto"/>
          <w:sz w:val="36"/>
          <w:szCs w:val="30"/>
        </w:rPr>
        <w:t>采 购 人：重庆文理学院</w:t>
      </w:r>
    </w:p>
    <w:p w14:paraId="0BDF1F8A">
      <w:pPr>
        <w:spacing w:line="700" w:lineRule="exact"/>
        <w:ind w:firstLine="2160" w:firstLineChars="600"/>
        <w:rPr>
          <w:rFonts w:ascii="宋体" w:hAnsi="宋体" w:cs="宋体"/>
          <w:color w:val="auto"/>
          <w:sz w:val="36"/>
          <w:szCs w:val="30"/>
        </w:rPr>
      </w:pPr>
      <w:r>
        <w:rPr>
          <w:rFonts w:hint="eastAsia" w:ascii="宋体" w:hAnsi="宋体" w:cs="宋体"/>
          <w:color w:val="auto"/>
          <w:sz w:val="36"/>
          <w:szCs w:val="30"/>
        </w:rPr>
        <w:t>采购代理机构：中捷通信有限公司</w:t>
      </w:r>
    </w:p>
    <w:p w14:paraId="34A9F76D">
      <w:pPr>
        <w:spacing w:line="700" w:lineRule="exact"/>
        <w:ind w:firstLine="3240" w:firstLineChars="900"/>
        <w:jc w:val="left"/>
        <w:rPr>
          <w:rFonts w:ascii="宋体" w:hAnsi="宋体" w:cs="宋体"/>
          <w:color w:val="auto"/>
          <w:sz w:val="36"/>
          <w:szCs w:val="30"/>
        </w:rPr>
      </w:pPr>
      <w:r>
        <w:rPr>
          <w:rFonts w:hint="eastAsia" w:ascii="宋体" w:hAnsi="宋体" w:cs="宋体"/>
          <w:color w:val="auto"/>
          <w:sz w:val="36"/>
          <w:szCs w:val="30"/>
        </w:rPr>
        <w:t>二〇二五年六月</w:t>
      </w:r>
    </w:p>
    <w:p w14:paraId="1FB6A3E7">
      <w:pPr>
        <w:pStyle w:val="42"/>
        <w:rPr>
          <w:rFonts w:ascii="宋体" w:hAnsi="宋体" w:cs="宋体"/>
          <w:color w:val="auto"/>
          <w:sz w:val="36"/>
          <w:szCs w:val="36"/>
        </w:rPr>
      </w:pPr>
    </w:p>
    <w:p w14:paraId="426FDF0E">
      <w:pPr>
        <w:pStyle w:val="42"/>
        <w:rPr>
          <w:rFonts w:ascii="宋体" w:hAnsi="宋体" w:cs="宋体"/>
          <w:color w:val="auto"/>
          <w:sz w:val="36"/>
          <w:szCs w:val="36"/>
        </w:rPr>
      </w:pPr>
    </w:p>
    <w:p w14:paraId="2F139CB0">
      <w:pPr>
        <w:spacing w:line="720" w:lineRule="exact"/>
        <w:jc w:val="center"/>
        <w:outlineLvl w:val="0"/>
        <w:rPr>
          <w:rFonts w:ascii="宋体" w:hAnsi="宋体" w:cs="宋体"/>
          <w:color w:val="auto"/>
          <w:sz w:val="48"/>
          <w:szCs w:val="32"/>
        </w:rPr>
      </w:pPr>
    </w:p>
    <w:p w14:paraId="5E456C38">
      <w:pPr>
        <w:spacing w:line="480" w:lineRule="exact"/>
        <w:jc w:val="center"/>
        <w:outlineLvl w:val="0"/>
        <w:rPr>
          <w:rFonts w:ascii="宋体" w:hAnsi="宋体" w:cs="宋体"/>
          <w:color w:val="auto"/>
          <w:sz w:val="44"/>
          <w:szCs w:val="28"/>
        </w:rPr>
      </w:pPr>
      <w:r>
        <w:rPr>
          <w:rFonts w:hint="eastAsia" w:ascii="宋体" w:hAnsi="宋体" w:cs="宋体"/>
          <w:color w:val="auto"/>
          <w:sz w:val="44"/>
          <w:szCs w:val="28"/>
        </w:rPr>
        <w:t>目   录</w:t>
      </w:r>
    </w:p>
    <w:p w14:paraId="4324CF3C">
      <w:pPr>
        <w:pStyle w:val="39"/>
        <w:tabs>
          <w:tab w:val="right" w:leader="dot" w:pos="9412"/>
        </w:tabs>
        <w:rPr>
          <w:color w:val="auto"/>
        </w:rPr>
      </w:pPr>
      <w:r>
        <w:rPr>
          <w:rFonts w:hint="eastAsia" w:ascii="宋体" w:hAnsi="宋体" w:cs="宋体"/>
          <w:color w:val="auto"/>
          <w:sz w:val="21"/>
          <w:szCs w:val="21"/>
        </w:rPr>
        <w:fldChar w:fldCharType="begin"/>
      </w:r>
      <w:r>
        <w:rPr>
          <w:rFonts w:hint="eastAsia" w:ascii="宋体" w:hAnsi="宋体" w:cs="宋体"/>
          <w:color w:val="auto"/>
          <w:sz w:val="21"/>
          <w:szCs w:val="21"/>
        </w:rPr>
        <w:instrText xml:space="preserve"> TOC \o "1-3" \h \z </w:instrText>
      </w:r>
      <w:r>
        <w:rPr>
          <w:rFonts w:hint="eastAsia" w:ascii="宋体" w:hAnsi="宋体" w:cs="宋体"/>
          <w:color w:val="auto"/>
          <w:sz w:val="21"/>
          <w:szCs w:val="21"/>
        </w:rPr>
        <w:fldChar w:fldCharType="separate"/>
      </w:r>
      <w:r>
        <w:rPr>
          <w:rFonts w:hint="eastAsia" w:ascii="宋体" w:hAnsi="宋体" w:cs="宋体"/>
          <w:color w:val="auto"/>
          <w:szCs w:val="21"/>
        </w:rPr>
        <w:fldChar w:fldCharType="begin"/>
      </w:r>
      <w:r>
        <w:rPr>
          <w:rFonts w:hint="eastAsia" w:ascii="宋体" w:hAnsi="宋体" w:cs="宋体"/>
          <w:color w:val="auto"/>
          <w:szCs w:val="21"/>
        </w:rPr>
        <w:instrText xml:space="preserve"> HYPERLINK \l _Toc7943 </w:instrText>
      </w:r>
      <w:r>
        <w:rPr>
          <w:rFonts w:hint="eastAsia" w:ascii="宋体" w:hAnsi="宋体" w:cs="宋体"/>
          <w:color w:val="auto"/>
          <w:szCs w:val="21"/>
        </w:rPr>
        <w:fldChar w:fldCharType="separate"/>
      </w:r>
      <w:r>
        <w:rPr>
          <w:rFonts w:hint="eastAsia"/>
          <w:color w:val="auto"/>
          <w:szCs w:val="32"/>
        </w:rPr>
        <w:t>第一篇</w:t>
      </w:r>
      <w:r>
        <w:rPr>
          <w:color w:val="auto"/>
          <w:szCs w:val="32"/>
        </w:rPr>
        <w:t xml:space="preserve">  </w:t>
      </w:r>
      <w:r>
        <w:rPr>
          <w:rFonts w:hint="eastAsia"/>
          <w:color w:val="auto"/>
          <w:szCs w:val="32"/>
        </w:rPr>
        <w:t>采购邀请书</w:t>
      </w:r>
      <w:r>
        <w:rPr>
          <w:color w:val="auto"/>
        </w:rPr>
        <w:tab/>
      </w:r>
      <w:r>
        <w:rPr>
          <w:color w:val="auto"/>
        </w:rPr>
        <w:fldChar w:fldCharType="begin"/>
      </w:r>
      <w:r>
        <w:rPr>
          <w:color w:val="auto"/>
        </w:rPr>
        <w:instrText xml:space="preserve"> PAGEREF _Toc7943 \h </w:instrText>
      </w:r>
      <w:r>
        <w:rPr>
          <w:color w:val="auto"/>
        </w:rPr>
        <w:fldChar w:fldCharType="separate"/>
      </w:r>
      <w:r>
        <w:rPr>
          <w:color w:val="auto"/>
        </w:rPr>
        <w:t>- 4 -</w:t>
      </w:r>
      <w:r>
        <w:rPr>
          <w:color w:val="auto"/>
        </w:rPr>
        <w:fldChar w:fldCharType="end"/>
      </w:r>
      <w:r>
        <w:rPr>
          <w:rFonts w:hint="eastAsia" w:ascii="宋体" w:hAnsi="宋体" w:cs="宋体"/>
          <w:color w:val="auto"/>
          <w:szCs w:val="21"/>
        </w:rPr>
        <w:fldChar w:fldCharType="end"/>
      </w:r>
    </w:p>
    <w:p w14:paraId="3468E7D4">
      <w:pPr>
        <w:pStyle w:val="47"/>
        <w:tabs>
          <w:tab w:val="right" w:leader="dot" w:pos="9412"/>
        </w:tabs>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_Toc20565 </w:instrText>
      </w:r>
      <w:r>
        <w:rPr>
          <w:rFonts w:hint="eastAsia" w:ascii="宋体" w:hAnsi="宋体" w:cs="宋体"/>
          <w:color w:val="auto"/>
          <w:szCs w:val="21"/>
        </w:rPr>
        <w:fldChar w:fldCharType="separate"/>
      </w:r>
      <w:r>
        <w:rPr>
          <w:rFonts w:hint="eastAsia"/>
          <w:color w:val="auto"/>
          <w:szCs w:val="28"/>
        </w:rPr>
        <w:t>一、竞争性磋商内容</w:t>
      </w:r>
      <w:r>
        <w:rPr>
          <w:color w:val="auto"/>
        </w:rPr>
        <w:tab/>
      </w:r>
      <w:r>
        <w:rPr>
          <w:color w:val="auto"/>
        </w:rPr>
        <w:fldChar w:fldCharType="begin"/>
      </w:r>
      <w:r>
        <w:rPr>
          <w:color w:val="auto"/>
        </w:rPr>
        <w:instrText xml:space="preserve"> PAGEREF _Toc20565 \h </w:instrText>
      </w:r>
      <w:r>
        <w:rPr>
          <w:color w:val="auto"/>
        </w:rPr>
        <w:fldChar w:fldCharType="separate"/>
      </w:r>
      <w:r>
        <w:rPr>
          <w:color w:val="auto"/>
        </w:rPr>
        <w:t>- 4 -</w:t>
      </w:r>
      <w:r>
        <w:rPr>
          <w:color w:val="auto"/>
        </w:rPr>
        <w:fldChar w:fldCharType="end"/>
      </w:r>
      <w:r>
        <w:rPr>
          <w:rFonts w:hint="eastAsia" w:ascii="宋体" w:hAnsi="宋体" w:cs="宋体"/>
          <w:color w:val="auto"/>
          <w:szCs w:val="21"/>
        </w:rPr>
        <w:fldChar w:fldCharType="end"/>
      </w:r>
    </w:p>
    <w:p w14:paraId="119930D9">
      <w:pPr>
        <w:pStyle w:val="47"/>
        <w:tabs>
          <w:tab w:val="right" w:leader="dot" w:pos="9412"/>
        </w:tabs>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_Toc14474 </w:instrText>
      </w:r>
      <w:r>
        <w:rPr>
          <w:rFonts w:hint="eastAsia" w:ascii="宋体" w:hAnsi="宋体" w:cs="宋体"/>
          <w:color w:val="auto"/>
          <w:szCs w:val="21"/>
        </w:rPr>
        <w:fldChar w:fldCharType="separate"/>
      </w:r>
      <w:r>
        <w:rPr>
          <w:rFonts w:hint="eastAsia"/>
          <w:color w:val="auto"/>
          <w:szCs w:val="28"/>
        </w:rPr>
        <w:t>二、供应商资格条件</w:t>
      </w:r>
      <w:r>
        <w:rPr>
          <w:color w:val="auto"/>
        </w:rPr>
        <w:tab/>
      </w:r>
      <w:r>
        <w:rPr>
          <w:color w:val="auto"/>
        </w:rPr>
        <w:fldChar w:fldCharType="begin"/>
      </w:r>
      <w:r>
        <w:rPr>
          <w:color w:val="auto"/>
        </w:rPr>
        <w:instrText xml:space="preserve"> PAGEREF _Toc14474 \h </w:instrText>
      </w:r>
      <w:r>
        <w:rPr>
          <w:color w:val="auto"/>
        </w:rPr>
        <w:fldChar w:fldCharType="separate"/>
      </w:r>
      <w:r>
        <w:rPr>
          <w:color w:val="auto"/>
        </w:rPr>
        <w:t>- 4 -</w:t>
      </w:r>
      <w:r>
        <w:rPr>
          <w:color w:val="auto"/>
        </w:rPr>
        <w:fldChar w:fldCharType="end"/>
      </w:r>
      <w:r>
        <w:rPr>
          <w:rFonts w:hint="eastAsia" w:ascii="宋体" w:hAnsi="宋体" w:cs="宋体"/>
          <w:color w:val="auto"/>
          <w:szCs w:val="21"/>
        </w:rPr>
        <w:fldChar w:fldCharType="end"/>
      </w:r>
    </w:p>
    <w:p w14:paraId="497AB85F">
      <w:pPr>
        <w:pStyle w:val="47"/>
        <w:tabs>
          <w:tab w:val="right" w:leader="dot" w:pos="9412"/>
        </w:tabs>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_Toc10943 </w:instrText>
      </w:r>
      <w:r>
        <w:rPr>
          <w:rFonts w:hint="eastAsia" w:ascii="宋体" w:hAnsi="宋体" w:cs="宋体"/>
          <w:color w:val="auto"/>
          <w:szCs w:val="21"/>
        </w:rPr>
        <w:fldChar w:fldCharType="separate"/>
      </w:r>
      <w:r>
        <w:rPr>
          <w:rFonts w:hint="eastAsia"/>
          <w:color w:val="auto"/>
        </w:rPr>
        <w:t>三、磋商有关说明</w:t>
      </w:r>
      <w:r>
        <w:rPr>
          <w:color w:val="auto"/>
        </w:rPr>
        <w:tab/>
      </w:r>
      <w:r>
        <w:rPr>
          <w:color w:val="auto"/>
        </w:rPr>
        <w:fldChar w:fldCharType="begin"/>
      </w:r>
      <w:r>
        <w:rPr>
          <w:color w:val="auto"/>
        </w:rPr>
        <w:instrText xml:space="preserve"> PAGEREF _Toc10943 \h </w:instrText>
      </w:r>
      <w:r>
        <w:rPr>
          <w:color w:val="auto"/>
        </w:rPr>
        <w:fldChar w:fldCharType="separate"/>
      </w:r>
      <w:r>
        <w:rPr>
          <w:color w:val="auto"/>
        </w:rPr>
        <w:t>- 5 -</w:t>
      </w:r>
      <w:r>
        <w:rPr>
          <w:color w:val="auto"/>
        </w:rPr>
        <w:fldChar w:fldCharType="end"/>
      </w:r>
      <w:r>
        <w:rPr>
          <w:rFonts w:hint="eastAsia" w:ascii="宋体" w:hAnsi="宋体" w:cs="宋体"/>
          <w:color w:val="auto"/>
          <w:szCs w:val="21"/>
        </w:rPr>
        <w:fldChar w:fldCharType="end"/>
      </w:r>
    </w:p>
    <w:p w14:paraId="35031C38">
      <w:pPr>
        <w:pStyle w:val="47"/>
        <w:tabs>
          <w:tab w:val="right" w:leader="dot" w:pos="9412"/>
        </w:tabs>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_Toc13839 </w:instrText>
      </w:r>
      <w:r>
        <w:rPr>
          <w:rFonts w:hint="eastAsia" w:ascii="宋体" w:hAnsi="宋体" w:cs="宋体"/>
          <w:color w:val="auto"/>
          <w:szCs w:val="21"/>
        </w:rPr>
        <w:fldChar w:fldCharType="separate"/>
      </w:r>
      <w:r>
        <w:rPr>
          <w:rFonts w:hint="eastAsia"/>
          <w:color w:val="auto"/>
        </w:rPr>
        <w:t>四、磋商保证金</w:t>
      </w:r>
      <w:r>
        <w:rPr>
          <w:color w:val="auto"/>
        </w:rPr>
        <w:tab/>
      </w:r>
      <w:r>
        <w:rPr>
          <w:color w:val="auto"/>
        </w:rPr>
        <w:fldChar w:fldCharType="begin"/>
      </w:r>
      <w:r>
        <w:rPr>
          <w:color w:val="auto"/>
        </w:rPr>
        <w:instrText xml:space="preserve"> PAGEREF _Toc13839 \h </w:instrText>
      </w:r>
      <w:r>
        <w:rPr>
          <w:color w:val="auto"/>
        </w:rPr>
        <w:fldChar w:fldCharType="separate"/>
      </w:r>
      <w:r>
        <w:rPr>
          <w:color w:val="auto"/>
        </w:rPr>
        <w:t>- 5 -</w:t>
      </w:r>
      <w:r>
        <w:rPr>
          <w:color w:val="auto"/>
        </w:rPr>
        <w:fldChar w:fldCharType="end"/>
      </w:r>
      <w:r>
        <w:rPr>
          <w:rFonts w:hint="eastAsia" w:ascii="宋体" w:hAnsi="宋体" w:cs="宋体"/>
          <w:color w:val="auto"/>
          <w:szCs w:val="21"/>
        </w:rPr>
        <w:fldChar w:fldCharType="end"/>
      </w:r>
    </w:p>
    <w:p w14:paraId="1D019F87">
      <w:pPr>
        <w:pStyle w:val="47"/>
        <w:tabs>
          <w:tab w:val="right" w:leader="dot" w:pos="9412"/>
        </w:tabs>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_Toc1797 </w:instrText>
      </w:r>
      <w:r>
        <w:rPr>
          <w:rFonts w:hint="eastAsia" w:ascii="宋体" w:hAnsi="宋体" w:cs="宋体"/>
          <w:color w:val="auto"/>
          <w:szCs w:val="21"/>
        </w:rPr>
        <w:fldChar w:fldCharType="separate"/>
      </w:r>
      <w:r>
        <w:rPr>
          <w:rFonts w:hint="eastAsia"/>
          <w:color w:val="auto"/>
        </w:rPr>
        <w:t>五、其它有关规定</w:t>
      </w:r>
      <w:r>
        <w:rPr>
          <w:color w:val="auto"/>
        </w:rPr>
        <w:tab/>
      </w:r>
      <w:r>
        <w:rPr>
          <w:color w:val="auto"/>
        </w:rPr>
        <w:fldChar w:fldCharType="begin"/>
      </w:r>
      <w:r>
        <w:rPr>
          <w:color w:val="auto"/>
        </w:rPr>
        <w:instrText xml:space="preserve"> PAGEREF _Toc1797 \h </w:instrText>
      </w:r>
      <w:r>
        <w:rPr>
          <w:color w:val="auto"/>
        </w:rPr>
        <w:fldChar w:fldCharType="separate"/>
      </w:r>
      <w:r>
        <w:rPr>
          <w:color w:val="auto"/>
        </w:rPr>
        <w:t>- 6 -</w:t>
      </w:r>
      <w:r>
        <w:rPr>
          <w:color w:val="auto"/>
        </w:rPr>
        <w:fldChar w:fldCharType="end"/>
      </w:r>
      <w:r>
        <w:rPr>
          <w:rFonts w:hint="eastAsia" w:ascii="宋体" w:hAnsi="宋体" w:cs="宋体"/>
          <w:color w:val="auto"/>
          <w:szCs w:val="21"/>
        </w:rPr>
        <w:fldChar w:fldCharType="end"/>
      </w:r>
    </w:p>
    <w:p w14:paraId="638A439A">
      <w:pPr>
        <w:pStyle w:val="47"/>
        <w:tabs>
          <w:tab w:val="right" w:leader="dot" w:pos="9412"/>
        </w:tabs>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_Toc12645 </w:instrText>
      </w:r>
      <w:r>
        <w:rPr>
          <w:rFonts w:hint="eastAsia" w:ascii="宋体" w:hAnsi="宋体" w:cs="宋体"/>
          <w:color w:val="auto"/>
          <w:szCs w:val="21"/>
        </w:rPr>
        <w:fldChar w:fldCharType="separate"/>
      </w:r>
      <w:r>
        <w:rPr>
          <w:rFonts w:hint="eastAsia"/>
          <w:color w:val="auto"/>
          <w:lang w:val="en-US" w:eastAsia="zh-CN"/>
        </w:rPr>
        <w:t>六</w:t>
      </w:r>
      <w:r>
        <w:rPr>
          <w:rFonts w:hint="eastAsia"/>
          <w:color w:val="auto"/>
        </w:rPr>
        <w:t>、联系方式</w:t>
      </w:r>
      <w:r>
        <w:rPr>
          <w:color w:val="auto"/>
        </w:rPr>
        <w:tab/>
      </w:r>
      <w:r>
        <w:rPr>
          <w:color w:val="auto"/>
        </w:rPr>
        <w:fldChar w:fldCharType="begin"/>
      </w:r>
      <w:r>
        <w:rPr>
          <w:color w:val="auto"/>
        </w:rPr>
        <w:instrText xml:space="preserve"> PAGEREF _Toc12645 \h </w:instrText>
      </w:r>
      <w:r>
        <w:rPr>
          <w:color w:val="auto"/>
        </w:rPr>
        <w:fldChar w:fldCharType="separate"/>
      </w:r>
      <w:r>
        <w:rPr>
          <w:color w:val="auto"/>
        </w:rPr>
        <w:t>- 7 -</w:t>
      </w:r>
      <w:r>
        <w:rPr>
          <w:color w:val="auto"/>
        </w:rPr>
        <w:fldChar w:fldCharType="end"/>
      </w:r>
      <w:r>
        <w:rPr>
          <w:rFonts w:hint="eastAsia" w:ascii="宋体" w:hAnsi="宋体" w:cs="宋体"/>
          <w:color w:val="auto"/>
          <w:szCs w:val="21"/>
        </w:rPr>
        <w:fldChar w:fldCharType="end"/>
      </w:r>
    </w:p>
    <w:p w14:paraId="442765E6">
      <w:pPr>
        <w:pStyle w:val="39"/>
        <w:tabs>
          <w:tab w:val="right" w:leader="dot" w:pos="9412"/>
        </w:tabs>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_Toc14511 </w:instrText>
      </w:r>
      <w:r>
        <w:rPr>
          <w:rFonts w:hint="eastAsia" w:ascii="宋体" w:hAnsi="宋体" w:cs="宋体"/>
          <w:color w:val="auto"/>
          <w:szCs w:val="21"/>
        </w:rPr>
        <w:fldChar w:fldCharType="separate"/>
      </w:r>
      <w:r>
        <w:rPr>
          <w:rFonts w:hint="eastAsia"/>
          <w:color w:val="auto"/>
          <w:szCs w:val="32"/>
        </w:rPr>
        <w:t>第二篇</w:t>
      </w:r>
      <w:r>
        <w:rPr>
          <w:color w:val="auto"/>
          <w:szCs w:val="32"/>
        </w:rPr>
        <w:t xml:space="preserve">  </w:t>
      </w:r>
      <w:r>
        <w:rPr>
          <w:rFonts w:hint="eastAsia"/>
          <w:color w:val="auto"/>
          <w:szCs w:val="32"/>
        </w:rPr>
        <w:t>采购服务需求</w:t>
      </w:r>
      <w:r>
        <w:rPr>
          <w:color w:val="auto"/>
        </w:rPr>
        <w:tab/>
      </w:r>
      <w:r>
        <w:rPr>
          <w:color w:val="auto"/>
        </w:rPr>
        <w:fldChar w:fldCharType="begin"/>
      </w:r>
      <w:r>
        <w:rPr>
          <w:color w:val="auto"/>
        </w:rPr>
        <w:instrText xml:space="preserve"> PAGEREF _Toc14511 \h </w:instrText>
      </w:r>
      <w:r>
        <w:rPr>
          <w:color w:val="auto"/>
        </w:rPr>
        <w:fldChar w:fldCharType="separate"/>
      </w:r>
      <w:r>
        <w:rPr>
          <w:color w:val="auto"/>
        </w:rPr>
        <w:t>- 8 -</w:t>
      </w:r>
      <w:r>
        <w:rPr>
          <w:color w:val="auto"/>
        </w:rPr>
        <w:fldChar w:fldCharType="end"/>
      </w:r>
      <w:r>
        <w:rPr>
          <w:rFonts w:hint="eastAsia" w:ascii="宋体" w:hAnsi="宋体" w:cs="宋体"/>
          <w:color w:val="auto"/>
          <w:szCs w:val="21"/>
        </w:rPr>
        <w:fldChar w:fldCharType="end"/>
      </w:r>
    </w:p>
    <w:p w14:paraId="18C90BAC">
      <w:pPr>
        <w:pStyle w:val="47"/>
        <w:tabs>
          <w:tab w:val="right" w:leader="dot" w:pos="9412"/>
        </w:tabs>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_Toc13568 </w:instrText>
      </w:r>
      <w:r>
        <w:rPr>
          <w:rFonts w:hint="eastAsia" w:ascii="宋体" w:hAnsi="宋体" w:cs="宋体"/>
          <w:color w:val="auto"/>
          <w:szCs w:val="21"/>
        </w:rPr>
        <w:fldChar w:fldCharType="separate"/>
      </w:r>
      <w:r>
        <w:rPr>
          <w:rFonts w:hint="eastAsia"/>
          <w:color w:val="auto"/>
        </w:rPr>
        <w:t>一、项目基本概况介绍</w:t>
      </w:r>
      <w:r>
        <w:rPr>
          <w:color w:val="auto"/>
        </w:rPr>
        <w:tab/>
      </w:r>
      <w:r>
        <w:rPr>
          <w:color w:val="auto"/>
        </w:rPr>
        <w:fldChar w:fldCharType="begin"/>
      </w:r>
      <w:r>
        <w:rPr>
          <w:color w:val="auto"/>
        </w:rPr>
        <w:instrText xml:space="preserve"> PAGEREF _Toc13568 \h </w:instrText>
      </w:r>
      <w:r>
        <w:rPr>
          <w:color w:val="auto"/>
        </w:rPr>
        <w:fldChar w:fldCharType="separate"/>
      </w:r>
      <w:r>
        <w:rPr>
          <w:color w:val="auto"/>
        </w:rPr>
        <w:t>- 8 -</w:t>
      </w:r>
      <w:r>
        <w:rPr>
          <w:color w:val="auto"/>
        </w:rPr>
        <w:fldChar w:fldCharType="end"/>
      </w:r>
      <w:r>
        <w:rPr>
          <w:rFonts w:hint="eastAsia" w:ascii="宋体" w:hAnsi="宋体" w:cs="宋体"/>
          <w:color w:val="auto"/>
          <w:szCs w:val="21"/>
        </w:rPr>
        <w:fldChar w:fldCharType="end"/>
      </w:r>
    </w:p>
    <w:p w14:paraId="5896A11D">
      <w:pPr>
        <w:pStyle w:val="47"/>
        <w:tabs>
          <w:tab w:val="right" w:leader="dot" w:pos="9412"/>
        </w:tabs>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_Toc22830 </w:instrText>
      </w:r>
      <w:r>
        <w:rPr>
          <w:rFonts w:hint="eastAsia" w:ascii="宋体" w:hAnsi="宋体" w:cs="宋体"/>
          <w:color w:val="auto"/>
          <w:szCs w:val="21"/>
        </w:rPr>
        <w:fldChar w:fldCharType="separate"/>
      </w:r>
      <w:r>
        <w:rPr>
          <w:rFonts w:hint="eastAsia"/>
          <w:color w:val="auto"/>
        </w:rPr>
        <w:t>二、委托经营时间</w:t>
      </w:r>
      <w:r>
        <w:rPr>
          <w:color w:val="auto"/>
        </w:rPr>
        <w:tab/>
      </w:r>
      <w:r>
        <w:rPr>
          <w:color w:val="auto"/>
        </w:rPr>
        <w:fldChar w:fldCharType="begin"/>
      </w:r>
      <w:r>
        <w:rPr>
          <w:color w:val="auto"/>
        </w:rPr>
        <w:instrText xml:space="preserve"> PAGEREF _Toc22830 \h </w:instrText>
      </w:r>
      <w:r>
        <w:rPr>
          <w:color w:val="auto"/>
        </w:rPr>
        <w:fldChar w:fldCharType="separate"/>
      </w:r>
      <w:r>
        <w:rPr>
          <w:color w:val="auto"/>
        </w:rPr>
        <w:t>- 8 -</w:t>
      </w:r>
      <w:r>
        <w:rPr>
          <w:color w:val="auto"/>
        </w:rPr>
        <w:fldChar w:fldCharType="end"/>
      </w:r>
      <w:r>
        <w:rPr>
          <w:rFonts w:hint="eastAsia" w:ascii="宋体" w:hAnsi="宋体" w:cs="宋体"/>
          <w:color w:val="auto"/>
          <w:szCs w:val="21"/>
        </w:rPr>
        <w:fldChar w:fldCharType="end"/>
      </w:r>
    </w:p>
    <w:p w14:paraId="237F83CB">
      <w:pPr>
        <w:pStyle w:val="47"/>
        <w:tabs>
          <w:tab w:val="right" w:leader="dot" w:pos="9412"/>
        </w:tabs>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_Toc29237 </w:instrText>
      </w:r>
      <w:r>
        <w:rPr>
          <w:rFonts w:hint="eastAsia" w:ascii="宋体" w:hAnsi="宋体" w:cs="宋体"/>
          <w:color w:val="auto"/>
          <w:szCs w:val="21"/>
        </w:rPr>
        <w:fldChar w:fldCharType="separate"/>
      </w:r>
      <w:r>
        <w:rPr>
          <w:rFonts w:hint="eastAsia"/>
          <w:color w:val="auto"/>
        </w:rPr>
        <w:t>三、招标项目基本情况</w:t>
      </w:r>
      <w:r>
        <w:rPr>
          <w:color w:val="auto"/>
        </w:rPr>
        <w:tab/>
      </w:r>
      <w:r>
        <w:rPr>
          <w:color w:val="auto"/>
        </w:rPr>
        <w:fldChar w:fldCharType="begin"/>
      </w:r>
      <w:r>
        <w:rPr>
          <w:color w:val="auto"/>
        </w:rPr>
        <w:instrText xml:space="preserve"> PAGEREF _Toc29237 \h </w:instrText>
      </w:r>
      <w:r>
        <w:rPr>
          <w:color w:val="auto"/>
        </w:rPr>
        <w:fldChar w:fldCharType="separate"/>
      </w:r>
      <w:r>
        <w:rPr>
          <w:color w:val="auto"/>
        </w:rPr>
        <w:t>- 8 -</w:t>
      </w:r>
      <w:r>
        <w:rPr>
          <w:color w:val="auto"/>
        </w:rPr>
        <w:fldChar w:fldCharType="end"/>
      </w:r>
      <w:r>
        <w:rPr>
          <w:rFonts w:hint="eastAsia" w:ascii="宋体" w:hAnsi="宋体" w:cs="宋体"/>
          <w:color w:val="auto"/>
          <w:szCs w:val="21"/>
        </w:rPr>
        <w:fldChar w:fldCharType="end"/>
      </w:r>
    </w:p>
    <w:p w14:paraId="2CFD1CFA">
      <w:pPr>
        <w:pStyle w:val="47"/>
        <w:tabs>
          <w:tab w:val="right" w:leader="dot" w:pos="9412"/>
        </w:tabs>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_Toc25500 </w:instrText>
      </w:r>
      <w:r>
        <w:rPr>
          <w:rFonts w:hint="eastAsia" w:ascii="宋体" w:hAnsi="宋体" w:cs="宋体"/>
          <w:color w:val="auto"/>
          <w:szCs w:val="21"/>
        </w:rPr>
        <w:fldChar w:fldCharType="separate"/>
      </w:r>
      <w:r>
        <w:rPr>
          <w:color w:val="auto"/>
        </w:rPr>
        <w:t>*</w:t>
      </w:r>
      <w:r>
        <w:rPr>
          <w:rFonts w:hint="eastAsia"/>
          <w:color w:val="auto"/>
        </w:rPr>
        <w:t>四、招标项目服务需求</w:t>
      </w:r>
      <w:r>
        <w:rPr>
          <w:color w:val="auto"/>
        </w:rPr>
        <w:tab/>
      </w:r>
      <w:r>
        <w:rPr>
          <w:color w:val="auto"/>
        </w:rPr>
        <w:fldChar w:fldCharType="begin"/>
      </w:r>
      <w:r>
        <w:rPr>
          <w:color w:val="auto"/>
        </w:rPr>
        <w:instrText xml:space="preserve"> PAGEREF _Toc25500 \h </w:instrText>
      </w:r>
      <w:r>
        <w:rPr>
          <w:color w:val="auto"/>
        </w:rPr>
        <w:fldChar w:fldCharType="separate"/>
      </w:r>
      <w:r>
        <w:rPr>
          <w:color w:val="auto"/>
        </w:rPr>
        <w:t>- 9 -</w:t>
      </w:r>
      <w:r>
        <w:rPr>
          <w:color w:val="auto"/>
        </w:rPr>
        <w:fldChar w:fldCharType="end"/>
      </w:r>
      <w:r>
        <w:rPr>
          <w:rFonts w:hint="eastAsia" w:ascii="宋体" w:hAnsi="宋体" w:cs="宋体"/>
          <w:color w:val="auto"/>
          <w:szCs w:val="21"/>
        </w:rPr>
        <w:fldChar w:fldCharType="end"/>
      </w:r>
    </w:p>
    <w:p w14:paraId="58D3DEC3">
      <w:pPr>
        <w:pStyle w:val="29"/>
        <w:tabs>
          <w:tab w:val="right" w:leader="dot" w:pos="9412"/>
        </w:tabs>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_Toc12901 </w:instrText>
      </w:r>
      <w:r>
        <w:rPr>
          <w:rFonts w:hint="eastAsia" w:ascii="宋体" w:hAnsi="宋体" w:cs="宋体"/>
          <w:color w:val="auto"/>
          <w:szCs w:val="21"/>
        </w:rPr>
        <w:fldChar w:fldCharType="separate"/>
      </w:r>
      <w:r>
        <w:rPr>
          <w:rFonts w:hint="eastAsia"/>
          <w:color w:val="auto"/>
        </w:rPr>
        <w:t>（一）项目总体要求</w:t>
      </w:r>
      <w:r>
        <w:rPr>
          <w:color w:val="auto"/>
        </w:rPr>
        <w:tab/>
      </w:r>
      <w:r>
        <w:rPr>
          <w:color w:val="auto"/>
        </w:rPr>
        <w:fldChar w:fldCharType="begin"/>
      </w:r>
      <w:r>
        <w:rPr>
          <w:color w:val="auto"/>
        </w:rPr>
        <w:instrText xml:space="preserve"> PAGEREF _Toc12901 \h </w:instrText>
      </w:r>
      <w:r>
        <w:rPr>
          <w:color w:val="auto"/>
        </w:rPr>
        <w:fldChar w:fldCharType="separate"/>
      </w:r>
      <w:r>
        <w:rPr>
          <w:color w:val="auto"/>
        </w:rPr>
        <w:t>- 9 -</w:t>
      </w:r>
      <w:r>
        <w:rPr>
          <w:color w:val="auto"/>
        </w:rPr>
        <w:fldChar w:fldCharType="end"/>
      </w:r>
      <w:r>
        <w:rPr>
          <w:rFonts w:hint="eastAsia" w:ascii="宋体" w:hAnsi="宋体" w:cs="宋体"/>
          <w:color w:val="auto"/>
          <w:szCs w:val="21"/>
        </w:rPr>
        <w:fldChar w:fldCharType="end"/>
      </w:r>
    </w:p>
    <w:p w14:paraId="70D2D807">
      <w:pPr>
        <w:pStyle w:val="29"/>
        <w:tabs>
          <w:tab w:val="right" w:leader="dot" w:pos="9412"/>
        </w:tabs>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_Toc5056 </w:instrText>
      </w:r>
      <w:r>
        <w:rPr>
          <w:rFonts w:hint="eastAsia" w:ascii="宋体" w:hAnsi="宋体" w:cs="宋体"/>
          <w:color w:val="auto"/>
          <w:szCs w:val="21"/>
        </w:rPr>
        <w:fldChar w:fldCharType="separate"/>
      </w:r>
      <w:r>
        <w:rPr>
          <w:rFonts w:hint="eastAsia"/>
          <w:color w:val="auto"/>
        </w:rPr>
        <w:t>（二）经营管理要求</w:t>
      </w:r>
      <w:r>
        <w:rPr>
          <w:color w:val="auto"/>
        </w:rPr>
        <w:tab/>
      </w:r>
      <w:r>
        <w:rPr>
          <w:color w:val="auto"/>
        </w:rPr>
        <w:fldChar w:fldCharType="begin"/>
      </w:r>
      <w:r>
        <w:rPr>
          <w:color w:val="auto"/>
        </w:rPr>
        <w:instrText xml:space="preserve"> PAGEREF _Toc5056 \h </w:instrText>
      </w:r>
      <w:r>
        <w:rPr>
          <w:color w:val="auto"/>
        </w:rPr>
        <w:fldChar w:fldCharType="separate"/>
      </w:r>
      <w:r>
        <w:rPr>
          <w:color w:val="auto"/>
        </w:rPr>
        <w:t>- 10 -</w:t>
      </w:r>
      <w:r>
        <w:rPr>
          <w:color w:val="auto"/>
        </w:rPr>
        <w:fldChar w:fldCharType="end"/>
      </w:r>
      <w:r>
        <w:rPr>
          <w:rFonts w:hint="eastAsia" w:ascii="宋体" w:hAnsi="宋体" w:cs="宋体"/>
          <w:color w:val="auto"/>
          <w:szCs w:val="21"/>
        </w:rPr>
        <w:fldChar w:fldCharType="end"/>
      </w:r>
    </w:p>
    <w:p w14:paraId="76FF8DF7">
      <w:pPr>
        <w:pStyle w:val="29"/>
        <w:tabs>
          <w:tab w:val="right" w:leader="dot" w:pos="9412"/>
        </w:tabs>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_Toc8828 </w:instrText>
      </w:r>
      <w:r>
        <w:rPr>
          <w:rFonts w:hint="eastAsia" w:ascii="宋体" w:hAnsi="宋体" w:cs="宋体"/>
          <w:color w:val="auto"/>
          <w:szCs w:val="21"/>
        </w:rPr>
        <w:fldChar w:fldCharType="separate"/>
      </w:r>
      <w:r>
        <w:rPr>
          <w:rFonts w:hint="eastAsia"/>
          <w:color w:val="auto"/>
        </w:rPr>
        <w:t>（三）食材要求</w:t>
      </w:r>
      <w:r>
        <w:rPr>
          <w:color w:val="auto"/>
        </w:rPr>
        <w:tab/>
      </w:r>
      <w:r>
        <w:rPr>
          <w:color w:val="auto"/>
        </w:rPr>
        <w:fldChar w:fldCharType="begin"/>
      </w:r>
      <w:r>
        <w:rPr>
          <w:color w:val="auto"/>
        </w:rPr>
        <w:instrText xml:space="preserve"> PAGEREF _Toc8828 \h </w:instrText>
      </w:r>
      <w:r>
        <w:rPr>
          <w:color w:val="auto"/>
        </w:rPr>
        <w:fldChar w:fldCharType="separate"/>
      </w:r>
      <w:r>
        <w:rPr>
          <w:color w:val="auto"/>
        </w:rPr>
        <w:t>- 15 -</w:t>
      </w:r>
      <w:r>
        <w:rPr>
          <w:color w:val="auto"/>
        </w:rPr>
        <w:fldChar w:fldCharType="end"/>
      </w:r>
      <w:r>
        <w:rPr>
          <w:rFonts w:hint="eastAsia" w:ascii="宋体" w:hAnsi="宋体" w:cs="宋体"/>
          <w:color w:val="auto"/>
          <w:szCs w:val="21"/>
        </w:rPr>
        <w:fldChar w:fldCharType="end"/>
      </w:r>
    </w:p>
    <w:p w14:paraId="249CF5F3">
      <w:pPr>
        <w:pStyle w:val="29"/>
        <w:tabs>
          <w:tab w:val="right" w:leader="dot" w:pos="9412"/>
        </w:tabs>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_Toc18958 </w:instrText>
      </w:r>
      <w:r>
        <w:rPr>
          <w:rFonts w:hint="eastAsia" w:ascii="宋体" w:hAnsi="宋体" w:cs="宋体"/>
          <w:color w:val="auto"/>
          <w:szCs w:val="21"/>
        </w:rPr>
        <w:fldChar w:fldCharType="separate"/>
      </w:r>
      <w:r>
        <w:rPr>
          <w:rFonts w:hint="eastAsia"/>
          <w:color w:val="auto"/>
        </w:rPr>
        <w:t>（四）食堂消防安全要求</w:t>
      </w:r>
      <w:r>
        <w:rPr>
          <w:color w:val="auto"/>
        </w:rPr>
        <w:tab/>
      </w:r>
      <w:r>
        <w:rPr>
          <w:color w:val="auto"/>
        </w:rPr>
        <w:fldChar w:fldCharType="begin"/>
      </w:r>
      <w:r>
        <w:rPr>
          <w:color w:val="auto"/>
        </w:rPr>
        <w:instrText xml:space="preserve"> PAGEREF _Toc18958 \h </w:instrText>
      </w:r>
      <w:r>
        <w:rPr>
          <w:color w:val="auto"/>
        </w:rPr>
        <w:fldChar w:fldCharType="separate"/>
      </w:r>
      <w:r>
        <w:rPr>
          <w:color w:val="auto"/>
        </w:rPr>
        <w:t>- 16 -</w:t>
      </w:r>
      <w:r>
        <w:rPr>
          <w:color w:val="auto"/>
        </w:rPr>
        <w:fldChar w:fldCharType="end"/>
      </w:r>
      <w:r>
        <w:rPr>
          <w:rFonts w:hint="eastAsia" w:ascii="宋体" w:hAnsi="宋体" w:cs="宋体"/>
          <w:color w:val="auto"/>
          <w:szCs w:val="21"/>
        </w:rPr>
        <w:fldChar w:fldCharType="end"/>
      </w:r>
    </w:p>
    <w:p w14:paraId="2B1A027C">
      <w:pPr>
        <w:pStyle w:val="47"/>
        <w:tabs>
          <w:tab w:val="right" w:leader="dot" w:pos="9412"/>
        </w:tabs>
        <w:ind w:firstLine="560" w:firstLineChars="200"/>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_Toc21360 </w:instrText>
      </w:r>
      <w:r>
        <w:rPr>
          <w:rFonts w:hint="eastAsia" w:ascii="宋体" w:hAnsi="宋体" w:cs="宋体"/>
          <w:color w:val="auto"/>
          <w:szCs w:val="21"/>
        </w:rPr>
        <w:fldChar w:fldCharType="separate"/>
      </w:r>
      <w:r>
        <w:rPr>
          <w:rFonts w:hint="eastAsia"/>
          <w:color w:val="auto"/>
        </w:rPr>
        <w:t>（五）食堂服务育人要求</w:t>
      </w:r>
      <w:r>
        <w:rPr>
          <w:color w:val="auto"/>
        </w:rPr>
        <w:tab/>
      </w:r>
      <w:r>
        <w:rPr>
          <w:color w:val="auto"/>
        </w:rPr>
        <w:fldChar w:fldCharType="begin"/>
      </w:r>
      <w:r>
        <w:rPr>
          <w:color w:val="auto"/>
        </w:rPr>
        <w:instrText xml:space="preserve"> PAGEREF _Toc21360 \h </w:instrText>
      </w:r>
      <w:r>
        <w:rPr>
          <w:color w:val="auto"/>
        </w:rPr>
        <w:fldChar w:fldCharType="separate"/>
      </w:r>
      <w:r>
        <w:rPr>
          <w:color w:val="auto"/>
        </w:rPr>
        <w:t>- 18 -</w:t>
      </w:r>
      <w:r>
        <w:rPr>
          <w:color w:val="auto"/>
        </w:rPr>
        <w:fldChar w:fldCharType="end"/>
      </w:r>
      <w:r>
        <w:rPr>
          <w:rFonts w:hint="eastAsia" w:ascii="宋体" w:hAnsi="宋体" w:cs="宋体"/>
          <w:color w:val="auto"/>
          <w:szCs w:val="21"/>
        </w:rPr>
        <w:fldChar w:fldCharType="end"/>
      </w:r>
    </w:p>
    <w:p w14:paraId="7C88E57B">
      <w:pPr>
        <w:pStyle w:val="29"/>
        <w:tabs>
          <w:tab w:val="right" w:leader="dot" w:pos="9412"/>
        </w:tabs>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_Toc1204 </w:instrText>
      </w:r>
      <w:r>
        <w:rPr>
          <w:rFonts w:hint="eastAsia" w:ascii="宋体" w:hAnsi="宋体" w:cs="宋体"/>
          <w:color w:val="auto"/>
          <w:szCs w:val="21"/>
        </w:rPr>
        <w:fldChar w:fldCharType="separate"/>
      </w:r>
      <w:r>
        <w:rPr>
          <w:rFonts w:hint="eastAsia"/>
          <w:color w:val="auto"/>
        </w:rPr>
        <w:t>（六）招标项目环境改造要求</w:t>
      </w:r>
      <w:r>
        <w:rPr>
          <w:color w:val="auto"/>
        </w:rPr>
        <w:tab/>
      </w:r>
      <w:r>
        <w:rPr>
          <w:color w:val="auto"/>
        </w:rPr>
        <w:fldChar w:fldCharType="begin"/>
      </w:r>
      <w:r>
        <w:rPr>
          <w:color w:val="auto"/>
        </w:rPr>
        <w:instrText xml:space="preserve"> PAGEREF _Toc1204 \h </w:instrText>
      </w:r>
      <w:r>
        <w:rPr>
          <w:color w:val="auto"/>
        </w:rPr>
        <w:fldChar w:fldCharType="separate"/>
      </w:r>
      <w:r>
        <w:rPr>
          <w:color w:val="auto"/>
        </w:rPr>
        <w:t>- 18 -</w:t>
      </w:r>
      <w:r>
        <w:rPr>
          <w:color w:val="auto"/>
        </w:rPr>
        <w:fldChar w:fldCharType="end"/>
      </w:r>
      <w:r>
        <w:rPr>
          <w:rFonts w:hint="eastAsia" w:ascii="宋体" w:hAnsi="宋体" w:cs="宋体"/>
          <w:color w:val="auto"/>
          <w:szCs w:val="21"/>
        </w:rPr>
        <w:fldChar w:fldCharType="end"/>
      </w:r>
    </w:p>
    <w:p w14:paraId="75CE7FF6">
      <w:pPr>
        <w:pStyle w:val="29"/>
        <w:tabs>
          <w:tab w:val="right" w:leader="dot" w:pos="9412"/>
        </w:tabs>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_Toc24479 </w:instrText>
      </w:r>
      <w:r>
        <w:rPr>
          <w:rFonts w:hint="eastAsia" w:ascii="宋体" w:hAnsi="宋体" w:cs="宋体"/>
          <w:color w:val="auto"/>
          <w:szCs w:val="21"/>
        </w:rPr>
        <w:fldChar w:fldCharType="separate"/>
      </w:r>
      <w:r>
        <w:rPr>
          <w:rFonts w:hint="eastAsia"/>
          <w:color w:val="auto"/>
        </w:rPr>
        <w:t>（七）教工餐要求</w:t>
      </w:r>
      <w:r>
        <w:rPr>
          <w:color w:val="auto"/>
        </w:rPr>
        <w:tab/>
      </w:r>
      <w:r>
        <w:rPr>
          <w:color w:val="auto"/>
        </w:rPr>
        <w:fldChar w:fldCharType="begin"/>
      </w:r>
      <w:r>
        <w:rPr>
          <w:color w:val="auto"/>
        </w:rPr>
        <w:instrText xml:space="preserve"> PAGEREF _Toc24479 \h </w:instrText>
      </w:r>
      <w:r>
        <w:rPr>
          <w:color w:val="auto"/>
        </w:rPr>
        <w:fldChar w:fldCharType="separate"/>
      </w:r>
      <w:r>
        <w:rPr>
          <w:color w:val="auto"/>
        </w:rPr>
        <w:t>- 22 -</w:t>
      </w:r>
      <w:r>
        <w:rPr>
          <w:color w:val="auto"/>
        </w:rPr>
        <w:fldChar w:fldCharType="end"/>
      </w:r>
      <w:r>
        <w:rPr>
          <w:rFonts w:hint="eastAsia" w:ascii="宋体" w:hAnsi="宋体" w:cs="宋体"/>
          <w:color w:val="auto"/>
          <w:szCs w:val="21"/>
        </w:rPr>
        <w:fldChar w:fldCharType="end"/>
      </w:r>
    </w:p>
    <w:p w14:paraId="7AA680D4">
      <w:pPr>
        <w:pStyle w:val="47"/>
        <w:tabs>
          <w:tab w:val="right" w:leader="dot" w:pos="9412"/>
        </w:tabs>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_Toc15853 </w:instrText>
      </w:r>
      <w:r>
        <w:rPr>
          <w:rFonts w:hint="eastAsia" w:ascii="宋体" w:hAnsi="宋体" w:cs="宋体"/>
          <w:color w:val="auto"/>
          <w:szCs w:val="21"/>
        </w:rPr>
        <w:fldChar w:fldCharType="separate"/>
      </w:r>
      <w:r>
        <w:rPr>
          <w:color w:val="auto"/>
        </w:rPr>
        <w:t>*</w:t>
      </w:r>
      <w:r>
        <w:rPr>
          <w:rFonts w:hint="eastAsia"/>
          <w:color w:val="auto"/>
        </w:rPr>
        <w:t>五、数智食堂建设要求</w:t>
      </w:r>
      <w:r>
        <w:rPr>
          <w:color w:val="auto"/>
        </w:rPr>
        <w:tab/>
      </w:r>
      <w:r>
        <w:rPr>
          <w:color w:val="auto"/>
        </w:rPr>
        <w:fldChar w:fldCharType="begin"/>
      </w:r>
      <w:r>
        <w:rPr>
          <w:color w:val="auto"/>
        </w:rPr>
        <w:instrText xml:space="preserve"> PAGEREF _Toc15853 \h </w:instrText>
      </w:r>
      <w:r>
        <w:rPr>
          <w:color w:val="auto"/>
        </w:rPr>
        <w:fldChar w:fldCharType="separate"/>
      </w:r>
      <w:r>
        <w:rPr>
          <w:color w:val="auto"/>
        </w:rPr>
        <w:t>- 22 -</w:t>
      </w:r>
      <w:r>
        <w:rPr>
          <w:color w:val="auto"/>
        </w:rPr>
        <w:fldChar w:fldCharType="end"/>
      </w:r>
      <w:r>
        <w:rPr>
          <w:rFonts w:hint="eastAsia" w:ascii="宋体" w:hAnsi="宋体" w:cs="宋体"/>
          <w:color w:val="auto"/>
          <w:szCs w:val="21"/>
        </w:rPr>
        <w:fldChar w:fldCharType="end"/>
      </w:r>
    </w:p>
    <w:p w14:paraId="5499E8B1">
      <w:pPr>
        <w:pStyle w:val="47"/>
        <w:tabs>
          <w:tab w:val="right" w:leader="dot" w:pos="9412"/>
        </w:tabs>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_Toc25663 </w:instrText>
      </w:r>
      <w:r>
        <w:rPr>
          <w:rFonts w:hint="eastAsia" w:ascii="宋体" w:hAnsi="宋体" w:cs="宋体"/>
          <w:color w:val="auto"/>
          <w:szCs w:val="21"/>
        </w:rPr>
        <w:fldChar w:fldCharType="separate"/>
      </w:r>
      <w:r>
        <w:rPr>
          <w:color w:val="auto"/>
        </w:rPr>
        <w:t>*</w:t>
      </w:r>
      <w:r>
        <w:rPr>
          <w:rFonts w:hint="eastAsia"/>
          <w:color w:val="auto"/>
        </w:rPr>
        <w:t>六、项目管理班子要求</w:t>
      </w:r>
      <w:r>
        <w:rPr>
          <w:color w:val="auto"/>
        </w:rPr>
        <w:tab/>
      </w:r>
      <w:r>
        <w:rPr>
          <w:color w:val="auto"/>
        </w:rPr>
        <w:fldChar w:fldCharType="begin"/>
      </w:r>
      <w:r>
        <w:rPr>
          <w:color w:val="auto"/>
        </w:rPr>
        <w:instrText xml:space="preserve"> PAGEREF _Toc25663 \h </w:instrText>
      </w:r>
      <w:r>
        <w:rPr>
          <w:color w:val="auto"/>
        </w:rPr>
        <w:fldChar w:fldCharType="separate"/>
      </w:r>
      <w:r>
        <w:rPr>
          <w:color w:val="auto"/>
        </w:rPr>
        <w:t>- 53 -</w:t>
      </w:r>
      <w:r>
        <w:rPr>
          <w:color w:val="auto"/>
        </w:rPr>
        <w:fldChar w:fldCharType="end"/>
      </w:r>
      <w:r>
        <w:rPr>
          <w:rFonts w:hint="eastAsia" w:ascii="宋体" w:hAnsi="宋体" w:cs="宋体"/>
          <w:color w:val="auto"/>
          <w:szCs w:val="21"/>
        </w:rPr>
        <w:fldChar w:fldCharType="end"/>
      </w:r>
    </w:p>
    <w:p w14:paraId="71CF89FF">
      <w:pPr>
        <w:pStyle w:val="47"/>
        <w:tabs>
          <w:tab w:val="right" w:leader="dot" w:pos="9412"/>
        </w:tabs>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_Toc16961 </w:instrText>
      </w:r>
      <w:r>
        <w:rPr>
          <w:rFonts w:hint="eastAsia" w:ascii="宋体" w:hAnsi="宋体" w:cs="宋体"/>
          <w:color w:val="auto"/>
          <w:szCs w:val="21"/>
        </w:rPr>
        <w:fldChar w:fldCharType="separate"/>
      </w:r>
      <w:r>
        <w:rPr>
          <w:color w:val="auto"/>
        </w:rPr>
        <w:t>*</w:t>
      </w:r>
      <w:r>
        <w:rPr>
          <w:rFonts w:hint="eastAsia"/>
          <w:color w:val="auto"/>
        </w:rPr>
        <w:t>七、考核管理</w:t>
      </w:r>
      <w:r>
        <w:rPr>
          <w:color w:val="auto"/>
        </w:rPr>
        <w:tab/>
      </w:r>
      <w:r>
        <w:rPr>
          <w:color w:val="auto"/>
        </w:rPr>
        <w:fldChar w:fldCharType="begin"/>
      </w:r>
      <w:r>
        <w:rPr>
          <w:color w:val="auto"/>
        </w:rPr>
        <w:instrText xml:space="preserve"> PAGEREF _Toc16961 \h </w:instrText>
      </w:r>
      <w:r>
        <w:rPr>
          <w:color w:val="auto"/>
        </w:rPr>
        <w:fldChar w:fldCharType="separate"/>
      </w:r>
      <w:r>
        <w:rPr>
          <w:color w:val="auto"/>
        </w:rPr>
        <w:t>- 54 -</w:t>
      </w:r>
      <w:r>
        <w:rPr>
          <w:color w:val="auto"/>
        </w:rPr>
        <w:fldChar w:fldCharType="end"/>
      </w:r>
      <w:r>
        <w:rPr>
          <w:rFonts w:hint="eastAsia" w:ascii="宋体" w:hAnsi="宋体" w:cs="宋体"/>
          <w:color w:val="auto"/>
          <w:szCs w:val="21"/>
        </w:rPr>
        <w:fldChar w:fldCharType="end"/>
      </w:r>
    </w:p>
    <w:p w14:paraId="45292985">
      <w:pPr>
        <w:pStyle w:val="47"/>
        <w:tabs>
          <w:tab w:val="right" w:leader="dot" w:pos="9412"/>
        </w:tabs>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_Toc14149 </w:instrText>
      </w:r>
      <w:r>
        <w:rPr>
          <w:rFonts w:hint="eastAsia" w:ascii="宋体" w:hAnsi="宋体" w:cs="宋体"/>
          <w:color w:val="auto"/>
          <w:szCs w:val="21"/>
        </w:rPr>
        <w:fldChar w:fldCharType="separate"/>
      </w:r>
      <w:r>
        <w:rPr>
          <w:color w:val="auto"/>
        </w:rPr>
        <w:t>*</w:t>
      </w:r>
      <w:r>
        <w:rPr>
          <w:rFonts w:hint="eastAsia"/>
          <w:color w:val="auto"/>
        </w:rPr>
        <w:t>八、特别要求</w:t>
      </w:r>
      <w:r>
        <w:rPr>
          <w:color w:val="auto"/>
        </w:rPr>
        <w:tab/>
      </w:r>
      <w:r>
        <w:rPr>
          <w:color w:val="auto"/>
        </w:rPr>
        <w:fldChar w:fldCharType="begin"/>
      </w:r>
      <w:r>
        <w:rPr>
          <w:color w:val="auto"/>
        </w:rPr>
        <w:instrText xml:space="preserve"> PAGEREF _Toc14149 \h </w:instrText>
      </w:r>
      <w:r>
        <w:rPr>
          <w:color w:val="auto"/>
        </w:rPr>
        <w:fldChar w:fldCharType="separate"/>
      </w:r>
      <w:r>
        <w:rPr>
          <w:color w:val="auto"/>
        </w:rPr>
        <w:t>- 60 -</w:t>
      </w:r>
      <w:r>
        <w:rPr>
          <w:color w:val="auto"/>
        </w:rPr>
        <w:fldChar w:fldCharType="end"/>
      </w:r>
      <w:r>
        <w:rPr>
          <w:rFonts w:hint="eastAsia" w:ascii="宋体" w:hAnsi="宋体" w:cs="宋体"/>
          <w:color w:val="auto"/>
          <w:szCs w:val="21"/>
        </w:rPr>
        <w:fldChar w:fldCharType="end"/>
      </w:r>
    </w:p>
    <w:p w14:paraId="39CB8E96">
      <w:pPr>
        <w:pStyle w:val="47"/>
        <w:tabs>
          <w:tab w:val="right" w:leader="dot" w:pos="9412"/>
        </w:tabs>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_Toc25935 </w:instrText>
      </w:r>
      <w:r>
        <w:rPr>
          <w:rFonts w:hint="eastAsia" w:ascii="宋体" w:hAnsi="宋体" w:cs="宋体"/>
          <w:color w:val="auto"/>
          <w:szCs w:val="21"/>
        </w:rPr>
        <w:fldChar w:fldCharType="separate"/>
      </w:r>
      <w:r>
        <w:rPr>
          <w:rFonts w:hint="eastAsia"/>
          <w:color w:val="auto"/>
        </w:rPr>
        <w:t>九、现场查勘</w:t>
      </w:r>
      <w:r>
        <w:rPr>
          <w:color w:val="auto"/>
        </w:rPr>
        <w:tab/>
      </w:r>
      <w:r>
        <w:rPr>
          <w:color w:val="auto"/>
        </w:rPr>
        <w:fldChar w:fldCharType="begin"/>
      </w:r>
      <w:r>
        <w:rPr>
          <w:color w:val="auto"/>
        </w:rPr>
        <w:instrText xml:space="preserve"> PAGEREF _Toc25935 \h </w:instrText>
      </w:r>
      <w:r>
        <w:rPr>
          <w:color w:val="auto"/>
        </w:rPr>
        <w:fldChar w:fldCharType="separate"/>
      </w:r>
      <w:r>
        <w:rPr>
          <w:color w:val="auto"/>
        </w:rPr>
        <w:t>- 60 -</w:t>
      </w:r>
      <w:r>
        <w:rPr>
          <w:color w:val="auto"/>
        </w:rPr>
        <w:fldChar w:fldCharType="end"/>
      </w:r>
      <w:r>
        <w:rPr>
          <w:rFonts w:hint="eastAsia" w:ascii="宋体" w:hAnsi="宋体" w:cs="宋体"/>
          <w:color w:val="auto"/>
          <w:szCs w:val="21"/>
        </w:rPr>
        <w:fldChar w:fldCharType="end"/>
      </w:r>
    </w:p>
    <w:p w14:paraId="77E07420">
      <w:pPr>
        <w:pStyle w:val="47"/>
        <w:tabs>
          <w:tab w:val="right" w:leader="dot" w:pos="9412"/>
        </w:tabs>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_Toc17759 </w:instrText>
      </w:r>
      <w:r>
        <w:rPr>
          <w:rFonts w:hint="eastAsia" w:ascii="宋体" w:hAnsi="宋体" w:cs="宋体"/>
          <w:color w:val="auto"/>
          <w:szCs w:val="21"/>
        </w:rPr>
        <w:fldChar w:fldCharType="separate"/>
      </w:r>
      <w:r>
        <w:rPr>
          <w:rFonts w:hint="eastAsia"/>
          <w:color w:val="auto"/>
        </w:rPr>
        <w:t>十、其他</w:t>
      </w:r>
      <w:r>
        <w:rPr>
          <w:color w:val="auto"/>
        </w:rPr>
        <w:tab/>
      </w:r>
      <w:r>
        <w:rPr>
          <w:color w:val="auto"/>
        </w:rPr>
        <w:fldChar w:fldCharType="begin"/>
      </w:r>
      <w:r>
        <w:rPr>
          <w:color w:val="auto"/>
        </w:rPr>
        <w:instrText xml:space="preserve"> PAGEREF _Toc17759 \h </w:instrText>
      </w:r>
      <w:r>
        <w:rPr>
          <w:color w:val="auto"/>
        </w:rPr>
        <w:fldChar w:fldCharType="separate"/>
      </w:r>
      <w:r>
        <w:rPr>
          <w:color w:val="auto"/>
        </w:rPr>
        <w:t>- 61 -</w:t>
      </w:r>
      <w:r>
        <w:rPr>
          <w:color w:val="auto"/>
        </w:rPr>
        <w:fldChar w:fldCharType="end"/>
      </w:r>
      <w:r>
        <w:rPr>
          <w:rFonts w:hint="eastAsia" w:ascii="宋体" w:hAnsi="宋体" w:cs="宋体"/>
          <w:color w:val="auto"/>
          <w:szCs w:val="21"/>
        </w:rPr>
        <w:fldChar w:fldCharType="end"/>
      </w:r>
    </w:p>
    <w:p w14:paraId="3D3086B5">
      <w:pPr>
        <w:pStyle w:val="39"/>
        <w:tabs>
          <w:tab w:val="right" w:leader="dot" w:pos="9412"/>
        </w:tabs>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_Toc29267 </w:instrText>
      </w:r>
      <w:r>
        <w:rPr>
          <w:rFonts w:hint="eastAsia" w:ascii="宋体" w:hAnsi="宋体" w:cs="宋体"/>
          <w:color w:val="auto"/>
          <w:szCs w:val="21"/>
        </w:rPr>
        <w:fldChar w:fldCharType="separate"/>
      </w:r>
      <w:r>
        <w:rPr>
          <w:rFonts w:hint="eastAsia"/>
          <w:bCs/>
          <w:color w:val="auto"/>
          <w:szCs w:val="32"/>
        </w:rPr>
        <w:t>第三篇</w:t>
      </w:r>
      <w:r>
        <w:rPr>
          <w:bCs/>
          <w:color w:val="auto"/>
          <w:szCs w:val="32"/>
        </w:rPr>
        <w:t xml:space="preserve">  </w:t>
      </w:r>
      <w:r>
        <w:rPr>
          <w:rFonts w:hint="eastAsia"/>
          <w:bCs/>
          <w:color w:val="auto"/>
          <w:szCs w:val="32"/>
        </w:rPr>
        <w:t>采购商务需求</w:t>
      </w:r>
      <w:r>
        <w:rPr>
          <w:color w:val="auto"/>
        </w:rPr>
        <w:tab/>
      </w:r>
      <w:r>
        <w:rPr>
          <w:color w:val="auto"/>
        </w:rPr>
        <w:fldChar w:fldCharType="begin"/>
      </w:r>
      <w:r>
        <w:rPr>
          <w:color w:val="auto"/>
        </w:rPr>
        <w:instrText xml:space="preserve"> PAGEREF _Toc29267 \h </w:instrText>
      </w:r>
      <w:r>
        <w:rPr>
          <w:color w:val="auto"/>
        </w:rPr>
        <w:fldChar w:fldCharType="separate"/>
      </w:r>
      <w:r>
        <w:rPr>
          <w:color w:val="auto"/>
        </w:rPr>
        <w:t>- 62 -</w:t>
      </w:r>
      <w:r>
        <w:rPr>
          <w:color w:val="auto"/>
        </w:rPr>
        <w:fldChar w:fldCharType="end"/>
      </w:r>
      <w:r>
        <w:rPr>
          <w:rFonts w:hint="eastAsia" w:ascii="宋体" w:hAnsi="宋体" w:cs="宋体"/>
          <w:color w:val="auto"/>
          <w:szCs w:val="21"/>
        </w:rPr>
        <w:fldChar w:fldCharType="end"/>
      </w:r>
    </w:p>
    <w:p w14:paraId="026DA7D3">
      <w:pPr>
        <w:pStyle w:val="47"/>
        <w:tabs>
          <w:tab w:val="right" w:leader="dot" w:pos="9412"/>
        </w:tabs>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_Toc8448 </w:instrText>
      </w:r>
      <w:r>
        <w:rPr>
          <w:rFonts w:hint="eastAsia" w:ascii="宋体" w:hAnsi="宋体" w:cs="宋体"/>
          <w:color w:val="auto"/>
          <w:szCs w:val="21"/>
        </w:rPr>
        <w:fldChar w:fldCharType="separate"/>
      </w:r>
      <w:r>
        <w:rPr>
          <w:rFonts w:hint="eastAsia"/>
          <w:color w:val="auto"/>
          <w:szCs w:val="28"/>
        </w:rPr>
        <w:t>一、时间、地点要求，人员要求及验收方式</w:t>
      </w:r>
      <w:r>
        <w:rPr>
          <w:color w:val="auto"/>
        </w:rPr>
        <w:tab/>
      </w:r>
      <w:r>
        <w:rPr>
          <w:color w:val="auto"/>
        </w:rPr>
        <w:fldChar w:fldCharType="begin"/>
      </w:r>
      <w:r>
        <w:rPr>
          <w:color w:val="auto"/>
        </w:rPr>
        <w:instrText xml:space="preserve"> PAGEREF _Toc8448 \h </w:instrText>
      </w:r>
      <w:r>
        <w:rPr>
          <w:color w:val="auto"/>
        </w:rPr>
        <w:fldChar w:fldCharType="separate"/>
      </w:r>
      <w:r>
        <w:rPr>
          <w:color w:val="auto"/>
        </w:rPr>
        <w:t>- 62 -</w:t>
      </w:r>
      <w:r>
        <w:rPr>
          <w:color w:val="auto"/>
        </w:rPr>
        <w:fldChar w:fldCharType="end"/>
      </w:r>
      <w:r>
        <w:rPr>
          <w:rFonts w:hint="eastAsia" w:ascii="宋体" w:hAnsi="宋体" w:cs="宋体"/>
          <w:color w:val="auto"/>
          <w:szCs w:val="21"/>
        </w:rPr>
        <w:fldChar w:fldCharType="end"/>
      </w:r>
    </w:p>
    <w:p w14:paraId="1B22D518">
      <w:pPr>
        <w:pStyle w:val="47"/>
        <w:tabs>
          <w:tab w:val="right" w:leader="dot" w:pos="9412"/>
        </w:tabs>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_Toc23951 </w:instrText>
      </w:r>
      <w:r>
        <w:rPr>
          <w:rFonts w:hint="eastAsia" w:ascii="宋体" w:hAnsi="宋体" w:cs="宋体"/>
          <w:color w:val="auto"/>
          <w:szCs w:val="21"/>
        </w:rPr>
        <w:fldChar w:fldCharType="separate"/>
      </w:r>
      <w:r>
        <w:rPr>
          <w:rFonts w:hint="eastAsia"/>
          <w:color w:val="auto"/>
          <w:szCs w:val="28"/>
        </w:rPr>
        <w:t>二、报价要求</w:t>
      </w:r>
      <w:r>
        <w:rPr>
          <w:color w:val="auto"/>
        </w:rPr>
        <w:tab/>
      </w:r>
      <w:r>
        <w:rPr>
          <w:color w:val="auto"/>
        </w:rPr>
        <w:fldChar w:fldCharType="begin"/>
      </w:r>
      <w:r>
        <w:rPr>
          <w:color w:val="auto"/>
        </w:rPr>
        <w:instrText xml:space="preserve"> PAGEREF _Toc23951 \h </w:instrText>
      </w:r>
      <w:r>
        <w:rPr>
          <w:color w:val="auto"/>
        </w:rPr>
        <w:fldChar w:fldCharType="separate"/>
      </w:r>
      <w:r>
        <w:rPr>
          <w:color w:val="auto"/>
        </w:rPr>
        <w:t>- 62 -</w:t>
      </w:r>
      <w:r>
        <w:rPr>
          <w:color w:val="auto"/>
        </w:rPr>
        <w:fldChar w:fldCharType="end"/>
      </w:r>
      <w:r>
        <w:rPr>
          <w:rFonts w:hint="eastAsia" w:ascii="宋体" w:hAnsi="宋体" w:cs="宋体"/>
          <w:color w:val="auto"/>
          <w:szCs w:val="21"/>
        </w:rPr>
        <w:fldChar w:fldCharType="end"/>
      </w:r>
    </w:p>
    <w:p w14:paraId="7E8032FF">
      <w:pPr>
        <w:pStyle w:val="47"/>
        <w:tabs>
          <w:tab w:val="right" w:leader="dot" w:pos="9412"/>
        </w:tabs>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_Toc21135 </w:instrText>
      </w:r>
      <w:r>
        <w:rPr>
          <w:rFonts w:hint="eastAsia" w:ascii="宋体" w:hAnsi="宋体" w:cs="宋体"/>
          <w:color w:val="auto"/>
          <w:szCs w:val="21"/>
        </w:rPr>
        <w:fldChar w:fldCharType="separate"/>
      </w:r>
      <w:r>
        <w:rPr>
          <w:color w:val="auto"/>
        </w:rPr>
        <w:t>*</w:t>
      </w:r>
      <w:r>
        <w:rPr>
          <w:rFonts w:hint="eastAsia"/>
          <w:color w:val="auto"/>
          <w:szCs w:val="28"/>
        </w:rPr>
        <w:t>三、履约保证金</w:t>
      </w:r>
      <w:r>
        <w:rPr>
          <w:color w:val="auto"/>
        </w:rPr>
        <w:tab/>
      </w:r>
      <w:r>
        <w:rPr>
          <w:color w:val="auto"/>
        </w:rPr>
        <w:fldChar w:fldCharType="begin"/>
      </w:r>
      <w:r>
        <w:rPr>
          <w:color w:val="auto"/>
        </w:rPr>
        <w:instrText xml:space="preserve"> PAGEREF _Toc21135 \h </w:instrText>
      </w:r>
      <w:r>
        <w:rPr>
          <w:color w:val="auto"/>
        </w:rPr>
        <w:fldChar w:fldCharType="separate"/>
      </w:r>
      <w:r>
        <w:rPr>
          <w:color w:val="auto"/>
        </w:rPr>
        <w:t>- 62 -</w:t>
      </w:r>
      <w:r>
        <w:rPr>
          <w:color w:val="auto"/>
        </w:rPr>
        <w:fldChar w:fldCharType="end"/>
      </w:r>
      <w:r>
        <w:rPr>
          <w:rFonts w:hint="eastAsia" w:ascii="宋体" w:hAnsi="宋体" w:cs="宋体"/>
          <w:color w:val="auto"/>
          <w:szCs w:val="21"/>
        </w:rPr>
        <w:fldChar w:fldCharType="end"/>
      </w:r>
    </w:p>
    <w:p w14:paraId="3EF0375E">
      <w:pPr>
        <w:pStyle w:val="47"/>
        <w:tabs>
          <w:tab w:val="right" w:leader="dot" w:pos="9412"/>
        </w:tabs>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_Toc9785 </w:instrText>
      </w:r>
      <w:r>
        <w:rPr>
          <w:rFonts w:hint="eastAsia" w:ascii="宋体" w:hAnsi="宋体" w:cs="宋体"/>
          <w:color w:val="auto"/>
          <w:szCs w:val="21"/>
        </w:rPr>
        <w:fldChar w:fldCharType="separate"/>
      </w:r>
      <w:r>
        <w:rPr>
          <w:color w:val="auto"/>
        </w:rPr>
        <w:t>*</w:t>
      </w:r>
      <w:r>
        <w:rPr>
          <w:rFonts w:hint="eastAsia"/>
          <w:color w:val="auto"/>
          <w:szCs w:val="28"/>
        </w:rPr>
        <w:t>四、费用结算及支付</w:t>
      </w:r>
      <w:r>
        <w:rPr>
          <w:color w:val="auto"/>
        </w:rPr>
        <w:tab/>
      </w:r>
      <w:r>
        <w:rPr>
          <w:color w:val="auto"/>
        </w:rPr>
        <w:fldChar w:fldCharType="begin"/>
      </w:r>
      <w:r>
        <w:rPr>
          <w:color w:val="auto"/>
        </w:rPr>
        <w:instrText xml:space="preserve"> PAGEREF _Toc9785 \h </w:instrText>
      </w:r>
      <w:r>
        <w:rPr>
          <w:color w:val="auto"/>
        </w:rPr>
        <w:fldChar w:fldCharType="separate"/>
      </w:r>
      <w:r>
        <w:rPr>
          <w:color w:val="auto"/>
        </w:rPr>
        <w:t>- 62 -</w:t>
      </w:r>
      <w:r>
        <w:rPr>
          <w:color w:val="auto"/>
        </w:rPr>
        <w:fldChar w:fldCharType="end"/>
      </w:r>
      <w:r>
        <w:rPr>
          <w:rFonts w:hint="eastAsia" w:ascii="宋体" w:hAnsi="宋体" w:cs="宋体"/>
          <w:color w:val="auto"/>
          <w:szCs w:val="21"/>
        </w:rPr>
        <w:fldChar w:fldCharType="end"/>
      </w:r>
    </w:p>
    <w:p w14:paraId="7A558AC5">
      <w:pPr>
        <w:pStyle w:val="47"/>
        <w:tabs>
          <w:tab w:val="right" w:leader="dot" w:pos="9412"/>
        </w:tabs>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_Toc15151 </w:instrText>
      </w:r>
      <w:r>
        <w:rPr>
          <w:rFonts w:hint="eastAsia" w:ascii="宋体" w:hAnsi="宋体" w:cs="宋体"/>
          <w:color w:val="auto"/>
          <w:szCs w:val="21"/>
        </w:rPr>
        <w:fldChar w:fldCharType="separate"/>
      </w:r>
      <w:r>
        <w:rPr>
          <w:color w:val="auto"/>
        </w:rPr>
        <w:t>*</w:t>
      </w:r>
      <w:r>
        <w:rPr>
          <w:rFonts w:hint="eastAsia"/>
          <w:color w:val="auto"/>
          <w:szCs w:val="28"/>
        </w:rPr>
        <w:t>五、知识产权</w:t>
      </w:r>
      <w:r>
        <w:rPr>
          <w:color w:val="auto"/>
        </w:rPr>
        <w:tab/>
      </w:r>
      <w:r>
        <w:rPr>
          <w:color w:val="auto"/>
        </w:rPr>
        <w:fldChar w:fldCharType="begin"/>
      </w:r>
      <w:r>
        <w:rPr>
          <w:color w:val="auto"/>
        </w:rPr>
        <w:instrText xml:space="preserve"> PAGEREF _Toc15151 \h </w:instrText>
      </w:r>
      <w:r>
        <w:rPr>
          <w:color w:val="auto"/>
        </w:rPr>
        <w:fldChar w:fldCharType="separate"/>
      </w:r>
      <w:r>
        <w:rPr>
          <w:color w:val="auto"/>
        </w:rPr>
        <w:t>- 63 -</w:t>
      </w:r>
      <w:r>
        <w:rPr>
          <w:color w:val="auto"/>
        </w:rPr>
        <w:fldChar w:fldCharType="end"/>
      </w:r>
      <w:r>
        <w:rPr>
          <w:rFonts w:hint="eastAsia" w:ascii="宋体" w:hAnsi="宋体" w:cs="宋体"/>
          <w:color w:val="auto"/>
          <w:szCs w:val="21"/>
        </w:rPr>
        <w:fldChar w:fldCharType="end"/>
      </w:r>
    </w:p>
    <w:p w14:paraId="6E829B4B">
      <w:pPr>
        <w:pStyle w:val="47"/>
        <w:tabs>
          <w:tab w:val="right" w:leader="dot" w:pos="9412"/>
        </w:tabs>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_Toc5279 </w:instrText>
      </w:r>
      <w:r>
        <w:rPr>
          <w:rFonts w:hint="eastAsia" w:ascii="宋体" w:hAnsi="宋体" w:cs="宋体"/>
          <w:color w:val="auto"/>
          <w:szCs w:val="21"/>
        </w:rPr>
        <w:fldChar w:fldCharType="separate"/>
      </w:r>
      <w:r>
        <w:rPr>
          <w:color w:val="auto"/>
        </w:rPr>
        <w:t>*</w:t>
      </w:r>
      <w:r>
        <w:rPr>
          <w:rFonts w:hint="eastAsia"/>
          <w:color w:val="auto"/>
          <w:szCs w:val="28"/>
        </w:rPr>
        <w:t>六、退出机制</w:t>
      </w:r>
      <w:r>
        <w:rPr>
          <w:color w:val="auto"/>
        </w:rPr>
        <w:tab/>
      </w:r>
      <w:r>
        <w:rPr>
          <w:color w:val="auto"/>
        </w:rPr>
        <w:fldChar w:fldCharType="begin"/>
      </w:r>
      <w:r>
        <w:rPr>
          <w:color w:val="auto"/>
        </w:rPr>
        <w:instrText xml:space="preserve"> PAGEREF _Toc5279 \h </w:instrText>
      </w:r>
      <w:r>
        <w:rPr>
          <w:color w:val="auto"/>
        </w:rPr>
        <w:fldChar w:fldCharType="separate"/>
      </w:r>
      <w:r>
        <w:rPr>
          <w:color w:val="auto"/>
        </w:rPr>
        <w:t>- 63 -</w:t>
      </w:r>
      <w:r>
        <w:rPr>
          <w:color w:val="auto"/>
        </w:rPr>
        <w:fldChar w:fldCharType="end"/>
      </w:r>
      <w:r>
        <w:rPr>
          <w:rFonts w:hint="eastAsia" w:ascii="宋体" w:hAnsi="宋体" w:cs="宋体"/>
          <w:color w:val="auto"/>
          <w:szCs w:val="21"/>
        </w:rPr>
        <w:fldChar w:fldCharType="end"/>
      </w:r>
    </w:p>
    <w:p w14:paraId="0FA04DB4">
      <w:pPr>
        <w:pStyle w:val="47"/>
        <w:tabs>
          <w:tab w:val="right" w:leader="dot" w:pos="9412"/>
        </w:tabs>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_Toc9926 </w:instrText>
      </w:r>
      <w:r>
        <w:rPr>
          <w:rFonts w:hint="eastAsia" w:ascii="宋体" w:hAnsi="宋体" w:cs="宋体"/>
          <w:color w:val="auto"/>
          <w:szCs w:val="21"/>
        </w:rPr>
        <w:fldChar w:fldCharType="separate"/>
      </w:r>
      <w:r>
        <w:rPr>
          <w:color w:val="auto"/>
        </w:rPr>
        <w:t>*</w:t>
      </w:r>
      <w:r>
        <w:rPr>
          <w:rFonts w:hint="eastAsia"/>
          <w:color w:val="auto"/>
          <w:szCs w:val="28"/>
        </w:rPr>
        <w:t>七、违约责任</w:t>
      </w:r>
      <w:r>
        <w:rPr>
          <w:color w:val="auto"/>
        </w:rPr>
        <w:tab/>
      </w:r>
      <w:r>
        <w:rPr>
          <w:color w:val="auto"/>
        </w:rPr>
        <w:fldChar w:fldCharType="begin"/>
      </w:r>
      <w:r>
        <w:rPr>
          <w:color w:val="auto"/>
        </w:rPr>
        <w:instrText xml:space="preserve"> PAGEREF _Toc9926 \h </w:instrText>
      </w:r>
      <w:r>
        <w:rPr>
          <w:color w:val="auto"/>
        </w:rPr>
        <w:fldChar w:fldCharType="separate"/>
      </w:r>
      <w:r>
        <w:rPr>
          <w:color w:val="auto"/>
        </w:rPr>
        <w:t>- 64 -</w:t>
      </w:r>
      <w:r>
        <w:rPr>
          <w:color w:val="auto"/>
        </w:rPr>
        <w:fldChar w:fldCharType="end"/>
      </w:r>
      <w:r>
        <w:rPr>
          <w:rFonts w:hint="eastAsia" w:ascii="宋体" w:hAnsi="宋体" w:cs="宋体"/>
          <w:color w:val="auto"/>
          <w:szCs w:val="21"/>
        </w:rPr>
        <w:fldChar w:fldCharType="end"/>
      </w:r>
    </w:p>
    <w:p w14:paraId="66B31BB1">
      <w:pPr>
        <w:pStyle w:val="47"/>
        <w:tabs>
          <w:tab w:val="right" w:leader="dot" w:pos="9412"/>
        </w:tabs>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_Toc7837 </w:instrText>
      </w:r>
      <w:r>
        <w:rPr>
          <w:rFonts w:hint="eastAsia" w:ascii="宋体" w:hAnsi="宋体" w:cs="宋体"/>
          <w:color w:val="auto"/>
          <w:szCs w:val="21"/>
        </w:rPr>
        <w:fldChar w:fldCharType="separate"/>
      </w:r>
      <w:r>
        <w:rPr>
          <w:rFonts w:hint="eastAsia"/>
          <w:color w:val="auto"/>
          <w:szCs w:val="28"/>
        </w:rPr>
        <w:t>八、保密</w:t>
      </w:r>
      <w:r>
        <w:rPr>
          <w:color w:val="auto"/>
        </w:rPr>
        <w:tab/>
      </w:r>
      <w:r>
        <w:rPr>
          <w:color w:val="auto"/>
        </w:rPr>
        <w:fldChar w:fldCharType="begin"/>
      </w:r>
      <w:r>
        <w:rPr>
          <w:color w:val="auto"/>
        </w:rPr>
        <w:instrText xml:space="preserve"> PAGEREF _Toc7837 \h </w:instrText>
      </w:r>
      <w:r>
        <w:rPr>
          <w:color w:val="auto"/>
        </w:rPr>
        <w:fldChar w:fldCharType="separate"/>
      </w:r>
      <w:r>
        <w:rPr>
          <w:color w:val="auto"/>
        </w:rPr>
        <w:t>- 66 -</w:t>
      </w:r>
      <w:r>
        <w:rPr>
          <w:color w:val="auto"/>
        </w:rPr>
        <w:fldChar w:fldCharType="end"/>
      </w:r>
      <w:r>
        <w:rPr>
          <w:rFonts w:hint="eastAsia" w:ascii="宋体" w:hAnsi="宋体" w:cs="宋体"/>
          <w:color w:val="auto"/>
          <w:szCs w:val="21"/>
        </w:rPr>
        <w:fldChar w:fldCharType="end"/>
      </w:r>
    </w:p>
    <w:p w14:paraId="4AC98C71">
      <w:pPr>
        <w:pStyle w:val="47"/>
        <w:tabs>
          <w:tab w:val="right" w:leader="dot" w:pos="9412"/>
        </w:tabs>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_Toc20259 </w:instrText>
      </w:r>
      <w:r>
        <w:rPr>
          <w:rFonts w:hint="eastAsia" w:ascii="宋体" w:hAnsi="宋体" w:cs="宋体"/>
          <w:color w:val="auto"/>
          <w:szCs w:val="21"/>
        </w:rPr>
        <w:fldChar w:fldCharType="separate"/>
      </w:r>
      <w:r>
        <w:rPr>
          <w:rFonts w:hint="eastAsia"/>
          <w:color w:val="auto"/>
          <w:szCs w:val="28"/>
        </w:rPr>
        <w:t>九、风险提示</w:t>
      </w:r>
      <w:r>
        <w:rPr>
          <w:color w:val="auto"/>
        </w:rPr>
        <w:tab/>
      </w:r>
      <w:r>
        <w:rPr>
          <w:color w:val="auto"/>
        </w:rPr>
        <w:fldChar w:fldCharType="begin"/>
      </w:r>
      <w:r>
        <w:rPr>
          <w:color w:val="auto"/>
        </w:rPr>
        <w:instrText xml:space="preserve"> PAGEREF _Toc20259 \h </w:instrText>
      </w:r>
      <w:r>
        <w:rPr>
          <w:color w:val="auto"/>
        </w:rPr>
        <w:fldChar w:fldCharType="separate"/>
      </w:r>
      <w:r>
        <w:rPr>
          <w:color w:val="auto"/>
        </w:rPr>
        <w:t>- 66 -</w:t>
      </w:r>
      <w:r>
        <w:rPr>
          <w:color w:val="auto"/>
        </w:rPr>
        <w:fldChar w:fldCharType="end"/>
      </w:r>
      <w:r>
        <w:rPr>
          <w:rFonts w:hint="eastAsia" w:ascii="宋体" w:hAnsi="宋体" w:cs="宋体"/>
          <w:color w:val="auto"/>
          <w:szCs w:val="21"/>
        </w:rPr>
        <w:fldChar w:fldCharType="end"/>
      </w:r>
    </w:p>
    <w:p w14:paraId="0783C000">
      <w:pPr>
        <w:pStyle w:val="47"/>
        <w:tabs>
          <w:tab w:val="right" w:leader="dot" w:pos="9412"/>
        </w:tabs>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_Toc19615 </w:instrText>
      </w:r>
      <w:r>
        <w:rPr>
          <w:rFonts w:hint="eastAsia" w:ascii="宋体" w:hAnsi="宋体" w:cs="宋体"/>
          <w:color w:val="auto"/>
          <w:szCs w:val="21"/>
        </w:rPr>
        <w:fldChar w:fldCharType="separate"/>
      </w:r>
      <w:r>
        <w:rPr>
          <w:color w:val="auto"/>
          <w:szCs w:val="28"/>
        </w:rPr>
        <w:t>*</w:t>
      </w:r>
      <w:r>
        <w:rPr>
          <w:rFonts w:hint="eastAsia"/>
          <w:color w:val="auto"/>
          <w:szCs w:val="28"/>
        </w:rPr>
        <w:t>十、其他</w:t>
      </w:r>
      <w:r>
        <w:rPr>
          <w:color w:val="auto"/>
        </w:rPr>
        <w:tab/>
      </w:r>
      <w:r>
        <w:rPr>
          <w:color w:val="auto"/>
        </w:rPr>
        <w:fldChar w:fldCharType="begin"/>
      </w:r>
      <w:r>
        <w:rPr>
          <w:color w:val="auto"/>
        </w:rPr>
        <w:instrText xml:space="preserve"> PAGEREF _Toc19615 \h </w:instrText>
      </w:r>
      <w:r>
        <w:rPr>
          <w:color w:val="auto"/>
        </w:rPr>
        <w:fldChar w:fldCharType="separate"/>
      </w:r>
      <w:r>
        <w:rPr>
          <w:color w:val="auto"/>
        </w:rPr>
        <w:t>- 66 -</w:t>
      </w:r>
      <w:r>
        <w:rPr>
          <w:color w:val="auto"/>
        </w:rPr>
        <w:fldChar w:fldCharType="end"/>
      </w:r>
      <w:r>
        <w:rPr>
          <w:rFonts w:hint="eastAsia" w:ascii="宋体" w:hAnsi="宋体" w:cs="宋体"/>
          <w:color w:val="auto"/>
          <w:szCs w:val="21"/>
        </w:rPr>
        <w:fldChar w:fldCharType="end"/>
      </w:r>
    </w:p>
    <w:p w14:paraId="03E86948">
      <w:pPr>
        <w:pStyle w:val="47"/>
        <w:tabs>
          <w:tab w:val="right" w:leader="dot" w:pos="9412"/>
        </w:tabs>
        <w:ind w:left="0" w:leftChars="0" w:firstLine="0" w:firstLineChars="0"/>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_Toc24951 </w:instrText>
      </w:r>
      <w:r>
        <w:rPr>
          <w:rFonts w:hint="eastAsia" w:ascii="宋体" w:hAnsi="宋体" w:cs="宋体"/>
          <w:color w:val="auto"/>
          <w:szCs w:val="21"/>
        </w:rPr>
        <w:fldChar w:fldCharType="separate"/>
      </w:r>
      <w:r>
        <w:rPr>
          <w:rFonts w:hint="eastAsia" w:ascii="宋体" w:hAnsi="宋体" w:eastAsia="宋体" w:cs="宋体"/>
          <w:color w:val="auto"/>
          <w:szCs w:val="30"/>
        </w:rPr>
        <w:t>第四篇</w:t>
      </w:r>
      <w:r>
        <w:rPr>
          <w:rFonts w:ascii="宋体" w:hAnsi="宋体" w:eastAsia="宋体" w:cs="宋体"/>
          <w:color w:val="auto"/>
          <w:szCs w:val="30"/>
        </w:rPr>
        <w:t xml:space="preserve">  </w:t>
      </w:r>
      <w:r>
        <w:rPr>
          <w:rFonts w:hint="eastAsia" w:ascii="宋体" w:hAnsi="宋体" w:eastAsia="宋体" w:cs="宋体"/>
          <w:color w:val="auto"/>
          <w:szCs w:val="30"/>
        </w:rPr>
        <w:t>磋商程序及方法、评审标准、无效响应和采购终止</w:t>
      </w:r>
      <w:r>
        <w:rPr>
          <w:color w:val="auto"/>
        </w:rPr>
        <w:tab/>
      </w:r>
      <w:r>
        <w:rPr>
          <w:color w:val="auto"/>
        </w:rPr>
        <w:fldChar w:fldCharType="begin"/>
      </w:r>
      <w:r>
        <w:rPr>
          <w:color w:val="auto"/>
        </w:rPr>
        <w:instrText xml:space="preserve"> PAGEREF _Toc24951 \h </w:instrText>
      </w:r>
      <w:r>
        <w:rPr>
          <w:color w:val="auto"/>
        </w:rPr>
        <w:fldChar w:fldCharType="separate"/>
      </w:r>
      <w:r>
        <w:rPr>
          <w:color w:val="auto"/>
        </w:rPr>
        <w:t>- 67 -</w:t>
      </w:r>
      <w:r>
        <w:rPr>
          <w:color w:val="auto"/>
        </w:rPr>
        <w:fldChar w:fldCharType="end"/>
      </w:r>
      <w:r>
        <w:rPr>
          <w:rFonts w:hint="eastAsia" w:ascii="宋体" w:hAnsi="宋体" w:cs="宋体"/>
          <w:color w:val="auto"/>
          <w:szCs w:val="21"/>
        </w:rPr>
        <w:fldChar w:fldCharType="end"/>
      </w:r>
    </w:p>
    <w:p w14:paraId="6E472A83">
      <w:pPr>
        <w:pStyle w:val="29"/>
        <w:tabs>
          <w:tab w:val="right" w:leader="dot" w:pos="9412"/>
        </w:tabs>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_Toc3002 </w:instrText>
      </w:r>
      <w:r>
        <w:rPr>
          <w:rFonts w:hint="eastAsia" w:ascii="宋体" w:hAnsi="宋体" w:cs="宋体"/>
          <w:color w:val="auto"/>
          <w:szCs w:val="21"/>
        </w:rPr>
        <w:fldChar w:fldCharType="separate"/>
      </w:r>
      <w:r>
        <w:rPr>
          <w:rFonts w:hint="eastAsia" w:ascii="宋体" w:hAnsi="宋体" w:cs="宋体"/>
          <w:color w:val="auto"/>
          <w:szCs w:val="24"/>
        </w:rPr>
        <w:t>一、磋商程序及方法</w:t>
      </w:r>
      <w:r>
        <w:rPr>
          <w:color w:val="auto"/>
        </w:rPr>
        <w:tab/>
      </w:r>
      <w:r>
        <w:rPr>
          <w:color w:val="auto"/>
        </w:rPr>
        <w:fldChar w:fldCharType="begin"/>
      </w:r>
      <w:r>
        <w:rPr>
          <w:color w:val="auto"/>
        </w:rPr>
        <w:instrText xml:space="preserve"> PAGEREF _Toc3002 \h </w:instrText>
      </w:r>
      <w:r>
        <w:rPr>
          <w:color w:val="auto"/>
        </w:rPr>
        <w:fldChar w:fldCharType="separate"/>
      </w:r>
      <w:r>
        <w:rPr>
          <w:color w:val="auto"/>
        </w:rPr>
        <w:t>- 67 -</w:t>
      </w:r>
      <w:r>
        <w:rPr>
          <w:color w:val="auto"/>
        </w:rPr>
        <w:fldChar w:fldCharType="end"/>
      </w:r>
      <w:r>
        <w:rPr>
          <w:rFonts w:hint="eastAsia" w:ascii="宋体" w:hAnsi="宋体" w:cs="宋体"/>
          <w:color w:val="auto"/>
          <w:szCs w:val="21"/>
        </w:rPr>
        <w:fldChar w:fldCharType="end"/>
      </w:r>
    </w:p>
    <w:p w14:paraId="33DB7165">
      <w:pPr>
        <w:pStyle w:val="29"/>
        <w:tabs>
          <w:tab w:val="right" w:leader="dot" w:pos="9412"/>
        </w:tabs>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_Toc24704 </w:instrText>
      </w:r>
      <w:r>
        <w:rPr>
          <w:rFonts w:hint="eastAsia" w:ascii="宋体" w:hAnsi="宋体" w:cs="宋体"/>
          <w:color w:val="auto"/>
          <w:szCs w:val="21"/>
        </w:rPr>
        <w:fldChar w:fldCharType="separate"/>
      </w:r>
      <w:r>
        <w:rPr>
          <w:rFonts w:hint="eastAsia" w:ascii="宋体" w:hAnsi="宋体" w:cs="宋体"/>
          <w:color w:val="auto"/>
          <w:szCs w:val="24"/>
        </w:rPr>
        <w:t>二、评审标准</w:t>
      </w:r>
      <w:r>
        <w:rPr>
          <w:rFonts w:hint="eastAsia" w:ascii="宋体" w:hAnsi="宋体" w:cs="宋体"/>
          <w:color w:val="auto"/>
          <w:szCs w:val="24"/>
          <w:lang w:eastAsia="zh-CN"/>
        </w:rPr>
        <w:t>（</w:t>
      </w:r>
      <w:r>
        <w:rPr>
          <w:rFonts w:hint="eastAsia" w:ascii="宋体" w:hAnsi="宋体" w:cs="宋体"/>
          <w:color w:val="auto"/>
          <w:szCs w:val="24"/>
          <w:lang w:val="en-US" w:eastAsia="zh-CN"/>
        </w:rPr>
        <w:t>适用于包1</w:t>
      </w:r>
      <w:r>
        <w:rPr>
          <w:rFonts w:hint="eastAsia" w:ascii="微软雅黑" w:hAnsi="微软雅黑" w:eastAsia="微软雅黑" w:cs="微软雅黑"/>
          <w:color w:val="auto"/>
          <w:szCs w:val="24"/>
          <w:lang w:val="en-US" w:eastAsia="zh-CN"/>
        </w:rPr>
        <w:t>～</w:t>
      </w:r>
      <w:r>
        <w:rPr>
          <w:rFonts w:hint="eastAsia" w:ascii="宋体" w:hAnsi="宋体" w:cs="宋体"/>
          <w:color w:val="auto"/>
          <w:szCs w:val="24"/>
          <w:lang w:val="en-US" w:eastAsia="zh-CN"/>
        </w:rPr>
        <w:t>包5</w:t>
      </w:r>
      <w:r>
        <w:rPr>
          <w:rFonts w:hint="eastAsia" w:ascii="宋体" w:hAnsi="宋体" w:cs="宋体"/>
          <w:color w:val="auto"/>
          <w:szCs w:val="24"/>
          <w:lang w:eastAsia="zh-CN"/>
        </w:rPr>
        <w:t>）</w:t>
      </w:r>
      <w:r>
        <w:rPr>
          <w:color w:val="auto"/>
        </w:rPr>
        <w:tab/>
      </w:r>
      <w:r>
        <w:rPr>
          <w:color w:val="auto"/>
        </w:rPr>
        <w:fldChar w:fldCharType="begin"/>
      </w:r>
      <w:r>
        <w:rPr>
          <w:color w:val="auto"/>
        </w:rPr>
        <w:instrText xml:space="preserve"> PAGEREF _Toc24704 \h </w:instrText>
      </w:r>
      <w:r>
        <w:rPr>
          <w:color w:val="auto"/>
        </w:rPr>
        <w:fldChar w:fldCharType="separate"/>
      </w:r>
      <w:r>
        <w:rPr>
          <w:color w:val="auto"/>
        </w:rPr>
        <w:t>- 69 -</w:t>
      </w:r>
      <w:r>
        <w:rPr>
          <w:color w:val="auto"/>
        </w:rPr>
        <w:fldChar w:fldCharType="end"/>
      </w:r>
      <w:r>
        <w:rPr>
          <w:rFonts w:hint="eastAsia" w:ascii="宋体" w:hAnsi="宋体" w:cs="宋体"/>
          <w:color w:val="auto"/>
          <w:szCs w:val="21"/>
        </w:rPr>
        <w:fldChar w:fldCharType="end"/>
      </w:r>
    </w:p>
    <w:p w14:paraId="27287581">
      <w:pPr>
        <w:pStyle w:val="29"/>
        <w:tabs>
          <w:tab w:val="right" w:leader="dot" w:pos="9412"/>
        </w:tabs>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_Toc32174 </w:instrText>
      </w:r>
      <w:r>
        <w:rPr>
          <w:rFonts w:hint="eastAsia" w:ascii="宋体" w:hAnsi="宋体" w:cs="宋体"/>
          <w:color w:val="auto"/>
          <w:szCs w:val="21"/>
        </w:rPr>
        <w:fldChar w:fldCharType="separate"/>
      </w:r>
      <w:r>
        <w:rPr>
          <w:rFonts w:hint="eastAsia" w:ascii="宋体" w:hAnsi="宋体" w:cs="宋体"/>
          <w:color w:val="auto"/>
          <w:szCs w:val="24"/>
        </w:rPr>
        <w:t>三、无效响应</w:t>
      </w:r>
      <w:r>
        <w:rPr>
          <w:color w:val="auto"/>
        </w:rPr>
        <w:tab/>
      </w:r>
      <w:r>
        <w:rPr>
          <w:color w:val="auto"/>
        </w:rPr>
        <w:fldChar w:fldCharType="begin"/>
      </w:r>
      <w:r>
        <w:rPr>
          <w:color w:val="auto"/>
        </w:rPr>
        <w:instrText xml:space="preserve"> PAGEREF _Toc32174 \h </w:instrText>
      </w:r>
      <w:r>
        <w:rPr>
          <w:color w:val="auto"/>
        </w:rPr>
        <w:fldChar w:fldCharType="separate"/>
      </w:r>
      <w:r>
        <w:rPr>
          <w:color w:val="auto"/>
        </w:rPr>
        <w:t>- 71 -</w:t>
      </w:r>
      <w:r>
        <w:rPr>
          <w:color w:val="auto"/>
        </w:rPr>
        <w:fldChar w:fldCharType="end"/>
      </w:r>
      <w:r>
        <w:rPr>
          <w:rFonts w:hint="eastAsia" w:ascii="宋体" w:hAnsi="宋体" w:cs="宋体"/>
          <w:color w:val="auto"/>
          <w:szCs w:val="21"/>
        </w:rPr>
        <w:fldChar w:fldCharType="end"/>
      </w:r>
    </w:p>
    <w:p w14:paraId="0FFAA281">
      <w:pPr>
        <w:pStyle w:val="29"/>
        <w:tabs>
          <w:tab w:val="right" w:leader="dot" w:pos="9412"/>
        </w:tabs>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_Toc20755 </w:instrText>
      </w:r>
      <w:r>
        <w:rPr>
          <w:rFonts w:hint="eastAsia" w:ascii="宋体" w:hAnsi="宋体" w:cs="宋体"/>
          <w:color w:val="auto"/>
          <w:szCs w:val="21"/>
        </w:rPr>
        <w:fldChar w:fldCharType="separate"/>
      </w:r>
      <w:r>
        <w:rPr>
          <w:rFonts w:hint="eastAsia" w:ascii="宋体" w:hAnsi="宋体" w:cs="宋体"/>
          <w:color w:val="auto"/>
          <w:szCs w:val="24"/>
        </w:rPr>
        <w:t>四、采购终止</w:t>
      </w:r>
      <w:r>
        <w:rPr>
          <w:color w:val="auto"/>
        </w:rPr>
        <w:tab/>
      </w:r>
      <w:r>
        <w:rPr>
          <w:color w:val="auto"/>
        </w:rPr>
        <w:fldChar w:fldCharType="begin"/>
      </w:r>
      <w:r>
        <w:rPr>
          <w:color w:val="auto"/>
        </w:rPr>
        <w:instrText xml:space="preserve"> PAGEREF _Toc20755 \h </w:instrText>
      </w:r>
      <w:r>
        <w:rPr>
          <w:color w:val="auto"/>
        </w:rPr>
        <w:fldChar w:fldCharType="separate"/>
      </w:r>
      <w:r>
        <w:rPr>
          <w:color w:val="auto"/>
        </w:rPr>
        <w:t>- 72 -</w:t>
      </w:r>
      <w:r>
        <w:rPr>
          <w:color w:val="auto"/>
        </w:rPr>
        <w:fldChar w:fldCharType="end"/>
      </w:r>
      <w:r>
        <w:rPr>
          <w:rFonts w:hint="eastAsia" w:ascii="宋体" w:hAnsi="宋体" w:cs="宋体"/>
          <w:color w:val="auto"/>
          <w:szCs w:val="21"/>
        </w:rPr>
        <w:fldChar w:fldCharType="end"/>
      </w:r>
    </w:p>
    <w:p w14:paraId="384EAB1A">
      <w:pPr>
        <w:pStyle w:val="47"/>
        <w:tabs>
          <w:tab w:val="right" w:leader="dot" w:pos="9412"/>
        </w:tabs>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_Toc7625 </w:instrText>
      </w:r>
      <w:r>
        <w:rPr>
          <w:rFonts w:hint="eastAsia" w:ascii="宋体" w:hAnsi="宋体" w:cs="宋体"/>
          <w:color w:val="auto"/>
          <w:szCs w:val="21"/>
        </w:rPr>
        <w:fldChar w:fldCharType="separate"/>
      </w:r>
      <w:r>
        <w:rPr>
          <w:rFonts w:hint="eastAsia" w:ascii="宋体" w:hAnsi="宋体" w:eastAsia="宋体" w:cs="宋体"/>
          <w:color w:val="auto"/>
          <w:szCs w:val="30"/>
        </w:rPr>
        <w:t>第五篇  供应商须知</w:t>
      </w:r>
      <w:r>
        <w:rPr>
          <w:color w:val="auto"/>
        </w:rPr>
        <w:tab/>
      </w:r>
      <w:r>
        <w:rPr>
          <w:color w:val="auto"/>
        </w:rPr>
        <w:fldChar w:fldCharType="begin"/>
      </w:r>
      <w:r>
        <w:rPr>
          <w:color w:val="auto"/>
        </w:rPr>
        <w:instrText xml:space="preserve"> PAGEREF _Toc7625 \h </w:instrText>
      </w:r>
      <w:r>
        <w:rPr>
          <w:color w:val="auto"/>
        </w:rPr>
        <w:fldChar w:fldCharType="separate"/>
      </w:r>
      <w:r>
        <w:rPr>
          <w:color w:val="auto"/>
        </w:rPr>
        <w:t>- 73 -</w:t>
      </w:r>
      <w:r>
        <w:rPr>
          <w:color w:val="auto"/>
        </w:rPr>
        <w:fldChar w:fldCharType="end"/>
      </w:r>
      <w:r>
        <w:rPr>
          <w:rFonts w:hint="eastAsia" w:ascii="宋体" w:hAnsi="宋体" w:cs="宋体"/>
          <w:color w:val="auto"/>
          <w:szCs w:val="21"/>
        </w:rPr>
        <w:fldChar w:fldCharType="end"/>
      </w:r>
    </w:p>
    <w:p w14:paraId="475699E2">
      <w:pPr>
        <w:pStyle w:val="47"/>
        <w:tabs>
          <w:tab w:val="right" w:leader="dot" w:pos="9412"/>
        </w:tabs>
        <w:ind w:firstLine="560" w:firstLineChars="200"/>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_Toc19430 </w:instrText>
      </w:r>
      <w:r>
        <w:rPr>
          <w:rFonts w:hint="eastAsia" w:ascii="宋体" w:hAnsi="宋体" w:cs="宋体"/>
          <w:color w:val="auto"/>
          <w:szCs w:val="21"/>
        </w:rPr>
        <w:fldChar w:fldCharType="separate"/>
      </w:r>
      <w:r>
        <w:rPr>
          <w:rFonts w:hint="eastAsia" w:ascii="宋体" w:hAnsi="宋体" w:eastAsia="宋体" w:cs="宋体"/>
          <w:color w:val="auto"/>
        </w:rPr>
        <w:t>一、磋商费用</w:t>
      </w:r>
      <w:r>
        <w:rPr>
          <w:color w:val="auto"/>
        </w:rPr>
        <w:tab/>
      </w:r>
      <w:r>
        <w:rPr>
          <w:color w:val="auto"/>
        </w:rPr>
        <w:fldChar w:fldCharType="begin"/>
      </w:r>
      <w:r>
        <w:rPr>
          <w:color w:val="auto"/>
        </w:rPr>
        <w:instrText xml:space="preserve"> PAGEREF _Toc19430 \h </w:instrText>
      </w:r>
      <w:r>
        <w:rPr>
          <w:color w:val="auto"/>
        </w:rPr>
        <w:fldChar w:fldCharType="separate"/>
      </w:r>
      <w:r>
        <w:rPr>
          <w:color w:val="auto"/>
        </w:rPr>
        <w:t>- 73 -</w:t>
      </w:r>
      <w:r>
        <w:rPr>
          <w:color w:val="auto"/>
        </w:rPr>
        <w:fldChar w:fldCharType="end"/>
      </w:r>
      <w:r>
        <w:rPr>
          <w:rFonts w:hint="eastAsia" w:ascii="宋体" w:hAnsi="宋体" w:cs="宋体"/>
          <w:color w:val="auto"/>
          <w:szCs w:val="21"/>
        </w:rPr>
        <w:fldChar w:fldCharType="end"/>
      </w:r>
    </w:p>
    <w:p w14:paraId="4C010D99">
      <w:pPr>
        <w:pStyle w:val="47"/>
        <w:tabs>
          <w:tab w:val="right" w:leader="dot" w:pos="9412"/>
        </w:tabs>
        <w:ind w:firstLine="560" w:firstLineChars="200"/>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_Toc2560 </w:instrText>
      </w:r>
      <w:r>
        <w:rPr>
          <w:rFonts w:hint="eastAsia" w:ascii="宋体" w:hAnsi="宋体" w:cs="宋体"/>
          <w:color w:val="auto"/>
          <w:szCs w:val="21"/>
        </w:rPr>
        <w:fldChar w:fldCharType="separate"/>
      </w:r>
      <w:r>
        <w:rPr>
          <w:rFonts w:hint="eastAsia" w:ascii="宋体" w:hAnsi="宋体" w:eastAsia="宋体" w:cs="宋体"/>
          <w:color w:val="auto"/>
        </w:rPr>
        <w:t>二、竞争性磋商文件</w:t>
      </w:r>
      <w:r>
        <w:rPr>
          <w:color w:val="auto"/>
        </w:rPr>
        <w:tab/>
      </w:r>
      <w:r>
        <w:rPr>
          <w:color w:val="auto"/>
        </w:rPr>
        <w:fldChar w:fldCharType="begin"/>
      </w:r>
      <w:r>
        <w:rPr>
          <w:color w:val="auto"/>
        </w:rPr>
        <w:instrText xml:space="preserve"> PAGEREF _Toc2560 \h </w:instrText>
      </w:r>
      <w:r>
        <w:rPr>
          <w:color w:val="auto"/>
        </w:rPr>
        <w:fldChar w:fldCharType="separate"/>
      </w:r>
      <w:r>
        <w:rPr>
          <w:color w:val="auto"/>
        </w:rPr>
        <w:t>- 73 -</w:t>
      </w:r>
      <w:r>
        <w:rPr>
          <w:color w:val="auto"/>
        </w:rPr>
        <w:fldChar w:fldCharType="end"/>
      </w:r>
      <w:r>
        <w:rPr>
          <w:rFonts w:hint="eastAsia" w:ascii="宋体" w:hAnsi="宋体" w:cs="宋体"/>
          <w:color w:val="auto"/>
          <w:szCs w:val="21"/>
        </w:rPr>
        <w:fldChar w:fldCharType="end"/>
      </w:r>
    </w:p>
    <w:p w14:paraId="51A504BA">
      <w:pPr>
        <w:pStyle w:val="47"/>
        <w:tabs>
          <w:tab w:val="right" w:leader="dot" w:pos="9412"/>
        </w:tabs>
        <w:ind w:firstLine="560" w:firstLineChars="200"/>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_Toc9936 </w:instrText>
      </w:r>
      <w:r>
        <w:rPr>
          <w:rFonts w:hint="eastAsia" w:ascii="宋体" w:hAnsi="宋体" w:cs="宋体"/>
          <w:color w:val="auto"/>
          <w:szCs w:val="21"/>
        </w:rPr>
        <w:fldChar w:fldCharType="separate"/>
      </w:r>
      <w:r>
        <w:rPr>
          <w:rFonts w:hint="eastAsia" w:ascii="宋体" w:hAnsi="宋体" w:eastAsia="宋体" w:cs="宋体"/>
          <w:color w:val="auto"/>
        </w:rPr>
        <w:t>三、磋商要求</w:t>
      </w:r>
      <w:r>
        <w:rPr>
          <w:color w:val="auto"/>
        </w:rPr>
        <w:tab/>
      </w:r>
      <w:r>
        <w:rPr>
          <w:color w:val="auto"/>
        </w:rPr>
        <w:fldChar w:fldCharType="begin"/>
      </w:r>
      <w:r>
        <w:rPr>
          <w:color w:val="auto"/>
        </w:rPr>
        <w:instrText xml:space="preserve"> PAGEREF _Toc9936 \h </w:instrText>
      </w:r>
      <w:r>
        <w:rPr>
          <w:color w:val="auto"/>
        </w:rPr>
        <w:fldChar w:fldCharType="separate"/>
      </w:r>
      <w:r>
        <w:rPr>
          <w:color w:val="auto"/>
        </w:rPr>
        <w:t>- 73 -</w:t>
      </w:r>
      <w:r>
        <w:rPr>
          <w:color w:val="auto"/>
        </w:rPr>
        <w:fldChar w:fldCharType="end"/>
      </w:r>
      <w:r>
        <w:rPr>
          <w:rFonts w:hint="eastAsia" w:ascii="宋体" w:hAnsi="宋体" w:cs="宋体"/>
          <w:color w:val="auto"/>
          <w:szCs w:val="21"/>
        </w:rPr>
        <w:fldChar w:fldCharType="end"/>
      </w:r>
    </w:p>
    <w:p w14:paraId="0F1B222A">
      <w:pPr>
        <w:pStyle w:val="47"/>
        <w:tabs>
          <w:tab w:val="right" w:leader="dot" w:pos="9412"/>
        </w:tabs>
        <w:ind w:firstLine="560" w:firstLineChars="200"/>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_Toc31164 </w:instrText>
      </w:r>
      <w:r>
        <w:rPr>
          <w:rFonts w:hint="eastAsia" w:ascii="宋体" w:hAnsi="宋体" w:cs="宋体"/>
          <w:color w:val="auto"/>
          <w:szCs w:val="21"/>
        </w:rPr>
        <w:fldChar w:fldCharType="separate"/>
      </w:r>
      <w:r>
        <w:rPr>
          <w:rFonts w:hint="eastAsia" w:ascii="宋体" w:hAnsi="宋体" w:eastAsia="宋体" w:cs="宋体"/>
          <w:color w:val="auto"/>
        </w:rPr>
        <w:t>四、成交商的确认和变更</w:t>
      </w:r>
      <w:r>
        <w:rPr>
          <w:color w:val="auto"/>
        </w:rPr>
        <w:tab/>
      </w:r>
      <w:r>
        <w:rPr>
          <w:color w:val="auto"/>
        </w:rPr>
        <w:fldChar w:fldCharType="begin"/>
      </w:r>
      <w:r>
        <w:rPr>
          <w:color w:val="auto"/>
        </w:rPr>
        <w:instrText xml:space="preserve"> PAGEREF _Toc31164 \h </w:instrText>
      </w:r>
      <w:r>
        <w:rPr>
          <w:color w:val="auto"/>
        </w:rPr>
        <w:fldChar w:fldCharType="separate"/>
      </w:r>
      <w:r>
        <w:rPr>
          <w:color w:val="auto"/>
        </w:rPr>
        <w:t>- 74 -</w:t>
      </w:r>
      <w:r>
        <w:rPr>
          <w:color w:val="auto"/>
        </w:rPr>
        <w:fldChar w:fldCharType="end"/>
      </w:r>
      <w:r>
        <w:rPr>
          <w:rFonts w:hint="eastAsia" w:ascii="宋体" w:hAnsi="宋体" w:cs="宋体"/>
          <w:color w:val="auto"/>
          <w:szCs w:val="21"/>
        </w:rPr>
        <w:fldChar w:fldCharType="end"/>
      </w:r>
    </w:p>
    <w:p w14:paraId="54036766">
      <w:pPr>
        <w:pStyle w:val="47"/>
        <w:tabs>
          <w:tab w:val="right" w:leader="dot" w:pos="9412"/>
        </w:tabs>
        <w:ind w:firstLine="560" w:firstLineChars="200"/>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_Toc14545 </w:instrText>
      </w:r>
      <w:r>
        <w:rPr>
          <w:rFonts w:hint="eastAsia" w:ascii="宋体" w:hAnsi="宋体" w:cs="宋体"/>
          <w:color w:val="auto"/>
          <w:szCs w:val="21"/>
        </w:rPr>
        <w:fldChar w:fldCharType="separate"/>
      </w:r>
      <w:r>
        <w:rPr>
          <w:rFonts w:hint="eastAsia" w:ascii="宋体" w:hAnsi="宋体" w:eastAsia="宋体" w:cs="宋体"/>
          <w:color w:val="auto"/>
        </w:rPr>
        <w:t>五、成交通知</w:t>
      </w:r>
      <w:r>
        <w:rPr>
          <w:color w:val="auto"/>
        </w:rPr>
        <w:tab/>
      </w:r>
      <w:r>
        <w:rPr>
          <w:color w:val="auto"/>
        </w:rPr>
        <w:fldChar w:fldCharType="begin"/>
      </w:r>
      <w:r>
        <w:rPr>
          <w:color w:val="auto"/>
        </w:rPr>
        <w:instrText xml:space="preserve"> PAGEREF _Toc14545 \h </w:instrText>
      </w:r>
      <w:r>
        <w:rPr>
          <w:color w:val="auto"/>
        </w:rPr>
        <w:fldChar w:fldCharType="separate"/>
      </w:r>
      <w:r>
        <w:rPr>
          <w:color w:val="auto"/>
        </w:rPr>
        <w:t>- 74 -</w:t>
      </w:r>
      <w:r>
        <w:rPr>
          <w:color w:val="auto"/>
        </w:rPr>
        <w:fldChar w:fldCharType="end"/>
      </w:r>
      <w:r>
        <w:rPr>
          <w:rFonts w:hint="eastAsia" w:ascii="宋体" w:hAnsi="宋体" w:cs="宋体"/>
          <w:color w:val="auto"/>
          <w:szCs w:val="21"/>
        </w:rPr>
        <w:fldChar w:fldCharType="end"/>
      </w:r>
    </w:p>
    <w:p w14:paraId="18E499E0">
      <w:pPr>
        <w:pStyle w:val="47"/>
        <w:tabs>
          <w:tab w:val="right" w:leader="dot" w:pos="9412"/>
        </w:tabs>
        <w:ind w:firstLine="560" w:firstLineChars="200"/>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_Toc30768 </w:instrText>
      </w:r>
      <w:r>
        <w:rPr>
          <w:rFonts w:hint="eastAsia" w:ascii="宋体" w:hAnsi="宋体" w:cs="宋体"/>
          <w:color w:val="auto"/>
          <w:szCs w:val="21"/>
        </w:rPr>
        <w:fldChar w:fldCharType="separate"/>
      </w:r>
      <w:r>
        <w:rPr>
          <w:rFonts w:hint="eastAsia" w:ascii="宋体" w:hAnsi="宋体" w:eastAsia="宋体" w:cs="宋体"/>
          <w:color w:val="auto"/>
        </w:rPr>
        <w:t>六、关于质疑和投诉</w:t>
      </w:r>
      <w:r>
        <w:rPr>
          <w:color w:val="auto"/>
        </w:rPr>
        <w:tab/>
      </w:r>
      <w:r>
        <w:rPr>
          <w:color w:val="auto"/>
        </w:rPr>
        <w:fldChar w:fldCharType="begin"/>
      </w:r>
      <w:r>
        <w:rPr>
          <w:color w:val="auto"/>
        </w:rPr>
        <w:instrText xml:space="preserve"> PAGEREF _Toc30768 \h </w:instrText>
      </w:r>
      <w:r>
        <w:rPr>
          <w:color w:val="auto"/>
        </w:rPr>
        <w:fldChar w:fldCharType="separate"/>
      </w:r>
      <w:r>
        <w:rPr>
          <w:color w:val="auto"/>
        </w:rPr>
        <w:t>- 74 -</w:t>
      </w:r>
      <w:r>
        <w:rPr>
          <w:color w:val="auto"/>
        </w:rPr>
        <w:fldChar w:fldCharType="end"/>
      </w:r>
      <w:r>
        <w:rPr>
          <w:rFonts w:hint="eastAsia" w:ascii="宋体" w:hAnsi="宋体" w:cs="宋体"/>
          <w:color w:val="auto"/>
          <w:szCs w:val="21"/>
        </w:rPr>
        <w:fldChar w:fldCharType="end"/>
      </w:r>
    </w:p>
    <w:p w14:paraId="0E80E46B">
      <w:pPr>
        <w:pStyle w:val="47"/>
        <w:tabs>
          <w:tab w:val="right" w:leader="dot" w:pos="9412"/>
        </w:tabs>
        <w:ind w:firstLine="560" w:firstLineChars="200"/>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_Toc6057 </w:instrText>
      </w:r>
      <w:r>
        <w:rPr>
          <w:rFonts w:hint="eastAsia" w:ascii="宋体" w:hAnsi="宋体" w:cs="宋体"/>
          <w:color w:val="auto"/>
          <w:szCs w:val="21"/>
        </w:rPr>
        <w:fldChar w:fldCharType="separate"/>
      </w:r>
      <w:r>
        <w:rPr>
          <w:rFonts w:hint="eastAsia" w:ascii="宋体" w:hAnsi="宋体" w:eastAsia="宋体" w:cs="宋体"/>
          <w:color w:val="auto"/>
        </w:rPr>
        <w:t>七、采购代理服务费</w:t>
      </w:r>
      <w:r>
        <w:rPr>
          <w:color w:val="auto"/>
        </w:rPr>
        <w:tab/>
      </w:r>
      <w:r>
        <w:rPr>
          <w:color w:val="auto"/>
        </w:rPr>
        <w:fldChar w:fldCharType="begin"/>
      </w:r>
      <w:r>
        <w:rPr>
          <w:color w:val="auto"/>
        </w:rPr>
        <w:instrText xml:space="preserve"> PAGEREF _Toc6057 \h </w:instrText>
      </w:r>
      <w:r>
        <w:rPr>
          <w:color w:val="auto"/>
        </w:rPr>
        <w:fldChar w:fldCharType="separate"/>
      </w:r>
      <w:r>
        <w:rPr>
          <w:color w:val="auto"/>
        </w:rPr>
        <w:t>- 76 -</w:t>
      </w:r>
      <w:r>
        <w:rPr>
          <w:color w:val="auto"/>
        </w:rPr>
        <w:fldChar w:fldCharType="end"/>
      </w:r>
      <w:r>
        <w:rPr>
          <w:rFonts w:hint="eastAsia" w:ascii="宋体" w:hAnsi="宋体" w:cs="宋体"/>
          <w:color w:val="auto"/>
          <w:szCs w:val="21"/>
        </w:rPr>
        <w:fldChar w:fldCharType="end"/>
      </w:r>
    </w:p>
    <w:p w14:paraId="1D83D823">
      <w:pPr>
        <w:pStyle w:val="47"/>
        <w:tabs>
          <w:tab w:val="right" w:leader="dot" w:pos="9412"/>
        </w:tabs>
        <w:ind w:firstLine="560" w:firstLineChars="200"/>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_Toc26159 </w:instrText>
      </w:r>
      <w:r>
        <w:rPr>
          <w:rFonts w:hint="eastAsia" w:ascii="宋体" w:hAnsi="宋体" w:cs="宋体"/>
          <w:color w:val="auto"/>
          <w:szCs w:val="21"/>
        </w:rPr>
        <w:fldChar w:fldCharType="separate"/>
      </w:r>
      <w:r>
        <w:rPr>
          <w:rFonts w:hint="eastAsia" w:ascii="宋体" w:hAnsi="宋体" w:eastAsia="宋体" w:cs="宋体"/>
          <w:color w:val="auto"/>
        </w:rPr>
        <w:t>八、签订合同</w:t>
      </w:r>
      <w:r>
        <w:rPr>
          <w:color w:val="auto"/>
        </w:rPr>
        <w:tab/>
      </w:r>
      <w:r>
        <w:rPr>
          <w:color w:val="auto"/>
        </w:rPr>
        <w:fldChar w:fldCharType="begin"/>
      </w:r>
      <w:r>
        <w:rPr>
          <w:color w:val="auto"/>
        </w:rPr>
        <w:instrText xml:space="preserve"> PAGEREF _Toc26159 \h </w:instrText>
      </w:r>
      <w:r>
        <w:rPr>
          <w:color w:val="auto"/>
        </w:rPr>
        <w:fldChar w:fldCharType="separate"/>
      </w:r>
      <w:r>
        <w:rPr>
          <w:color w:val="auto"/>
        </w:rPr>
        <w:t>- 76 -</w:t>
      </w:r>
      <w:r>
        <w:rPr>
          <w:color w:val="auto"/>
        </w:rPr>
        <w:fldChar w:fldCharType="end"/>
      </w:r>
      <w:r>
        <w:rPr>
          <w:rFonts w:hint="eastAsia" w:ascii="宋体" w:hAnsi="宋体" w:cs="宋体"/>
          <w:color w:val="auto"/>
          <w:szCs w:val="21"/>
        </w:rPr>
        <w:fldChar w:fldCharType="end"/>
      </w:r>
    </w:p>
    <w:p w14:paraId="79041097">
      <w:pPr>
        <w:pStyle w:val="47"/>
        <w:tabs>
          <w:tab w:val="right" w:leader="dot" w:pos="9412"/>
        </w:tabs>
        <w:ind w:firstLine="560" w:firstLineChars="200"/>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_Toc25278 </w:instrText>
      </w:r>
      <w:r>
        <w:rPr>
          <w:rFonts w:hint="eastAsia" w:ascii="宋体" w:hAnsi="宋体" w:cs="宋体"/>
          <w:color w:val="auto"/>
          <w:szCs w:val="21"/>
        </w:rPr>
        <w:fldChar w:fldCharType="separate"/>
      </w:r>
      <w:r>
        <w:rPr>
          <w:rFonts w:hint="eastAsia" w:ascii="宋体" w:hAnsi="宋体" w:eastAsia="宋体" w:cs="宋体"/>
          <w:color w:val="auto"/>
        </w:rPr>
        <w:t>九、项目验收</w:t>
      </w:r>
      <w:r>
        <w:rPr>
          <w:color w:val="auto"/>
        </w:rPr>
        <w:tab/>
      </w:r>
      <w:r>
        <w:rPr>
          <w:color w:val="auto"/>
        </w:rPr>
        <w:fldChar w:fldCharType="begin"/>
      </w:r>
      <w:r>
        <w:rPr>
          <w:color w:val="auto"/>
        </w:rPr>
        <w:instrText xml:space="preserve"> PAGEREF _Toc25278 \h </w:instrText>
      </w:r>
      <w:r>
        <w:rPr>
          <w:color w:val="auto"/>
        </w:rPr>
        <w:fldChar w:fldCharType="separate"/>
      </w:r>
      <w:r>
        <w:rPr>
          <w:color w:val="auto"/>
        </w:rPr>
        <w:t>- 77 -</w:t>
      </w:r>
      <w:r>
        <w:rPr>
          <w:color w:val="auto"/>
        </w:rPr>
        <w:fldChar w:fldCharType="end"/>
      </w:r>
      <w:r>
        <w:rPr>
          <w:rFonts w:hint="eastAsia" w:ascii="宋体" w:hAnsi="宋体" w:cs="宋体"/>
          <w:color w:val="auto"/>
          <w:szCs w:val="21"/>
        </w:rPr>
        <w:fldChar w:fldCharType="end"/>
      </w:r>
    </w:p>
    <w:p w14:paraId="28C1D50A">
      <w:pPr>
        <w:pStyle w:val="47"/>
        <w:tabs>
          <w:tab w:val="right" w:leader="dot" w:pos="9412"/>
        </w:tabs>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_Toc10200 </w:instrText>
      </w:r>
      <w:r>
        <w:rPr>
          <w:rFonts w:hint="eastAsia" w:ascii="宋体" w:hAnsi="宋体" w:cs="宋体"/>
          <w:color w:val="auto"/>
          <w:szCs w:val="21"/>
        </w:rPr>
        <w:fldChar w:fldCharType="separate"/>
      </w:r>
      <w:r>
        <w:rPr>
          <w:rFonts w:hint="eastAsia" w:ascii="宋体" w:hAnsi="宋体" w:eastAsia="宋体" w:cs="宋体"/>
          <w:color w:val="auto"/>
          <w:szCs w:val="30"/>
          <w:lang w:val="en-US" w:eastAsia="zh-CN"/>
        </w:rPr>
        <w:t xml:space="preserve">第六篇  </w:t>
      </w:r>
      <w:r>
        <w:rPr>
          <w:rFonts w:hint="eastAsia" w:ascii="宋体" w:hAnsi="宋体" w:eastAsia="宋体" w:cs="宋体"/>
          <w:color w:val="auto"/>
          <w:szCs w:val="30"/>
        </w:rPr>
        <w:t>采购合同</w:t>
      </w:r>
      <w:r>
        <w:rPr>
          <w:color w:val="auto"/>
        </w:rPr>
        <w:tab/>
      </w:r>
      <w:r>
        <w:rPr>
          <w:color w:val="auto"/>
        </w:rPr>
        <w:fldChar w:fldCharType="begin"/>
      </w:r>
      <w:r>
        <w:rPr>
          <w:color w:val="auto"/>
        </w:rPr>
        <w:instrText xml:space="preserve"> PAGEREF _Toc10200 \h </w:instrText>
      </w:r>
      <w:r>
        <w:rPr>
          <w:color w:val="auto"/>
        </w:rPr>
        <w:fldChar w:fldCharType="separate"/>
      </w:r>
      <w:r>
        <w:rPr>
          <w:color w:val="auto"/>
        </w:rPr>
        <w:t>- 78 -</w:t>
      </w:r>
      <w:r>
        <w:rPr>
          <w:color w:val="auto"/>
        </w:rPr>
        <w:fldChar w:fldCharType="end"/>
      </w:r>
      <w:r>
        <w:rPr>
          <w:rFonts w:hint="eastAsia" w:ascii="宋体" w:hAnsi="宋体" w:cs="宋体"/>
          <w:color w:val="auto"/>
          <w:szCs w:val="21"/>
        </w:rPr>
        <w:fldChar w:fldCharType="end"/>
      </w:r>
    </w:p>
    <w:p w14:paraId="6C40BB2E">
      <w:pPr>
        <w:pStyle w:val="47"/>
        <w:tabs>
          <w:tab w:val="right" w:leader="dot" w:pos="9412"/>
        </w:tabs>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_Toc17564 </w:instrText>
      </w:r>
      <w:r>
        <w:rPr>
          <w:rFonts w:hint="eastAsia" w:ascii="宋体" w:hAnsi="宋体" w:cs="宋体"/>
          <w:color w:val="auto"/>
          <w:szCs w:val="21"/>
        </w:rPr>
        <w:fldChar w:fldCharType="separate"/>
      </w:r>
      <w:r>
        <w:rPr>
          <w:rFonts w:hint="eastAsia" w:ascii="宋体" w:hAnsi="宋体" w:eastAsia="宋体" w:cs="宋体"/>
          <w:color w:val="auto"/>
          <w:szCs w:val="30"/>
        </w:rPr>
        <w:t>第七篇  响应文件编制要求</w:t>
      </w:r>
      <w:r>
        <w:rPr>
          <w:color w:val="auto"/>
        </w:rPr>
        <w:tab/>
      </w:r>
      <w:r>
        <w:rPr>
          <w:color w:val="auto"/>
        </w:rPr>
        <w:fldChar w:fldCharType="begin"/>
      </w:r>
      <w:r>
        <w:rPr>
          <w:color w:val="auto"/>
        </w:rPr>
        <w:instrText xml:space="preserve"> PAGEREF _Toc17564 \h </w:instrText>
      </w:r>
      <w:r>
        <w:rPr>
          <w:color w:val="auto"/>
        </w:rPr>
        <w:fldChar w:fldCharType="separate"/>
      </w:r>
      <w:r>
        <w:rPr>
          <w:color w:val="auto"/>
        </w:rPr>
        <w:t>143</w:t>
      </w:r>
      <w:r>
        <w:rPr>
          <w:color w:val="auto"/>
        </w:rPr>
        <w:fldChar w:fldCharType="end"/>
      </w:r>
      <w:r>
        <w:rPr>
          <w:rFonts w:hint="eastAsia" w:ascii="宋体" w:hAnsi="宋体" w:cs="宋体"/>
          <w:color w:val="auto"/>
          <w:szCs w:val="21"/>
        </w:rPr>
        <w:fldChar w:fldCharType="end"/>
      </w:r>
    </w:p>
    <w:p w14:paraId="6DE97508">
      <w:pPr>
        <w:pStyle w:val="29"/>
        <w:tabs>
          <w:tab w:val="right" w:leader="dot" w:pos="9412"/>
        </w:tabs>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_Toc32144 </w:instrText>
      </w:r>
      <w:r>
        <w:rPr>
          <w:rFonts w:hint="eastAsia" w:ascii="宋体" w:hAnsi="宋体" w:cs="宋体"/>
          <w:color w:val="auto"/>
          <w:szCs w:val="21"/>
        </w:rPr>
        <w:fldChar w:fldCharType="separate"/>
      </w:r>
      <w:r>
        <w:rPr>
          <w:rFonts w:hint="eastAsia" w:ascii="宋体" w:hAnsi="宋体" w:cs="宋体"/>
          <w:bCs w:val="0"/>
          <w:color w:val="auto"/>
          <w:szCs w:val="24"/>
        </w:rPr>
        <w:t>二、资格文件</w:t>
      </w:r>
      <w:r>
        <w:rPr>
          <w:color w:val="auto"/>
        </w:rPr>
        <w:tab/>
      </w:r>
      <w:r>
        <w:rPr>
          <w:color w:val="auto"/>
        </w:rPr>
        <w:fldChar w:fldCharType="begin"/>
      </w:r>
      <w:r>
        <w:rPr>
          <w:color w:val="auto"/>
        </w:rPr>
        <w:instrText xml:space="preserve"> PAGEREF _Toc32144 \h </w:instrText>
      </w:r>
      <w:r>
        <w:rPr>
          <w:color w:val="auto"/>
        </w:rPr>
        <w:fldChar w:fldCharType="separate"/>
      </w:r>
      <w:r>
        <w:rPr>
          <w:color w:val="auto"/>
        </w:rPr>
        <w:t>143</w:t>
      </w:r>
      <w:r>
        <w:rPr>
          <w:color w:val="auto"/>
        </w:rPr>
        <w:fldChar w:fldCharType="end"/>
      </w:r>
      <w:r>
        <w:rPr>
          <w:rFonts w:hint="eastAsia" w:ascii="宋体" w:hAnsi="宋体" w:cs="宋体"/>
          <w:color w:val="auto"/>
          <w:szCs w:val="21"/>
        </w:rPr>
        <w:fldChar w:fldCharType="end"/>
      </w:r>
    </w:p>
    <w:p w14:paraId="43D675ED">
      <w:pPr>
        <w:pStyle w:val="29"/>
        <w:tabs>
          <w:tab w:val="right" w:leader="dot" w:pos="9412"/>
        </w:tabs>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_Toc13408 </w:instrText>
      </w:r>
      <w:r>
        <w:rPr>
          <w:rFonts w:hint="eastAsia" w:ascii="宋体" w:hAnsi="宋体" w:cs="宋体"/>
          <w:color w:val="auto"/>
          <w:szCs w:val="21"/>
        </w:rPr>
        <w:fldChar w:fldCharType="separate"/>
      </w:r>
      <w:r>
        <w:rPr>
          <w:rFonts w:hint="eastAsia" w:ascii="宋体" w:hAnsi="宋体" w:cs="宋体"/>
          <w:bCs w:val="0"/>
          <w:color w:val="auto"/>
          <w:szCs w:val="24"/>
        </w:rPr>
        <w:t>三、商务文件</w:t>
      </w:r>
      <w:r>
        <w:rPr>
          <w:color w:val="auto"/>
        </w:rPr>
        <w:tab/>
      </w:r>
      <w:r>
        <w:rPr>
          <w:color w:val="auto"/>
        </w:rPr>
        <w:fldChar w:fldCharType="begin"/>
      </w:r>
      <w:r>
        <w:rPr>
          <w:color w:val="auto"/>
        </w:rPr>
        <w:instrText xml:space="preserve"> PAGEREF _Toc13408 \h </w:instrText>
      </w:r>
      <w:r>
        <w:rPr>
          <w:color w:val="auto"/>
        </w:rPr>
        <w:fldChar w:fldCharType="separate"/>
      </w:r>
      <w:r>
        <w:rPr>
          <w:color w:val="auto"/>
        </w:rPr>
        <w:t>143</w:t>
      </w:r>
      <w:r>
        <w:rPr>
          <w:color w:val="auto"/>
        </w:rPr>
        <w:fldChar w:fldCharType="end"/>
      </w:r>
      <w:r>
        <w:rPr>
          <w:rFonts w:hint="eastAsia" w:ascii="宋体" w:hAnsi="宋体" w:cs="宋体"/>
          <w:color w:val="auto"/>
          <w:szCs w:val="21"/>
        </w:rPr>
        <w:fldChar w:fldCharType="end"/>
      </w:r>
    </w:p>
    <w:p w14:paraId="62F530BB">
      <w:pPr>
        <w:pStyle w:val="29"/>
        <w:tabs>
          <w:tab w:val="right" w:leader="dot" w:pos="9412"/>
        </w:tabs>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_Toc21597 </w:instrText>
      </w:r>
      <w:r>
        <w:rPr>
          <w:rFonts w:hint="eastAsia" w:ascii="宋体" w:hAnsi="宋体" w:cs="宋体"/>
          <w:color w:val="auto"/>
          <w:szCs w:val="21"/>
        </w:rPr>
        <w:fldChar w:fldCharType="separate"/>
      </w:r>
      <w:r>
        <w:rPr>
          <w:rFonts w:hint="eastAsia" w:ascii="宋体" w:hAnsi="宋体" w:cs="宋体"/>
          <w:bCs w:val="0"/>
          <w:color w:val="auto"/>
          <w:szCs w:val="24"/>
        </w:rPr>
        <w:t>四、技术文件</w:t>
      </w:r>
      <w:r>
        <w:rPr>
          <w:color w:val="auto"/>
        </w:rPr>
        <w:tab/>
      </w:r>
      <w:r>
        <w:rPr>
          <w:color w:val="auto"/>
        </w:rPr>
        <w:fldChar w:fldCharType="begin"/>
      </w:r>
      <w:r>
        <w:rPr>
          <w:color w:val="auto"/>
        </w:rPr>
        <w:instrText xml:space="preserve"> PAGEREF _Toc21597 \h </w:instrText>
      </w:r>
      <w:r>
        <w:rPr>
          <w:color w:val="auto"/>
        </w:rPr>
        <w:fldChar w:fldCharType="separate"/>
      </w:r>
      <w:r>
        <w:rPr>
          <w:color w:val="auto"/>
        </w:rPr>
        <w:t>143</w:t>
      </w:r>
      <w:r>
        <w:rPr>
          <w:color w:val="auto"/>
        </w:rPr>
        <w:fldChar w:fldCharType="end"/>
      </w:r>
      <w:r>
        <w:rPr>
          <w:rFonts w:hint="eastAsia" w:ascii="宋体" w:hAnsi="宋体" w:cs="宋体"/>
          <w:color w:val="auto"/>
          <w:szCs w:val="21"/>
        </w:rPr>
        <w:fldChar w:fldCharType="end"/>
      </w:r>
    </w:p>
    <w:p w14:paraId="46138AD0">
      <w:pPr>
        <w:pStyle w:val="29"/>
        <w:tabs>
          <w:tab w:val="right" w:leader="dot" w:pos="9412"/>
        </w:tabs>
        <w:rPr>
          <w:color w:val="auto"/>
        </w:rPr>
      </w:pPr>
      <w:r>
        <w:rPr>
          <w:rFonts w:hint="eastAsia" w:ascii="宋体" w:hAnsi="宋体" w:cs="宋体"/>
          <w:color w:val="auto"/>
          <w:szCs w:val="21"/>
        </w:rPr>
        <w:fldChar w:fldCharType="begin"/>
      </w:r>
      <w:r>
        <w:rPr>
          <w:rFonts w:hint="eastAsia" w:ascii="宋体" w:hAnsi="宋体" w:cs="宋体"/>
          <w:color w:val="auto"/>
          <w:szCs w:val="21"/>
        </w:rPr>
        <w:instrText xml:space="preserve"> HYPERLINK \l _Toc10958 </w:instrText>
      </w:r>
      <w:r>
        <w:rPr>
          <w:rFonts w:hint="eastAsia" w:ascii="宋体" w:hAnsi="宋体" w:cs="宋体"/>
          <w:color w:val="auto"/>
          <w:szCs w:val="21"/>
        </w:rPr>
        <w:fldChar w:fldCharType="separate"/>
      </w:r>
      <w:r>
        <w:rPr>
          <w:rFonts w:hint="eastAsia" w:ascii="宋体" w:hAnsi="宋体" w:cs="宋体"/>
          <w:bCs w:val="0"/>
          <w:color w:val="auto"/>
          <w:szCs w:val="24"/>
        </w:rPr>
        <w:t>五、其他</w:t>
      </w:r>
      <w:r>
        <w:rPr>
          <w:color w:val="auto"/>
        </w:rPr>
        <w:tab/>
      </w:r>
      <w:r>
        <w:rPr>
          <w:color w:val="auto"/>
        </w:rPr>
        <w:fldChar w:fldCharType="begin"/>
      </w:r>
      <w:r>
        <w:rPr>
          <w:color w:val="auto"/>
        </w:rPr>
        <w:instrText xml:space="preserve"> PAGEREF _Toc10958 \h </w:instrText>
      </w:r>
      <w:r>
        <w:rPr>
          <w:color w:val="auto"/>
        </w:rPr>
        <w:fldChar w:fldCharType="separate"/>
      </w:r>
      <w:r>
        <w:rPr>
          <w:color w:val="auto"/>
        </w:rPr>
        <w:t>143</w:t>
      </w:r>
      <w:r>
        <w:rPr>
          <w:color w:val="auto"/>
        </w:rPr>
        <w:fldChar w:fldCharType="end"/>
      </w:r>
      <w:r>
        <w:rPr>
          <w:rFonts w:hint="eastAsia" w:ascii="宋体" w:hAnsi="宋体" w:cs="宋体"/>
          <w:color w:val="auto"/>
          <w:szCs w:val="21"/>
        </w:rPr>
        <w:fldChar w:fldCharType="end"/>
      </w:r>
    </w:p>
    <w:p w14:paraId="4289CFA0">
      <w:pPr>
        <w:pStyle w:val="47"/>
        <w:tabs>
          <w:tab w:val="right" w:leader="dot" w:pos="9402"/>
        </w:tabs>
        <w:spacing w:line="480" w:lineRule="exact"/>
        <w:ind w:left="560"/>
        <w:jc w:val="center"/>
        <w:rPr>
          <w:rFonts w:ascii="宋体" w:hAnsi="宋体" w:cs="宋体"/>
          <w:color w:val="auto"/>
          <w:sz w:val="18"/>
          <w:szCs w:val="22"/>
        </w:rPr>
        <w:sectPr>
          <w:headerReference r:id="rId4" w:type="first"/>
          <w:footerReference r:id="rId7" w:type="first"/>
          <w:headerReference r:id="rId3" w:type="default"/>
          <w:footerReference r:id="rId5" w:type="default"/>
          <w:footerReference r:id="rId6" w:type="even"/>
          <w:pgSz w:w="11907" w:h="16840"/>
          <w:pgMar w:top="1134" w:right="1191" w:bottom="1134" w:left="1304" w:header="851" w:footer="992" w:gutter="0"/>
          <w:pgNumType w:fmt="numberInDash" w:start="1"/>
          <w:cols w:space="720" w:num="1"/>
          <w:titlePg/>
          <w:docGrid w:linePitch="381" w:charSpace="-5735"/>
        </w:sectPr>
      </w:pPr>
      <w:r>
        <w:rPr>
          <w:rFonts w:hint="eastAsia" w:ascii="宋体" w:hAnsi="宋体" w:cs="宋体"/>
          <w:color w:val="auto"/>
          <w:szCs w:val="21"/>
        </w:rPr>
        <w:fldChar w:fldCharType="end"/>
      </w:r>
    </w:p>
    <w:p w14:paraId="417472A2">
      <w:pPr>
        <w:pStyle w:val="2"/>
        <w:jc w:val="center"/>
        <w:rPr>
          <w:rFonts w:hAnsi="宋体" w:cs="宋体"/>
          <w:color w:val="auto"/>
          <w:szCs w:val="30"/>
        </w:rPr>
      </w:pPr>
      <w:bookmarkStart w:id="0" w:name="_Toc11641050"/>
      <w:bookmarkStart w:id="1" w:name="_Toc5666"/>
      <w:bookmarkStart w:id="2" w:name="_Toc12789052"/>
      <w:bookmarkStart w:id="3" w:name="_Toc9323"/>
      <w:bookmarkStart w:id="4" w:name="_Toc7943"/>
      <w:r>
        <w:rPr>
          <w:rFonts w:hint="eastAsia"/>
          <w:color w:val="auto"/>
          <w:sz w:val="32"/>
          <w:szCs w:val="32"/>
        </w:rPr>
        <w:t>第一篇</w:t>
      </w:r>
      <w:r>
        <w:rPr>
          <w:color w:val="auto"/>
          <w:sz w:val="32"/>
          <w:szCs w:val="32"/>
        </w:rPr>
        <w:t xml:space="preserve">  </w:t>
      </w:r>
      <w:r>
        <w:rPr>
          <w:rFonts w:hint="eastAsia"/>
          <w:color w:val="auto"/>
          <w:sz w:val="32"/>
          <w:szCs w:val="32"/>
        </w:rPr>
        <w:t>采购邀请书</w:t>
      </w:r>
      <w:bookmarkEnd w:id="0"/>
      <w:bookmarkEnd w:id="1"/>
      <w:bookmarkEnd w:id="2"/>
      <w:bookmarkEnd w:id="3"/>
      <w:bookmarkEnd w:id="4"/>
    </w:p>
    <w:p w14:paraId="491806BB">
      <w:pPr>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szCs w:val="24"/>
          <w:lang w:val="en-US" w:eastAsia="zh-CN"/>
        </w:rPr>
        <w:t>中捷通信有限</w:t>
      </w:r>
      <w:r>
        <w:rPr>
          <w:rFonts w:ascii="宋体" w:hAnsi="宋体" w:cs="宋体"/>
          <w:color w:val="auto"/>
          <w:sz w:val="24"/>
          <w:szCs w:val="24"/>
        </w:rPr>
        <w:t>公司受重庆文理学院的委托，对</w:t>
      </w:r>
      <w:r>
        <w:rPr>
          <w:rFonts w:hint="eastAsia" w:ascii="宋体" w:hAnsi="宋体" w:cs="宋体"/>
          <w:color w:val="auto"/>
          <w:sz w:val="24"/>
          <w:szCs w:val="24"/>
        </w:rPr>
        <w:t>重庆文理学院食堂委托经营项目进行竞争性磋商采购。欢迎有资格的供应商前来参与磋商。</w:t>
      </w:r>
    </w:p>
    <w:p w14:paraId="4F5339F4">
      <w:pPr>
        <w:pStyle w:val="3"/>
        <w:spacing w:line="400" w:lineRule="exact"/>
        <w:rPr>
          <w:b w:val="0"/>
          <w:color w:val="auto"/>
          <w:sz w:val="28"/>
          <w:szCs w:val="28"/>
        </w:rPr>
      </w:pPr>
      <w:bookmarkStart w:id="5" w:name="_Toc20565"/>
      <w:bookmarkStart w:id="6" w:name="_Toc1382"/>
      <w:bookmarkStart w:id="7" w:name="_Toc313893526"/>
      <w:bookmarkStart w:id="8" w:name="_Toc23596"/>
      <w:bookmarkStart w:id="9" w:name="_Toc317775175"/>
      <w:r>
        <w:rPr>
          <w:rFonts w:hint="eastAsia"/>
          <w:b w:val="0"/>
          <w:color w:val="auto"/>
          <w:sz w:val="28"/>
          <w:szCs w:val="28"/>
        </w:rPr>
        <w:t>一、竞争性磋商内容</w:t>
      </w:r>
      <w:bookmarkEnd w:id="5"/>
      <w:bookmarkEnd w:id="6"/>
      <w:bookmarkEnd w:id="7"/>
      <w:bookmarkEnd w:id="8"/>
      <w:bookmarkEnd w:id="9"/>
    </w:p>
    <w:tbl>
      <w:tblPr>
        <w:tblStyle w:val="5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612"/>
        <w:gridCol w:w="1269"/>
        <w:gridCol w:w="1277"/>
        <w:gridCol w:w="931"/>
        <w:gridCol w:w="2483"/>
      </w:tblGrid>
      <w:tr w14:paraId="24584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8" w:type="dxa"/>
            <w:vAlign w:val="center"/>
          </w:tcPr>
          <w:p w14:paraId="6F977118">
            <w:pPr>
              <w:spacing w:line="320" w:lineRule="exact"/>
              <w:jc w:val="center"/>
              <w:rPr>
                <w:rFonts w:ascii="宋体" w:hAnsi="宋体" w:cs="宋体"/>
                <w:color w:val="auto"/>
                <w:sz w:val="21"/>
                <w:szCs w:val="21"/>
              </w:rPr>
            </w:pPr>
            <w:r>
              <w:rPr>
                <w:rFonts w:hint="eastAsia" w:ascii="宋体" w:hAnsi="宋体" w:cs="宋体"/>
                <w:color w:val="auto"/>
                <w:sz w:val="21"/>
                <w:szCs w:val="21"/>
              </w:rPr>
              <w:t>包号</w:t>
            </w:r>
          </w:p>
        </w:tc>
        <w:tc>
          <w:tcPr>
            <w:tcW w:w="2612" w:type="dxa"/>
            <w:vAlign w:val="center"/>
          </w:tcPr>
          <w:p w14:paraId="3C0BAE4B">
            <w:pPr>
              <w:spacing w:line="320" w:lineRule="exact"/>
              <w:jc w:val="center"/>
              <w:rPr>
                <w:rFonts w:ascii="宋体" w:hAnsi="宋体" w:cs="宋体"/>
                <w:color w:val="auto"/>
                <w:sz w:val="21"/>
                <w:szCs w:val="21"/>
              </w:rPr>
            </w:pPr>
            <w:r>
              <w:rPr>
                <w:rFonts w:hint="eastAsia" w:ascii="宋体" w:hAnsi="宋体" w:cs="宋体"/>
                <w:color w:val="auto"/>
                <w:sz w:val="21"/>
                <w:szCs w:val="21"/>
              </w:rPr>
              <w:t>项目名称</w:t>
            </w:r>
          </w:p>
        </w:tc>
        <w:tc>
          <w:tcPr>
            <w:tcW w:w="1269" w:type="dxa"/>
            <w:shd w:val="clear" w:color="auto" w:fill="auto"/>
            <w:vAlign w:val="center"/>
          </w:tcPr>
          <w:p w14:paraId="090923F3">
            <w:pPr>
              <w:jc w:val="center"/>
              <w:rPr>
                <w:rFonts w:ascii="宋体" w:hAnsi="宋体" w:cs="宋体"/>
                <w:color w:val="auto"/>
                <w:sz w:val="21"/>
                <w:szCs w:val="21"/>
              </w:rPr>
            </w:pPr>
            <w:r>
              <w:rPr>
                <w:rFonts w:hint="eastAsia" w:ascii="宋体" w:hAnsi="宋体" w:cs="宋体"/>
                <w:color w:val="auto"/>
                <w:sz w:val="21"/>
                <w:szCs w:val="21"/>
              </w:rPr>
              <w:t>磋商保证金</w:t>
            </w:r>
          </w:p>
          <w:p w14:paraId="073CF5B3">
            <w:pPr>
              <w:jc w:val="center"/>
              <w:rPr>
                <w:rFonts w:ascii="宋体" w:hAnsi="宋体" w:cs="宋体"/>
                <w:color w:val="auto"/>
                <w:sz w:val="21"/>
                <w:szCs w:val="21"/>
              </w:rPr>
            </w:pPr>
            <w:r>
              <w:rPr>
                <w:rFonts w:hint="eastAsia" w:ascii="宋体" w:hAnsi="宋体" w:cs="宋体"/>
                <w:color w:val="auto"/>
                <w:sz w:val="21"/>
                <w:szCs w:val="21"/>
              </w:rPr>
              <w:t>（万元）</w:t>
            </w:r>
          </w:p>
        </w:tc>
        <w:tc>
          <w:tcPr>
            <w:tcW w:w="1277" w:type="dxa"/>
            <w:shd w:val="clear" w:color="auto" w:fill="auto"/>
            <w:vAlign w:val="center"/>
          </w:tcPr>
          <w:p w14:paraId="691286E9">
            <w:pPr>
              <w:jc w:val="center"/>
              <w:rPr>
                <w:rFonts w:ascii="宋体" w:hAnsi="宋体" w:cs="宋体"/>
                <w:color w:val="auto"/>
                <w:sz w:val="21"/>
                <w:szCs w:val="21"/>
              </w:rPr>
            </w:pPr>
            <w:r>
              <w:rPr>
                <w:rFonts w:hint="eastAsia" w:ascii="宋体" w:hAnsi="宋体" w:cs="宋体"/>
                <w:color w:val="auto"/>
                <w:sz w:val="21"/>
                <w:szCs w:val="21"/>
              </w:rPr>
              <w:t>履约保证金</w:t>
            </w:r>
          </w:p>
          <w:p w14:paraId="399D35B6">
            <w:pPr>
              <w:ind w:left="-48" w:leftChars="-17" w:right="-81" w:rightChars="-29"/>
              <w:jc w:val="center"/>
              <w:rPr>
                <w:rFonts w:ascii="宋体" w:hAnsi="宋体" w:cs="宋体"/>
                <w:color w:val="auto"/>
                <w:sz w:val="21"/>
                <w:szCs w:val="21"/>
              </w:rPr>
            </w:pPr>
            <w:r>
              <w:rPr>
                <w:rFonts w:hint="eastAsia" w:ascii="宋体" w:hAnsi="宋体" w:cs="宋体"/>
                <w:color w:val="auto"/>
                <w:sz w:val="21"/>
                <w:szCs w:val="21"/>
              </w:rPr>
              <w:t>（万元）</w:t>
            </w:r>
          </w:p>
        </w:tc>
        <w:tc>
          <w:tcPr>
            <w:tcW w:w="931" w:type="dxa"/>
            <w:shd w:val="clear" w:color="auto" w:fill="auto"/>
            <w:vAlign w:val="center"/>
          </w:tcPr>
          <w:p w14:paraId="4877CF67">
            <w:pPr>
              <w:jc w:val="center"/>
              <w:rPr>
                <w:rFonts w:ascii="宋体" w:hAnsi="宋体" w:cs="宋体"/>
                <w:color w:val="auto"/>
                <w:sz w:val="21"/>
                <w:szCs w:val="21"/>
              </w:rPr>
            </w:pPr>
            <w:r>
              <w:rPr>
                <w:rFonts w:hint="eastAsia" w:ascii="宋体" w:hAnsi="宋体" w:cs="宋体"/>
                <w:color w:val="auto"/>
                <w:sz w:val="21"/>
                <w:szCs w:val="21"/>
              </w:rPr>
              <w:t>成交服务商</w:t>
            </w:r>
          </w:p>
        </w:tc>
        <w:tc>
          <w:tcPr>
            <w:tcW w:w="2483" w:type="dxa"/>
            <w:vAlign w:val="center"/>
          </w:tcPr>
          <w:p w14:paraId="2AEA3834">
            <w:pPr>
              <w:spacing w:line="320" w:lineRule="exact"/>
              <w:jc w:val="center"/>
              <w:rPr>
                <w:rFonts w:ascii="宋体" w:hAnsi="宋体" w:cs="宋体"/>
                <w:color w:val="auto"/>
                <w:sz w:val="21"/>
                <w:szCs w:val="21"/>
              </w:rPr>
            </w:pPr>
            <w:r>
              <w:rPr>
                <w:rFonts w:hint="eastAsia" w:ascii="宋体" w:hAnsi="宋体" w:cs="宋体"/>
                <w:color w:val="auto"/>
                <w:sz w:val="21"/>
                <w:szCs w:val="21"/>
              </w:rPr>
              <w:t>建筑面积（㎡）</w:t>
            </w:r>
          </w:p>
        </w:tc>
      </w:tr>
      <w:tr w14:paraId="5107E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8" w:type="dxa"/>
            <w:vAlign w:val="center"/>
          </w:tcPr>
          <w:p w14:paraId="3BCB89CA">
            <w:pPr>
              <w:spacing w:line="320" w:lineRule="exact"/>
              <w:jc w:val="center"/>
              <w:rPr>
                <w:rFonts w:ascii="宋体" w:hAnsi="宋体" w:cs="宋体"/>
                <w:color w:val="auto"/>
                <w:sz w:val="21"/>
                <w:szCs w:val="21"/>
              </w:rPr>
            </w:pPr>
            <w:r>
              <w:rPr>
                <w:rFonts w:hint="eastAsia" w:ascii="宋体" w:hAnsi="宋体" w:cs="宋体"/>
                <w:color w:val="auto"/>
                <w:sz w:val="21"/>
                <w:szCs w:val="21"/>
              </w:rPr>
              <w:t>包</w:t>
            </w:r>
            <w:r>
              <w:rPr>
                <w:rFonts w:ascii="宋体" w:hAnsi="宋体" w:cs="宋体"/>
                <w:color w:val="auto"/>
                <w:sz w:val="21"/>
                <w:szCs w:val="21"/>
              </w:rPr>
              <w:t>1</w:t>
            </w:r>
          </w:p>
        </w:tc>
        <w:tc>
          <w:tcPr>
            <w:tcW w:w="2612" w:type="dxa"/>
            <w:shd w:val="clear" w:color="auto" w:fill="auto"/>
            <w:vAlign w:val="center"/>
          </w:tcPr>
          <w:p w14:paraId="6AF4DE35">
            <w:pPr>
              <w:jc w:val="center"/>
              <w:rPr>
                <w:rFonts w:ascii="宋体" w:hAnsi="宋体"/>
                <w:color w:val="auto"/>
                <w:sz w:val="21"/>
                <w:szCs w:val="21"/>
              </w:rPr>
            </w:pPr>
            <w:r>
              <w:rPr>
                <w:rFonts w:hint="eastAsia" w:ascii="宋体" w:hAnsi="宋体"/>
                <w:color w:val="auto"/>
                <w:sz w:val="21"/>
                <w:szCs w:val="21"/>
              </w:rPr>
              <w:t>红河</w:t>
            </w:r>
            <w:r>
              <w:rPr>
                <w:rFonts w:ascii="宋体" w:hAnsi="宋体"/>
                <w:color w:val="auto"/>
                <w:sz w:val="21"/>
                <w:szCs w:val="21"/>
              </w:rPr>
              <w:t>B区知</w:t>
            </w:r>
            <w:r>
              <w:rPr>
                <w:rFonts w:hint="eastAsia" w:ascii="宋体" w:hAnsi="宋体"/>
                <w:color w:val="auto"/>
                <w:sz w:val="21"/>
                <w:szCs w:val="21"/>
              </w:rPr>
              <w:t>味楼一楼委托经营</w:t>
            </w:r>
          </w:p>
        </w:tc>
        <w:tc>
          <w:tcPr>
            <w:tcW w:w="1269" w:type="dxa"/>
            <w:vAlign w:val="center"/>
          </w:tcPr>
          <w:p w14:paraId="0391936B">
            <w:pPr>
              <w:spacing w:line="320" w:lineRule="exact"/>
              <w:jc w:val="center"/>
              <w:rPr>
                <w:rFonts w:ascii="宋体" w:hAnsi="宋体" w:cs="宋体"/>
                <w:color w:val="auto"/>
                <w:sz w:val="21"/>
                <w:szCs w:val="21"/>
              </w:rPr>
            </w:pPr>
            <w:r>
              <w:rPr>
                <w:rFonts w:ascii="宋体" w:hAnsi="宋体" w:cs="宋体"/>
                <w:color w:val="auto"/>
                <w:sz w:val="21"/>
                <w:szCs w:val="21"/>
              </w:rPr>
              <w:t>20</w:t>
            </w:r>
          </w:p>
        </w:tc>
        <w:tc>
          <w:tcPr>
            <w:tcW w:w="1277" w:type="dxa"/>
            <w:vAlign w:val="center"/>
          </w:tcPr>
          <w:p w14:paraId="34053C3A">
            <w:pPr>
              <w:spacing w:line="320" w:lineRule="exact"/>
              <w:jc w:val="center"/>
              <w:rPr>
                <w:rFonts w:ascii="宋体" w:hAnsi="宋体" w:cs="宋体"/>
                <w:color w:val="auto"/>
                <w:sz w:val="21"/>
                <w:szCs w:val="21"/>
              </w:rPr>
            </w:pPr>
            <w:r>
              <w:rPr>
                <w:rFonts w:ascii="宋体" w:hAnsi="宋体" w:cs="宋体"/>
                <w:color w:val="auto"/>
                <w:sz w:val="21"/>
                <w:szCs w:val="21"/>
              </w:rPr>
              <w:t>100</w:t>
            </w:r>
          </w:p>
        </w:tc>
        <w:tc>
          <w:tcPr>
            <w:tcW w:w="931" w:type="dxa"/>
            <w:vAlign w:val="center"/>
          </w:tcPr>
          <w:p w14:paraId="6538403A">
            <w:pPr>
              <w:spacing w:line="320" w:lineRule="exact"/>
              <w:jc w:val="center"/>
              <w:rPr>
                <w:rFonts w:ascii="宋体" w:hAnsi="宋体" w:cs="宋体"/>
                <w:color w:val="auto"/>
                <w:sz w:val="21"/>
                <w:szCs w:val="21"/>
              </w:rPr>
            </w:pPr>
            <w:r>
              <w:rPr>
                <w:rFonts w:ascii="宋体" w:hAnsi="宋体" w:cs="宋体"/>
                <w:color w:val="auto"/>
                <w:sz w:val="21"/>
                <w:szCs w:val="21"/>
              </w:rPr>
              <w:t>1名</w:t>
            </w:r>
          </w:p>
        </w:tc>
        <w:tc>
          <w:tcPr>
            <w:tcW w:w="2483" w:type="dxa"/>
            <w:vAlign w:val="center"/>
          </w:tcPr>
          <w:p w14:paraId="2CEA404E">
            <w:pPr>
              <w:spacing w:line="240" w:lineRule="exact"/>
              <w:jc w:val="center"/>
              <w:rPr>
                <w:rFonts w:ascii="宋体" w:hAnsi="宋体" w:cs="宋体"/>
                <w:color w:val="auto"/>
                <w:sz w:val="21"/>
                <w:szCs w:val="21"/>
              </w:rPr>
            </w:pPr>
            <w:r>
              <w:rPr>
                <w:rFonts w:ascii="宋体" w:hAnsi="宋体" w:cs="宋体"/>
                <w:color w:val="auto"/>
                <w:sz w:val="21"/>
                <w:szCs w:val="21"/>
              </w:rPr>
              <w:t>3266m</w:t>
            </w:r>
            <w:r>
              <w:rPr>
                <w:rFonts w:ascii="宋体" w:hAnsi="宋体" w:cs="宋体"/>
                <w:color w:val="auto"/>
                <w:sz w:val="21"/>
                <w:szCs w:val="21"/>
                <w:vertAlign w:val="superscript"/>
              </w:rPr>
              <w:t>2</w:t>
            </w:r>
            <w:r>
              <w:rPr>
                <w:rFonts w:hint="eastAsia" w:ascii="宋体" w:hAnsi="宋体"/>
                <w:color w:val="auto"/>
                <w:sz w:val="21"/>
                <w:szCs w:val="21"/>
              </w:rPr>
              <w:t>（以实际勘察为准）</w:t>
            </w:r>
          </w:p>
        </w:tc>
      </w:tr>
      <w:tr w14:paraId="63CB0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8" w:type="dxa"/>
            <w:vAlign w:val="center"/>
          </w:tcPr>
          <w:p w14:paraId="4FB41A3C">
            <w:pPr>
              <w:spacing w:line="320" w:lineRule="exact"/>
              <w:jc w:val="center"/>
              <w:rPr>
                <w:rFonts w:ascii="宋体" w:hAnsi="宋体" w:cs="宋体"/>
                <w:color w:val="auto"/>
                <w:sz w:val="21"/>
                <w:szCs w:val="21"/>
              </w:rPr>
            </w:pPr>
            <w:r>
              <w:rPr>
                <w:rFonts w:hint="eastAsia" w:ascii="宋体" w:hAnsi="宋体" w:cs="宋体"/>
                <w:color w:val="auto"/>
                <w:sz w:val="21"/>
                <w:szCs w:val="21"/>
              </w:rPr>
              <w:t>包</w:t>
            </w:r>
            <w:r>
              <w:rPr>
                <w:rFonts w:ascii="宋体" w:hAnsi="宋体" w:cs="宋体"/>
                <w:color w:val="auto"/>
                <w:sz w:val="21"/>
                <w:szCs w:val="21"/>
              </w:rPr>
              <w:t>2</w:t>
            </w:r>
          </w:p>
        </w:tc>
        <w:tc>
          <w:tcPr>
            <w:tcW w:w="2612" w:type="dxa"/>
            <w:shd w:val="clear" w:color="auto" w:fill="auto"/>
            <w:vAlign w:val="center"/>
          </w:tcPr>
          <w:p w14:paraId="1CD61A74">
            <w:pPr>
              <w:jc w:val="center"/>
              <w:rPr>
                <w:rFonts w:ascii="宋体" w:hAnsi="宋体"/>
                <w:color w:val="auto"/>
                <w:sz w:val="21"/>
                <w:szCs w:val="21"/>
              </w:rPr>
            </w:pPr>
            <w:r>
              <w:rPr>
                <w:rFonts w:hint="eastAsia" w:ascii="宋体" w:hAnsi="宋体"/>
                <w:color w:val="auto"/>
                <w:sz w:val="21"/>
                <w:szCs w:val="21"/>
              </w:rPr>
              <w:t>红河</w:t>
            </w:r>
            <w:r>
              <w:rPr>
                <w:rFonts w:ascii="宋体" w:hAnsi="宋体"/>
                <w:color w:val="auto"/>
                <w:sz w:val="21"/>
                <w:szCs w:val="21"/>
              </w:rPr>
              <w:t>B区知味楼二楼特色食堂（含二楼教工餐厅）、三楼接待餐厅委托经营</w:t>
            </w:r>
          </w:p>
        </w:tc>
        <w:tc>
          <w:tcPr>
            <w:tcW w:w="1269" w:type="dxa"/>
            <w:shd w:val="clear" w:color="auto" w:fill="auto"/>
            <w:vAlign w:val="center"/>
          </w:tcPr>
          <w:p w14:paraId="5DED8733">
            <w:pPr>
              <w:spacing w:line="320" w:lineRule="exact"/>
              <w:jc w:val="center"/>
              <w:rPr>
                <w:rFonts w:ascii="宋体" w:hAnsi="宋体" w:cs="宋体"/>
                <w:color w:val="auto"/>
                <w:sz w:val="21"/>
                <w:szCs w:val="21"/>
              </w:rPr>
            </w:pPr>
            <w:r>
              <w:rPr>
                <w:rFonts w:ascii="宋体" w:hAnsi="宋体" w:cs="宋体"/>
                <w:color w:val="auto"/>
                <w:sz w:val="21"/>
                <w:szCs w:val="21"/>
              </w:rPr>
              <w:t>20</w:t>
            </w:r>
          </w:p>
        </w:tc>
        <w:tc>
          <w:tcPr>
            <w:tcW w:w="1277" w:type="dxa"/>
            <w:shd w:val="clear" w:color="auto" w:fill="auto"/>
            <w:vAlign w:val="center"/>
          </w:tcPr>
          <w:p w14:paraId="236A5596">
            <w:pPr>
              <w:spacing w:line="320" w:lineRule="exact"/>
              <w:jc w:val="center"/>
              <w:rPr>
                <w:rFonts w:ascii="宋体" w:hAnsi="宋体" w:cs="宋体"/>
                <w:color w:val="auto"/>
                <w:sz w:val="21"/>
                <w:szCs w:val="21"/>
              </w:rPr>
            </w:pPr>
            <w:r>
              <w:rPr>
                <w:rFonts w:ascii="宋体" w:hAnsi="宋体" w:cs="宋体"/>
                <w:color w:val="auto"/>
                <w:sz w:val="21"/>
                <w:szCs w:val="21"/>
              </w:rPr>
              <w:t>100</w:t>
            </w:r>
          </w:p>
        </w:tc>
        <w:tc>
          <w:tcPr>
            <w:tcW w:w="931" w:type="dxa"/>
            <w:shd w:val="clear" w:color="auto" w:fill="auto"/>
            <w:vAlign w:val="center"/>
          </w:tcPr>
          <w:p w14:paraId="7DB78020">
            <w:pPr>
              <w:spacing w:line="320" w:lineRule="exact"/>
              <w:jc w:val="center"/>
              <w:rPr>
                <w:rFonts w:ascii="宋体" w:hAnsi="宋体" w:cs="宋体"/>
                <w:color w:val="auto"/>
                <w:sz w:val="21"/>
                <w:szCs w:val="21"/>
              </w:rPr>
            </w:pPr>
            <w:r>
              <w:rPr>
                <w:rFonts w:ascii="宋体" w:hAnsi="宋体" w:cs="宋体"/>
                <w:color w:val="auto"/>
                <w:sz w:val="21"/>
                <w:szCs w:val="21"/>
              </w:rPr>
              <w:t>1名</w:t>
            </w:r>
          </w:p>
        </w:tc>
        <w:tc>
          <w:tcPr>
            <w:tcW w:w="2483" w:type="dxa"/>
            <w:shd w:val="clear" w:color="auto" w:fill="auto"/>
            <w:vAlign w:val="center"/>
          </w:tcPr>
          <w:p w14:paraId="7B0A616A">
            <w:pPr>
              <w:spacing w:line="240" w:lineRule="exact"/>
              <w:jc w:val="center"/>
              <w:rPr>
                <w:rFonts w:ascii="宋体" w:hAnsi="宋体" w:cs="宋体"/>
                <w:color w:val="auto"/>
                <w:sz w:val="21"/>
                <w:szCs w:val="21"/>
              </w:rPr>
            </w:pPr>
            <w:r>
              <w:rPr>
                <w:rFonts w:ascii="宋体" w:hAnsi="宋体" w:cs="宋体"/>
                <w:color w:val="auto"/>
                <w:sz w:val="21"/>
                <w:szCs w:val="21"/>
              </w:rPr>
              <w:t>4000m</w:t>
            </w:r>
            <w:r>
              <w:rPr>
                <w:rFonts w:ascii="宋体" w:hAnsi="宋体" w:cs="宋体"/>
                <w:color w:val="auto"/>
                <w:sz w:val="21"/>
                <w:szCs w:val="21"/>
                <w:vertAlign w:val="superscript"/>
              </w:rPr>
              <w:t>2</w:t>
            </w:r>
            <w:r>
              <w:rPr>
                <w:rFonts w:hint="eastAsia" w:ascii="宋体" w:hAnsi="宋体"/>
                <w:color w:val="auto"/>
                <w:sz w:val="21"/>
                <w:szCs w:val="21"/>
              </w:rPr>
              <w:t>（以实际勘察为准）</w:t>
            </w:r>
          </w:p>
        </w:tc>
      </w:tr>
      <w:tr w14:paraId="38BC3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08" w:type="dxa"/>
            <w:vAlign w:val="center"/>
          </w:tcPr>
          <w:p w14:paraId="59F99BAC">
            <w:pPr>
              <w:spacing w:line="320" w:lineRule="exact"/>
              <w:jc w:val="center"/>
              <w:rPr>
                <w:rFonts w:ascii="宋体" w:hAnsi="宋体" w:cs="宋体"/>
                <w:color w:val="auto"/>
                <w:sz w:val="21"/>
                <w:szCs w:val="21"/>
              </w:rPr>
            </w:pPr>
            <w:r>
              <w:rPr>
                <w:rFonts w:hint="eastAsia" w:ascii="宋体" w:hAnsi="宋体" w:cs="宋体"/>
                <w:color w:val="auto"/>
                <w:sz w:val="21"/>
                <w:szCs w:val="21"/>
              </w:rPr>
              <w:t>包</w:t>
            </w:r>
            <w:r>
              <w:rPr>
                <w:rFonts w:ascii="宋体" w:hAnsi="宋体" w:cs="宋体"/>
                <w:color w:val="auto"/>
                <w:sz w:val="21"/>
                <w:szCs w:val="21"/>
              </w:rPr>
              <w:t>3</w:t>
            </w:r>
          </w:p>
        </w:tc>
        <w:tc>
          <w:tcPr>
            <w:tcW w:w="2612" w:type="dxa"/>
            <w:shd w:val="clear" w:color="auto" w:fill="auto"/>
            <w:vAlign w:val="center"/>
          </w:tcPr>
          <w:p w14:paraId="3D182C84">
            <w:pPr>
              <w:jc w:val="center"/>
              <w:rPr>
                <w:rFonts w:ascii="宋体" w:hAnsi="宋体"/>
                <w:color w:val="auto"/>
                <w:sz w:val="21"/>
                <w:szCs w:val="21"/>
              </w:rPr>
            </w:pPr>
            <w:r>
              <w:rPr>
                <w:rFonts w:hint="eastAsia" w:ascii="宋体" w:hAnsi="宋体"/>
                <w:color w:val="auto"/>
                <w:sz w:val="21"/>
                <w:szCs w:val="21"/>
              </w:rPr>
              <w:t>红河</w:t>
            </w:r>
            <w:r>
              <w:rPr>
                <w:rFonts w:ascii="宋体" w:hAnsi="宋体"/>
                <w:color w:val="auto"/>
                <w:sz w:val="21"/>
                <w:szCs w:val="21"/>
              </w:rPr>
              <w:t>A</w:t>
            </w:r>
            <w:r>
              <w:rPr>
                <w:rFonts w:hint="eastAsia" w:ascii="宋体" w:hAnsi="宋体"/>
                <w:color w:val="auto"/>
                <w:sz w:val="21"/>
                <w:szCs w:val="21"/>
              </w:rPr>
              <w:t>区知善楼一、二楼食堂委托经营</w:t>
            </w:r>
          </w:p>
        </w:tc>
        <w:tc>
          <w:tcPr>
            <w:tcW w:w="1269" w:type="dxa"/>
            <w:shd w:val="clear" w:color="auto" w:fill="auto"/>
            <w:vAlign w:val="center"/>
          </w:tcPr>
          <w:p w14:paraId="6FB82583">
            <w:pPr>
              <w:spacing w:line="320" w:lineRule="exact"/>
              <w:jc w:val="center"/>
              <w:rPr>
                <w:rFonts w:ascii="宋体" w:hAnsi="宋体" w:cs="宋体"/>
                <w:color w:val="auto"/>
                <w:sz w:val="21"/>
                <w:szCs w:val="21"/>
              </w:rPr>
            </w:pPr>
            <w:r>
              <w:rPr>
                <w:rFonts w:ascii="宋体" w:hAnsi="宋体" w:cs="宋体"/>
                <w:color w:val="auto"/>
                <w:sz w:val="21"/>
                <w:szCs w:val="21"/>
              </w:rPr>
              <w:t>20</w:t>
            </w:r>
          </w:p>
        </w:tc>
        <w:tc>
          <w:tcPr>
            <w:tcW w:w="1277" w:type="dxa"/>
            <w:shd w:val="clear" w:color="auto" w:fill="auto"/>
            <w:vAlign w:val="center"/>
          </w:tcPr>
          <w:p w14:paraId="0F1D28F1">
            <w:pPr>
              <w:spacing w:line="320" w:lineRule="exact"/>
              <w:jc w:val="center"/>
              <w:rPr>
                <w:rFonts w:ascii="宋体" w:hAnsi="宋体" w:cs="宋体"/>
                <w:color w:val="auto"/>
                <w:sz w:val="21"/>
                <w:szCs w:val="21"/>
              </w:rPr>
            </w:pPr>
            <w:r>
              <w:rPr>
                <w:rFonts w:ascii="宋体" w:hAnsi="宋体" w:cs="宋体"/>
                <w:color w:val="auto"/>
                <w:sz w:val="21"/>
                <w:szCs w:val="21"/>
              </w:rPr>
              <w:t>100</w:t>
            </w:r>
          </w:p>
        </w:tc>
        <w:tc>
          <w:tcPr>
            <w:tcW w:w="931" w:type="dxa"/>
            <w:shd w:val="clear" w:color="auto" w:fill="auto"/>
            <w:vAlign w:val="center"/>
          </w:tcPr>
          <w:p w14:paraId="06474252">
            <w:pPr>
              <w:spacing w:line="320" w:lineRule="exact"/>
              <w:jc w:val="center"/>
              <w:rPr>
                <w:rFonts w:ascii="宋体" w:hAnsi="宋体" w:cs="宋体"/>
                <w:color w:val="auto"/>
                <w:sz w:val="21"/>
                <w:szCs w:val="21"/>
              </w:rPr>
            </w:pPr>
            <w:r>
              <w:rPr>
                <w:rFonts w:ascii="宋体" w:hAnsi="宋体" w:cs="宋体"/>
                <w:color w:val="auto"/>
                <w:sz w:val="21"/>
                <w:szCs w:val="21"/>
              </w:rPr>
              <w:t>1名</w:t>
            </w:r>
          </w:p>
        </w:tc>
        <w:tc>
          <w:tcPr>
            <w:tcW w:w="2483" w:type="dxa"/>
            <w:vAlign w:val="center"/>
          </w:tcPr>
          <w:p w14:paraId="2AACC4A6">
            <w:pPr>
              <w:spacing w:line="240" w:lineRule="exact"/>
              <w:jc w:val="center"/>
              <w:rPr>
                <w:rFonts w:ascii="宋体" w:hAnsi="宋体" w:cs="宋体"/>
                <w:color w:val="auto"/>
                <w:sz w:val="21"/>
                <w:szCs w:val="21"/>
              </w:rPr>
            </w:pPr>
            <w:r>
              <w:rPr>
                <w:rFonts w:ascii="宋体" w:hAnsi="宋体"/>
                <w:color w:val="auto"/>
                <w:sz w:val="21"/>
                <w:szCs w:val="21"/>
              </w:rPr>
              <w:t>6400</w:t>
            </w:r>
            <w:r>
              <w:rPr>
                <w:rFonts w:hint="eastAsia" w:ascii="宋体" w:hAnsi="宋体" w:cs="宋体"/>
                <w:color w:val="auto"/>
                <w:sz w:val="21"/>
                <w:szCs w:val="21"/>
              </w:rPr>
              <w:t>㎡</w:t>
            </w:r>
            <w:r>
              <w:rPr>
                <w:rFonts w:hint="eastAsia" w:ascii="宋体" w:hAnsi="宋体"/>
                <w:color w:val="auto"/>
                <w:sz w:val="21"/>
                <w:szCs w:val="21"/>
              </w:rPr>
              <w:t>（以实际勘察为准）</w:t>
            </w:r>
          </w:p>
        </w:tc>
      </w:tr>
      <w:tr w14:paraId="5B0CE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5" w:hRule="atLeast"/>
          <w:jc w:val="center"/>
        </w:trPr>
        <w:tc>
          <w:tcPr>
            <w:tcW w:w="708" w:type="dxa"/>
            <w:vAlign w:val="center"/>
          </w:tcPr>
          <w:p w14:paraId="1CF093AA">
            <w:pPr>
              <w:spacing w:line="320" w:lineRule="exact"/>
              <w:jc w:val="center"/>
              <w:rPr>
                <w:rFonts w:ascii="宋体" w:hAnsi="宋体" w:cs="宋体"/>
                <w:color w:val="auto"/>
                <w:sz w:val="21"/>
                <w:szCs w:val="21"/>
              </w:rPr>
            </w:pPr>
            <w:r>
              <w:rPr>
                <w:rFonts w:hint="eastAsia" w:ascii="宋体" w:hAnsi="宋体" w:cs="宋体"/>
                <w:color w:val="auto"/>
                <w:sz w:val="21"/>
                <w:szCs w:val="21"/>
              </w:rPr>
              <w:t>包</w:t>
            </w:r>
            <w:r>
              <w:rPr>
                <w:rFonts w:ascii="宋体" w:hAnsi="宋体" w:cs="宋体"/>
                <w:color w:val="auto"/>
                <w:sz w:val="21"/>
                <w:szCs w:val="21"/>
              </w:rPr>
              <w:t>4</w:t>
            </w:r>
          </w:p>
        </w:tc>
        <w:tc>
          <w:tcPr>
            <w:tcW w:w="2612" w:type="dxa"/>
            <w:vAlign w:val="center"/>
          </w:tcPr>
          <w:p w14:paraId="7DDAAF0B">
            <w:pPr>
              <w:jc w:val="center"/>
              <w:rPr>
                <w:rFonts w:ascii="宋体" w:hAnsi="宋体"/>
                <w:color w:val="auto"/>
                <w:sz w:val="21"/>
                <w:szCs w:val="21"/>
              </w:rPr>
            </w:pPr>
            <w:r>
              <w:rPr>
                <w:rFonts w:hint="eastAsia" w:ascii="宋体" w:hAnsi="宋体"/>
                <w:color w:val="auto"/>
                <w:sz w:val="21"/>
                <w:szCs w:val="21"/>
              </w:rPr>
              <w:t>红河</w:t>
            </w:r>
            <w:r>
              <w:rPr>
                <w:rFonts w:ascii="宋体" w:hAnsi="宋体"/>
                <w:color w:val="auto"/>
                <w:sz w:val="21"/>
                <w:szCs w:val="21"/>
              </w:rPr>
              <w:t>A校区三食堂（含教工餐厅）委托经营</w:t>
            </w:r>
          </w:p>
        </w:tc>
        <w:tc>
          <w:tcPr>
            <w:tcW w:w="1269" w:type="dxa"/>
            <w:vAlign w:val="center"/>
          </w:tcPr>
          <w:p w14:paraId="66F36DD4">
            <w:pPr>
              <w:jc w:val="center"/>
              <w:rPr>
                <w:rFonts w:ascii="宋体" w:hAnsi="宋体" w:cs="宋体"/>
                <w:color w:val="auto"/>
                <w:sz w:val="21"/>
                <w:szCs w:val="21"/>
              </w:rPr>
            </w:pPr>
            <w:r>
              <w:rPr>
                <w:rFonts w:ascii="宋体" w:hAnsi="宋体" w:cs="宋体"/>
                <w:color w:val="auto"/>
                <w:sz w:val="21"/>
                <w:szCs w:val="21"/>
              </w:rPr>
              <w:t>20</w:t>
            </w:r>
          </w:p>
        </w:tc>
        <w:tc>
          <w:tcPr>
            <w:tcW w:w="1277" w:type="dxa"/>
            <w:vAlign w:val="center"/>
          </w:tcPr>
          <w:p w14:paraId="5DACA514">
            <w:pPr>
              <w:jc w:val="center"/>
              <w:rPr>
                <w:rFonts w:ascii="宋体" w:hAnsi="宋体" w:cs="宋体"/>
                <w:color w:val="auto"/>
                <w:sz w:val="21"/>
                <w:szCs w:val="21"/>
              </w:rPr>
            </w:pPr>
            <w:r>
              <w:rPr>
                <w:rFonts w:ascii="宋体" w:hAnsi="宋体" w:cs="宋体"/>
                <w:color w:val="auto"/>
                <w:sz w:val="21"/>
                <w:szCs w:val="21"/>
              </w:rPr>
              <w:t>100</w:t>
            </w:r>
          </w:p>
        </w:tc>
        <w:tc>
          <w:tcPr>
            <w:tcW w:w="931" w:type="dxa"/>
            <w:vAlign w:val="center"/>
          </w:tcPr>
          <w:p w14:paraId="5240F5A2">
            <w:pPr>
              <w:jc w:val="center"/>
              <w:rPr>
                <w:rFonts w:ascii="宋体" w:hAnsi="宋体" w:cs="宋体"/>
                <w:color w:val="auto"/>
                <w:sz w:val="21"/>
                <w:szCs w:val="21"/>
              </w:rPr>
            </w:pPr>
            <w:r>
              <w:rPr>
                <w:rFonts w:ascii="宋体" w:hAnsi="宋体" w:cs="宋体"/>
                <w:color w:val="auto"/>
                <w:sz w:val="21"/>
                <w:szCs w:val="21"/>
              </w:rPr>
              <w:t>1名</w:t>
            </w:r>
          </w:p>
        </w:tc>
        <w:tc>
          <w:tcPr>
            <w:tcW w:w="2483" w:type="dxa"/>
            <w:vAlign w:val="center"/>
          </w:tcPr>
          <w:p w14:paraId="2D9B7602">
            <w:pPr>
              <w:spacing w:line="240" w:lineRule="exact"/>
              <w:jc w:val="center"/>
              <w:rPr>
                <w:rFonts w:ascii="宋体" w:hAnsi="宋体" w:cs="宋体"/>
                <w:color w:val="auto"/>
                <w:sz w:val="21"/>
                <w:szCs w:val="21"/>
              </w:rPr>
            </w:pPr>
            <w:r>
              <w:rPr>
                <w:rFonts w:ascii="宋体" w:hAnsi="宋体" w:cs="宋体"/>
                <w:color w:val="auto"/>
                <w:sz w:val="21"/>
                <w:szCs w:val="21"/>
              </w:rPr>
              <w:t>5000㎡</w:t>
            </w:r>
            <w:r>
              <w:rPr>
                <w:rFonts w:hint="eastAsia" w:ascii="宋体" w:hAnsi="宋体"/>
                <w:color w:val="auto"/>
                <w:sz w:val="21"/>
                <w:szCs w:val="21"/>
              </w:rPr>
              <w:t>（以实际勘察为准）</w:t>
            </w:r>
          </w:p>
          <w:p w14:paraId="71046FA6">
            <w:pPr>
              <w:spacing w:line="240" w:lineRule="exact"/>
              <w:jc w:val="center"/>
              <w:rPr>
                <w:rFonts w:ascii="宋体" w:hAnsi="宋体" w:cs="宋体"/>
                <w:color w:val="auto"/>
                <w:sz w:val="21"/>
                <w:szCs w:val="21"/>
              </w:rPr>
            </w:pPr>
          </w:p>
        </w:tc>
      </w:tr>
      <w:tr w14:paraId="30102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5" w:hRule="atLeast"/>
          <w:jc w:val="center"/>
        </w:trPr>
        <w:tc>
          <w:tcPr>
            <w:tcW w:w="708" w:type="dxa"/>
            <w:vAlign w:val="center"/>
          </w:tcPr>
          <w:p w14:paraId="34B125AE">
            <w:pPr>
              <w:spacing w:line="320" w:lineRule="exact"/>
              <w:jc w:val="center"/>
              <w:rPr>
                <w:rFonts w:ascii="宋体" w:hAnsi="宋体" w:cs="宋体"/>
                <w:color w:val="auto"/>
                <w:sz w:val="21"/>
                <w:szCs w:val="21"/>
              </w:rPr>
            </w:pPr>
            <w:r>
              <w:rPr>
                <w:rFonts w:hint="eastAsia" w:ascii="宋体" w:hAnsi="宋体" w:cs="宋体"/>
                <w:color w:val="auto"/>
                <w:sz w:val="21"/>
                <w:szCs w:val="21"/>
              </w:rPr>
              <w:t>包</w:t>
            </w:r>
            <w:r>
              <w:rPr>
                <w:rFonts w:ascii="宋体" w:hAnsi="宋体" w:cs="宋体"/>
                <w:color w:val="auto"/>
                <w:sz w:val="21"/>
                <w:szCs w:val="21"/>
              </w:rPr>
              <w:t>5</w:t>
            </w:r>
          </w:p>
        </w:tc>
        <w:tc>
          <w:tcPr>
            <w:tcW w:w="2612" w:type="dxa"/>
            <w:vAlign w:val="center"/>
          </w:tcPr>
          <w:p w14:paraId="3BBE1456">
            <w:pPr>
              <w:jc w:val="center"/>
              <w:rPr>
                <w:rFonts w:ascii="宋体" w:hAnsi="宋体"/>
                <w:color w:val="auto"/>
                <w:sz w:val="21"/>
                <w:szCs w:val="21"/>
              </w:rPr>
            </w:pPr>
            <w:r>
              <w:rPr>
                <w:rFonts w:hint="eastAsia" w:ascii="宋体" w:hAnsi="宋体"/>
                <w:color w:val="auto"/>
                <w:sz w:val="21"/>
                <w:szCs w:val="21"/>
              </w:rPr>
              <w:t>星湖校区知和楼一、二楼食堂（含教工餐厅）及学聚苑食堂委托经营</w:t>
            </w:r>
          </w:p>
        </w:tc>
        <w:tc>
          <w:tcPr>
            <w:tcW w:w="1269" w:type="dxa"/>
            <w:shd w:val="clear" w:color="auto" w:fill="auto"/>
            <w:vAlign w:val="center"/>
          </w:tcPr>
          <w:p w14:paraId="4D4AFFFD">
            <w:pPr>
              <w:jc w:val="center"/>
              <w:rPr>
                <w:rFonts w:ascii="宋体" w:hAnsi="宋体" w:cs="宋体"/>
                <w:color w:val="auto"/>
                <w:sz w:val="21"/>
                <w:szCs w:val="21"/>
              </w:rPr>
            </w:pPr>
            <w:r>
              <w:rPr>
                <w:rFonts w:ascii="宋体" w:hAnsi="宋体" w:cs="宋体"/>
                <w:color w:val="auto"/>
                <w:sz w:val="21"/>
                <w:szCs w:val="21"/>
              </w:rPr>
              <w:t>20</w:t>
            </w:r>
          </w:p>
        </w:tc>
        <w:tc>
          <w:tcPr>
            <w:tcW w:w="1277" w:type="dxa"/>
            <w:shd w:val="clear" w:color="auto" w:fill="auto"/>
            <w:vAlign w:val="center"/>
          </w:tcPr>
          <w:p w14:paraId="36AAF127">
            <w:pPr>
              <w:jc w:val="center"/>
              <w:rPr>
                <w:rFonts w:ascii="宋体" w:hAnsi="宋体" w:cs="宋体"/>
                <w:color w:val="auto"/>
                <w:sz w:val="21"/>
                <w:szCs w:val="21"/>
              </w:rPr>
            </w:pPr>
            <w:r>
              <w:rPr>
                <w:rFonts w:ascii="宋体" w:hAnsi="宋体" w:cs="宋体"/>
                <w:color w:val="auto"/>
                <w:sz w:val="21"/>
                <w:szCs w:val="21"/>
              </w:rPr>
              <w:t>100</w:t>
            </w:r>
          </w:p>
        </w:tc>
        <w:tc>
          <w:tcPr>
            <w:tcW w:w="931" w:type="dxa"/>
            <w:shd w:val="clear" w:color="auto" w:fill="auto"/>
            <w:vAlign w:val="center"/>
          </w:tcPr>
          <w:p w14:paraId="0942D1DF">
            <w:pPr>
              <w:jc w:val="center"/>
              <w:rPr>
                <w:rFonts w:ascii="宋体" w:hAnsi="宋体" w:cs="宋体"/>
                <w:color w:val="auto"/>
                <w:sz w:val="21"/>
                <w:szCs w:val="21"/>
              </w:rPr>
            </w:pPr>
            <w:r>
              <w:rPr>
                <w:rFonts w:ascii="宋体" w:hAnsi="宋体" w:cs="宋体"/>
                <w:color w:val="auto"/>
                <w:sz w:val="21"/>
                <w:szCs w:val="21"/>
              </w:rPr>
              <w:t>1名</w:t>
            </w:r>
          </w:p>
        </w:tc>
        <w:tc>
          <w:tcPr>
            <w:tcW w:w="2483" w:type="dxa"/>
            <w:vAlign w:val="center"/>
          </w:tcPr>
          <w:p w14:paraId="32509D73">
            <w:pPr>
              <w:spacing w:line="240" w:lineRule="exact"/>
              <w:jc w:val="center"/>
              <w:rPr>
                <w:rFonts w:ascii="宋体" w:hAnsi="宋体"/>
                <w:color w:val="auto"/>
                <w:sz w:val="21"/>
                <w:szCs w:val="21"/>
              </w:rPr>
            </w:pPr>
            <w:r>
              <w:rPr>
                <w:rFonts w:ascii="宋体" w:hAnsi="宋体" w:cs="宋体"/>
                <w:color w:val="auto"/>
                <w:sz w:val="21"/>
                <w:szCs w:val="21"/>
              </w:rPr>
              <w:t>6052㎡</w:t>
            </w:r>
          </w:p>
          <w:p w14:paraId="35EE93F4">
            <w:pPr>
              <w:spacing w:line="240" w:lineRule="exact"/>
              <w:jc w:val="center"/>
              <w:rPr>
                <w:rFonts w:ascii="宋体" w:hAnsi="宋体"/>
                <w:color w:val="auto"/>
                <w:sz w:val="21"/>
                <w:szCs w:val="21"/>
              </w:rPr>
            </w:pPr>
            <w:r>
              <w:rPr>
                <w:rFonts w:hint="eastAsia" w:ascii="宋体" w:hAnsi="宋体"/>
                <w:color w:val="auto"/>
                <w:sz w:val="21"/>
                <w:szCs w:val="21"/>
              </w:rPr>
              <w:t>其中，星湖校区知和楼一二楼食堂</w:t>
            </w:r>
            <w:r>
              <w:rPr>
                <w:rFonts w:ascii="宋体" w:hAnsi="宋体"/>
                <w:color w:val="auto"/>
                <w:sz w:val="21"/>
                <w:szCs w:val="21"/>
              </w:rPr>
              <w:t>5200</w:t>
            </w:r>
            <w:r>
              <w:rPr>
                <w:rFonts w:hint="eastAsia" w:ascii="宋体" w:hAnsi="宋体" w:cs="宋体"/>
                <w:color w:val="auto"/>
                <w:sz w:val="21"/>
                <w:szCs w:val="21"/>
              </w:rPr>
              <w:t>㎡</w:t>
            </w:r>
            <w:r>
              <w:rPr>
                <w:rFonts w:hint="eastAsia" w:ascii="宋体" w:hAnsi="宋体"/>
                <w:color w:val="auto"/>
                <w:sz w:val="21"/>
                <w:szCs w:val="21"/>
              </w:rPr>
              <w:t>，学聚苑食堂</w:t>
            </w:r>
            <w:r>
              <w:rPr>
                <w:rFonts w:ascii="宋体" w:hAnsi="宋体"/>
                <w:color w:val="auto"/>
                <w:sz w:val="21"/>
                <w:szCs w:val="21"/>
              </w:rPr>
              <w:t>852</w:t>
            </w:r>
            <w:r>
              <w:rPr>
                <w:rFonts w:hint="eastAsia" w:ascii="宋体" w:hAnsi="宋体" w:cs="宋体"/>
                <w:color w:val="auto"/>
                <w:sz w:val="21"/>
                <w:szCs w:val="21"/>
              </w:rPr>
              <w:t>㎡</w:t>
            </w:r>
            <w:r>
              <w:rPr>
                <w:rFonts w:ascii="宋体" w:hAnsi="宋体"/>
                <w:color w:val="auto"/>
                <w:sz w:val="21"/>
                <w:szCs w:val="21"/>
              </w:rPr>
              <w:t>,（以实际勘察为准）</w:t>
            </w:r>
          </w:p>
        </w:tc>
      </w:tr>
    </w:tbl>
    <w:p w14:paraId="65014CBD">
      <w:pPr>
        <w:rPr>
          <w:rFonts w:ascii="宋体" w:hAnsi="宋体" w:cs="宋体"/>
          <w:color w:val="auto"/>
          <w:sz w:val="24"/>
          <w:szCs w:val="24"/>
        </w:rPr>
      </w:pPr>
      <w:r>
        <w:rPr>
          <w:rFonts w:hint="eastAsia" w:ascii="宋体" w:hAnsi="宋体" w:cs="宋体"/>
          <w:color w:val="auto"/>
          <w:sz w:val="24"/>
          <w:szCs w:val="24"/>
        </w:rPr>
        <w:t>注：（一）本项目无图纸，需现场勘察自行制作图纸。</w:t>
      </w:r>
    </w:p>
    <w:p w14:paraId="5A1064B2">
      <w:pPr>
        <w:ind w:firstLine="480" w:firstLineChars="200"/>
        <w:rPr>
          <w:rFonts w:ascii="宋体" w:hAnsi="宋体" w:cs="宋体"/>
          <w:color w:val="auto"/>
        </w:rPr>
      </w:pPr>
      <w:r>
        <w:rPr>
          <w:rFonts w:hint="eastAsia" w:ascii="宋体" w:hAnsi="宋体" w:cs="宋体"/>
          <w:color w:val="auto"/>
          <w:sz w:val="24"/>
          <w:szCs w:val="24"/>
        </w:rPr>
        <w:t>（二）供应商在勘探现场时需注意的是上述经营面积可能与现场实际经营场地有出入，主要以采购人指定区域为准。</w:t>
      </w:r>
    </w:p>
    <w:p w14:paraId="708E950C">
      <w:pPr>
        <w:pStyle w:val="3"/>
        <w:spacing w:line="360" w:lineRule="exact"/>
        <w:rPr>
          <w:b w:val="0"/>
          <w:color w:val="auto"/>
          <w:sz w:val="28"/>
          <w:szCs w:val="28"/>
        </w:rPr>
      </w:pPr>
      <w:bookmarkStart w:id="10" w:name="_Toc19985"/>
      <w:bookmarkStart w:id="11" w:name="_Toc14474"/>
      <w:bookmarkStart w:id="12" w:name="_Toc2668"/>
      <w:bookmarkStart w:id="13" w:name="_Toc373860293"/>
      <w:bookmarkStart w:id="14" w:name="_Toc317775178"/>
      <w:r>
        <w:rPr>
          <w:rFonts w:hint="eastAsia"/>
          <w:b w:val="0"/>
          <w:color w:val="auto"/>
          <w:sz w:val="28"/>
          <w:szCs w:val="28"/>
        </w:rPr>
        <w:t>二、供应商资格条件</w:t>
      </w:r>
      <w:bookmarkEnd w:id="10"/>
      <w:bookmarkEnd w:id="11"/>
      <w:bookmarkEnd w:id="12"/>
    </w:p>
    <w:p w14:paraId="55769981">
      <w:pPr>
        <w:spacing w:line="400" w:lineRule="exact"/>
        <w:ind w:firstLine="480" w:firstLineChars="200"/>
        <w:rPr>
          <w:rFonts w:ascii="宋体" w:hAnsi="宋体" w:cs="宋体"/>
          <w:color w:val="auto"/>
          <w:sz w:val="24"/>
          <w:szCs w:val="24"/>
        </w:rPr>
      </w:pPr>
      <w:bookmarkStart w:id="15" w:name="_Toc11257"/>
      <w:r>
        <w:rPr>
          <w:rFonts w:hint="eastAsia" w:ascii="宋体" w:hAnsi="宋体" w:cs="宋体"/>
          <w:color w:val="auto"/>
          <w:sz w:val="24"/>
          <w:szCs w:val="24"/>
        </w:rPr>
        <w:t>（一）满足《中华人民共和国政府采购法》第二十二条规定的六项基本资格条件；</w:t>
      </w:r>
    </w:p>
    <w:p w14:paraId="1205E1D4">
      <w:pPr>
        <w:spacing w:line="400" w:lineRule="exact"/>
        <w:ind w:firstLine="480" w:firstLineChars="200"/>
        <w:rPr>
          <w:rFonts w:ascii="宋体" w:hAnsi="宋体" w:cs="宋体"/>
          <w:color w:val="auto"/>
          <w:sz w:val="24"/>
          <w:szCs w:val="24"/>
        </w:rPr>
      </w:pPr>
      <w:r>
        <w:rPr>
          <w:rFonts w:ascii="宋体" w:hAnsi="宋体" w:cs="宋体"/>
          <w:color w:val="auto"/>
          <w:sz w:val="24"/>
          <w:szCs w:val="24"/>
        </w:rPr>
        <w:t>1.</w:t>
      </w:r>
      <w:r>
        <w:rPr>
          <w:rFonts w:hint="eastAsia" w:ascii="宋体" w:hAnsi="宋体" w:cs="宋体"/>
          <w:color w:val="auto"/>
          <w:sz w:val="24"/>
          <w:szCs w:val="24"/>
        </w:rPr>
        <w:t>具有独立承担民事责任的能力；</w:t>
      </w:r>
    </w:p>
    <w:p w14:paraId="1C90AF7C">
      <w:pPr>
        <w:spacing w:line="400" w:lineRule="exact"/>
        <w:ind w:firstLine="480" w:firstLineChars="200"/>
        <w:rPr>
          <w:rFonts w:ascii="宋体" w:hAnsi="宋体" w:cs="宋体"/>
          <w:color w:val="auto"/>
          <w:sz w:val="24"/>
          <w:szCs w:val="24"/>
        </w:rPr>
      </w:pPr>
      <w:r>
        <w:rPr>
          <w:rFonts w:ascii="宋体" w:hAnsi="宋体" w:cs="宋体"/>
          <w:color w:val="auto"/>
          <w:sz w:val="24"/>
          <w:szCs w:val="24"/>
        </w:rPr>
        <w:t>2.</w:t>
      </w:r>
      <w:r>
        <w:rPr>
          <w:rFonts w:hint="eastAsia" w:ascii="宋体" w:hAnsi="宋体" w:cs="宋体"/>
          <w:color w:val="auto"/>
          <w:sz w:val="24"/>
          <w:szCs w:val="24"/>
        </w:rPr>
        <w:t>具有良好的商业信誉和健全的财务会计制度；</w:t>
      </w:r>
    </w:p>
    <w:p w14:paraId="1B55796E">
      <w:pPr>
        <w:spacing w:line="400" w:lineRule="exact"/>
        <w:ind w:firstLine="480" w:firstLineChars="200"/>
        <w:rPr>
          <w:rFonts w:ascii="宋体" w:hAnsi="宋体" w:cs="宋体"/>
          <w:color w:val="auto"/>
          <w:sz w:val="24"/>
          <w:szCs w:val="24"/>
        </w:rPr>
      </w:pPr>
      <w:r>
        <w:rPr>
          <w:rFonts w:ascii="宋体" w:hAnsi="宋体" w:cs="宋体"/>
          <w:color w:val="auto"/>
          <w:sz w:val="24"/>
          <w:szCs w:val="24"/>
        </w:rPr>
        <w:t>3.具有履行合同所必需的设备和专业技术能力；</w:t>
      </w:r>
    </w:p>
    <w:p w14:paraId="26471FA1">
      <w:pPr>
        <w:spacing w:line="400" w:lineRule="exact"/>
        <w:ind w:firstLine="480" w:firstLineChars="200"/>
        <w:rPr>
          <w:rFonts w:ascii="宋体" w:hAnsi="宋体" w:cs="宋体"/>
          <w:color w:val="auto"/>
          <w:sz w:val="24"/>
          <w:szCs w:val="24"/>
        </w:rPr>
      </w:pPr>
      <w:r>
        <w:rPr>
          <w:rFonts w:ascii="宋体" w:hAnsi="宋体" w:cs="宋体"/>
          <w:color w:val="auto"/>
          <w:sz w:val="24"/>
          <w:szCs w:val="24"/>
        </w:rPr>
        <w:t>4.有依法缴纳税收和社会保障资金的良好记录；</w:t>
      </w:r>
    </w:p>
    <w:p w14:paraId="3AAADCA7">
      <w:pPr>
        <w:spacing w:line="400" w:lineRule="exact"/>
        <w:ind w:firstLine="480" w:firstLineChars="200"/>
        <w:rPr>
          <w:rFonts w:ascii="宋体" w:hAnsi="宋体" w:cs="宋体"/>
          <w:color w:val="auto"/>
          <w:sz w:val="24"/>
          <w:szCs w:val="24"/>
        </w:rPr>
      </w:pPr>
      <w:r>
        <w:rPr>
          <w:rFonts w:ascii="宋体" w:hAnsi="宋体" w:cs="宋体"/>
          <w:color w:val="auto"/>
          <w:sz w:val="24"/>
          <w:szCs w:val="24"/>
        </w:rPr>
        <w:t>5.近三年内，在经营活动中没有重大违法记录；</w:t>
      </w:r>
    </w:p>
    <w:p w14:paraId="62E03D5D">
      <w:pPr>
        <w:spacing w:line="400" w:lineRule="exact"/>
        <w:ind w:firstLine="480" w:firstLineChars="200"/>
        <w:rPr>
          <w:rFonts w:ascii="宋体" w:hAnsi="宋体" w:cs="宋体"/>
          <w:color w:val="auto"/>
          <w:sz w:val="24"/>
          <w:szCs w:val="24"/>
        </w:rPr>
      </w:pPr>
      <w:r>
        <w:rPr>
          <w:rFonts w:ascii="宋体" w:hAnsi="宋体" w:cs="宋体"/>
          <w:color w:val="auto"/>
          <w:sz w:val="24"/>
          <w:szCs w:val="24"/>
        </w:rPr>
        <w:t>6.法律、行政法规规定的其他条件。</w:t>
      </w:r>
    </w:p>
    <w:p w14:paraId="1654193B">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（二）本项目的特定资格要求：</w:t>
      </w:r>
    </w:p>
    <w:p w14:paraId="021ADDBB">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1.供应商须持有有效的市场监督管理局颁发的食品经营许可证且经营范围必须包括餐饮服务（提供证书复印件并加盖鲜章，原件备查）；</w:t>
      </w:r>
    </w:p>
    <w:p w14:paraId="16B2CCA1">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2.供应商2020年1月1日以来至投标截止时间（以合同签订时间为准），具有单个合同经营面积2000m</w:t>
      </w:r>
      <w:r>
        <w:rPr>
          <w:rFonts w:hint="eastAsia" w:ascii="宋体" w:hAnsi="宋体" w:cs="宋体"/>
          <w:color w:val="auto"/>
          <w:sz w:val="24"/>
          <w:szCs w:val="24"/>
          <w:vertAlign w:val="superscript"/>
        </w:rPr>
        <w:t>2</w:t>
      </w:r>
      <w:r>
        <w:rPr>
          <w:rFonts w:hint="eastAsia" w:ascii="宋体" w:hAnsi="宋体" w:cs="宋体"/>
          <w:color w:val="auto"/>
          <w:sz w:val="24"/>
          <w:szCs w:val="24"/>
        </w:rPr>
        <w:t>及以上（必须是合同中明确的经营面积）的高校食堂经营业绩1个，提供合同复印件并加盖投标人公章（原件备查）。</w:t>
      </w:r>
    </w:p>
    <w:bookmarkEnd w:id="13"/>
    <w:bookmarkEnd w:id="14"/>
    <w:bookmarkEnd w:id="15"/>
    <w:p w14:paraId="436066D8">
      <w:pPr>
        <w:pStyle w:val="3"/>
        <w:spacing w:line="360" w:lineRule="exact"/>
        <w:rPr>
          <w:b w:val="0"/>
          <w:color w:val="auto"/>
        </w:rPr>
      </w:pPr>
      <w:bookmarkStart w:id="16" w:name="_Toc10943"/>
      <w:bookmarkStart w:id="17" w:name="_Toc4438"/>
      <w:r>
        <w:rPr>
          <w:rFonts w:hint="eastAsia"/>
          <w:b w:val="0"/>
          <w:color w:val="auto"/>
        </w:rPr>
        <w:t>三、磋商有关说明</w:t>
      </w:r>
      <w:bookmarkEnd w:id="16"/>
      <w:bookmarkEnd w:id="17"/>
    </w:p>
    <w:p w14:paraId="59842223">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（一）供应商需通过“行采家”平台（</w:t>
      </w:r>
      <w:r>
        <w:rPr>
          <w:rFonts w:ascii="宋体" w:hAnsi="宋体" w:cs="宋体"/>
          <w:color w:val="auto"/>
          <w:sz w:val="24"/>
          <w:szCs w:val="24"/>
        </w:rPr>
        <w:t>http://www.gec123.com）进行注册，成为正式</w:t>
      </w:r>
      <w:r>
        <w:rPr>
          <w:rFonts w:hint="eastAsia" w:ascii="宋体" w:hAnsi="宋体" w:cs="宋体"/>
          <w:color w:val="auto"/>
          <w:sz w:val="24"/>
          <w:szCs w:val="24"/>
        </w:rPr>
        <w:t>供应商方能参与采购活动。</w:t>
      </w:r>
    </w:p>
    <w:p w14:paraId="2A892652">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（二）凡有意参加磋商的供应商，请在“行采家”平台（</w:t>
      </w:r>
      <w:r>
        <w:rPr>
          <w:rFonts w:ascii="宋体" w:hAnsi="宋体" w:cs="宋体"/>
          <w:color w:val="auto"/>
          <w:sz w:val="24"/>
          <w:szCs w:val="24"/>
        </w:rPr>
        <w:t>http://www.gec123.com）下载或到采购代理机构处领取本项目竞争性磋商文件以及图纸、澄清等磋商前公布的所有项目资料，无论供应商下载或领取与否，均视为已知晓所有磋商实质性要求内容。</w:t>
      </w:r>
    </w:p>
    <w:p w14:paraId="05E66ACC">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（三）竞争性磋商公告期限：自采购公告发布之日起三个工作日。</w:t>
      </w:r>
    </w:p>
    <w:p w14:paraId="7D4F5C33">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（四）</w:t>
      </w:r>
      <w:r>
        <w:rPr>
          <w:color w:val="auto"/>
        </w:rPr>
        <w:fldChar w:fldCharType="begin"/>
      </w:r>
      <w:r>
        <w:rPr>
          <w:color w:val="auto"/>
        </w:rPr>
        <w:instrText xml:space="preserve"> HYPERLINK "mailto:2.报名方式在磋商文件发售期内，供应商将《报名表》（加盖供应商公章）扫描后发送至1245997864@qq.com（邮箱）。" </w:instrText>
      </w:r>
      <w:r>
        <w:rPr>
          <w:color w:val="auto"/>
        </w:rPr>
        <w:fldChar w:fldCharType="separate"/>
      </w:r>
      <w:r>
        <w:rPr>
          <w:rFonts w:hint="eastAsia" w:ascii="宋体" w:hAnsi="宋体" w:cs="宋体"/>
          <w:color w:val="auto"/>
          <w:sz w:val="24"/>
          <w:szCs w:val="24"/>
        </w:rPr>
        <w:t>报名方式：</w:t>
      </w:r>
      <w:r>
        <w:rPr>
          <w:rFonts w:hint="eastAsia" w:ascii="宋体" w:hAnsi="宋体" w:cs="宋体"/>
          <w:color w:val="auto"/>
          <w:sz w:val="24"/>
          <w:szCs w:val="24"/>
        </w:rPr>
        <w:t>无需报名</w:t>
      </w:r>
      <w:r>
        <w:rPr>
          <w:rFonts w:hint="eastAsia" w:ascii="宋体" w:hAnsi="宋体" w:cs="宋体"/>
          <w:color w:val="auto"/>
          <w:sz w:val="24"/>
          <w:szCs w:val="24"/>
        </w:rPr>
        <w:t>。</w:t>
      </w:r>
      <w:r>
        <w:rPr>
          <w:rFonts w:hint="eastAsia" w:ascii="宋体" w:hAnsi="宋体" w:cs="宋体"/>
          <w:color w:val="auto"/>
          <w:sz w:val="24"/>
          <w:szCs w:val="24"/>
        </w:rPr>
        <w:fldChar w:fldCharType="end"/>
      </w:r>
    </w:p>
    <w:p w14:paraId="43DA8CA7">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竞争性磋商文件售价：人民币</w:t>
      </w:r>
      <w:r>
        <w:rPr>
          <w:rFonts w:ascii="宋体" w:hAnsi="宋体" w:cs="宋体"/>
          <w:color w:val="auto"/>
          <w:sz w:val="24"/>
          <w:szCs w:val="24"/>
        </w:rPr>
        <w:t>1000元/包（磋商当日开标现场缴纳）。</w:t>
      </w:r>
    </w:p>
    <w:p w14:paraId="2694B39D">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（五）递交响应文件地点：重庆文理学院恪勤楼203室（重庆市永川区红河大道319号）</w:t>
      </w:r>
      <w:r>
        <w:rPr>
          <w:rFonts w:ascii="宋体" w:hAnsi="宋体" w:cs="宋体"/>
          <w:color w:val="auto"/>
          <w:sz w:val="24"/>
          <w:szCs w:val="24"/>
        </w:rPr>
        <w:t>。</w:t>
      </w:r>
    </w:p>
    <w:p w14:paraId="50D1FDEE">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（六）递交响应文件开始时间：</w:t>
      </w:r>
      <w:r>
        <w:rPr>
          <w:rFonts w:ascii="宋体" w:hAnsi="宋体" w:cs="宋体"/>
          <w:color w:val="auto"/>
          <w:sz w:val="24"/>
          <w:szCs w:val="24"/>
        </w:rPr>
        <w:t>2025年</w:t>
      </w:r>
      <w:r>
        <w:rPr>
          <w:rFonts w:hint="eastAsia" w:ascii="宋体" w:hAnsi="宋体" w:cs="宋体"/>
          <w:color w:val="auto"/>
          <w:sz w:val="24"/>
          <w:szCs w:val="24"/>
          <w:lang w:val="en-US" w:eastAsia="zh-CN"/>
        </w:rPr>
        <w:t>7</w:t>
      </w:r>
      <w:r>
        <w:rPr>
          <w:rFonts w:ascii="宋体" w:hAnsi="宋体" w:cs="宋体"/>
          <w:color w:val="auto"/>
          <w:sz w:val="24"/>
          <w:szCs w:val="24"/>
        </w:rPr>
        <w:t>月</w:t>
      </w:r>
      <w:r>
        <w:rPr>
          <w:rFonts w:hint="eastAsia" w:ascii="宋体" w:hAnsi="宋体" w:cs="宋体"/>
          <w:color w:val="auto"/>
          <w:sz w:val="24"/>
          <w:szCs w:val="24"/>
          <w:lang w:val="en-US" w:eastAsia="zh-CN"/>
        </w:rPr>
        <w:t>8</w:t>
      </w:r>
      <w:r>
        <w:rPr>
          <w:rFonts w:ascii="宋体" w:hAnsi="宋体" w:cs="宋体"/>
          <w:color w:val="auto"/>
          <w:sz w:val="24"/>
          <w:szCs w:val="24"/>
        </w:rPr>
        <w:t>日北京时间9:00</w:t>
      </w:r>
    </w:p>
    <w:p w14:paraId="13DE498C">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（七）递交响应文件截止时间：</w:t>
      </w:r>
      <w:r>
        <w:rPr>
          <w:rFonts w:ascii="宋体" w:hAnsi="宋体" w:cs="宋体"/>
          <w:color w:val="auto"/>
          <w:sz w:val="24"/>
          <w:szCs w:val="24"/>
        </w:rPr>
        <w:t>202</w:t>
      </w:r>
      <w:r>
        <w:rPr>
          <w:rFonts w:hint="eastAsia" w:ascii="宋体" w:hAnsi="宋体" w:cs="宋体"/>
          <w:color w:val="auto"/>
          <w:sz w:val="24"/>
          <w:szCs w:val="24"/>
          <w:lang w:val="en-US" w:eastAsia="zh-CN"/>
        </w:rPr>
        <w:t>5</w:t>
      </w:r>
      <w:r>
        <w:rPr>
          <w:rFonts w:ascii="宋体" w:hAnsi="宋体" w:cs="宋体"/>
          <w:color w:val="auto"/>
          <w:sz w:val="24"/>
          <w:szCs w:val="24"/>
        </w:rPr>
        <w:t>年</w:t>
      </w:r>
      <w:r>
        <w:rPr>
          <w:rFonts w:hint="eastAsia" w:ascii="宋体" w:hAnsi="宋体" w:cs="宋体"/>
          <w:color w:val="auto"/>
          <w:sz w:val="24"/>
          <w:szCs w:val="24"/>
          <w:lang w:val="en-US" w:eastAsia="zh-CN"/>
        </w:rPr>
        <w:t>7</w:t>
      </w:r>
      <w:r>
        <w:rPr>
          <w:rFonts w:ascii="宋体" w:hAnsi="宋体" w:cs="宋体"/>
          <w:color w:val="auto"/>
          <w:sz w:val="24"/>
          <w:szCs w:val="24"/>
        </w:rPr>
        <w:t>月</w:t>
      </w:r>
      <w:r>
        <w:rPr>
          <w:rFonts w:hint="eastAsia" w:ascii="宋体" w:hAnsi="宋体" w:cs="宋体"/>
          <w:color w:val="auto"/>
          <w:sz w:val="24"/>
          <w:szCs w:val="24"/>
          <w:lang w:val="en-US" w:eastAsia="zh-CN"/>
        </w:rPr>
        <w:t>8</w:t>
      </w:r>
      <w:r>
        <w:rPr>
          <w:rFonts w:ascii="宋体" w:hAnsi="宋体" w:cs="宋体"/>
          <w:color w:val="auto"/>
          <w:sz w:val="24"/>
          <w:szCs w:val="24"/>
        </w:rPr>
        <w:t>日北京时间9:30</w:t>
      </w:r>
    </w:p>
    <w:p w14:paraId="7E27AA12">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（八）磋商开始时间：</w:t>
      </w:r>
      <w:r>
        <w:rPr>
          <w:rFonts w:ascii="宋体" w:hAnsi="宋体" w:cs="宋体"/>
          <w:color w:val="auto"/>
          <w:sz w:val="24"/>
          <w:szCs w:val="24"/>
        </w:rPr>
        <w:t>202</w:t>
      </w:r>
      <w:r>
        <w:rPr>
          <w:rFonts w:hint="eastAsia" w:ascii="宋体" w:hAnsi="宋体" w:cs="宋体"/>
          <w:color w:val="auto"/>
          <w:sz w:val="24"/>
          <w:szCs w:val="24"/>
          <w:lang w:val="en-US" w:eastAsia="zh-CN"/>
        </w:rPr>
        <w:t>5</w:t>
      </w:r>
      <w:r>
        <w:rPr>
          <w:rFonts w:ascii="宋体" w:hAnsi="宋体" w:cs="宋体"/>
          <w:color w:val="auto"/>
          <w:sz w:val="24"/>
          <w:szCs w:val="24"/>
        </w:rPr>
        <w:t>年</w:t>
      </w:r>
      <w:r>
        <w:rPr>
          <w:rFonts w:hint="eastAsia" w:ascii="宋体" w:hAnsi="宋体" w:cs="宋体"/>
          <w:color w:val="auto"/>
          <w:sz w:val="24"/>
          <w:szCs w:val="24"/>
          <w:lang w:val="en-US" w:eastAsia="zh-CN"/>
        </w:rPr>
        <w:t>7</w:t>
      </w:r>
      <w:r>
        <w:rPr>
          <w:rFonts w:ascii="宋体" w:hAnsi="宋体" w:cs="宋体"/>
          <w:color w:val="auto"/>
          <w:sz w:val="24"/>
          <w:szCs w:val="24"/>
        </w:rPr>
        <w:t>月</w:t>
      </w:r>
      <w:r>
        <w:rPr>
          <w:rFonts w:hint="eastAsia" w:ascii="宋体" w:hAnsi="宋体" w:cs="宋体"/>
          <w:color w:val="auto"/>
          <w:sz w:val="24"/>
          <w:szCs w:val="24"/>
          <w:lang w:val="en-US" w:eastAsia="zh-CN"/>
        </w:rPr>
        <w:t>8</w:t>
      </w:r>
      <w:r>
        <w:rPr>
          <w:rFonts w:ascii="宋体" w:hAnsi="宋体" w:cs="宋体"/>
          <w:color w:val="auto"/>
          <w:sz w:val="24"/>
          <w:szCs w:val="24"/>
        </w:rPr>
        <w:t xml:space="preserve">日北京时间9:30 </w:t>
      </w:r>
    </w:p>
    <w:p w14:paraId="02E9FA16">
      <w:pPr>
        <w:pStyle w:val="3"/>
        <w:spacing w:line="360" w:lineRule="exact"/>
        <w:rPr>
          <w:b w:val="0"/>
          <w:color w:val="auto"/>
        </w:rPr>
      </w:pPr>
      <w:bookmarkStart w:id="18" w:name="_Toc4629"/>
      <w:bookmarkStart w:id="19" w:name="_Toc13839"/>
      <w:bookmarkStart w:id="20" w:name="_Toc111824338"/>
      <w:bookmarkStart w:id="21" w:name="_Toc480466699"/>
      <w:bookmarkStart w:id="22" w:name="_Toc76462322"/>
      <w:r>
        <w:rPr>
          <w:rFonts w:hint="eastAsia"/>
          <w:b w:val="0"/>
          <w:color w:val="auto"/>
        </w:rPr>
        <w:t>四、磋商保证金</w:t>
      </w:r>
      <w:bookmarkEnd w:id="18"/>
      <w:bookmarkEnd w:id="19"/>
      <w:bookmarkEnd w:id="20"/>
    </w:p>
    <w:p w14:paraId="3723D859">
      <w:pPr>
        <w:snapToGrid w:val="0"/>
        <w:spacing w:line="380" w:lineRule="exact"/>
        <w:ind w:firstLine="480" w:firstLineChars="200"/>
        <w:rPr>
          <w:rFonts w:ascii="宋体" w:hAnsi="宋体" w:cs="宋体"/>
          <w:color w:val="auto"/>
          <w:sz w:val="24"/>
          <w:szCs w:val="24"/>
        </w:rPr>
      </w:pPr>
      <w:bookmarkStart w:id="23" w:name="_Toc1475"/>
      <w:r>
        <w:rPr>
          <w:rFonts w:hint="eastAsia" w:ascii="宋体" w:hAnsi="宋体" w:cs="宋体"/>
          <w:color w:val="auto"/>
          <w:sz w:val="24"/>
          <w:szCs w:val="24"/>
        </w:rPr>
        <w:t>（一）磋商保证金递交</w:t>
      </w:r>
    </w:p>
    <w:p w14:paraId="394F7CA4">
      <w:pPr>
        <w:snapToGrid w:val="0"/>
        <w:spacing w:line="360" w:lineRule="auto"/>
        <w:ind w:firstLine="480" w:firstLineChars="200"/>
        <w:rPr>
          <w:rFonts w:ascii="宋体" w:hAnsi="宋体" w:cs="宋体"/>
          <w:color w:val="auto"/>
          <w:sz w:val="24"/>
          <w:szCs w:val="24"/>
        </w:rPr>
      </w:pPr>
      <w:r>
        <w:rPr>
          <w:rFonts w:ascii="宋体" w:hAnsi="宋体" w:cs="宋体"/>
          <w:color w:val="auto"/>
          <w:sz w:val="24"/>
          <w:szCs w:val="24"/>
        </w:rPr>
        <w:t>1.供应商应足额交纳磋商保证金（保证金金额详见本篇“一、竞争性磋商内容”），并汇至以下任一开户行账户，</w:t>
      </w:r>
      <w:r>
        <w:rPr>
          <w:rFonts w:hint="eastAsia" w:ascii="宋体" w:hAnsi="宋体" w:cs="宋体"/>
          <w:bCs/>
          <w:color w:val="auto"/>
          <w:sz w:val="24"/>
          <w:szCs w:val="24"/>
        </w:rPr>
        <w:t>磋商保证金的到账截止时间同响应文件递交截止时间。</w:t>
      </w:r>
    </w:p>
    <w:p w14:paraId="35E9CA5C">
      <w:pPr>
        <w:snapToGrid w:val="0"/>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磋商保证金账户：</w:t>
      </w:r>
    </w:p>
    <w:p w14:paraId="29565083">
      <w:pPr>
        <w:snapToGrid w:val="0"/>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户名：中捷通信有限公司</w:t>
      </w:r>
    </w:p>
    <w:p w14:paraId="2672E982">
      <w:pPr>
        <w:snapToGrid w:val="0"/>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开户银行：中信银行广州花园支行</w:t>
      </w:r>
    </w:p>
    <w:p w14:paraId="6EA532C0">
      <w:pPr>
        <w:snapToGrid w:val="0"/>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保证金账号：3110910043850052406</w:t>
      </w:r>
      <w:r>
        <w:rPr>
          <w:rFonts w:ascii="宋体" w:hAnsi="宋体" w:cs="宋体"/>
          <w:color w:val="auto"/>
          <w:sz w:val="24"/>
          <w:szCs w:val="24"/>
        </w:rPr>
        <w:t xml:space="preserve">   </w:t>
      </w:r>
    </w:p>
    <w:p w14:paraId="47F1CFC8">
      <w:pPr>
        <w:snapToGrid w:val="0"/>
        <w:spacing w:line="360" w:lineRule="auto"/>
        <w:ind w:firstLine="480" w:firstLineChars="200"/>
        <w:rPr>
          <w:rFonts w:ascii="宋体" w:hAnsi="宋体" w:cs="宋体"/>
          <w:color w:val="auto"/>
          <w:sz w:val="24"/>
          <w:szCs w:val="24"/>
        </w:rPr>
      </w:pPr>
      <w:r>
        <w:rPr>
          <w:rFonts w:ascii="宋体" w:hAnsi="宋体" w:cs="宋体"/>
          <w:color w:val="auto"/>
          <w:sz w:val="24"/>
          <w:szCs w:val="24"/>
        </w:rPr>
        <w:t>2.缴纳磋商保证金的单位名称必须与供应商名称相同，只有按规定交纳磋商保证金后，才</w:t>
      </w:r>
      <w:r>
        <w:rPr>
          <w:rFonts w:hint="eastAsia" w:ascii="宋体" w:hAnsi="宋体" w:cs="宋体"/>
          <w:color w:val="auto"/>
          <w:sz w:val="24"/>
          <w:szCs w:val="24"/>
        </w:rPr>
        <w:t>具备磋商资格。</w:t>
      </w:r>
    </w:p>
    <w:p w14:paraId="774538F5">
      <w:pPr>
        <w:snapToGrid w:val="0"/>
        <w:spacing w:line="360" w:lineRule="auto"/>
        <w:ind w:firstLine="480" w:firstLineChars="200"/>
        <w:rPr>
          <w:rFonts w:ascii="宋体" w:hAnsi="宋体" w:cs="宋体"/>
          <w:color w:val="auto"/>
          <w:sz w:val="24"/>
          <w:szCs w:val="24"/>
        </w:rPr>
      </w:pPr>
      <w:r>
        <w:rPr>
          <w:rFonts w:ascii="宋体" w:hAnsi="宋体" w:cs="宋体"/>
          <w:bCs/>
          <w:color w:val="auto"/>
          <w:sz w:val="24"/>
          <w:szCs w:val="24"/>
        </w:rPr>
        <w:t>3.凡有意向参与本项目的潜在供应商，请通过</w:t>
      </w:r>
      <w:r>
        <w:rPr>
          <w:rFonts w:hint="eastAsia" w:ascii="宋体" w:hAnsi="宋体" w:cs="宋体"/>
          <w:bCs/>
          <w:color w:val="auto"/>
          <w:sz w:val="24"/>
          <w:szCs w:val="24"/>
        </w:rPr>
        <w:t>中捷通信有限公司招投标平台（网址：https://zjzb.chinaccsscm.cn）</w:t>
      </w:r>
      <w:r>
        <w:rPr>
          <w:rFonts w:ascii="宋体" w:hAnsi="宋体" w:cs="宋体"/>
          <w:bCs/>
          <w:color w:val="auto"/>
          <w:sz w:val="24"/>
          <w:szCs w:val="24"/>
        </w:rPr>
        <w:t>完成供应商的注册，未注册成功的供应商保证金退还时间将受影响。</w:t>
      </w:r>
    </w:p>
    <w:p w14:paraId="69B18972">
      <w:pPr>
        <w:snapToGrid w:val="0"/>
        <w:spacing w:line="360" w:lineRule="auto"/>
        <w:ind w:firstLine="480" w:firstLineChars="200"/>
        <w:rPr>
          <w:rFonts w:ascii="宋体" w:hAnsi="宋体" w:cs="宋体"/>
          <w:color w:val="auto"/>
          <w:sz w:val="24"/>
          <w:szCs w:val="24"/>
        </w:rPr>
      </w:pPr>
      <w:r>
        <w:rPr>
          <w:rFonts w:ascii="宋体" w:hAnsi="宋体" w:cs="宋体"/>
          <w:color w:val="auto"/>
          <w:sz w:val="24"/>
          <w:szCs w:val="24"/>
        </w:rPr>
        <w:t>4.磋商保证金必须从供应商的企业基本账户</w:t>
      </w:r>
      <w:r>
        <w:rPr>
          <w:rFonts w:hint="eastAsia" w:ascii="宋体" w:hAnsi="宋体" w:cs="宋体"/>
          <w:color w:val="auto"/>
          <w:sz w:val="24"/>
          <w:szCs w:val="24"/>
        </w:rPr>
        <w:t>通过网银转账方式或电汇方式直接划付到提供的以上银行账户，缴、退磋商保证金的手续费均由供应商承担。</w:t>
      </w:r>
    </w:p>
    <w:p w14:paraId="22B85E2B">
      <w:pPr>
        <w:snapToGrid w:val="0"/>
        <w:spacing w:line="360" w:lineRule="auto"/>
        <w:ind w:firstLine="480" w:firstLineChars="200"/>
        <w:rPr>
          <w:rFonts w:ascii="宋体" w:hAnsi="宋体" w:cs="宋体"/>
          <w:color w:val="auto"/>
          <w:sz w:val="24"/>
          <w:szCs w:val="24"/>
        </w:rPr>
      </w:pPr>
      <w:r>
        <w:rPr>
          <w:rFonts w:ascii="宋体" w:hAnsi="宋体" w:cs="宋体"/>
          <w:color w:val="auto"/>
          <w:sz w:val="24"/>
          <w:szCs w:val="24"/>
        </w:rPr>
        <w:t>5.在磋商文件规定的磋商保证金截止时间之前，本项目专用账户收到的磋商保证金为有效磋商保证金。应自行考虑汇入时间风险，如同城汇入、异地汇入、跨行汇入的时间要求。因银行等原因造成的磋商保证金入账确认时间延迟，采购机构不承担任何责任。</w:t>
      </w:r>
    </w:p>
    <w:p w14:paraId="5152B78C">
      <w:pPr>
        <w:snapToGrid w:val="0"/>
        <w:spacing w:line="360" w:lineRule="auto"/>
        <w:ind w:firstLine="480" w:firstLineChars="200"/>
        <w:rPr>
          <w:rFonts w:ascii="宋体" w:hAnsi="宋体" w:cs="宋体"/>
          <w:color w:val="auto"/>
          <w:sz w:val="24"/>
          <w:szCs w:val="24"/>
        </w:rPr>
      </w:pPr>
      <w:r>
        <w:rPr>
          <w:rFonts w:ascii="宋体" w:hAnsi="宋体" w:cs="宋体"/>
          <w:color w:val="auto"/>
          <w:sz w:val="24"/>
          <w:szCs w:val="24"/>
        </w:rPr>
        <w:t>6.磋商保证金的有效期限在响应文件有效期过后30天内继续有效。</w:t>
      </w:r>
    </w:p>
    <w:p w14:paraId="0364A0A3">
      <w:pPr>
        <w:snapToGrid w:val="0"/>
        <w:spacing w:line="360" w:lineRule="auto"/>
        <w:ind w:firstLine="480" w:firstLineChars="200"/>
        <w:rPr>
          <w:rFonts w:ascii="宋体" w:hAnsi="宋体" w:cs="宋体"/>
          <w:color w:val="auto"/>
          <w:sz w:val="24"/>
          <w:szCs w:val="24"/>
        </w:rPr>
      </w:pPr>
      <w:r>
        <w:rPr>
          <w:rFonts w:hint="eastAsia" w:ascii="宋体" w:hAnsi="宋体" w:cs="宋体"/>
          <w:bCs/>
          <w:color w:val="auto"/>
          <w:sz w:val="24"/>
          <w:szCs w:val="24"/>
        </w:rPr>
        <w:t>注意事项：未在规定的时间内足额缴纳磋商保证金的，磋商保证金未从供应商单位基本账户缴入的，磋商保证金缴入账号错误的，磋商保证金来款账户名称与供应商基本账户名称不一致的，其磋商文件将被拒收。</w:t>
      </w:r>
    </w:p>
    <w:p w14:paraId="15616141">
      <w:pPr>
        <w:snapToGrid w:val="0"/>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（二）磋商保证金的退还方式：</w:t>
      </w:r>
    </w:p>
    <w:p w14:paraId="7CD2911A">
      <w:pPr>
        <w:snapToGrid w:val="0"/>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通过网上程序将磋商保证金退还到供应商的基本账户。</w:t>
      </w:r>
    </w:p>
    <w:p w14:paraId="28BDAFE6">
      <w:pPr>
        <w:snapToGrid w:val="0"/>
        <w:spacing w:line="360" w:lineRule="auto"/>
        <w:ind w:firstLine="480" w:firstLineChars="200"/>
        <w:rPr>
          <w:rFonts w:ascii="宋体" w:hAnsi="宋体" w:cs="宋体"/>
          <w:color w:val="auto"/>
          <w:sz w:val="24"/>
          <w:szCs w:val="24"/>
        </w:rPr>
      </w:pPr>
      <w:r>
        <w:rPr>
          <w:rFonts w:ascii="宋体" w:hAnsi="宋体" w:cs="宋体"/>
          <w:color w:val="auto"/>
          <w:sz w:val="24"/>
          <w:szCs w:val="24"/>
        </w:rPr>
        <w:t>1.在《成交通知书》发出后五个工作日内，按资金来款渠道直接退还未成交人的磋商保证金；在采购合同签订后五个工作日内，按资金来款渠道直接退还成交人的磋商保证金。</w:t>
      </w:r>
    </w:p>
    <w:p w14:paraId="2340E834">
      <w:pPr>
        <w:snapToGrid w:val="0"/>
        <w:spacing w:line="360" w:lineRule="auto"/>
        <w:ind w:firstLine="480" w:firstLineChars="200"/>
        <w:rPr>
          <w:rFonts w:ascii="宋体" w:hAnsi="宋体" w:cs="宋体"/>
          <w:color w:val="auto"/>
          <w:sz w:val="24"/>
          <w:szCs w:val="24"/>
        </w:rPr>
      </w:pPr>
      <w:r>
        <w:rPr>
          <w:rFonts w:ascii="宋体" w:hAnsi="宋体" w:cs="宋体"/>
          <w:color w:val="auto"/>
          <w:sz w:val="24"/>
          <w:szCs w:val="24"/>
        </w:rPr>
        <w:t>2.出现流标、</w:t>
      </w:r>
      <w:r>
        <w:rPr>
          <w:rFonts w:hint="eastAsia" w:ascii="宋体" w:hAnsi="宋体" w:cs="宋体"/>
          <w:color w:val="auto"/>
          <w:sz w:val="24"/>
          <w:szCs w:val="24"/>
        </w:rPr>
        <w:t>废标情况，流标、废标公告发布后三个工作日内向供应商办理保证金退还手续。同一项目采购公告再次发布后，供应商须按规定重新缴纳磋商保证金。</w:t>
      </w:r>
    </w:p>
    <w:p w14:paraId="5ED78C26">
      <w:pPr>
        <w:snapToGrid w:val="0"/>
        <w:spacing w:line="360" w:lineRule="auto"/>
        <w:ind w:firstLine="480" w:firstLineChars="200"/>
        <w:rPr>
          <w:rFonts w:ascii="宋体" w:hAnsi="宋体" w:cs="宋体"/>
          <w:color w:val="auto"/>
          <w:sz w:val="24"/>
          <w:szCs w:val="24"/>
        </w:rPr>
      </w:pPr>
      <w:r>
        <w:rPr>
          <w:rFonts w:ascii="宋体" w:hAnsi="宋体" w:cs="宋体"/>
          <w:color w:val="auto"/>
          <w:sz w:val="24"/>
          <w:szCs w:val="24"/>
        </w:rPr>
        <w:t>3.如因供应商自身原因，磋商保证金未缴入本项目专用账户导致的磋商保证金退还延迟，由供应商自行负责。</w:t>
      </w:r>
    </w:p>
    <w:p w14:paraId="143CC26F">
      <w:pPr>
        <w:pStyle w:val="3"/>
        <w:spacing w:line="360" w:lineRule="exact"/>
        <w:rPr>
          <w:b w:val="0"/>
          <w:color w:val="auto"/>
        </w:rPr>
      </w:pPr>
      <w:bookmarkStart w:id="24" w:name="_Toc1797"/>
      <w:r>
        <w:rPr>
          <w:rFonts w:hint="eastAsia"/>
          <w:b w:val="0"/>
          <w:color w:val="auto"/>
        </w:rPr>
        <w:t>五、其它有关规定</w:t>
      </w:r>
      <w:bookmarkEnd w:id="21"/>
      <w:bookmarkEnd w:id="22"/>
      <w:bookmarkEnd w:id="23"/>
      <w:bookmarkEnd w:id="24"/>
    </w:p>
    <w:p w14:paraId="3FF4A4F0">
      <w:pPr>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（一）单位负责人为同一人或者存在直接控股、管理关系的不同供应商，不得参加同一合同项（包）下的政府采购活动，否则均为无效响应。</w:t>
      </w:r>
    </w:p>
    <w:p w14:paraId="0CD24906">
      <w:pPr>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（二）为采购项目提供整体设计、规范编制或者项目管理、监理、检测等服务的供应商，不得再参加该采购项目的其他采购活动。</w:t>
      </w:r>
    </w:p>
    <w:p w14:paraId="5CE61F81">
      <w:pPr>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（三）本项目的澄清文件（如果有）一律在“行采家”平台（</w:t>
      </w:r>
      <w:r>
        <w:rPr>
          <w:rFonts w:ascii="宋体" w:hAnsi="宋体" w:cs="宋体"/>
          <w:color w:val="auto"/>
          <w:sz w:val="24"/>
          <w:szCs w:val="24"/>
        </w:rPr>
        <w:t>http://www.gec123.com）上发布，请各供应商注意下载或到采购代理机构处领取；无论供应商下载或领取与否，均视同供应商已知晓本项目澄清文件（如果有）的内容。</w:t>
      </w:r>
    </w:p>
    <w:p w14:paraId="7194D242">
      <w:pPr>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（四）超过响应文件截止时间递交的响应文件，恕不接收。</w:t>
      </w:r>
    </w:p>
    <w:p w14:paraId="7567B310">
      <w:pPr>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（五）磋商费用：无论磋商结果如何，供应商参与本项目磋商的所有费用均应由供应商自行承担。</w:t>
      </w:r>
    </w:p>
    <w:p w14:paraId="2EBDECDE">
      <w:pPr>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（六）本项目不接受联合体参与磋商，否则按无效处理。</w:t>
      </w:r>
    </w:p>
    <w:p w14:paraId="3C31905C">
      <w:pPr>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（七</w:t>
      </w:r>
      <w:r>
        <w:rPr>
          <w:rFonts w:hint="eastAsia" w:ascii="宋体" w:hAnsi="宋体" w:cs="宋体"/>
          <w:color w:val="auto"/>
          <w:sz w:val="24"/>
          <w:szCs w:val="24"/>
        </w:rPr>
        <w:t>）同一供应商最多可投</w:t>
      </w:r>
      <w:r>
        <w:rPr>
          <w:rFonts w:hint="default" w:ascii="宋体" w:hAnsi="宋体" w:cs="宋体"/>
          <w:color w:val="auto"/>
          <w:sz w:val="24"/>
          <w:szCs w:val="24"/>
          <w:lang w:val="en-US"/>
        </w:rPr>
        <w:t>3</w:t>
      </w:r>
      <w:r>
        <w:rPr>
          <w:rFonts w:ascii="宋体" w:hAnsi="宋体" w:cs="宋体"/>
          <w:color w:val="auto"/>
          <w:sz w:val="24"/>
          <w:szCs w:val="24"/>
        </w:rPr>
        <w:t>个包，但最多只能中标1个包。</w:t>
      </w:r>
    </w:p>
    <w:p w14:paraId="3BBE5854">
      <w:pPr>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（八）本项目不接受合同分包转包，否则按无效处理。</w:t>
      </w:r>
    </w:p>
    <w:p w14:paraId="5B87FFD1">
      <w:pPr>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（九）按照《财政部关于在政府采购活动中查询及使用信用记录有关问题的通知》财库〔</w:t>
      </w:r>
      <w:r>
        <w:rPr>
          <w:rFonts w:ascii="宋体" w:hAnsi="宋体" w:cs="宋体"/>
          <w:color w:val="auto"/>
          <w:sz w:val="24"/>
          <w:szCs w:val="24"/>
        </w:rPr>
        <w:t>2016〕125号，供应商列入失信被执行人、</w:t>
      </w:r>
      <w:r>
        <w:rPr>
          <w:rFonts w:hint="eastAsia" w:ascii="宋体" w:hAnsi="宋体" w:cs="宋体"/>
          <w:color w:val="auto"/>
          <w:sz w:val="24"/>
          <w:szCs w:val="24"/>
        </w:rPr>
        <w:t>发生过重大食品安全事故、</w:t>
      </w:r>
      <w:r>
        <w:rPr>
          <w:rFonts w:ascii="宋体" w:hAnsi="宋体" w:cs="宋体"/>
          <w:color w:val="auto"/>
          <w:sz w:val="24"/>
          <w:szCs w:val="24"/>
        </w:rPr>
        <w:t>重大税收违法案件当事人名单、政府采购严重违法失信行为记录名单及其他不符合《中华人民共和国政府采购法》第二十二条规定条件的供应商，将拒绝其参与政府采购活动。</w:t>
      </w:r>
    </w:p>
    <w:p w14:paraId="38329D6A">
      <w:pPr>
        <w:pStyle w:val="3"/>
        <w:spacing w:line="360" w:lineRule="exact"/>
        <w:rPr>
          <w:rFonts w:hint="eastAsia"/>
          <w:b w:val="0"/>
          <w:color w:val="auto"/>
        </w:rPr>
      </w:pPr>
      <w:bookmarkStart w:id="25" w:name="_Toc14617"/>
      <w:bookmarkStart w:id="26" w:name="_Toc13008"/>
      <w:bookmarkStart w:id="27" w:name="_Toc12645"/>
      <w:r>
        <w:rPr>
          <w:rFonts w:hint="eastAsia"/>
          <w:b w:val="0"/>
          <w:color w:val="auto"/>
          <w:lang w:val="en-US" w:eastAsia="zh-CN"/>
        </w:rPr>
        <w:t>六</w:t>
      </w:r>
      <w:r>
        <w:rPr>
          <w:rFonts w:hint="eastAsia"/>
          <w:b w:val="0"/>
          <w:color w:val="auto"/>
        </w:rPr>
        <w:t>、联系方式</w:t>
      </w:r>
      <w:bookmarkEnd w:id="25"/>
      <w:bookmarkEnd w:id="26"/>
      <w:bookmarkEnd w:id="27"/>
    </w:p>
    <w:p w14:paraId="0A28B18D">
      <w:pPr>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（一）采购代理机构：中捷通信有限公司</w:t>
      </w:r>
    </w:p>
    <w:p w14:paraId="631330A4">
      <w:pPr>
        <w:snapToGrid w:val="0"/>
        <w:spacing w:line="380" w:lineRule="exact"/>
        <w:ind w:firstLine="480" w:firstLineChars="200"/>
        <w:rPr>
          <w:rFonts w:ascii="宋体" w:hAnsi="宋体" w:cs="宋体"/>
          <w:color w:val="auto"/>
          <w:sz w:val="24"/>
          <w:szCs w:val="24"/>
        </w:rPr>
      </w:pPr>
      <w:r>
        <w:rPr>
          <w:rFonts w:hint="eastAsia" w:ascii="宋体" w:hAnsi="宋体" w:cs="宋体"/>
          <w:color w:val="auto"/>
          <w:sz w:val="24"/>
          <w:szCs w:val="24"/>
        </w:rPr>
        <w:t>联系人：谭稼彬</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黄伟、彭跃川</w:t>
      </w:r>
    </w:p>
    <w:p w14:paraId="4F26CBFA">
      <w:pPr>
        <w:snapToGrid w:val="0"/>
        <w:spacing w:line="380" w:lineRule="exact"/>
        <w:ind w:firstLine="480" w:firstLineChars="200"/>
        <w:rPr>
          <w:rFonts w:hint="default" w:ascii="宋体" w:hAnsi="宋体" w:eastAsia="宋体" w:cs="宋体"/>
          <w:color w:val="auto"/>
          <w:sz w:val="24"/>
          <w:szCs w:val="24"/>
          <w:lang w:val="en-US" w:eastAsia="zh-CN"/>
        </w:rPr>
      </w:pPr>
      <w:r>
        <w:rPr>
          <w:rFonts w:hint="eastAsia" w:ascii="宋体" w:hAnsi="宋体" w:cs="宋体"/>
          <w:color w:val="auto"/>
          <w:sz w:val="24"/>
          <w:szCs w:val="24"/>
        </w:rPr>
        <w:t>电</w:t>
      </w:r>
      <w:r>
        <w:rPr>
          <w:rFonts w:ascii="宋体" w:hAnsi="宋体" w:cs="宋体"/>
          <w:color w:val="auto"/>
          <w:sz w:val="24"/>
          <w:szCs w:val="24"/>
        </w:rPr>
        <w:t xml:space="preserve">  </w:t>
      </w:r>
      <w:r>
        <w:rPr>
          <w:rFonts w:hint="eastAsia" w:ascii="宋体" w:hAnsi="宋体" w:cs="宋体"/>
          <w:color w:val="auto"/>
          <w:sz w:val="24"/>
          <w:szCs w:val="24"/>
        </w:rPr>
        <w:t>话：</w:t>
      </w:r>
      <w:r>
        <w:rPr>
          <w:rFonts w:hint="eastAsia" w:ascii="宋体" w:hAnsi="宋体" w:cs="宋体"/>
          <w:color w:val="auto"/>
          <w:sz w:val="24"/>
          <w:szCs w:val="24"/>
          <w:lang w:val="en-US" w:eastAsia="zh-CN"/>
        </w:rPr>
        <w:t>15730407055</w:t>
      </w:r>
    </w:p>
    <w:p w14:paraId="12DC57E4">
      <w:pPr>
        <w:snapToGrid w:val="0"/>
        <w:spacing w:line="380" w:lineRule="exact"/>
        <w:ind w:firstLine="480" w:firstLineChars="200"/>
        <w:rPr>
          <w:rFonts w:ascii="宋体" w:hAnsi="宋体" w:cs="宋体"/>
          <w:color w:val="auto"/>
          <w:sz w:val="24"/>
          <w:szCs w:val="24"/>
        </w:rPr>
      </w:pPr>
      <w:r>
        <w:rPr>
          <w:rFonts w:hint="eastAsia" w:ascii="宋体" w:hAnsi="宋体" w:cs="宋体"/>
          <w:color w:val="auto"/>
          <w:sz w:val="24"/>
          <w:szCs w:val="24"/>
        </w:rPr>
        <w:t>地</w:t>
      </w:r>
      <w:r>
        <w:rPr>
          <w:rFonts w:ascii="宋体" w:hAnsi="宋体" w:cs="宋体"/>
          <w:color w:val="auto"/>
          <w:sz w:val="24"/>
          <w:szCs w:val="24"/>
        </w:rPr>
        <w:t xml:space="preserve">  </w:t>
      </w:r>
      <w:r>
        <w:rPr>
          <w:rFonts w:hint="eastAsia" w:ascii="宋体" w:hAnsi="宋体" w:cs="宋体"/>
          <w:color w:val="auto"/>
          <w:sz w:val="24"/>
          <w:szCs w:val="24"/>
        </w:rPr>
        <w:t>址：重庆市渝北区黄山大道中段67号信达国际B栋804</w:t>
      </w:r>
    </w:p>
    <w:p w14:paraId="0505F10F">
      <w:pPr>
        <w:snapToGrid w:val="0"/>
        <w:spacing w:line="380" w:lineRule="exact"/>
        <w:ind w:firstLine="480" w:firstLineChars="200"/>
        <w:rPr>
          <w:rFonts w:ascii="宋体" w:hAnsi="宋体" w:cs="宋体"/>
          <w:color w:val="auto"/>
          <w:sz w:val="24"/>
          <w:szCs w:val="24"/>
        </w:rPr>
      </w:pPr>
      <w:r>
        <w:rPr>
          <w:rFonts w:hint="eastAsia" w:ascii="宋体" w:hAnsi="宋体" w:cs="宋体"/>
          <w:color w:val="auto"/>
          <w:sz w:val="24"/>
          <w:szCs w:val="24"/>
        </w:rPr>
        <w:t>（二）采购人：重庆文理学院</w:t>
      </w:r>
    </w:p>
    <w:p w14:paraId="26D87F07">
      <w:pPr>
        <w:snapToGrid w:val="0"/>
        <w:spacing w:line="380" w:lineRule="exact"/>
        <w:ind w:firstLine="480" w:firstLineChars="200"/>
        <w:rPr>
          <w:rFonts w:ascii="宋体" w:hAnsi="宋体" w:cs="宋体"/>
          <w:color w:val="auto"/>
          <w:sz w:val="24"/>
          <w:szCs w:val="24"/>
        </w:rPr>
      </w:pPr>
      <w:r>
        <w:rPr>
          <w:rFonts w:hint="eastAsia" w:ascii="宋体" w:hAnsi="宋体" w:cs="宋体"/>
          <w:color w:val="auto"/>
          <w:sz w:val="24"/>
          <w:szCs w:val="24"/>
        </w:rPr>
        <w:t>联系人：周老师</w:t>
      </w:r>
      <w:r>
        <w:rPr>
          <w:rFonts w:ascii="宋体" w:hAnsi="宋体" w:cs="宋体"/>
          <w:color w:val="auto"/>
          <w:sz w:val="24"/>
          <w:szCs w:val="24"/>
        </w:rPr>
        <w:t xml:space="preserve">  </w:t>
      </w:r>
      <w:r>
        <w:rPr>
          <w:rFonts w:hint="eastAsia" w:ascii="宋体" w:hAnsi="宋体" w:cs="宋体"/>
          <w:color w:val="auto"/>
          <w:sz w:val="24"/>
          <w:szCs w:val="24"/>
        </w:rPr>
        <w:t>宫老师</w:t>
      </w:r>
    </w:p>
    <w:p w14:paraId="4E32740D">
      <w:pPr>
        <w:snapToGrid w:val="0"/>
        <w:spacing w:line="380" w:lineRule="exact"/>
        <w:ind w:firstLine="480" w:firstLineChars="200"/>
        <w:rPr>
          <w:rFonts w:ascii="宋体" w:hAnsi="宋体" w:cs="宋体"/>
          <w:color w:val="auto"/>
          <w:sz w:val="24"/>
          <w:szCs w:val="24"/>
        </w:rPr>
      </w:pPr>
      <w:r>
        <w:rPr>
          <w:rFonts w:hint="eastAsia" w:ascii="宋体" w:hAnsi="宋体" w:cs="宋体"/>
          <w:color w:val="auto"/>
          <w:sz w:val="24"/>
          <w:szCs w:val="24"/>
        </w:rPr>
        <w:t>电</w:t>
      </w:r>
      <w:r>
        <w:rPr>
          <w:rFonts w:ascii="宋体" w:hAnsi="宋体" w:cs="宋体"/>
          <w:color w:val="auto"/>
          <w:sz w:val="24"/>
          <w:szCs w:val="24"/>
        </w:rPr>
        <w:t xml:space="preserve">  </w:t>
      </w:r>
      <w:r>
        <w:rPr>
          <w:rFonts w:hint="eastAsia" w:ascii="宋体" w:hAnsi="宋体" w:cs="宋体"/>
          <w:color w:val="auto"/>
          <w:sz w:val="24"/>
          <w:szCs w:val="24"/>
        </w:rPr>
        <w:t>话：</w:t>
      </w:r>
      <w:r>
        <w:rPr>
          <w:rFonts w:ascii="宋体" w:hAnsi="宋体" w:cs="宋体"/>
          <w:color w:val="auto"/>
          <w:sz w:val="24"/>
          <w:szCs w:val="24"/>
        </w:rPr>
        <w:t>023-49891782</w:t>
      </w:r>
    </w:p>
    <w:p w14:paraId="0448B7C3">
      <w:pPr>
        <w:snapToGrid w:val="0"/>
        <w:spacing w:line="380" w:lineRule="exact"/>
        <w:ind w:firstLine="480" w:firstLineChars="200"/>
        <w:rPr>
          <w:rFonts w:ascii="宋体" w:hAnsi="宋体" w:cs="宋体"/>
          <w:color w:val="auto"/>
          <w:sz w:val="24"/>
          <w:szCs w:val="24"/>
        </w:rPr>
      </w:pPr>
      <w:r>
        <w:rPr>
          <w:rFonts w:hint="eastAsia" w:ascii="宋体" w:hAnsi="宋体" w:cs="宋体"/>
          <w:color w:val="auto"/>
          <w:sz w:val="24"/>
          <w:szCs w:val="24"/>
        </w:rPr>
        <w:t>地</w:t>
      </w:r>
      <w:r>
        <w:rPr>
          <w:rFonts w:ascii="宋体" w:hAnsi="宋体" w:cs="宋体"/>
          <w:color w:val="auto"/>
          <w:sz w:val="24"/>
          <w:szCs w:val="24"/>
        </w:rPr>
        <w:t xml:space="preserve">  </w:t>
      </w:r>
      <w:r>
        <w:rPr>
          <w:rFonts w:hint="eastAsia" w:ascii="宋体" w:hAnsi="宋体" w:cs="宋体"/>
          <w:color w:val="auto"/>
          <w:sz w:val="24"/>
          <w:szCs w:val="24"/>
        </w:rPr>
        <w:t>址：</w:t>
      </w:r>
      <w:r>
        <w:rPr>
          <w:rFonts w:ascii="宋体" w:hAnsi="宋体" w:cs="宋体"/>
          <w:color w:val="auto"/>
          <w:sz w:val="24"/>
          <w:szCs w:val="24"/>
        </w:rPr>
        <w:t xml:space="preserve"> </w:t>
      </w:r>
      <w:r>
        <w:rPr>
          <w:rFonts w:hint="eastAsia" w:ascii="宋体" w:hAnsi="宋体" w:cs="宋体"/>
          <w:color w:val="auto"/>
          <w:sz w:val="24"/>
          <w:szCs w:val="24"/>
        </w:rPr>
        <w:t>重庆市永川区红河大道</w:t>
      </w:r>
      <w:r>
        <w:rPr>
          <w:rFonts w:ascii="宋体" w:hAnsi="宋体" w:cs="宋体"/>
          <w:color w:val="auto"/>
          <w:sz w:val="24"/>
          <w:szCs w:val="24"/>
        </w:rPr>
        <w:t>319号</w:t>
      </w:r>
    </w:p>
    <w:p w14:paraId="1AEEE99F">
      <w:pPr>
        <w:rPr>
          <w:rFonts w:ascii="宋体" w:hAnsi="宋体" w:cs="宋体"/>
          <w:color w:val="auto"/>
        </w:rPr>
      </w:pPr>
      <w:r>
        <w:rPr>
          <w:rFonts w:ascii="宋体" w:hAnsi="宋体" w:cs="宋体"/>
          <w:color w:val="auto"/>
        </w:rPr>
        <w:br w:type="page"/>
      </w:r>
    </w:p>
    <w:p w14:paraId="62E85E4D">
      <w:pPr>
        <w:pStyle w:val="42"/>
        <w:rPr>
          <w:rFonts w:ascii="宋体" w:hAnsi="宋体" w:cs="宋体"/>
          <w:color w:val="auto"/>
          <w:highlight w:val="yellow"/>
        </w:rPr>
        <w:sectPr>
          <w:headerReference r:id="rId8" w:type="default"/>
          <w:footerReference r:id="rId9" w:type="default"/>
          <w:pgSz w:w="11907" w:h="16840"/>
          <w:pgMar w:top="1134" w:right="1418" w:bottom="1134" w:left="1418" w:header="964" w:footer="992" w:gutter="0"/>
          <w:pgNumType w:fmt="numberInDash"/>
          <w:cols w:space="720" w:num="1"/>
          <w:docGrid w:linePitch="312" w:charSpace="0"/>
        </w:sectPr>
      </w:pPr>
    </w:p>
    <w:p w14:paraId="4C35F74C">
      <w:pPr>
        <w:pStyle w:val="2"/>
        <w:jc w:val="center"/>
        <w:rPr>
          <w:color w:val="auto"/>
          <w:sz w:val="32"/>
          <w:szCs w:val="32"/>
        </w:rPr>
      </w:pPr>
      <w:bookmarkStart w:id="28" w:name="_Toc14511"/>
      <w:bookmarkStart w:id="29" w:name="_Toc13255"/>
      <w:bookmarkStart w:id="30" w:name="_Toc20289"/>
      <w:r>
        <w:rPr>
          <w:rFonts w:hint="eastAsia"/>
          <w:color w:val="auto"/>
          <w:sz w:val="32"/>
          <w:szCs w:val="32"/>
        </w:rPr>
        <w:t>第二篇</w:t>
      </w:r>
      <w:r>
        <w:rPr>
          <w:color w:val="auto"/>
          <w:sz w:val="32"/>
          <w:szCs w:val="32"/>
        </w:rPr>
        <w:t xml:space="preserve">  </w:t>
      </w:r>
      <w:r>
        <w:rPr>
          <w:rFonts w:hint="eastAsia"/>
          <w:color w:val="auto"/>
          <w:sz w:val="32"/>
          <w:szCs w:val="32"/>
        </w:rPr>
        <w:t>采购服务需求</w:t>
      </w:r>
      <w:bookmarkEnd w:id="28"/>
      <w:bookmarkEnd w:id="29"/>
      <w:bookmarkEnd w:id="30"/>
    </w:p>
    <w:p w14:paraId="3E0F2C13">
      <w:pPr>
        <w:spacing w:line="400" w:lineRule="exact"/>
        <w:ind w:firstLine="480" w:firstLineChars="200"/>
        <w:rPr>
          <w:rFonts w:ascii="宋体" w:hAnsi="宋体" w:cs="宋体"/>
          <w:color w:val="auto"/>
          <w:sz w:val="24"/>
          <w:szCs w:val="24"/>
        </w:rPr>
      </w:pPr>
      <w:bookmarkStart w:id="31" w:name="_Toc76462325"/>
      <w:r>
        <w:rPr>
          <w:rFonts w:hint="eastAsia" w:ascii="宋体" w:hAnsi="宋体" w:cs="宋体"/>
          <w:color w:val="auto"/>
          <w:sz w:val="24"/>
          <w:szCs w:val="24"/>
        </w:rPr>
        <w:t>“</w:t>
      </w:r>
      <w:r>
        <w:rPr>
          <w:rFonts w:ascii="宋体" w:hAnsi="宋体" w:cs="宋体"/>
          <w:color w:val="auto"/>
          <w:sz w:val="24"/>
          <w:szCs w:val="24"/>
        </w:rPr>
        <w:t>*”标注的服务需求为符合性审查中的实质性要求，若不</w:t>
      </w:r>
      <w:r>
        <w:rPr>
          <w:rFonts w:hint="eastAsia" w:ascii="宋体" w:hAnsi="宋体" w:cs="宋体"/>
          <w:color w:val="auto"/>
          <w:sz w:val="24"/>
          <w:szCs w:val="24"/>
        </w:rPr>
        <w:t>满足按无效投标处理。</w:t>
      </w:r>
    </w:p>
    <w:bookmarkEnd w:id="31"/>
    <w:p w14:paraId="341C0ADE">
      <w:pPr>
        <w:rPr>
          <w:rFonts w:ascii="宋体" w:hAnsi="宋体" w:cs="宋体"/>
          <w:color w:val="auto"/>
        </w:rPr>
      </w:pPr>
    </w:p>
    <w:p w14:paraId="217B5293">
      <w:pPr>
        <w:pStyle w:val="3"/>
        <w:spacing w:line="400" w:lineRule="exact"/>
        <w:rPr>
          <w:b w:val="0"/>
          <w:color w:val="auto"/>
        </w:rPr>
      </w:pPr>
      <w:bookmarkStart w:id="32" w:name="_Toc27083"/>
      <w:bookmarkStart w:id="33" w:name="_Toc13568"/>
      <w:bookmarkStart w:id="34" w:name="_Toc2393"/>
      <w:bookmarkStart w:id="35" w:name="_Toc12789058"/>
      <w:bookmarkStart w:id="36" w:name="_Toc3350"/>
      <w:bookmarkStart w:id="37" w:name="_Toc23813"/>
      <w:r>
        <w:rPr>
          <w:rFonts w:hint="eastAsia"/>
          <w:b w:val="0"/>
          <w:color w:val="auto"/>
        </w:rPr>
        <w:t>一、项目基本概况介绍</w:t>
      </w:r>
      <w:bookmarkEnd w:id="32"/>
      <w:bookmarkEnd w:id="33"/>
    </w:p>
    <w:p w14:paraId="4E0E0A13">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项目名称：重庆文理学院学生食堂委托经营</w:t>
      </w:r>
    </w:p>
    <w:tbl>
      <w:tblPr>
        <w:tblStyle w:val="59"/>
        <w:tblW w:w="39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2510"/>
        <w:gridCol w:w="2282"/>
        <w:gridCol w:w="2132"/>
      </w:tblGrid>
      <w:tr w14:paraId="43D43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45" w:type="dxa"/>
            <w:vAlign w:val="center"/>
          </w:tcPr>
          <w:p w14:paraId="0693A205">
            <w:pPr>
              <w:spacing w:line="320" w:lineRule="exact"/>
              <w:jc w:val="center"/>
              <w:rPr>
                <w:rFonts w:ascii="宋体" w:hAnsi="宋体" w:cs="宋体"/>
                <w:color w:val="auto"/>
                <w:sz w:val="21"/>
                <w:szCs w:val="21"/>
              </w:rPr>
            </w:pPr>
            <w:r>
              <w:rPr>
                <w:rFonts w:hint="eastAsia" w:ascii="宋体" w:hAnsi="宋体" w:cs="宋体"/>
                <w:color w:val="auto"/>
                <w:sz w:val="21"/>
                <w:szCs w:val="21"/>
              </w:rPr>
              <w:t>包号</w:t>
            </w:r>
          </w:p>
        </w:tc>
        <w:tc>
          <w:tcPr>
            <w:tcW w:w="2510" w:type="dxa"/>
            <w:vAlign w:val="center"/>
          </w:tcPr>
          <w:p w14:paraId="5BF749E1">
            <w:pPr>
              <w:spacing w:line="320" w:lineRule="exact"/>
              <w:jc w:val="center"/>
              <w:rPr>
                <w:rFonts w:ascii="宋体" w:hAnsi="宋体" w:cs="宋体"/>
                <w:color w:val="auto"/>
                <w:sz w:val="21"/>
                <w:szCs w:val="21"/>
              </w:rPr>
            </w:pPr>
            <w:r>
              <w:rPr>
                <w:rFonts w:hint="eastAsia" w:ascii="宋体" w:hAnsi="宋体" w:cs="宋体"/>
                <w:color w:val="auto"/>
                <w:sz w:val="21"/>
                <w:szCs w:val="21"/>
              </w:rPr>
              <w:t>项目名称</w:t>
            </w:r>
          </w:p>
        </w:tc>
        <w:tc>
          <w:tcPr>
            <w:tcW w:w="2282" w:type="dxa"/>
            <w:vAlign w:val="center"/>
          </w:tcPr>
          <w:p w14:paraId="73CF6BAC">
            <w:pPr>
              <w:spacing w:line="320" w:lineRule="exact"/>
              <w:jc w:val="center"/>
              <w:rPr>
                <w:rFonts w:ascii="宋体" w:hAnsi="宋体" w:cs="宋体"/>
                <w:color w:val="auto"/>
                <w:sz w:val="21"/>
                <w:szCs w:val="21"/>
              </w:rPr>
            </w:pPr>
            <w:r>
              <w:rPr>
                <w:rFonts w:hint="eastAsia" w:ascii="宋体" w:hAnsi="宋体" w:cs="宋体"/>
                <w:color w:val="auto"/>
                <w:sz w:val="21"/>
                <w:szCs w:val="21"/>
              </w:rPr>
              <w:t>建筑面积</w:t>
            </w:r>
          </w:p>
          <w:p w14:paraId="790EC6B2">
            <w:pPr>
              <w:spacing w:line="320" w:lineRule="exact"/>
              <w:jc w:val="center"/>
              <w:rPr>
                <w:rFonts w:ascii="宋体" w:hAnsi="宋体" w:cs="宋体"/>
                <w:color w:val="auto"/>
                <w:sz w:val="21"/>
                <w:szCs w:val="21"/>
              </w:rPr>
            </w:pPr>
            <w:r>
              <w:rPr>
                <w:rFonts w:hint="eastAsia" w:ascii="宋体" w:hAnsi="宋体" w:cs="宋体"/>
                <w:color w:val="auto"/>
                <w:sz w:val="21"/>
                <w:szCs w:val="21"/>
              </w:rPr>
              <w:t>（㎡）</w:t>
            </w:r>
          </w:p>
        </w:tc>
        <w:tc>
          <w:tcPr>
            <w:tcW w:w="2132" w:type="dxa"/>
            <w:vAlign w:val="center"/>
          </w:tcPr>
          <w:p w14:paraId="2EBA5CBF">
            <w:pPr>
              <w:spacing w:line="320" w:lineRule="exact"/>
              <w:jc w:val="center"/>
              <w:rPr>
                <w:rFonts w:ascii="宋体" w:hAnsi="宋体" w:cs="宋体"/>
                <w:color w:val="auto"/>
                <w:sz w:val="21"/>
                <w:szCs w:val="21"/>
              </w:rPr>
            </w:pPr>
            <w:r>
              <w:rPr>
                <w:rFonts w:hint="eastAsia" w:ascii="宋体" w:hAnsi="宋体"/>
                <w:color w:val="auto"/>
                <w:sz w:val="21"/>
                <w:szCs w:val="21"/>
              </w:rPr>
              <w:t>委托经营</w:t>
            </w:r>
            <w:r>
              <w:rPr>
                <w:rFonts w:hint="eastAsia" w:ascii="宋体" w:hAnsi="宋体" w:cs="宋体"/>
                <w:color w:val="auto"/>
                <w:sz w:val="21"/>
                <w:szCs w:val="21"/>
              </w:rPr>
              <w:t>期限</w:t>
            </w:r>
          </w:p>
          <w:p w14:paraId="5182D894">
            <w:pPr>
              <w:spacing w:line="320" w:lineRule="exact"/>
              <w:jc w:val="center"/>
              <w:rPr>
                <w:rFonts w:ascii="宋体" w:hAnsi="宋体" w:cs="宋体"/>
                <w:color w:val="auto"/>
                <w:sz w:val="21"/>
                <w:szCs w:val="21"/>
              </w:rPr>
            </w:pPr>
            <w:r>
              <w:rPr>
                <w:rFonts w:hint="eastAsia" w:ascii="宋体" w:hAnsi="宋体" w:cs="宋体"/>
                <w:color w:val="auto"/>
                <w:sz w:val="21"/>
                <w:szCs w:val="21"/>
              </w:rPr>
              <w:t>（截止日期）</w:t>
            </w:r>
          </w:p>
        </w:tc>
      </w:tr>
      <w:tr w14:paraId="51BFC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45" w:type="dxa"/>
            <w:vAlign w:val="center"/>
          </w:tcPr>
          <w:p w14:paraId="20333617">
            <w:pPr>
              <w:spacing w:line="320" w:lineRule="exact"/>
              <w:jc w:val="center"/>
              <w:rPr>
                <w:rFonts w:ascii="宋体" w:hAnsi="宋体" w:cs="宋体"/>
                <w:color w:val="auto"/>
                <w:sz w:val="21"/>
                <w:szCs w:val="21"/>
              </w:rPr>
            </w:pPr>
            <w:r>
              <w:rPr>
                <w:rFonts w:hint="eastAsia" w:ascii="宋体" w:hAnsi="宋体" w:cs="宋体"/>
                <w:color w:val="auto"/>
                <w:sz w:val="21"/>
                <w:szCs w:val="21"/>
              </w:rPr>
              <w:t>包</w:t>
            </w:r>
            <w:r>
              <w:rPr>
                <w:rFonts w:ascii="宋体" w:hAnsi="宋体" w:cs="宋体"/>
                <w:color w:val="auto"/>
                <w:sz w:val="21"/>
                <w:szCs w:val="21"/>
              </w:rPr>
              <w:t>1</w:t>
            </w:r>
          </w:p>
        </w:tc>
        <w:tc>
          <w:tcPr>
            <w:tcW w:w="2510" w:type="dxa"/>
            <w:shd w:val="clear" w:color="auto" w:fill="auto"/>
            <w:vAlign w:val="center"/>
          </w:tcPr>
          <w:p w14:paraId="31446347">
            <w:pPr>
              <w:jc w:val="center"/>
              <w:rPr>
                <w:rFonts w:ascii="宋体" w:hAnsi="宋体"/>
                <w:color w:val="auto"/>
                <w:sz w:val="21"/>
                <w:szCs w:val="21"/>
              </w:rPr>
            </w:pPr>
            <w:r>
              <w:rPr>
                <w:rFonts w:hint="eastAsia" w:ascii="宋体" w:hAnsi="宋体"/>
                <w:color w:val="auto"/>
                <w:sz w:val="21"/>
                <w:szCs w:val="21"/>
              </w:rPr>
              <w:t>红河</w:t>
            </w:r>
            <w:r>
              <w:rPr>
                <w:rFonts w:ascii="宋体" w:hAnsi="宋体"/>
                <w:color w:val="auto"/>
                <w:sz w:val="21"/>
                <w:szCs w:val="21"/>
              </w:rPr>
              <w:t>B区</w:t>
            </w:r>
            <w:r>
              <w:rPr>
                <w:rFonts w:hint="eastAsia" w:ascii="宋体" w:hAnsi="宋体"/>
                <w:color w:val="auto"/>
                <w:sz w:val="21"/>
                <w:szCs w:val="21"/>
              </w:rPr>
              <w:t>知味楼一楼食堂委托经营</w:t>
            </w:r>
          </w:p>
        </w:tc>
        <w:tc>
          <w:tcPr>
            <w:tcW w:w="2282" w:type="dxa"/>
            <w:vAlign w:val="center"/>
          </w:tcPr>
          <w:p w14:paraId="3CC17969">
            <w:pPr>
              <w:spacing w:line="320" w:lineRule="exact"/>
              <w:jc w:val="center"/>
              <w:rPr>
                <w:rFonts w:ascii="宋体" w:hAnsi="宋体" w:cs="宋体"/>
                <w:color w:val="auto"/>
                <w:sz w:val="21"/>
                <w:szCs w:val="21"/>
              </w:rPr>
            </w:pPr>
            <w:r>
              <w:rPr>
                <w:rFonts w:ascii="宋体" w:hAnsi="宋体" w:cs="宋体"/>
                <w:color w:val="auto"/>
                <w:sz w:val="21"/>
                <w:szCs w:val="21"/>
              </w:rPr>
              <w:t>3266m</w:t>
            </w:r>
            <w:r>
              <w:rPr>
                <w:rFonts w:ascii="宋体" w:hAnsi="宋体" w:cs="宋体"/>
                <w:color w:val="auto"/>
                <w:sz w:val="21"/>
                <w:szCs w:val="21"/>
                <w:vertAlign w:val="superscript"/>
              </w:rPr>
              <w:t>2</w:t>
            </w:r>
            <w:r>
              <w:rPr>
                <w:rFonts w:hint="eastAsia" w:ascii="宋体" w:hAnsi="宋体"/>
                <w:color w:val="auto"/>
                <w:sz w:val="21"/>
                <w:szCs w:val="21"/>
              </w:rPr>
              <w:t>（以实际勘察为准）</w:t>
            </w:r>
          </w:p>
        </w:tc>
        <w:tc>
          <w:tcPr>
            <w:tcW w:w="2132" w:type="dxa"/>
            <w:vAlign w:val="center"/>
          </w:tcPr>
          <w:p w14:paraId="550DD6F6">
            <w:pPr>
              <w:spacing w:line="320" w:lineRule="exact"/>
              <w:jc w:val="center"/>
              <w:rPr>
                <w:rFonts w:ascii="宋体" w:hAnsi="宋体" w:cs="宋体"/>
                <w:color w:val="auto"/>
                <w:sz w:val="21"/>
                <w:szCs w:val="21"/>
              </w:rPr>
            </w:pPr>
            <w:r>
              <w:rPr>
                <w:rFonts w:ascii="宋体" w:hAnsi="宋体" w:cs="宋体"/>
                <w:color w:val="auto"/>
                <w:sz w:val="21"/>
                <w:szCs w:val="21"/>
              </w:rPr>
              <w:t>2030年7月10日</w:t>
            </w:r>
          </w:p>
        </w:tc>
      </w:tr>
      <w:tr w14:paraId="5D1F6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45" w:type="dxa"/>
            <w:vAlign w:val="center"/>
          </w:tcPr>
          <w:p w14:paraId="717F56A9">
            <w:pPr>
              <w:spacing w:line="320" w:lineRule="exact"/>
              <w:jc w:val="center"/>
              <w:rPr>
                <w:rFonts w:ascii="宋体" w:hAnsi="宋体" w:cs="宋体"/>
                <w:color w:val="auto"/>
                <w:sz w:val="21"/>
                <w:szCs w:val="21"/>
              </w:rPr>
            </w:pPr>
            <w:r>
              <w:rPr>
                <w:rFonts w:hint="eastAsia" w:ascii="宋体" w:hAnsi="宋体" w:cs="宋体"/>
                <w:color w:val="auto"/>
                <w:sz w:val="21"/>
                <w:szCs w:val="21"/>
              </w:rPr>
              <w:t>包</w:t>
            </w:r>
            <w:r>
              <w:rPr>
                <w:rFonts w:ascii="宋体" w:hAnsi="宋体" w:cs="宋体"/>
                <w:color w:val="auto"/>
                <w:sz w:val="21"/>
                <w:szCs w:val="21"/>
              </w:rPr>
              <w:t>2</w:t>
            </w:r>
          </w:p>
        </w:tc>
        <w:tc>
          <w:tcPr>
            <w:tcW w:w="2510" w:type="dxa"/>
            <w:shd w:val="clear" w:color="auto" w:fill="auto"/>
            <w:vAlign w:val="center"/>
          </w:tcPr>
          <w:p w14:paraId="38DAB20C">
            <w:pPr>
              <w:jc w:val="center"/>
              <w:rPr>
                <w:rFonts w:ascii="宋体" w:hAnsi="宋体"/>
                <w:color w:val="auto"/>
                <w:sz w:val="21"/>
                <w:szCs w:val="21"/>
              </w:rPr>
            </w:pPr>
            <w:r>
              <w:rPr>
                <w:rFonts w:hint="eastAsia" w:ascii="宋体" w:hAnsi="宋体"/>
                <w:color w:val="auto"/>
                <w:sz w:val="21"/>
                <w:szCs w:val="21"/>
              </w:rPr>
              <w:t>红河</w:t>
            </w:r>
            <w:r>
              <w:rPr>
                <w:rFonts w:ascii="宋体" w:hAnsi="宋体"/>
                <w:color w:val="auto"/>
                <w:sz w:val="21"/>
                <w:szCs w:val="21"/>
              </w:rPr>
              <w:t>B区知味楼二楼特色食堂（含二楼教工餐厅）、三楼接待餐厅委托经营</w:t>
            </w:r>
          </w:p>
        </w:tc>
        <w:tc>
          <w:tcPr>
            <w:tcW w:w="2282" w:type="dxa"/>
            <w:vAlign w:val="center"/>
          </w:tcPr>
          <w:p w14:paraId="4EAB040D">
            <w:pPr>
              <w:spacing w:line="320" w:lineRule="exact"/>
              <w:jc w:val="center"/>
              <w:rPr>
                <w:rFonts w:ascii="宋体" w:hAnsi="宋体" w:cs="宋体"/>
                <w:color w:val="auto"/>
                <w:sz w:val="21"/>
                <w:szCs w:val="21"/>
              </w:rPr>
            </w:pPr>
            <w:r>
              <w:rPr>
                <w:rFonts w:ascii="宋体" w:hAnsi="宋体" w:cs="宋体"/>
                <w:color w:val="auto"/>
                <w:sz w:val="21"/>
                <w:szCs w:val="21"/>
              </w:rPr>
              <w:t>4000m</w:t>
            </w:r>
            <w:r>
              <w:rPr>
                <w:rFonts w:ascii="宋体" w:hAnsi="宋体" w:cs="宋体"/>
                <w:color w:val="auto"/>
                <w:sz w:val="21"/>
                <w:szCs w:val="21"/>
                <w:vertAlign w:val="superscript"/>
              </w:rPr>
              <w:t>2</w:t>
            </w:r>
            <w:r>
              <w:rPr>
                <w:rFonts w:hint="eastAsia" w:ascii="宋体" w:hAnsi="宋体"/>
                <w:color w:val="auto"/>
                <w:sz w:val="21"/>
                <w:szCs w:val="21"/>
              </w:rPr>
              <w:t>（以实际勘察为准）</w:t>
            </w:r>
          </w:p>
        </w:tc>
        <w:tc>
          <w:tcPr>
            <w:tcW w:w="2132" w:type="dxa"/>
            <w:shd w:val="clear" w:color="auto" w:fill="auto"/>
            <w:vAlign w:val="center"/>
          </w:tcPr>
          <w:p w14:paraId="629B4B1D">
            <w:pPr>
              <w:spacing w:line="320" w:lineRule="exact"/>
              <w:jc w:val="center"/>
              <w:rPr>
                <w:rFonts w:ascii="宋体" w:hAnsi="宋体" w:cs="宋体"/>
                <w:color w:val="auto"/>
                <w:sz w:val="21"/>
                <w:szCs w:val="21"/>
              </w:rPr>
            </w:pPr>
            <w:r>
              <w:rPr>
                <w:rFonts w:ascii="宋体" w:hAnsi="宋体" w:cs="宋体"/>
                <w:color w:val="auto"/>
                <w:sz w:val="21"/>
                <w:szCs w:val="21"/>
              </w:rPr>
              <w:t>2030年7月10日</w:t>
            </w:r>
          </w:p>
        </w:tc>
      </w:tr>
      <w:tr w14:paraId="14F23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45" w:type="dxa"/>
            <w:vAlign w:val="center"/>
          </w:tcPr>
          <w:p w14:paraId="7CE07270">
            <w:pPr>
              <w:spacing w:line="320" w:lineRule="exact"/>
              <w:jc w:val="center"/>
              <w:rPr>
                <w:rFonts w:ascii="宋体" w:hAnsi="宋体" w:cs="宋体"/>
                <w:color w:val="auto"/>
                <w:sz w:val="21"/>
                <w:szCs w:val="21"/>
              </w:rPr>
            </w:pPr>
            <w:r>
              <w:rPr>
                <w:rFonts w:hint="eastAsia" w:ascii="宋体" w:hAnsi="宋体" w:cs="宋体"/>
                <w:color w:val="auto"/>
                <w:sz w:val="21"/>
                <w:szCs w:val="21"/>
              </w:rPr>
              <w:t>包</w:t>
            </w:r>
            <w:r>
              <w:rPr>
                <w:rFonts w:ascii="宋体" w:hAnsi="宋体" w:cs="宋体"/>
                <w:color w:val="auto"/>
                <w:sz w:val="21"/>
                <w:szCs w:val="21"/>
              </w:rPr>
              <w:t>3</w:t>
            </w:r>
          </w:p>
        </w:tc>
        <w:tc>
          <w:tcPr>
            <w:tcW w:w="2510" w:type="dxa"/>
            <w:shd w:val="clear" w:color="auto" w:fill="auto"/>
            <w:vAlign w:val="center"/>
          </w:tcPr>
          <w:p w14:paraId="794A89FD">
            <w:pPr>
              <w:jc w:val="center"/>
              <w:rPr>
                <w:rFonts w:ascii="宋体" w:hAnsi="宋体"/>
                <w:color w:val="auto"/>
                <w:sz w:val="21"/>
                <w:szCs w:val="21"/>
              </w:rPr>
            </w:pPr>
            <w:r>
              <w:rPr>
                <w:rFonts w:hint="eastAsia" w:ascii="宋体" w:hAnsi="宋体"/>
                <w:color w:val="auto"/>
                <w:sz w:val="21"/>
                <w:szCs w:val="21"/>
              </w:rPr>
              <w:t>红河</w:t>
            </w:r>
            <w:r>
              <w:rPr>
                <w:rFonts w:ascii="宋体" w:hAnsi="宋体"/>
                <w:color w:val="auto"/>
                <w:sz w:val="21"/>
                <w:szCs w:val="21"/>
              </w:rPr>
              <w:t>A</w:t>
            </w:r>
            <w:r>
              <w:rPr>
                <w:rFonts w:hint="eastAsia" w:ascii="宋体" w:hAnsi="宋体"/>
                <w:color w:val="auto"/>
                <w:sz w:val="21"/>
                <w:szCs w:val="21"/>
              </w:rPr>
              <w:t>区知善楼一、二楼食堂委托经营</w:t>
            </w:r>
          </w:p>
        </w:tc>
        <w:tc>
          <w:tcPr>
            <w:tcW w:w="2282" w:type="dxa"/>
            <w:shd w:val="clear" w:color="auto" w:fill="auto"/>
            <w:vAlign w:val="center"/>
          </w:tcPr>
          <w:p w14:paraId="42AFAA78">
            <w:pPr>
              <w:spacing w:line="320" w:lineRule="exact"/>
              <w:jc w:val="center"/>
              <w:rPr>
                <w:rFonts w:ascii="宋体" w:hAnsi="宋体"/>
                <w:color w:val="auto"/>
                <w:sz w:val="21"/>
                <w:szCs w:val="21"/>
              </w:rPr>
            </w:pPr>
            <w:r>
              <w:rPr>
                <w:rFonts w:ascii="宋体" w:hAnsi="宋体"/>
                <w:color w:val="auto"/>
                <w:sz w:val="21"/>
                <w:szCs w:val="21"/>
              </w:rPr>
              <w:t>6400</w:t>
            </w:r>
            <w:r>
              <w:rPr>
                <w:rFonts w:ascii="宋体" w:hAnsi="宋体" w:cs="宋体"/>
                <w:color w:val="auto"/>
                <w:sz w:val="21"/>
                <w:szCs w:val="21"/>
              </w:rPr>
              <w:t>m</w:t>
            </w:r>
            <w:r>
              <w:rPr>
                <w:rFonts w:ascii="宋体" w:hAnsi="宋体" w:cs="宋体"/>
                <w:color w:val="auto"/>
                <w:sz w:val="21"/>
                <w:szCs w:val="21"/>
                <w:vertAlign w:val="superscript"/>
              </w:rPr>
              <w:t>2</w:t>
            </w:r>
          </w:p>
          <w:p w14:paraId="73FB048D">
            <w:pPr>
              <w:jc w:val="center"/>
              <w:rPr>
                <w:rFonts w:ascii="宋体" w:hAnsi="宋体"/>
                <w:color w:val="auto"/>
                <w:sz w:val="21"/>
                <w:szCs w:val="21"/>
                <w:vertAlign w:val="superscript"/>
              </w:rPr>
            </w:pPr>
            <w:r>
              <w:rPr>
                <w:rFonts w:hint="eastAsia" w:ascii="宋体" w:hAnsi="宋体"/>
                <w:color w:val="auto"/>
                <w:sz w:val="21"/>
                <w:szCs w:val="21"/>
              </w:rPr>
              <w:t>（其中</w:t>
            </w:r>
            <w:r>
              <w:rPr>
                <w:rFonts w:ascii="宋体" w:hAnsi="宋体"/>
                <w:color w:val="auto"/>
                <w:sz w:val="21"/>
                <w:szCs w:val="21"/>
              </w:rPr>
              <w:t>A</w:t>
            </w:r>
            <w:r>
              <w:rPr>
                <w:rFonts w:hint="eastAsia" w:ascii="宋体" w:hAnsi="宋体"/>
                <w:color w:val="auto"/>
                <w:sz w:val="21"/>
                <w:szCs w:val="21"/>
              </w:rPr>
              <w:t>区知善楼一二楼食堂</w:t>
            </w:r>
            <w:r>
              <w:rPr>
                <w:rFonts w:ascii="宋体" w:hAnsi="宋体"/>
                <w:color w:val="auto"/>
                <w:sz w:val="21"/>
                <w:szCs w:val="21"/>
              </w:rPr>
              <w:t>6400</w:t>
            </w:r>
            <w:r>
              <w:rPr>
                <w:rFonts w:ascii="宋体" w:hAnsi="宋体" w:cs="宋体"/>
                <w:color w:val="auto"/>
                <w:sz w:val="21"/>
                <w:szCs w:val="21"/>
              </w:rPr>
              <w:t>m</w:t>
            </w:r>
            <w:r>
              <w:rPr>
                <w:rFonts w:ascii="宋体" w:hAnsi="宋体" w:cs="宋体"/>
                <w:color w:val="auto"/>
                <w:sz w:val="21"/>
                <w:szCs w:val="21"/>
                <w:vertAlign w:val="superscript"/>
              </w:rPr>
              <w:t>2</w:t>
            </w:r>
            <w:r>
              <w:rPr>
                <w:rFonts w:ascii="宋体" w:hAnsi="宋体"/>
                <w:color w:val="auto"/>
                <w:sz w:val="21"/>
                <w:szCs w:val="21"/>
                <w:vertAlign w:val="superscript"/>
              </w:rPr>
              <w:t xml:space="preserve"> </w:t>
            </w:r>
          </w:p>
          <w:p w14:paraId="2EA64E27">
            <w:pPr>
              <w:spacing w:line="320" w:lineRule="exact"/>
              <w:jc w:val="center"/>
              <w:rPr>
                <w:rFonts w:ascii="宋体" w:hAnsi="宋体" w:cs="宋体"/>
                <w:color w:val="auto"/>
                <w:sz w:val="21"/>
                <w:szCs w:val="21"/>
              </w:rPr>
            </w:pPr>
            <w:r>
              <w:rPr>
                <w:rFonts w:hint="eastAsia" w:ascii="宋体" w:hAnsi="宋体"/>
                <w:color w:val="auto"/>
                <w:sz w:val="21"/>
                <w:szCs w:val="21"/>
              </w:rPr>
              <w:t>（以实际勘察为准）</w:t>
            </w:r>
          </w:p>
        </w:tc>
        <w:tc>
          <w:tcPr>
            <w:tcW w:w="2132" w:type="dxa"/>
            <w:vAlign w:val="center"/>
          </w:tcPr>
          <w:p w14:paraId="716BEE75">
            <w:pPr>
              <w:spacing w:line="320" w:lineRule="exact"/>
              <w:jc w:val="center"/>
              <w:rPr>
                <w:rFonts w:ascii="宋体" w:hAnsi="宋体" w:cs="宋体"/>
                <w:color w:val="auto"/>
                <w:sz w:val="21"/>
                <w:szCs w:val="21"/>
              </w:rPr>
            </w:pPr>
            <w:r>
              <w:rPr>
                <w:rFonts w:ascii="宋体" w:hAnsi="宋体" w:cs="宋体"/>
                <w:color w:val="auto"/>
                <w:sz w:val="21"/>
                <w:szCs w:val="21"/>
              </w:rPr>
              <w:t>2030年7月10日</w:t>
            </w:r>
          </w:p>
        </w:tc>
      </w:tr>
      <w:tr w14:paraId="607DB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5" w:hRule="atLeast"/>
          <w:jc w:val="center"/>
        </w:trPr>
        <w:tc>
          <w:tcPr>
            <w:tcW w:w="745" w:type="dxa"/>
            <w:vAlign w:val="center"/>
          </w:tcPr>
          <w:p w14:paraId="18E6A1F4">
            <w:pPr>
              <w:spacing w:line="320" w:lineRule="exact"/>
              <w:jc w:val="center"/>
              <w:rPr>
                <w:rFonts w:ascii="宋体" w:hAnsi="宋体" w:cs="宋体"/>
                <w:color w:val="auto"/>
                <w:sz w:val="21"/>
                <w:szCs w:val="21"/>
              </w:rPr>
            </w:pPr>
            <w:r>
              <w:rPr>
                <w:rFonts w:hint="eastAsia" w:ascii="宋体" w:hAnsi="宋体" w:cs="宋体"/>
                <w:color w:val="auto"/>
                <w:sz w:val="21"/>
                <w:szCs w:val="21"/>
              </w:rPr>
              <w:t>包</w:t>
            </w:r>
            <w:r>
              <w:rPr>
                <w:rFonts w:ascii="宋体" w:hAnsi="宋体" w:cs="宋体"/>
                <w:color w:val="auto"/>
                <w:sz w:val="21"/>
                <w:szCs w:val="21"/>
              </w:rPr>
              <w:t>4</w:t>
            </w:r>
          </w:p>
        </w:tc>
        <w:tc>
          <w:tcPr>
            <w:tcW w:w="2510" w:type="dxa"/>
            <w:vAlign w:val="center"/>
          </w:tcPr>
          <w:p w14:paraId="48A03616">
            <w:pPr>
              <w:jc w:val="center"/>
              <w:rPr>
                <w:rFonts w:ascii="宋体" w:hAnsi="宋体"/>
                <w:color w:val="auto"/>
                <w:sz w:val="21"/>
                <w:szCs w:val="21"/>
              </w:rPr>
            </w:pPr>
            <w:r>
              <w:rPr>
                <w:rFonts w:hint="eastAsia" w:ascii="宋体" w:hAnsi="宋体"/>
                <w:color w:val="auto"/>
                <w:sz w:val="21"/>
                <w:szCs w:val="21"/>
              </w:rPr>
              <w:t>红河</w:t>
            </w:r>
            <w:r>
              <w:rPr>
                <w:rFonts w:ascii="宋体" w:hAnsi="宋体"/>
                <w:color w:val="auto"/>
                <w:sz w:val="21"/>
                <w:szCs w:val="21"/>
              </w:rPr>
              <w:t>A校区三食堂（含教工餐厅）委托经营</w:t>
            </w:r>
          </w:p>
        </w:tc>
        <w:tc>
          <w:tcPr>
            <w:tcW w:w="2282" w:type="dxa"/>
            <w:vAlign w:val="center"/>
          </w:tcPr>
          <w:p w14:paraId="6D95B029">
            <w:pPr>
              <w:spacing w:line="240" w:lineRule="exact"/>
              <w:jc w:val="center"/>
              <w:rPr>
                <w:rFonts w:ascii="宋体" w:hAnsi="宋体" w:cs="宋体"/>
                <w:color w:val="auto"/>
                <w:sz w:val="21"/>
                <w:szCs w:val="21"/>
              </w:rPr>
            </w:pPr>
            <w:r>
              <w:rPr>
                <w:rFonts w:ascii="宋体" w:hAnsi="宋体" w:cs="宋体"/>
                <w:color w:val="auto"/>
                <w:sz w:val="21"/>
                <w:szCs w:val="21"/>
              </w:rPr>
              <w:t>5000㎡</w:t>
            </w:r>
            <w:r>
              <w:rPr>
                <w:rFonts w:hint="eastAsia" w:ascii="宋体" w:hAnsi="宋体"/>
                <w:color w:val="auto"/>
                <w:sz w:val="21"/>
                <w:szCs w:val="21"/>
              </w:rPr>
              <w:t>（以实际勘察为准）</w:t>
            </w:r>
          </w:p>
          <w:p w14:paraId="344E226F">
            <w:pPr>
              <w:spacing w:line="240" w:lineRule="exact"/>
              <w:jc w:val="center"/>
              <w:rPr>
                <w:rFonts w:ascii="宋体" w:hAnsi="宋体" w:cs="宋体"/>
                <w:color w:val="auto"/>
                <w:sz w:val="21"/>
                <w:szCs w:val="21"/>
              </w:rPr>
            </w:pPr>
          </w:p>
        </w:tc>
        <w:tc>
          <w:tcPr>
            <w:tcW w:w="2132" w:type="dxa"/>
            <w:vAlign w:val="center"/>
          </w:tcPr>
          <w:p w14:paraId="35CC431C">
            <w:pPr>
              <w:spacing w:line="320" w:lineRule="exact"/>
              <w:jc w:val="center"/>
              <w:rPr>
                <w:rFonts w:ascii="宋体" w:hAnsi="宋体" w:cs="宋体"/>
                <w:color w:val="auto"/>
                <w:sz w:val="21"/>
                <w:szCs w:val="21"/>
              </w:rPr>
            </w:pPr>
            <w:r>
              <w:rPr>
                <w:rFonts w:ascii="宋体" w:hAnsi="宋体" w:cs="宋体"/>
                <w:color w:val="auto"/>
                <w:sz w:val="21"/>
                <w:szCs w:val="21"/>
              </w:rPr>
              <w:t>2030年7月10日</w:t>
            </w:r>
          </w:p>
        </w:tc>
      </w:tr>
      <w:tr w14:paraId="74966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5" w:hRule="atLeast"/>
          <w:jc w:val="center"/>
        </w:trPr>
        <w:tc>
          <w:tcPr>
            <w:tcW w:w="745" w:type="dxa"/>
            <w:vAlign w:val="center"/>
          </w:tcPr>
          <w:p w14:paraId="0DD912DA">
            <w:pPr>
              <w:spacing w:line="320" w:lineRule="exact"/>
              <w:jc w:val="center"/>
              <w:rPr>
                <w:rFonts w:ascii="宋体" w:hAnsi="宋体" w:cs="宋体"/>
                <w:color w:val="auto"/>
                <w:sz w:val="21"/>
                <w:szCs w:val="21"/>
              </w:rPr>
            </w:pPr>
            <w:r>
              <w:rPr>
                <w:rFonts w:hint="eastAsia" w:ascii="宋体" w:hAnsi="宋体" w:cs="宋体"/>
                <w:color w:val="auto"/>
                <w:sz w:val="21"/>
                <w:szCs w:val="21"/>
              </w:rPr>
              <w:t>包</w:t>
            </w:r>
            <w:r>
              <w:rPr>
                <w:rFonts w:ascii="宋体" w:hAnsi="宋体" w:cs="宋体"/>
                <w:color w:val="auto"/>
                <w:sz w:val="21"/>
                <w:szCs w:val="21"/>
              </w:rPr>
              <w:t>5</w:t>
            </w:r>
          </w:p>
        </w:tc>
        <w:tc>
          <w:tcPr>
            <w:tcW w:w="2510" w:type="dxa"/>
            <w:vAlign w:val="center"/>
          </w:tcPr>
          <w:p w14:paraId="78FA64A4">
            <w:pPr>
              <w:jc w:val="center"/>
              <w:rPr>
                <w:rFonts w:ascii="宋体" w:hAnsi="宋体"/>
                <w:color w:val="auto"/>
                <w:sz w:val="21"/>
                <w:szCs w:val="21"/>
              </w:rPr>
            </w:pPr>
            <w:r>
              <w:rPr>
                <w:rFonts w:hint="eastAsia" w:ascii="宋体" w:hAnsi="宋体"/>
                <w:color w:val="auto"/>
                <w:sz w:val="21"/>
                <w:szCs w:val="21"/>
              </w:rPr>
              <w:t>星湖校区知和楼一、二楼食堂（含教工餐厅）及学聚苑食堂委托经营</w:t>
            </w:r>
          </w:p>
        </w:tc>
        <w:tc>
          <w:tcPr>
            <w:tcW w:w="2282" w:type="dxa"/>
            <w:vAlign w:val="center"/>
          </w:tcPr>
          <w:p w14:paraId="3F1299E2">
            <w:pPr>
              <w:spacing w:line="240" w:lineRule="exact"/>
              <w:jc w:val="center"/>
              <w:rPr>
                <w:rFonts w:ascii="宋体" w:hAnsi="宋体"/>
                <w:color w:val="auto"/>
                <w:sz w:val="21"/>
                <w:szCs w:val="21"/>
              </w:rPr>
            </w:pPr>
            <w:r>
              <w:rPr>
                <w:rFonts w:ascii="宋体" w:hAnsi="宋体" w:cs="宋体"/>
                <w:color w:val="auto"/>
                <w:sz w:val="21"/>
                <w:szCs w:val="21"/>
              </w:rPr>
              <w:t>6052㎡</w:t>
            </w:r>
          </w:p>
          <w:p w14:paraId="0645AAEF">
            <w:pPr>
              <w:spacing w:line="240" w:lineRule="exact"/>
              <w:jc w:val="center"/>
              <w:rPr>
                <w:rFonts w:ascii="宋体" w:hAnsi="宋体"/>
                <w:color w:val="auto"/>
                <w:sz w:val="21"/>
                <w:szCs w:val="21"/>
              </w:rPr>
            </w:pPr>
            <w:r>
              <w:rPr>
                <w:rFonts w:hint="eastAsia" w:ascii="宋体" w:hAnsi="宋体"/>
                <w:color w:val="auto"/>
                <w:sz w:val="21"/>
                <w:szCs w:val="21"/>
              </w:rPr>
              <w:t>其中，星湖校区知和楼一二楼食堂</w:t>
            </w:r>
            <w:r>
              <w:rPr>
                <w:rFonts w:ascii="宋体" w:hAnsi="宋体"/>
                <w:color w:val="auto"/>
                <w:sz w:val="21"/>
                <w:szCs w:val="21"/>
              </w:rPr>
              <w:t>5200</w:t>
            </w:r>
            <w:r>
              <w:rPr>
                <w:rFonts w:hint="eastAsia" w:ascii="宋体" w:hAnsi="宋体" w:cs="宋体"/>
                <w:color w:val="auto"/>
                <w:sz w:val="21"/>
                <w:szCs w:val="21"/>
              </w:rPr>
              <w:t>㎡</w:t>
            </w:r>
            <w:r>
              <w:rPr>
                <w:rFonts w:hint="eastAsia" w:ascii="宋体" w:hAnsi="宋体"/>
                <w:color w:val="auto"/>
                <w:sz w:val="21"/>
                <w:szCs w:val="21"/>
              </w:rPr>
              <w:t>，学聚苑食堂</w:t>
            </w:r>
            <w:r>
              <w:rPr>
                <w:rFonts w:ascii="宋体" w:hAnsi="宋体"/>
                <w:color w:val="auto"/>
                <w:sz w:val="21"/>
                <w:szCs w:val="21"/>
              </w:rPr>
              <w:t>852</w:t>
            </w:r>
            <w:r>
              <w:rPr>
                <w:rFonts w:hint="eastAsia" w:ascii="宋体" w:hAnsi="宋体" w:cs="宋体"/>
                <w:color w:val="auto"/>
                <w:sz w:val="21"/>
                <w:szCs w:val="21"/>
              </w:rPr>
              <w:t>㎡</w:t>
            </w:r>
            <w:r>
              <w:rPr>
                <w:rFonts w:ascii="宋体" w:hAnsi="宋体"/>
                <w:color w:val="auto"/>
                <w:sz w:val="21"/>
                <w:szCs w:val="21"/>
              </w:rPr>
              <w:t>,（以实际勘察为准）</w:t>
            </w:r>
          </w:p>
        </w:tc>
        <w:tc>
          <w:tcPr>
            <w:tcW w:w="2132" w:type="dxa"/>
            <w:vAlign w:val="center"/>
          </w:tcPr>
          <w:p w14:paraId="1A9660B2">
            <w:pPr>
              <w:spacing w:line="320" w:lineRule="exact"/>
              <w:jc w:val="center"/>
              <w:rPr>
                <w:rFonts w:ascii="宋体" w:hAnsi="宋体" w:cs="宋体"/>
                <w:color w:val="auto"/>
                <w:sz w:val="21"/>
                <w:szCs w:val="21"/>
              </w:rPr>
            </w:pPr>
            <w:r>
              <w:rPr>
                <w:rFonts w:ascii="宋体" w:hAnsi="宋体" w:cs="宋体"/>
                <w:color w:val="auto"/>
                <w:sz w:val="21"/>
                <w:szCs w:val="21"/>
              </w:rPr>
              <w:t>2030年7月10日</w:t>
            </w:r>
          </w:p>
        </w:tc>
      </w:tr>
    </w:tbl>
    <w:p w14:paraId="0AB0B52D">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注</w:t>
      </w:r>
      <w:r>
        <w:rPr>
          <w:rFonts w:ascii="宋体" w:hAnsi="宋体" w:cs="宋体"/>
          <w:color w:val="auto"/>
          <w:sz w:val="24"/>
          <w:szCs w:val="24"/>
        </w:rPr>
        <w:t>:建筑面积为估算值，具体区域面积以采购人指定区域为准。</w:t>
      </w:r>
    </w:p>
    <w:p w14:paraId="0FFA1123">
      <w:pPr>
        <w:pStyle w:val="3"/>
        <w:spacing w:line="400" w:lineRule="exact"/>
        <w:rPr>
          <w:rFonts w:ascii="宋体" w:hAnsi="宋体" w:eastAsia="宋体" w:cs="宋体"/>
          <w:b w:val="0"/>
          <w:bCs/>
          <w:color w:val="auto"/>
          <w:szCs w:val="32"/>
        </w:rPr>
      </w:pPr>
      <w:bookmarkStart w:id="38" w:name="_Toc344475116"/>
      <w:bookmarkStart w:id="39" w:name="_Toc313536013"/>
      <w:bookmarkStart w:id="40" w:name="_Toc9346"/>
      <w:bookmarkStart w:id="41" w:name="_Toc22830"/>
      <w:r>
        <w:rPr>
          <w:rFonts w:hint="eastAsia"/>
          <w:b w:val="0"/>
          <w:color w:val="auto"/>
        </w:rPr>
        <w:t>二、</w:t>
      </w:r>
      <w:bookmarkEnd w:id="38"/>
      <w:bookmarkEnd w:id="39"/>
      <w:r>
        <w:rPr>
          <w:rFonts w:hint="eastAsia"/>
          <w:b w:val="0"/>
          <w:color w:val="auto"/>
        </w:rPr>
        <w:t>委托经营时间</w:t>
      </w:r>
      <w:bookmarkEnd w:id="40"/>
      <w:bookmarkEnd w:id="41"/>
    </w:p>
    <w:p w14:paraId="6990D1AD">
      <w:pPr>
        <w:ind w:firstLine="480"/>
        <w:jc w:val="left"/>
        <w:rPr>
          <w:rFonts w:ascii="宋体" w:hAnsi="宋体" w:cs="宋体"/>
          <w:color w:val="auto"/>
          <w:sz w:val="24"/>
          <w:szCs w:val="24"/>
        </w:rPr>
      </w:pPr>
      <w:r>
        <w:rPr>
          <w:rFonts w:ascii="宋体" w:hAnsi="宋体" w:cs="宋体"/>
          <w:color w:val="auto"/>
          <w:sz w:val="24"/>
          <w:szCs w:val="24"/>
        </w:rPr>
        <w:t>2030年7月10日截止。</w:t>
      </w:r>
    </w:p>
    <w:p w14:paraId="3570083C">
      <w:pPr>
        <w:pStyle w:val="3"/>
        <w:spacing w:line="400" w:lineRule="exact"/>
        <w:rPr>
          <w:b w:val="0"/>
          <w:color w:val="auto"/>
        </w:rPr>
      </w:pPr>
      <w:bookmarkStart w:id="42" w:name="_Toc29237"/>
      <w:bookmarkStart w:id="43" w:name="_Toc41986732"/>
      <w:bookmarkStart w:id="44" w:name="_Toc42780312"/>
      <w:bookmarkStart w:id="45" w:name="_Toc21981"/>
      <w:r>
        <w:rPr>
          <w:rFonts w:hint="eastAsia"/>
          <w:b w:val="0"/>
          <w:color w:val="auto"/>
        </w:rPr>
        <w:t>三、招标项目基本情况</w:t>
      </w:r>
      <w:bookmarkEnd w:id="42"/>
    </w:p>
    <w:p w14:paraId="5F059163">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为满足师生员工多样化、个性化的后勤餐饮服务需求，丰富校园特色风味餐饮，同时通过食堂数智化管理和运营，实现资源的高效利用和环境保护。各包需引入经济实力强、社会信誉好、经营管理服务好的餐饮管理类企业建设数智生态环保食堂，参与学校后勤供餐保障服务。目前红河</w:t>
      </w:r>
      <w:r>
        <w:rPr>
          <w:rFonts w:ascii="宋体" w:hAnsi="宋体" w:cs="宋体"/>
          <w:color w:val="auto"/>
          <w:sz w:val="24"/>
          <w:szCs w:val="24"/>
        </w:rPr>
        <w:t>A区约11000名学生，红河B区约7000名学生，星湖校区（含校外公寓约1400名学生）约5000名学生。</w:t>
      </w:r>
    </w:p>
    <w:p w14:paraId="5CB270C4">
      <w:pPr>
        <w:pStyle w:val="3"/>
        <w:spacing w:line="400" w:lineRule="exact"/>
        <w:rPr>
          <w:b w:val="0"/>
          <w:color w:val="auto"/>
        </w:rPr>
      </w:pPr>
      <w:bookmarkStart w:id="46" w:name="_Toc25500"/>
      <w:r>
        <w:rPr>
          <w:b w:val="0"/>
          <w:color w:val="auto"/>
        </w:rPr>
        <w:t>*</w:t>
      </w:r>
      <w:r>
        <w:rPr>
          <w:rFonts w:hint="eastAsia"/>
          <w:b w:val="0"/>
          <w:color w:val="auto"/>
        </w:rPr>
        <w:t>四、招标项目服务需求</w:t>
      </w:r>
      <w:bookmarkEnd w:id="46"/>
    </w:p>
    <w:p w14:paraId="40C4ED87">
      <w:pPr>
        <w:pStyle w:val="4"/>
        <w:spacing w:line="400" w:lineRule="exact"/>
        <w:rPr>
          <w:rFonts w:ascii="宋体" w:hAnsi="宋体" w:cs="宋体"/>
          <w:b w:val="0"/>
          <w:color w:val="auto"/>
          <w:szCs w:val="28"/>
        </w:rPr>
      </w:pPr>
      <w:bookmarkStart w:id="47" w:name="_Toc12901"/>
      <w:r>
        <w:rPr>
          <w:rFonts w:hint="eastAsia"/>
          <w:b w:val="0"/>
          <w:color w:val="auto"/>
        </w:rPr>
        <w:t>（一）项目总体要求</w:t>
      </w:r>
      <w:bookmarkEnd w:id="47"/>
    </w:p>
    <w:p w14:paraId="424DDA40">
      <w:pPr>
        <w:spacing w:line="400" w:lineRule="exact"/>
        <w:ind w:firstLine="480" w:firstLineChars="200"/>
        <w:jc w:val="left"/>
        <w:rPr>
          <w:rFonts w:ascii="宋体" w:hAnsi="宋体" w:cs="宋体"/>
          <w:color w:val="auto"/>
          <w:sz w:val="24"/>
          <w:szCs w:val="24"/>
        </w:rPr>
      </w:pPr>
      <w:r>
        <w:rPr>
          <w:rFonts w:ascii="宋体" w:hAnsi="宋体" w:cs="宋体"/>
          <w:color w:val="auto"/>
          <w:sz w:val="24"/>
          <w:szCs w:val="24"/>
        </w:rPr>
        <w:t>1.食堂实行场地“零租赁”、免收管理费，中标人需结合经营场地的实际情况以及学校内涵建设，提供食堂环境改善方案，自行负责装修、设备设施购置、安装与管理、维护。采购人每月按月营业收入的3‰收取餐饮公司</w:t>
      </w:r>
      <w:r>
        <w:rPr>
          <w:rFonts w:hint="eastAsia" w:ascii="宋体" w:hAnsi="宋体" w:cs="宋体"/>
          <w:color w:val="auto"/>
          <w:sz w:val="24"/>
          <w:szCs w:val="24"/>
        </w:rPr>
        <w:t>一卡通使用维护费用和营业收入的</w:t>
      </w:r>
      <w:r>
        <w:rPr>
          <w:rFonts w:ascii="宋体" w:hAnsi="宋体" w:cs="宋体"/>
          <w:color w:val="auto"/>
          <w:sz w:val="24"/>
          <w:szCs w:val="24"/>
        </w:rPr>
        <w:t>7‰收取餐饮公司物业费（</w:t>
      </w:r>
      <w:r>
        <w:rPr>
          <w:rFonts w:hint="eastAsia" w:ascii="宋体" w:hAnsi="宋体" w:cs="宋体"/>
          <w:color w:val="auto"/>
          <w:sz w:val="24"/>
          <w:szCs w:val="24"/>
        </w:rPr>
        <w:t>含生活垃圾处置费）及按营业收入的一定比例暂扣考核费。</w:t>
      </w:r>
      <w:r>
        <w:rPr>
          <w:rFonts w:ascii="宋体" w:hAnsi="宋体" w:cs="宋体"/>
          <w:color w:val="auto"/>
          <w:sz w:val="24"/>
          <w:szCs w:val="24"/>
        </w:rPr>
        <w:t xml:space="preserve"> </w:t>
      </w:r>
      <w:r>
        <w:rPr>
          <w:rFonts w:hint="eastAsia" w:ascii="宋体" w:hAnsi="宋体" w:cs="宋体"/>
          <w:color w:val="auto"/>
          <w:sz w:val="24"/>
          <w:szCs w:val="24"/>
        </w:rPr>
        <w:t>成交商必须合法经营，诚信经营，自负盈亏，并在合同规定的范围内开展经营活动，开展经营所需的工商、税务、餐饮服务许可证、环保、文化、卫生等高校食堂经营所必须具备的相关手续由成交商自行办理，所产生的费用由成交商自行承担，采购人配合成交商办理，上述证件的原件交由采购人管理保存。</w:t>
      </w:r>
      <w:r>
        <w:rPr>
          <w:rFonts w:ascii="宋体" w:hAnsi="宋体" w:cs="宋体"/>
          <w:color w:val="auto"/>
          <w:sz w:val="24"/>
          <w:szCs w:val="24"/>
        </w:rPr>
        <w:t xml:space="preserve"> </w:t>
      </w:r>
    </w:p>
    <w:p w14:paraId="0A5EFA55">
      <w:pPr>
        <w:spacing w:line="400" w:lineRule="exact"/>
        <w:ind w:firstLine="480" w:firstLineChars="200"/>
        <w:rPr>
          <w:rFonts w:ascii="宋体" w:hAnsi="宋体" w:cs="宋体"/>
          <w:color w:val="auto"/>
          <w:sz w:val="24"/>
          <w:szCs w:val="24"/>
        </w:rPr>
      </w:pPr>
      <w:r>
        <w:rPr>
          <w:rFonts w:ascii="宋体" w:hAnsi="宋体" w:cs="宋体"/>
          <w:color w:val="auto"/>
          <w:sz w:val="24"/>
          <w:szCs w:val="24"/>
        </w:rPr>
        <w:t>2.委托经营地点:包1为重庆文理学院红河B区</w:t>
      </w:r>
      <w:r>
        <w:rPr>
          <w:rFonts w:hint="eastAsia" w:ascii="宋体" w:hAnsi="宋体" w:cs="宋体"/>
          <w:color w:val="auto"/>
          <w:sz w:val="24"/>
          <w:szCs w:val="24"/>
        </w:rPr>
        <w:t>知味楼一楼食堂；包</w:t>
      </w:r>
      <w:r>
        <w:rPr>
          <w:rFonts w:ascii="宋体" w:hAnsi="宋体" w:cs="宋体"/>
          <w:color w:val="auto"/>
          <w:sz w:val="24"/>
          <w:szCs w:val="24"/>
        </w:rPr>
        <w:t>2为重庆文理学院红河B区知味楼二楼特色食堂（含二楼教工餐厅）、三楼接待餐厅；包3为重庆文理学院红河A</w:t>
      </w:r>
      <w:r>
        <w:rPr>
          <w:rFonts w:hint="eastAsia" w:ascii="宋体" w:hAnsi="宋体" w:cs="宋体"/>
          <w:color w:val="auto"/>
          <w:sz w:val="24"/>
          <w:szCs w:val="24"/>
        </w:rPr>
        <w:t>区知善楼一、二楼食堂；包</w:t>
      </w:r>
      <w:r>
        <w:rPr>
          <w:rFonts w:ascii="宋体" w:hAnsi="宋体" w:cs="宋体"/>
          <w:color w:val="auto"/>
          <w:sz w:val="24"/>
          <w:szCs w:val="24"/>
        </w:rPr>
        <w:t>4为重庆文理学院红河A校区三食堂（含教工餐厅）；包5星湖校区知和楼一、二楼食堂（含教工餐厅）及</w:t>
      </w:r>
      <w:r>
        <w:rPr>
          <w:rFonts w:hint="eastAsia" w:ascii="宋体" w:hAnsi="宋体" w:cs="宋体"/>
          <w:color w:val="auto"/>
          <w:sz w:val="24"/>
          <w:szCs w:val="24"/>
        </w:rPr>
        <w:t>学聚苑食堂。</w:t>
      </w:r>
    </w:p>
    <w:p w14:paraId="75F836BE">
      <w:pPr>
        <w:spacing w:line="400" w:lineRule="exact"/>
        <w:ind w:firstLine="480" w:firstLineChars="200"/>
        <w:rPr>
          <w:rFonts w:ascii="宋体" w:hAnsi="宋体" w:cs="宋体"/>
          <w:color w:val="auto"/>
          <w:sz w:val="24"/>
          <w:szCs w:val="24"/>
        </w:rPr>
      </w:pPr>
      <w:r>
        <w:rPr>
          <w:rFonts w:ascii="宋体" w:hAnsi="宋体" w:cs="宋体"/>
          <w:color w:val="auto"/>
          <w:sz w:val="24"/>
          <w:szCs w:val="24"/>
        </w:rPr>
        <w:t>3.</w:t>
      </w:r>
      <w:r>
        <w:rPr>
          <w:rFonts w:hint="eastAsia" w:ascii="宋体" w:hAnsi="宋体" w:cs="宋体"/>
          <w:color w:val="auto"/>
          <w:sz w:val="24"/>
          <w:szCs w:val="24"/>
        </w:rPr>
        <w:t>成交商应合理使用采购人提供的房屋、场地及其附属设施，负责日常管理与维护，如因使用不当造成房屋、场地及设施损坏的，成交商应立即负责修复或给予经济赔偿。在合同期内，成交商未事先征得学校书面同意，不得擅自改变房屋、场地及其附属设施的外观、结构和用途。不得超承重负荷使用房屋。</w:t>
      </w:r>
    </w:p>
    <w:p w14:paraId="0B23855B">
      <w:pPr>
        <w:pStyle w:val="22"/>
        <w:spacing w:line="400" w:lineRule="exact"/>
        <w:ind w:firstLine="480" w:firstLineChars="200"/>
        <w:rPr>
          <w:rFonts w:ascii="宋体" w:hAnsi="宋体" w:eastAsia="宋体" w:cs="宋体"/>
          <w:color w:val="auto"/>
          <w:sz w:val="24"/>
          <w:szCs w:val="24"/>
        </w:rPr>
      </w:pPr>
      <w:r>
        <w:rPr>
          <w:rFonts w:ascii="宋体" w:hAnsi="宋体" w:eastAsia="宋体" w:cs="宋体"/>
          <w:color w:val="auto"/>
          <w:sz w:val="24"/>
          <w:szCs w:val="24"/>
        </w:rPr>
        <w:t>4.包4红河A校区三食堂（含教工餐厅）、包5星湖校区知和楼一二楼（含教工餐厅）及</w:t>
      </w:r>
      <w:r>
        <w:rPr>
          <w:rFonts w:hint="eastAsia" w:ascii="宋体" w:hAnsi="宋体" w:eastAsia="宋体" w:cs="宋体"/>
          <w:color w:val="auto"/>
          <w:sz w:val="24"/>
          <w:szCs w:val="24"/>
        </w:rPr>
        <w:t>学聚苑食堂委托经营起点时间以采购人通知为准，截止时间不变。</w:t>
      </w:r>
    </w:p>
    <w:p w14:paraId="56E8F35C">
      <w:pPr>
        <w:spacing w:line="400" w:lineRule="exact"/>
        <w:ind w:firstLine="480" w:firstLineChars="200"/>
        <w:rPr>
          <w:rFonts w:ascii="宋体" w:hAnsi="宋体" w:cs="宋体"/>
          <w:color w:val="auto"/>
          <w:sz w:val="24"/>
          <w:szCs w:val="24"/>
        </w:rPr>
      </w:pPr>
      <w:r>
        <w:rPr>
          <w:rFonts w:ascii="宋体" w:hAnsi="宋体" w:cs="宋体"/>
          <w:color w:val="auto"/>
          <w:sz w:val="24"/>
          <w:szCs w:val="24"/>
        </w:rPr>
        <w:t>5.</w:t>
      </w:r>
      <w:r>
        <w:rPr>
          <w:rFonts w:hint="eastAsia" w:ascii="宋体" w:hAnsi="宋体" w:cs="宋体"/>
          <w:color w:val="auto"/>
          <w:sz w:val="24"/>
          <w:szCs w:val="24"/>
          <w:lang w:val="zh-CN"/>
        </w:rPr>
        <w:t>招标项目餐饮服务定位与要求：</w:t>
      </w:r>
      <w:r>
        <w:rPr>
          <w:rFonts w:hint="eastAsia" w:ascii="宋体" w:hAnsi="宋体" w:cs="宋体"/>
          <w:color w:val="auto"/>
          <w:sz w:val="24"/>
          <w:szCs w:val="24"/>
        </w:rPr>
        <w:t>本项目所有食堂定位为基本大伙保障型食堂，为师生提供保障用餐。主营基本大伙保障餐、特色风味餐、爱心保障餐、教工餐、接待餐。</w:t>
      </w:r>
      <w:r>
        <w:rPr>
          <w:rFonts w:hint="eastAsia" w:ascii="宋体" w:hAnsi="宋体" w:cs="仿宋"/>
          <w:color w:val="auto"/>
          <w:sz w:val="24"/>
          <w:szCs w:val="24"/>
        </w:rPr>
        <w:t>不得在食堂内使用、销售预制菜</w:t>
      </w:r>
      <w:r>
        <w:rPr>
          <w:rFonts w:hint="eastAsia" w:ascii="宋体" w:hAnsi="宋体" w:cs="宋体"/>
          <w:color w:val="auto"/>
          <w:sz w:val="24"/>
          <w:szCs w:val="24"/>
        </w:rPr>
        <w:t>。饭菜价格，使用实行审核备案制，严禁随意涨价、调价。</w:t>
      </w:r>
    </w:p>
    <w:p w14:paraId="58DFE1A9">
      <w:pPr>
        <w:spacing w:line="400" w:lineRule="exact"/>
        <w:ind w:firstLine="480" w:firstLineChars="200"/>
        <w:rPr>
          <w:rFonts w:ascii="宋体" w:hAnsi="宋体" w:cs="宋体"/>
          <w:color w:val="auto"/>
          <w:sz w:val="24"/>
          <w:szCs w:val="24"/>
        </w:rPr>
      </w:pPr>
      <w:r>
        <w:rPr>
          <w:rFonts w:ascii="宋体" w:hAnsi="宋体" w:cs="宋体"/>
          <w:color w:val="auto"/>
          <w:sz w:val="24"/>
          <w:szCs w:val="24"/>
        </w:rPr>
        <w:t>6.包2</w:t>
      </w:r>
      <w:r>
        <w:rPr>
          <w:rFonts w:hint="eastAsia" w:ascii="宋体" w:hAnsi="宋体" w:cs="宋体"/>
          <w:color w:val="auto"/>
          <w:sz w:val="24"/>
          <w:szCs w:val="24"/>
        </w:rPr>
        <w:t>成交商在知味楼二楼、包</w:t>
      </w:r>
      <w:r>
        <w:rPr>
          <w:rFonts w:ascii="宋体" w:hAnsi="宋体" w:cs="宋体"/>
          <w:color w:val="auto"/>
          <w:sz w:val="24"/>
          <w:szCs w:val="24"/>
        </w:rPr>
        <w:t>3</w:t>
      </w:r>
      <w:r>
        <w:rPr>
          <w:rFonts w:hint="eastAsia" w:ascii="宋体" w:hAnsi="宋体" w:cs="宋体"/>
          <w:color w:val="auto"/>
          <w:sz w:val="24"/>
          <w:szCs w:val="24"/>
        </w:rPr>
        <w:t>成交商在知善楼二楼、包</w:t>
      </w:r>
      <w:r>
        <w:rPr>
          <w:rFonts w:ascii="宋体" w:hAnsi="宋体" w:cs="宋体"/>
          <w:color w:val="auto"/>
          <w:sz w:val="24"/>
          <w:szCs w:val="24"/>
        </w:rPr>
        <w:t>5</w:t>
      </w:r>
      <w:r>
        <w:rPr>
          <w:rFonts w:hint="eastAsia" w:ascii="宋体" w:hAnsi="宋体" w:cs="宋体"/>
          <w:color w:val="auto"/>
          <w:sz w:val="24"/>
          <w:szCs w:val="24"/>
        </w:rPr>
        <w:t>成交商在星湖校区知和楼二楼食堂必须分别保证有一个面积大小合理、窗口独立的民族特色食品专卖窗口，须严格遵守少数民族的饮食习惯和加工程序。</w:t>
      </w:r>
    </w:p>
    <w:p w14:paraId="45635C23">
      <w:pPr>
        <w:spacing w:line="400" w:lineRule="exact"/>
        <w:ind w:firstLine="480" w:firstLineChars="200"/>
        <w:rPr>
          <w:rFonts w:ascii="宋体" w:hAnsi="宋体" w:cs="宋体"/>
          <w:color w:val="auto"/>
          <w:sz w:val="24"/>
          <w:szCs w:val="24"/>
        </w:rPr>
      </w:pPr>
      <w:r>
        <w:rPr>
          <w:rFonts w:ascii="宋体" w:hAnsi="宋体" w:cs="宋体"/>
          <w:color w:val="auto"/>
          <w:sz w:val="24"/>
          <w:szCs w:val="24"/>
        </w:rPr>
        <w:t>7.包3</w:t>
      </w:r>
      <w:r>
        <w:rPr>
          <w:rFonts w:hint="eastAsia" w:ascii="宋体" w:hAnsi="宋体" w:cs="宋体"/>
          <w:color w:val="auto"/>
          <w:sz w:val="24"/>
          <w:szCs w:val="24"/>
        </w:rPr>
        <w:t>成交商须在红河</w:t>
      </w:r>
      <w:r>
        <w:rPr>
          <w:rFonts w:ascii="宋体" w:hAnsi="宋体" w:cs="宋体"/>
          <w:color w:val="auto"/>
          <w:sz w:val="24"/>
          <w:szCs w:val="24"/>
        </w:rPr>
        <w:t>A</w:t>
      </w:r>
      <w:r>
        <w:rPr>
          <w:rFonts w:hint="eastAsia" w:ascii="宋体" w:hAnsi="宋体" w:cs="宋体"/>
          <w:color w:val="auto"/>
          <w:sz w:val="24"/>
          <w:szCs w:val="24"/>
        </w:rPr>
        <w:t>区知善楼二楼的现小鱼精品套餐窗口及操作间、现洗消间、</w:t>
      </w:r>
      <w:r>
        <w:rPr>
          <w:rFonts w:ascii="宋体" w:hAnsi="宋体" w:cs="宋体"/>
          <w:color w:val="auto"/>
          <w:sz w:val="24"/>
          <w:szCs w:val="24"/>
        </w:rPr>
        <w:t>2间库房、更衣间、办公室等区域暂时设立附属幼儿园食堂。附属幼儿园食堂由永川兴龙湖小学独立经营（包括</w:t>
      </w:r>
      <w:r>
        <w:rPr>
          <w:rFonts w:hint="eastAsia" w:ascii="宋体" w:hAnsi="宋体" w:cs="宋体"/>
          <w:color w:val="auto"/>
          <w:sz w:val="24"/>
          <w:szCs w:val="24"/>
        </w:rPr>
        <w:t>水、电、气费单独计量并由永川兴龙湖小学付费），时间一年，须预留区域不少于</w:t>
      </w:r>
      <w:r>
        <w:rPr>
          <w:rFonts w:ascii="宋体" w:hAnsi="宋体" w:cs="宋体"/>
          <w:color w:val="auto"/>
          <w:sz w:val="24"/>
          <w:szCs w:val="24"/>
        </w:rPr>
        <w:t>80平方米（包括附属幼儿园食堂加工区20平方米、存储区20平方米、</w:t>
      </w:r>
      <w:r>
        <w:rPr>
          <w:rFonts w:hint="eastAsia" w:ascii="宋体" w:hAnsi="宋体" w:cs="宋体"/>
          <w:color w:val="auto"/>
          <w:sz w:val="24"/>
          <w:szCs w:val="24"/>
        </w:rPr>
        <w:t>洗消区</w:t>
      </w:r>
      <w:r>
        <w:rPr>
          <w:rFonts w:ascii="宋体" w:hAnsi="宋体" w:cs="宋体"/>
          <w:color w:val="auto"/>
          <w:sz w:val="24"/>
          <w:szCs w:val="24"/>
        </w:rPr>
        <w:t>10平方米</w:t>
      </w:r>
      <w:r>
        <w:rPr>
          <w:rFonts w:hint="eastAsia" w:ascii="宋体" w:hAnsi="宋体" w:cs="宋体"/>
          <w:color w:val="auto"/>
          <w:sz w:val="24"/>
          <w:szCs w:val="24"/>
        </w:rPr>
        <w:t>，烹饪间</w:t>
      </w:r>
      <w:r>
        <w:rPr>
          <w:rFonts w:ascii="宋体" w:hAnsi="宋体" w:cs="宋体"/>
          <w:color w:val="auto"/>
          <w:sz w:val="24"/>
          <w:szCs w:val="24"/>
        </w:rPr>
        <w:t>20平方米，配餐间10平方米）。因兴龙湖小学一年后要将该区域要交还给包3成交商，所以包3</w:t>
      </w:r>
      <w:r>
        <w:rPr>
          <w:rFonts w:hint="eastAsia" w:ascii="宋体" w:hAnsi="宋体" w:cs="宋体"/>
          <w:color w:val="auto"/>
          <w:sz w:val="24"/>
          <w:szCs w:val="24"/>
        </w:rPr>
        <w:t>成交商需要出资对该区域按照幼儿园食堂要求进行统一设计装修、安装食安系统、抽排系统、排水系统、灶</w:t>
      </w:r>
      <w:r>
        <w:rPr>
          <w:rFonts w:ascii="宋体" w:hAnsi="宋体" w:cs="宋体"/>
          <w:color w:val="auto"/>
          <w:sz w:val="24"/>
          <w:szCs w:val="24"/>
        </w:rPr>
        <w:t>2台、餐具消毒柜1台、六门冰箱2台等</w:t>
      </w:r>
      <w:r>
        <w:rPr>
          <w:rFonts w:hint="eastAsia" w:ascii="宋体" w:hAnsi="宋体" w:cs="宋体"/>
          <w:color w:val="auto"/>
          <w:sz w:val="24"/>
          <w:szCs w:val="24"/>
        </w:rPr>
        <w:t>后厨必备的设备设施（装修要求、安全责任划分由成交商与附属幼儿园另行协商约定，采购人不承担任何责任），且必须在幼儿园开园前达到供餐条件（具体时间以幼儿园通知为准）。</w:t>
      </w:r>
    </w:p>
    <w:p w14:paraId="1551CDBB">
      <w:pPr>
        <w:spacing w:line="400" w:lineRule="exact"/>
        <w:ind w:firstLine="480" w:firstLineChars="200"/>
        <w:rPr>
          <w:rFonts w:ascii="宋体" w:hAnsi="宋体" w:cs="宋体"/>
          <w:color w:val="auto"/>
          <w:sz w:val="24"/>
          <w:szCs w:val="24"/>
        </w:rPr>
      </w:pPr>
      <w:r>
        <w:rPr>
          <w:rFonts w:ascii="宋体" w:hAnsi="宋体" w:cs="宋体"/>
          <w:color w:val="auto"/>
          <w:sz w:val="24"/>
          <w:szCs w:val="24"/>
        </w:rPr>
        <w:t>8.座位个数。包1红河B区</w:t>
      </w:r>
      <w:r>
        <w:rPr>
          <w:rFonts w:hint="eastAsia" w:ascii="宋体" w:hAnsi="宋体" w:cs="宋体"/>
          <w:color w:val="auto"/>
          <w:sz w:val="24"/>
          <w:szCs w:val="24"/>
        </w:rPr>
        <w:t>知味楼一楼食堂不低于</w:t>
      </w:r>
      <w:r>
        <w:rPr>
          <w:rFonts w:ascii="宋体" w:hAnsi="宋体" w:cs="宋体"/>
          <w:color w:val="auto"/>
          <w:sz w:val="24"/>
          <w:szCs w:val="24"/>
        </w:rPr>
        <w:t>687个座位；包2红河B区知味楼二楼食堂学生就餐区不低于794个座位；包3红河A</w:t>
      </w:r>
      <w:r>
        <w:rPr>
          <w:rFonts w:hint="eastAsia" w:ascii="宋体" w:hAnsi="宋体" w:cs="宋体"/>
          <w:color w:val="auto"/>
          <w:sz w:val="24"/>
          <w:szCs w:val="24"/>
        </w:rPr>
        <w:t>区知善楼一、二楼食堂不低于</w:t>
      </w:r>
      <w:r>
        <w:rPr>
          <w:rFonts w:ascii="宋体" w:hAnsi="宋体" w:cs="宋体"/>
          <w:color w:val="auto"/>
          <w:sz w:val="24"/>
          <w:szCs w:val="24"/>
        </w:rPr>
        <w:t>1784个座位；包4红河A校区三食堂不低于900个座位；包5星湖校区知和楼一、二楼食堂不低于1000个座位，</w:t>
      </w:r>
      <w:r>
        <w:rPr>
          <w:rFonts w:hint="eastAsia" w:ascii="宋体" w:hAnsi="宋体" w:cs="宋体"/>
          <w:color w:val="auto"/>
          <w:sz w:val="24"/>
          <w:szCs w:val="24"/>
        </w:rPr>
        <w:t>学聚苑食堂不低于</w:t>
      </w:r>
      <w:r>
        <w:rPr>
          <w:rFonts w:ascii="宋体" w:hAnsi="宋体" w:cs="宋体"/>
          <w:color w:val="auto"/>
          <w:sz w:val="24"/>
          <w:szCs w:val="24"/>
        </w:rPr>
        <w:t>264个座位。</w:t>
      </w:r>
      <w:r>
        <w:rPr>
          <w:rFonts w:hint="eastAsia" w:ascii="宋体" w:hAnsi="宋体" w:cs="宋体"/>
          <w:color w:val="auto"/>
          <w:sz w:val="24"/>
          <w:szCs w:val="24"/>
        </w:rPr>
        <w:t>成交商的餐桌椅配置须符合高端大气的现代大学食堂标准要求，并经采购人基建后勤处书面同意。</w:t>
      </w:r>
    </w:p>
    <w:p w14:paraId="62E52615">
      <w:pPr>
        <w:spacing w:line="400" w:lineRule="exact"/>
        <w:ind w:firstLine="480" w:firstLineChars="200"/>
        <w:rPr>
          <w:rFonts w:ascii="宋体" w:hAnsi="宋体" w:cs="宋体"/>
          <w:color w:val="auto"/>
          <w:sz w:val="24"/>
          <w:szCs w:val="24"/>
        </w:rPr>
      </w:pPr>
      <w:r>
        <w:rPr>
          <w:rFonts w:ascii="宋体" w:hAnsi="宋体" w:cs="宋体"/>
          <w:color w:val="auto"/>
          <w:sz w:val="24"/>
          <w:szCs w:val="24"/>
        </w:rPr>
        <w:t>9.合同期满，</w:t>
      </w:r>
      <w:r>
        <w:rPr>
          <w:rFonts w:hint="eastAsia" w:ascii="宋体" w:hAnsi="宋体" w:cs="宋体"/>
          <w:color w:val="auto"/>
          <w:sz w:val="24"/>
          <w:szCs w:val="24"/>
        </w:rPr>
        <w:t>成交商投入的装修装饰和管网、电线、消防设施、数智食堂及设施设备所有权无偿转让给采购人，交由采购人进行处置，成交商不得破坏。同时成交商</w:t>
      </w:r>
      <w:r>
        <w:rPr>
          <w:rFonts w:hint="eastAsia" w:ascii="宋体" w:hAnsi="宋体"/>
          <w:color w:val="auto"/>
          <w:sz w:val="24"/>
          <w:szCs w:val="24"/>
        </w:rPr>
        <w:t>在撤离时如数返还采购人原有设施设备，完成食堂内的清洁工作。成交商逾期未撤离，采购人有权对成交商所有投入设施设备进行全权处置，由此造成的一切后果与损失由成交商自行承担。成交商在合同期内可以对食堂进行再次装修，其装修费用均由成交商自行承担，成交商再次装修方案必须经采购人基建后勤处书面书面同意后方可进行，否则，采购人扣除成交商</w:t>
      </w:r>
      <w:r>
        <w:rPr>
          <w:rFonts w:ascii="宋体" w:hAnsi="宋体"/>
          <w:color w:val="auto"/>
          <w:sz w:val="24"/>
          <w:szCs w:val="24"/>
        </w:rPr>
        <w:t>50000元的违约金。</w:t>
      </w:r>
      <w:r>
        <w:rPr>
          <w:rFonts w:hint="eastAsia" w:ascii="宋体" w:hAnsi="宋体" w:cs="宋体"/>
          <w:color w:val="auto"/>
          <w:sz w:val="24"/>
          <w:szCs w:val="24"/>
        </w:rPr>
        <w:t>尾料、现场垃圾及废品、废物须由成交商负责处置并打扫清理干净，采购人无义务回收或转让。成交商与食堂监管部门进行清点并完善移交签字手续。</w:t>
      </w:r>
    </w:p>
    <w:p w14:paraId="1CC01433">
      <w:pPr>
        <w:spacing w:line="400" w:lineRule="exact"/>
        <w:ind w:firstLine="480" w:firstLineChars="200"/>
        <w:rPr>
          <w:rFonts w:ascii="宋体" w:hAnsi="宋体" w:cs="宋体"/>
          <w:color w:val="auto"/>
          <w:sz w:val="24"/>
          <w:szCs w:val="24"/>
        </w:rPr>
      </w:pPr>
      <w:r>
        <w:rPr>
          <w:rFonts w:ascii="宋体" w:hAnsi="宋体" w:cs="宋体"/>
          <w:color w:val="auto"/>
          <w:sz w:val="24"/>
          <w:szCs w:val="24"/>
        </w:rPr>
        <w:t>10.监督管理。</w:t>
      </w:r>
      <w:r>
        <w:rPr>
          <w:rFonts w:hint="eastAsia" w:ascii="宋体" w:hAnsi="宋体" w:cs="宋体"/>
          <w:color w:val="auto"/>
          <w:sz w:val="24"/>
          <w:szCs w:val="24"/>
        </w:rPr>
        <w:t>成交商须服从学校现有的以及学校不断完善和新增的各项管理制度、规范及考核办法，并按照考核结果和考核意见进行整改落实。考核分为日常考核、学期考核，按考核办法执行。成交供应商在运营期间，因管理不善，收到学校、国家机关在监督管理过程中提出的各项整改要求和处罚必须无条件按要求限时完成整改，接受处罚。</w:t>
      </w:r>
    </w:p>
    <w:p w14:paraId="0CCE968C">
      <w:pPr>
        <w:spacing w:line="400" w:lineRule="exact"/>
        <w:ind w:firstLine="480" w:firstLineChars="200"/>
        <w:rPr>
          <w:rFonts w:ascii="宋体" w:hAnsi="宋体" w:cs="宋体"/>
          <w:color w:val="auto"/>
          <w:sz w:val="24"/>
          <w:szCs w:val="24"/>
        </w:rPr>
      </w:pPr>
      <w:r>
        <w:rPr>
          <w:rFonts w:ascii="宋体" w:hAnsi="宋体" w:cs="宋体"/>
          <w:color w:val="auto"/>
          <w:sz w:val="24"/>
          <w:szCs w:val="24"/>
        </w:rPr>
        <w:t>11.各食堂的用电负荷上限须取得采购人基建后勤处的</w:t>
      </w:r>
      <w:r>
        <w:rPr>
          <w:rFonts w:hint="eastAsia" w:ascii="宋体" w:hAnsi="宋体" w:cs="宋体"/>
          <w:color w:val="auto"/>
          <w:sz w:val="24"/>
          <w:szCs w:val="24"/>
        </w:rPr>
        <w:t>书面同意</w:t>
      </w:r>
      <w:r>
        <w:rPr>
          <w:rFonts w:ascii="宋体" w:hAnsi="宋体" w:cs="宋体"/>
          <w:color w:val="auto"/>
          <w:sz w:val="24"/>
          <w:szCs w:val="24"/>
        </w:rPr>
        <w:t>。</w:t>
      </w:r>
    </w:p>
    <w:p w14:paraId="67F182A9">
      <w:pPr>
        <w:spacing w:line="400" w:lineRule="exact"/>
        <w:ind w:firstLine="480" w:firstLineChars="200"/>
        <w:rPr>
          <w:rFonts w:ascii="宋体" w:hAnsi="宋体" w:cs="宋体"/>
          <w:color w:val="auto"/>
          <w:sz w:val="24"/>
          <w:szCs w:val="24"/>
        </w:rPr>
      </w:pPr>
      <w:r>
        <w:rPr>
          <w:rFonts w:ascii="宋体" w:hAnsi="宋体" w:cs="宋体"/>
          <w:color w:val="auto"/>
          <w:sz w:val="24"/>
          <w:szCs w:val="24"/>
        </w:rPr>
        <w:t>12.经营服务时间：</w:t>
      </w:r>
      <w:r>
        <w:rPr>
          <w:rFonts w:hint="eastAsia" w:ascii="宋体" w:hAnsi="宋体" w:cs="宋体"/>
          <w:color w:val="auto"/>
          <w:sz w:val="24"/>
          <w:szCs w:val="24"/>
        </w:rPr>
        <w:t>成交商须无条件服从采购人关于寒暑假期间留校师生正常伙食供应的值班工作安排，保证寒暑假期间师生的正常供餐，否则，采购人可按</w:t>
      </w:r>
      <w:r>
        <w:rPr>
          <w:rFonts w:ascii="宋体" w:hAnsi="宋体" w:cs="宋体"/>
          <w:color w:val="auto"/>
          <w:sz w:val="24"/>
          <w:szCs w:val="24"/>
        </w:rPr>
        <w:t>50000元/次扣除</w:t>
      </w:r>
      <w:r>
        <w:rPr>
          <w:rFonts w:hint="eastAsia" w:ascii="宋体" w:hAnsi="宋体" w:cs="宋体"/>
          <w:color w:val="auto"/>
          <w:sz w:val="24"/>
          <w:szCs w:val="24"/>
        </w:rPr>
        <w:t>成交商违约金。每学期开学及放假开停餐须严格按照采购人的通知时间执行。经营期间成交商不得以任何理由私自全部或部分或个别档口停餐，否则，采购人按每餐所停或未开餐档口</w:t>
      </w:r>
      <w:r>
        <w:rPr>
          <w:rFonts w:ascii="宋体" w:hAnsi="宋体" w:cs="宋体"/>
          <w:color w:val="auto"/>
          <w:sz w:val="24"/>
          <w:szCs w:val="24"/>
        </w:rPr>
        <w:t>20000</w:t>
      </w:r>
      <w:r>
        <w:rPr>
          <w:rFonts w:hint="eastAsia" w:ascii="宋体" w:hAnsi="宋体" w:cs="宋体"/>
          <w:color w:val="auto"/>
          <w:sz w:val="24"/>
          <w:szCs w:val="24"/>
        </w:rPr>
        <w:t>元</w:t>
      </w:r>
      <w:r>
        <w:rPr>
          <w:rFonts w:ascii="宋体" w:hAnsi="宋体" w:cs="宋体"/>
          <w:color w:val="auto"/>
          <w:sz w:val="24"/>
          <w:szCs w:val="24"/>
        </w:rPr>
        <w:t>/</w:t>
      </w:r>
      <w:r>
        <w:rPr>
          <w:rFonts w:hint="eastAsia" w:ascii="宋体" w:hAnsi="宋体" w:cs="宋体"/>
          <w:color w:val="auto"/>
          <w:sz w:val="24"/>
          <w:szCs w:val="24"/>
        </w:rPr>
        <w:t>个扣除成交商违约金。</w:t>
      </w:r>
    </w:p>
    <w:p w14:paraId="65F8F2D6">
      <w:pPr>
        <w:pStyle w:val="4"/>
        <w:spacing w:line="400" w:lineRule="exact"/>
        <w:rPr>
          <w:b w:val="0"/>
          <w:color w:val="auto"/>
        </w:rPr>
      </w:pPr>
      <w:bookmarkStart w:id="48" w:name="_Toc5056"/>
      <w:r>
        <w:rPr>
          <w:rFonts w:hint="eastAsia"/>
          <w:b w:val="0"/>
          <w:color w:val="auto"/>
        </w:rPr>
        <w:t>（二）经营管理要求</w:t>
      </w:r>
      <w:bookmarkEnd w:id="48"/>
    </w:p>
    <w:p w14:paraId="4DC81149">
      <w:pPr>
        <w:spacing w:line="400" w:lineRule="exact"/>
        <w:ind w:firstLine="480" w:firstLineChars="200"/>
        <w:rPr>
          <w:rFonts w:ascii="宋体" w:hAnsi="宋体" w:cs="宋体"/>
          <w:color w:val="auto"/>
          <w:sz w:val="24"/>
          <w:szCs w:val="24"/>
        </w:rPr>
      </w:pPr>
      <w:r>
        <w:rPr>
          <w:rFonts w:ascii="宋体" w:hAnsi="宋体" w:cs="宋体"/>
          <w:color w:val="auto"/>
          <w:sz w:val="24"/>
          <w:szCs w:val="24"/>
        </w:rPr>
        <w:t>1.</w:t>
      </w:r>
      <w:r>
        <w:rPr>
          <w:rFonts w:hint="eastAsia" w:ascii="宋体" w:hAnsi="宋体" w:cs="宋体"/>
          <w:color w:val="auto"/>
          <w:sz w:val="24"/>
          <w:szCs w:val="24"/>
        </w:rPr>
        <w:t>成交商应充分考虑大多数学生的经济承受能力，“学生需求”与“健康饮食”的关系，严格执行采购人和行业的相关规定控制饭菜质量和价格。合理设置基本大伙档口（成交商必须设置明确标识），各食堂一楼的基本大伙档口数量占比不低于</w:t>
      </w:r>
      <w:r>
        <w:rPr>
          <w:rFonts w:ascii="宋体" w:hAnsi="宋体" w:cs="宋体"/>
          <w:color w:val="auto"/>
          <w:sz w:val="24"/>
          <w:szCs w:val="24"/>
        </w:rPr>
        <w:t>35%，同时在食堂一楼还</w:t>
      </w:r>
      <w:r>
        <w:rPr>
          <w:rFonts w:hint="eastAsia" w:ascii="宋体" w:hAnsi="宋体" w:cs="宋体"/>
          <w:color w:val="auto"/>
          <w:sz w:val="24"/>
          <w:szCs w:val="24"/>
        </w:rPr>
        <w:t>须设置独立爱心餐档口。所有饭菜价格应明码标价且应低于社会餐饮同等水平。</w:t>
      </w:r>
    </w:p>
    <w:p w14:paraId="7505B559">
      <w:pPr>
        <w:spacing w:line="400" w:lineRule="exact"/>
        <w:ind w:firstLine="480" w:firstLineChars="200"/>
        <w:rPr>
          <w:rFonts w:ascii="宋体" w:hAnsi="宋体" w:cs="宋体"/>
          <w:color w:val="auto"/>
          <w:sz w:val="24"/>
          <w:szCs w:val="24"/>
        </w:rPr>
      </w:pPr>
      <w:r>
        <w:rPr>
          <w:rFonts w:ascii="宋体" w:hAnsi="宋体" w:cs="宋体"/>
          <w:color w:val="auto"/>
          <w:sz w:val="24"/>
          <w:szCs w:val="24"/>
        </w:rPr>
        <w:t>2.基本大伙菜品种类和份量须满足学生用餐的实际需求。针对基本早餐类食品、基本大伙餐、爱心餐管理，暂定执行以下要求且必须确保</w:t>
      </w:r>
      <w:r>
        <w:rPr>
          <w:rFonts w:hint="eastAsia" w:ascii="宋体" w:hAnsi="宋体" w:cs="宋体"/>
          <w:color w:val="auto"/>
          <w:sz w:val="24"/>
          <w:szCs w:val="24"/>
          <w:lang w:val="zh-CN"/>
        </w:rPr>
        <w:t>供应</w:t>
      </w:r>
      <w:r>
        <w:rPr>
          <w:rFonts w:hint="eastAsia" w:ascii="宋体" w:hAnsi="宋体" w:cs="宋体"/>
          <w:color w:val="auto"/>
          <w:sz w:val="24"/>
          <w:szCs w:val="24"/>
        </w:rPr>
        <w:t>不断档或限量销售，后续调价按照重庆市教委或经市教委授权重庆教育后勤协会发布相关文件执行。</w:t>
      </w:r>
    </w:p>
    <w:p w14:paraId="7B3DAF57">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w:t>
      </w:r>
      <w:r>
        <w:rPr>
          <w:rFonts w:ascii="宋体" w:hAnsi="宋体" w:cs="宋体"/>
          <w:color w:val="auto"/>
          <w:sz w:val="24"/>
          <w:szCs w:val="24"/>
        </w:rPr>
        <w:t>1）所有菜品的出品量、荤素比、售卖价，采取报批制，严格按照</w:t>
      </w:r>
      <w:r>
        <w:rPr>
          <w:rFonts w:hint="eastAsia" w:ascii="宋体" w:hAnsi="宋体" w:cs="宋体"/>
          <w:color w:val="auto"/>
          <w:sz w:val="24"/>
          <w:szCs w:val="24"/>
        </w:rPr>
        <w:t>成交商上报的数据对照执行。所有上报的菜品包括菜品名称、菜品主配料成分、成品售卖价格。</w:t>
      </w:r>
    </w:p>
    <w:p w14:paraId="7B943187">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w:t>
      </w:r>
      <w:r>
        <w:rPr>
          <w:rFonts w:ascii="宋体" w:hAnsi="宋体" w:cs="宋体"/>
          <w:color w:val="auto"/>
          <w:sz w:val="24"/>
          <w:szCs w:val="24"/>
        </w:rPr>
        <w:t>2）所有上报的菜品与</w:t>
      </w:r>
      <w:r>
        <w:rPr>
          <w:rFonts w:hint="eastAsia" w:ascii="宋体" w:hAnsi="宋体" w:cs="宋体"/>
          <w:color w:val="auto"/>
          <w:sz w:val="24"/>
          <w:szCs w:val="24"/>
        </w:rPr>
        <w:t>永川及周边</w:t>
      </w:r>
      <w:r>
        <w:rPr>
          <w:rFonts w:ascii="宋体" w:hAnsi="宋体" w:cs="宋体"/>
          <w:color w:val="auto"/>
          <w:sz w:val="24"/>
          <w:szCs w:val="24"/>
        </w:rPr>
        <w:t>高校一致的，</w:t>
      </w:r>
      <w:r>
        <w:rPr>
          <w:rFonts w:hint="eastAsia" w:ascii="宋体" w:hAnsi="宋体" w:cs="宋体"/>
          <w:color w:val="auto"/>
          <w:sz w:val="24"/>
          <w:szCs w:val="24"/>
        </w:rPr>
        <w:t>需包括相同产品</w:t>
      </w:r>
      <w:r>
        <w:rPr>
          <w:rFonts w:ascii="宋体" w:hAnsi="宋体" w:cs="宋体"/>
          <w:color w:val="auto"/>
          <w:sz w:val="24"/>
          <w:szCs w:val="24"/>
        </w:rPr>
        <w:t>2-3所高校的对比价格。</w:t>
      </w:r>
    </w:p>
    <w:p w14:paraId="30F44482">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w:t>
      </w:r>
      <w:r>
        <w:rPr>
          <w:rFonts w:ascii="宋体" w:hAnsi="宋体" w:cs="宋体"/>
          <w:color w:val="auto"/>
          <w:sz w:val="24"/>
          <w:szCs w:val="24"/>
        </w:rPr>
        <w:t>3）基本早餐类食品价格按照以下标准：</w:t>
      </w:r>
    </w:p>
    <w:tbl>
      <w:tblPr>
        <w:tblStyle w:val="59"/>
        <w:tblW w:w="9129" w:type="dxa"/>
        <w:jc w:val="center"/>
        <w:tblLayout w:type="fixed"/>
        <w:tblCellMar>
          <w:top w:w="0" w:type="dxa"/>
          <w:left w:w="108" w:type="dxa"/>
          <w:bottom w:w="0" w:type="dxa"/>
          <w:right w:w="108" w:type="dxa"/>
        </w:tblCellMar>
      </w:tblPr>
      <w:tblGrid>
        <w:gridCol w:w="3607"/>
        <w:gridCol w:w="2888"/>
        <w:gridCol w:w="2634"/>
      </w:tblGrid>
      <w:tr w14:paraId="760BDC23">
        <w:tblPrEx>
          <w:tblCellMar>
            <w:top w:w="0" w:type="dxa"/>
            <w:left w:w="108" w:type="dxa"/>
            <w:bottom w:w="0" w:type="dxa"/>
            <w:right w:w="108" w:type="dxa"/>
          </w:tblCellMar>
        </w:tblPrEx>
        <w:trPr>
          <w:trHeight w:val="383" w:hRule="atLeast"/>
          <w:jc w:val="center"/>
        </w:trPr>
        <w:tc>
          <w:tcPr>
            <w:tcW w:w="3607" w:type="dxa"/>
            <w:tcBorders>
              <w:top w:val="single" w:color="000000" w:sz="4" w:space="0"/>
              <w:left w:val="single" w:color="000000" w:sz="4" w:space="0"/>
              <w:bottom w:val="single" w:color="000000" w:sz="4" w:space="0"/>
              <w:right w:val="single" w:color="000000" w:sz="4" w:space="0"/>
            </w:tcBorders>
            <w:noWrap/>
            <w:vAlign w:val="center"/>
          </w:tcPr>
          <w:p w14:paraId="1770EAB3">
            <w:pPr>
              <w:spacing w:line="400" w:lineRule="exact"/>
              <w:ind w:firstLine="480" w:firstLineChars="200"/>
              <w:jc w:val="center"/>
              <w:rPr>
                <w:rFonts w:ascii="宋体" w:hAnsi="宋体" w:cs="宋体"/>
                <w:color w:val="auto"/>
                <w:sz w:val="24"/>
                <w:szCs w:val="24"/>
              </w:rPr>
            </w:pPr>
            <w:r>
              <w:rPr>
                <w:rFonts w:hint="eastAsia" w:ascii="宋体" w:hAnsi="宋体" w:cs="宋体"/>
                <w:color w:val="auto"/>
                <w:sz w:val="24"/>
                <w:szCs w:val="24"/>
              </w:rPr>
              <w:t>品类</w:t>
            </w:r>
          </w:p>
        </w:tc>
        <w:tc>
          <w:tcPr>
            <w:tcW w:w="2888" w:type="dxa"/>
            <w:tcBorders>
              <w:top w:val="single" w:color="000000" w:sz="4" w:space="0"/>
              <w:left w:val="single" w:color="000000" w:sz="4" w:space="0"/>
              <w:bottom w:val="single" w:color="000000" w:sz="4" w:space="0"/>
              <w:right w:val="single" w:color="000000" w:sz="4" w:space="0"/>
            </w:tcBorders>
            <w:noWrap/>
            <w:vAlign w:val="center"/>
          </w:tcPr>
          <w:p w14:paraId="0CA34BDE">
            <w:pPr>
              <w:spacing w:line="400" w:lineRule="exact"/>
              <w:ind w:firstLine="480" w:firstLineChars="200"/>
              <w:jc w:val="center"/>
              <w:rPr>
                <w:rFonts w:ascii="宋体" w:hAnsi="宋体" w:cs="宋体"/>
                <w:color w:val="auto"/>
                <w:sz w:val="24"/>
                <w:szCs w:val="24"/>
              </w:rPr>
            </w:pPr>
            <w:r>
              <w:rPr>
                <w:rFonts w:hint="eastAsia" w:ascii="宋体" w:hAnsi="宋体" w:cs="宋体"/>
                <w:color w:val="auto"/>
                <w:sz w:val="24"/>
                <w:szCs w:val="24"/>
              </w:rPr>
              <w:t>售价（元）</w:t>
            </w:r>
          </w:p>
        </w:tc>
        <w:tc>
          <w:tcPr>
            <w:tcW w:w="2634" w:type="dxa"/>
            <w:tcBorders>
              <w:top w:val="single" w:color="000000" w:sz="4" w:space="0"/>
              <w:left w:val="single" w:color="000000" w:sz="4" w:space="0"/>
              <w:bottom w:val="single" w:color="000000" w:sz="4" w:space="0"/>
              <w:right w:val="single" w:color="000000" w:sz="4" w:space="0"/>
            </w:tcBorders>
            <w:noWrap/>
            <w:vAlign w:val="center"/>
          </w:tcPr>
          <w:p w14:paraId="604DAC5F">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单位</w:t>
            </w:r>
          </w:p>
        </w:tc>
      </w:tr>
      <w:tr w14:paraId="2B665E5D">
        <w:tblPrEx>
          <w:tblCellMar>
            <w:top w:w="0" w:type="dxa"/>
            <w:left w:w="108" w:type="dxa"/>
            <w:bottom w:w="0" w:type="dxa"/>
            <w:right w:w="108" w:type="dxa"/>
          </w:tblCellMar>
        </w:tblPrEx>
        <w:trPr>
          <w:trHeight w:val="365" w:hRule="atLeast"/>
          <w:jc w:val="center"/>
        </w:trPr>
        <w:tc>
          <w:tcPr>
            <w:tcW w:w="3607" w:type="dxa"/>
            <w:tcBorders>
              <w:top w:val="single" w:color="000000" w:sz="4" w:space="0"/>
              <w:left w:val="single" w:color="000000" w:sz="4" w:space="0"/>
              <w:bottom w:val="single" w:color="000000" w:sz="4" w:space="0"/>
              <w:right w:val="single" w:color="000000" w:sz="4" w:space="0"/>
            </w:tcBorders>
            <w:noWrap/>
            <w:vAlign w:val="center"/>
          </w:tcPr>
          <w:p w14:paraId="18C90650">
            <w:pPr>
              <w:spacing w:line="400" w:lineRule="exact"/>
              <w:ind w:firstLine="480" w:firstLineChars="200"/>
              <w:jc w:val="center"/>
              <w:rPr>
                <w:rFonts w:ascii="宋体" w:hAnsi="宋体" w:cs="宋体"/>
                <w:color w:val="auto"/>
                <w:sz w:val="24"/>
                <w:szCs w:val="24"/>
              </w:rPr>
            </w:pPr>
            <w:r>
              <w:rPr>
                <w:rFonts w:hint="eastAsia" w:ascii="宋体" w:hAnsi="宋体" w:cs="宋体"/>
                <w:color w:val="auto"/>
                <w:sz w:val="24"/>
                <w:szCs w:val="24"/>
              </w:rPr>
              <w:t>白馒头</w:t>
            </w:r>
          </w:p>
        </w:tc>
        <w:tc>
          <w:tcPr>
            <w:tcW w:w="2888" w:type="dxa"/>
            <w:tcBorders>
              <w:top w:val="single" w:color="000000" w:sz="4" w:space="0"/>
              <w:left w:val="single" w:color="000000" w:sz="4" w:space="0"/>
              <w:bottom w:val="single" w:color="000000" w:sz="4" w:space="0"/>
              <w:right w:val="single" w:color="000000" w:sz="4" w:space="0"/>
            </w:tcBorders>
            <w:noWrap/>
            <w:vAlign w:val="center"/>
          </w:tcPr>
          <w:p w14:paraId="4814A818">
            <w:pPr>
              <w:spacing w:line="400" w:lineRule="exact"/>
              <w:ind w:firstLine="480" w:firstLineChars="200"/>
              <w:jc w:val="center"/>
              <w:rPr>
                <w:rFonts w:ascii="宋体" w:hAnsi="宋体" w:cs="宋体"/>
                <w:color w:val="auto"/>
                <w:sz w:val="24"/>
                <w:szCs w:val="24"/>
              </w:rPr>
            </w:pPr>
            <w:r>
              <w:rPr>
                <w:rFonts w:ascii="宋体" w:hAnsi="宋体" w:cs="宋体"/>
                <w:color w:val="auto"/>
                <w:sz w:val="24"/>
                <w:szCs w:val="24"/>
              </w:rPr>
              <w:t>0.5</w:t>
            </w:r>
          </w:p>
        </w:tc>
        <w:tc>
          <w:tcPr>
            <w:tcW w:w="2634" w:type="dxa"/>
            <w:tcBorders>
              <w:top w:val="single" w:color="000000" w:sz="4" w:space="0"/>
              <w:left w:val="single" w:color="000000" w:sz="4" w:space="0"/>
              <w:bottom w:val="single" w:color="000000" w:sz="4" w:space="0"/>
              <w:right w:val="single" w:color="000000" w:sz="4" w:space="0"/>
            </w:tcBorders>
            <w:noWrap/>
            <w:vAlign w:val="center"/>
          </w:tcPr>
          <w:p w14:paraId="0DBD7A74">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个（≥</w:t>
            </w:r>
            <w:r>
              <w:rPr>
                <w:rFonts w:ascii="宋体" w:hAnsi="宋体" w:cs="宋体"/>
                <w:color w:val="auto"/>
                <w:sz w:val="24"/>
                <w:szCs w:val="24"/>
              </w:rPr>
              <w:t>100g）</w:t>
            </w:r>
          </w:p>
        </w:tc>
      </w:tr>
      <w:tr w14:paraId="6998FEF8">
        <w:tblPrEx>
          <w:tblCellMar>
            <w:top w:w="0" w:type="dxa"/>
            <w:left w:w="108" w:type="dxa"/>
            <w:bottom w:w="0" w:type="dxa"/>
            <w:right w:w="108" w:type="dxa"/>
          </w:tblCellMar>
        </w:tblPrEx>
        <w:trPr>
          <w:trHeight w:val="361" w:hRule="atLeast"/>
          <w:jc w:val="center"/>
        </w:trPr>
        <w:tc>
          <w:tcPr>
            <w:tcW w:w="3607" w:type="dxa"/>
            <w:tcBorders>
              <w:top w:val="single" w:color="000000" w:sz="4" w:space="0"/>
              <w:left w:val="single" w:color="000000" w:sz="4" w:space="0"/>
              <w:bottom w:val="single" w:color="000000" w:sz="4" w:space="0"/>
              <w:right w:val="single" w:color="000000" w:sz="4" w:space="0"/>
            </w:tcBorders>
            <w:noWrap/>
            <w:vAlign w:val="center"/>
          </w:tcPr>
          <w:p w14:paraId="1FE1036D">
            <w:pPr>
              <w:spacing w:line="400" w:lineRule="exact"/>
              <w:ind w:firstLine="480" w:firstLineChars="200"/>
              <w:jc w:val="center"/>
              <w:rPr>
                <w:rFonts w:ascii="宋体" w:hAnsi="宋体" w:cs="宋体"/>
                <w:color w:val="auto"/>
                <w:sz w:val="24"/>
                <w:szCs w:val="24"/>
              </w:rPr>
            </w:pPr>
            <w:r>
              <w:rPr>
                <w:rFonts w:hint="eastAsia" w:ascii="宋体" w:hAnsi="宋体" w:cs="宋体"/>
                <w:color w:val="auto"/>
                <w:sz w:val="24"/>
                <w:szCs w:val="24"/>
              </w:rPr>
              <w:t>花卷</w:t>
            </w:r>
          </w:p>
        </w:tc>
        <w:tc>
          <w:tcPr>
            <w:tcW w:w="2888" w:type="dxa"/>
            <w:tcBorders>
              <w:top w:val="single" w:color="000000" w:sz="4" w:space="0"/>
              <w:left w:val="single" w:color="000000" w:sz="4" w:space="0"/>
              <w:bottom w:val="single" w:color="000000" w:sz="4" w:space="0"/>
              <w:right w:val="single" w:color="000000" w:sz="4" w:space="0"/>
            </w:tcBorders>
            <w:noWrap/>
            <w:vAlign w:val="center"/>
          </w:tcPr>
          <w:p w14:paraId="709FB476">
            <w:pPr>
              <w:spacing w:line="400" w:lineRule="exact"/>
              <w:ind w:firstLine="480" w:firstLineChars="200"/>
              <w:jc w:val="center"/>
              <w:rPr>
                <w:rFonts w:ascii="宋体" w:hAnsi="宋体" w:cs="宋体"/>
                <w:color w:val="auto"/>
                <w:sz w:val="24"/>
                <w:szCs w:val="24"/>
              </w:rPr>
            </w:pPr>
            <w:r>
              <w:rPr>
                <w:rFonts w:ascii="宋体" w:hAnsi="宋体" w:cs="宋体"/>
                <w:color w:val="auto"/>
                <w:sz w:val="24"/>
                <w:szCs w:val="24"/>
              </w:rPr>
              <w:t>0.6</w:t>
            </w:r>
          </w:p>
        </w:tc>
        <w:tc>
          <w:tcPr>
            <w:tcW w:w="2634" w:type="dxa"/>
            <w:tcBorders>
              <w:top w:val="single" w:color="000000" w:sz="4" w:space="0"/>
              <w:left w:val="single" w:color="000000" w:sz="4" w:space="0"/>
              <w:bottom w:val="single" w:color="000000" w:sz="4" w:space="0"/>
              <w:right w:val="single" w:color="000000" w:sz="4" w:space="0"/>
            </w:tcBorders>
            <w:noWrap/>
            <w:vAlign w:val="center"/>
          </w:tcPr>
          <w:p w14:paraId="1A8E14CA">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个（≥</w:t>
            </w:r>
            <w:r>
              <w:rPr>
                <w:rFonts w:ascii="宋体" w:hAnsi="宋体" w:cs="宋体"/>
                <w:color w:val="auto"/>
                <w:sz w:val="24"/>
                <w:szCs w:val="24"/>
              </w:rPr>
              <w:t>100g）</w:t>
            </w:r>
          </w:p>
        </w:tc>
      </w:tr>
      <w:tr w14:paraId="3000235E">
        <w:tblPrEx>
          <w:tblCellMar>
            <w:top w:w="0" w:type="dxa"/>
            <w:left w:w="108" w:type="dxa"/>
            <w:bottom w:w="0" w:type="dxa"/>
            <w:right w:w="108" w:type="dxa"/>
          </w:tblCellMar>
        </w:tblPrEx>
        <w:trPr>
          <w:trHeight w:val="361" w:hRule="atLeast"/>
          <w:jc w:val="center"/>
        </w:trPr>
        <w:tc>
          <w:tcPr>
            <w:tcW w:w="3607" w:type="dxa"/>
            <w:tcBorders>
              <w:top w:val="single" w:color="000000" w:sz="4" w:space="0"/>
              <w:left w:val="single" w:color="000000" w:sz="4" w:space="0"/>
              <w:bottom w:val="single" w:color="000000" w:sz="4" w:space="0"/>
              <w:right w:val="single" w:color="000000" w:sz="4" w:space="0"/>
            </w:tcBorders>
            <w:noWrap/>
            <w:vAlign w:val="center"/>
          </w:tcPr>
          <w:p w14:paraId="3A4D97A4">
            <w:pPr>
              <w:spacing w:line="400" w:lineRule="exact"/>
              <w:ind w:firstLine="480" w:firstLineChars="200"/>
              <w:jc w:val="center"/>
              <w:rPr>
                <w:rFonts w:ascii="宋体" w:hAnsi="宋体" w:cs="宋体"/>
                <w:color w:val="auto"/>
                <w:sz w:val="24"/>
                <w:szCs w:val="24"/>
              </w:rPr>
            </w:pPr>
            <w:r>
              <w:rPr>
                <w:rFonts w:hint="eastAsia" w:ascii="宋体" w:hAnsi="宋体" w:cs="宋体"/>
                <w:color w:val="auto"/>
                <w:sz w:val="24"/>
                <w:szCs w:val="24"/>
              </w:rPr>
              <w:t>发糕</w:t>
            </w:r>
          </w:p>
        </w:tc>
        <w:tc>
          <w:tcPr>
            <w:tcW w:w="2888" w:type="dxa"/>
            <w:tcBorders>
              <w:top w:val="single" w:color="000000" w:sz="4" w:space="0"/>
              <w:left w:val="single" w:color="000000" w:sz="4" w:space="0"/>
              <w:bottom w:val="single" w:color="000000" w:sz="4" w:space="0"/>
              <w:right w:val="single" w:color="000000" w:sz="4" w:space="0"/>
            </w:tcBorders>
            <w:noWrap/>
            <w:vAlign w:val="center"/>
          </w:tcPr>
          <w:p w14:paraId="30CA0A79">
            <w:pPr>
              <w:spacing w:line="400" w:lineRule="exact"/>
              <w:ind w:firstLine="480" w:firstLineChars="200"/>
              <w:jc w:val="center"/>
              <w:rPr>
                <w:rFonts w:ascii="宋体" w:hAnsi="宋体" w:cs="宋体"/>
                <w:color w:val="auto"/>
                <w:sz w:val="24"/>
                <w:szCs w:val="24"/>
              </w:rPr>
            </w:pPr>
            <w:r>
              <w:rPr>
                <w:rFonts w:ascii="宋体" w:hAnsi="宋体" w:cs="宋体"/>
                <w:color w:val="auto"/>
                <w:sz w:val="24"/>
                <w:szCs w:val="24"/>
              </w:rPr>
              <w:t>0.7</w:t>
            </w:r>
          </w:p>
        </w:tc>
        <w:tc>
          <w:tcPr>
            <w:tcW w:w="2634" w:type="dxa"/>
            <w:tcBorders>
              <w:top w:val="single" w:color="000000" w:sz="4" w:space="0"/>
              <w:left w:val="single" w:color="000000" w:sz="4" w:space="0"/>
              <w:bottom w:val="single" w:color="000000" w:sz="4" w:space="0"/>
              <w:right w:val="single" w:color="000000" w:sz="4" w:space="0"/>
            </w:tcBorders>
            <w:noWrap/>
            <w:vAlign w:val="center"/>
          </w:tcPr>
          <w:p w14:paraId="2A77577E">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个（≥</w:t>
            </w:r>
            <w:r>
              <w:rPr>
                <w:rFonts w:ascii="宋体" w:hAnsi="宋体" w:cs="宋体"/>
                <w:color w:val="auto"/>
                <w:sz w:val="24"/>
                <w:szCs w:val="24"/>
              </w:rPr>
              <w:t>100g）</w:t>
            </w:r>
          </w:p>
        </w:tc>
      </w:tr>
      <w:tr w14:paraId="006285D7">
        <w:tblPrEx>
          <w:tblCellMar>
            <w:top w:w="0" w:type="dxa"/>
            <w:left w:w="108" w:type="dxa"/>
            <w:bottom w:w="0" w:type="dxa"/>
            <w:right w:w="108" w:type="dxa"/>
          </w:tblCellMar>
        </w:tblPrEx>
        <w:trPr>
          <w:trHeight w:val="361" w:hRule="atLeast"/>
          <w:jc w:val="center"/>
        </w:trPr>
        <w:tc>
          <w:tcPr>
            <w:tcW w:w="3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150B5">
            <w:pPr>
              <w:spacing w:line="400" w:lineRule="exact"/>
              <w:ind w:firstLine="480" w:firstLineChars="200"/>
              <w:jc w:val="center"/>
              <w:rPr>
                <w:rFonts w:ascii="宋体" w:hAnsi="宋体" w:cs="宋体"/>
                <w:color w:val="auto"/>
                <w:sz w:val="24"/>
                <w:szCs w:val="24"/>
              </w:rPr>
            </w:pPr>
            <w:r>
              <w:rPr>
                <w:rFonts w:hint="eastAsia" w:ascii="宋体" w:hAnsi="宋体" w:cs="宋体"/>
                <w:color w:val="auto"/>
                <w:sz w:val="24"/>
                <w:szCs w:val="24"/>
              </w:rPr>
              <w:t>白水蛋</w:t>
            </w:r>
          </w:p>
        </w:tc>
        <w:tc>
          <w:tcPr>
            <w:tcW w:w="2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36735">
            <w:pPr>
              <w:spacing w:line="400" w:lineRule="exact"/>
              <w:ind w:firstLine="480" w:firstLineChars="200"/>
              <w:jc w:val="center"/>
              <w:rPr>
                <w:rFonts w:ascii="宋体" w:hAnsi="宋体" w:cs="宋体"/>
                <w:color w:val="auto"/>
                <w:sz w:val="24"/>
                <w:szCs w:val="24"/>
              </w:rPr>
            </w:pPr>
            <w:r>
              <w:rPr>
                <w:rFonts w:ascii="宋体" w:hAnsi="宋体" w:cs="宋体"/>
                <w:color w:val="auto"/>
                <w:sz w:val="24"/>
                <w:szCs w:val="24"/>
              </w:rPr>
              <w:t>1</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381CD">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个</w:t>
            </w:r>
          </w:p>
        </w:tc>
      </w:tr>
      <w:tr w14:paraId="711DCE26">
        <w:tblPrEx>
          <w:tblCellMar>
            <w:top w:w="0" w:type="dxa"/>
            <w:left w:w="108" w:type="dxa"/>
            <w:bottom w:w="0" w:type="dxa"/>
            <w:right w:w="108" w:type="dxa"/>
          </w:tblCellMar>
        </w:tblPrEx>
        <w:trPr>
          <w:trHeight w:val="361" w:hRule="atLeast"/>
          <w:jc w:val="center"/>
        </w:trPr>
        <w:tc>
          <w:tcPr>
            <w:tcW w:w="36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34BAB">
            <w:pPr>
              <w:spacing w:line="400" w:lineRule="exact"/>
              <w:ind w:firstLine="480" w:firstLineChars="200"/>
              <w:jc w:val="center"/>
              <w:rPr>
                <w:rFonts w:ascii="宋体" w:hAnsi="宋体" w:cs="宋体"/>
                <w:color w:val="auto"/>
                <w:sz w:val="24"/>
                <w:szCs w:val="24"/>
              </w:rPr>
            </w:pPr>
            <w:r>
              <w:rPr>
                <w:rFonts w:hint="eastAsia" w:ascii="宋体" w:hAnsi="宋体" w:cs="宋体"/>
                <w:color w:val="auto"/>
                <w:sz w:val="24"/>
                <w:szCs w:val="24"/>
              </w:rPr>
              <w:t>鲜肉包</w:t>
            </w:r>
          </w:p>
        </w:tc>
        <w:tc>
          <w:tcPr>
            <w:tcW w:w="2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A4FDB">
            <w:pPr>
              <w:spacing w:line="400" w:lineRule="exact"/>
              <w:ind w:firstLine="480" w:firstLineChars="200"/>
              <w:jc w:val="center"/>
              <w:rPr>
                <w:rFonts w:ascii="宋体" w:hAnsi="宋体" w:cs="宋体"/>
                <w:color w:val="auto"/>
                <w:sz w:val="24"/>
                <w:szCs w:val="24"/>
              </w:rPr>
            </w:pPr>
            <w:r>
              <w:rPr>
                <w:rFonts w:ascii="宋体" w:hAnsi="宋体" w:cs="宋体"/>
                <w:color w:val="auto"/>
                <w:sz w:val="24"/>
                <w:szCs w:val="24"/>
              </w:rPr>
              <w:t>0.8</w:t>
            </w:r>
          </w:p>
        </w:tc>
        <w:tc>
          <w:tcPr>
            <w:tcW w:w="2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129B9">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个（≥</w:t>
            </w:r>
            <w:r>
              <w:rPr>
                <w:rFonts w:ascii="宋体" w:hAnsi="宋体" w:cs="宋体"/>
                <w:color w:val="auto"/>
                <w:sz w:val="24"/>
                <w:szCs w:val="24"/>
              </w:rPr>
              <w:t>80克）</w:t>
            </w:r>
          </w:p>
        </w:tc>
      </w:tr>
      <w:tr w14:paraId="32D466C7">
        <w:tblPrEx>
          <w:tblCellMar>
            <w:top w:w="0" w:type="dxa"/>
            <w:left w:w="108" w:type="dxa"/>
            <w:bottom w:w="0" w:type="dxa"/>
            <w:right w:w="108" w:type="dxa"/>
          </w:tblCellMar>
        </w:tblPrEx>
        <w:trPr>
          <w:trHeight w:val="361" w:hRule="atLeast"/>
          <w:jc w:val="center"/>
        </w:trPr>
        <w:tc>
          <w:tcPr>
            <w:tcW w:w="3607" w:type="dxa"/>
            <w:tcBorders>
              <w:top w:val="single" w:color="000000" w:sz="4" w:space="0"/>
              <w:left w:val="single" w:color="000000" w:sz="4" w:space="0"/>
              <w:bottom w:val="single" w:color="000000" w:sz="4" w:space="0"/>
              <w:right w:val="single" w:color="000000" w:sz="4" w:space="0"/>
            </w:tcBorders>
            <w:noWrap/>
            <w:vAlign w:val="center"/>
          </w:tcPr>
          <w:p w14:paraId="0BE3DB7E">
            <w:pPr>
              <w:spacing w:line="400" w:lineRule="exact"/>
              <w:ind w:firstLine="480" w:firstLineChars="200"/>
              <w:jc w:val="center"/>
              <w:rPr>
                <w:rFonts w:ascii="宋体" w:hAnsi="宋体" w:cs="宋体"/>
                <w:color w:val="auto"/>
                <w:sz w:val="24"/>
                <w:szCs w:val="24"/>
              </w:rPr>
            </w:pPr>
            <w:r>
              <w:rPr>
                <w:rFonts w:hint="eastAsia" w:ascii="宋体" w:hAnsi="宋体" w:cs="宋体"/>
                <w:color w:val="auto"/>
                <w:sz w:val="24"/>
                <w:szCs w:val="24"/>
              </w:rPr>
              <w:t>煎蛋</w:t>
            </w:r>
          </w:p>
        </w:tc>
        <w:tc>
          <w:tcPr>
            <w:tcW w:w="2888" w:type="dxa"/>
            <w:tcBorders>
              <w:top w:val="single" w:color="000000" w:sz="4" w:space="0"/>
              <w:left w:val="single" w:color="000000" w:sz="4" w:space="0"/>
              <w:bottom w:val="single" w:color="000000" w:sz="4" w:space="0"/>
              <w:right w:val="single" w:color="000000" w:sz="4" w:space="0"/>
            </w:tcBorders>
            <w:noWrap/>
            <w:vAlign w:val="center"/>
          </w:tcPr>
          <w:p w14:paraId="33F2C7DF">
            <w:pPr>
              <w:spacing w:line="400" w:lineRule="exact"/>
              <w:ind w:firstLine="480" w:firstLineChars="200"/>
              <w:jc w:val="center"/>
              <w:rPr>
                <w:rFonts w:ascii="宋体" w:hAnsi="宋体" w:cs="宋体"/>
                <w:color w:val="auto"/>
                <w:sz w:val="24"/>
                <w:szCs w:val="24"/>
              </w:rPr>
            </w:pPr>
            <w:r>
              <w:rPr>
                <w:rFonts w:ascii="宋体" w:hAnsi="宋体" w:cs="宋体"/>
                <w:color w:val="auto"/>
                <w:sz w:val="24"/>
                <w:szCs w:val="24"/>
              </w:rPr>
              <w:t>1.5</w:t>
            </w:r>
          </w:p>
        </w:tc>
        <w:tc>
          <w:tcPr>
            <w:tcW w:w="2634" w:type="dxa"/>
            <w:tcBorders>
              <w:top w:val="single" w:color="000000" w:sz="4" w:space="0"/>
              <w:left w:val="single" w:color="000000" w:sz="4" w:space="0"/>
              <w:bottom w:val="single" w:color="000000" w:sz="4" w:space="0"/>
              <w:right w:val="single" w:color="000000" w:sz="4" w:space="0"/>
            </w:tcBorders>
            <w:noWrap/>
            <w:vAlign w:val="center"/>
          </w:tcPr>
          <w:p w14:paraId="7F0BD970">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个</w:t>
            </w:r>
          </w:p>
        </w:tc>
      </w:tr>
      <w:tr w14:paraId="21553023">
        <w:tblPrEx>
          <w:tblCellMar>
            <w:top w:w="0" w:type="dxa"/>
            <w:left w:w="108" w:type="dxa"/>
            <w:bottom w:w="0" w:type="dxa"/>
            <w:right w:w="108" w:type="dxa"/>
          </w:tblCellMar>
        </w:tblPrEx>
        <w:trPr>
          <w:trHeight w:val="361" w:hRule="atLeast"/>
          <w:jc w:val="center"/>
        </w:trPr>
        <w:tc>
          <w:tcPr>
            <w:tcW w:w="3607" w:type="dxa"/>
            <w:tcBorders>
              <w:top w:val="single" w:color="000000" w:sz="4" w:space="0"/>
              <w:left w:val="single" w:color="000000" w:sz="4" w:space="0"/>
              <w:bottom w:val="single" w:color="000000" w:sz="4" w:space="0"/>
              <w:right w:val="single" w:color="000000" w:sz="4" w:space="0"/>
            </w:tcBorders>
            <w:noWrap/>
            <w:vAlign w:val="center"/>
          </w:tcPr>
          <w:p w14:paraId="7816D215">
            <w:pPr>
              <w:spacing w:line="400" w:lineRule="exact"/>
              <w:ind w:firstLine="480" w:firstLineChars="200"/>
              <w:jc w:val="center"/>
              <w:rPr>
                <w:rFonts w:ascii="宋体" w:hAnsi="宋体" w:cs="宋体"/>
                <w:color w:val="auto"/>
                <w:sz w:val="24"/>
                <w:szCs w:val="24"/>
              </w:rPr>
            </w:pPr>
            <w:r>
              <w:rPr>
                <w:rFonts w:hint="eastAsia" w:ascii="宋体" w:hAnsi="宋体" w:cs="宋体"/>
                <w:color w:val="auto"/>
                <w:sz w:val="24"/>
                <w:szCs w:val="24"/>
              </w:rPr>
              <w:t>卤蛋</w:t>
            </w:r>
          </w:p>
        </w:tc>
        <w:tc>
          <w:tcPr>
            <w:tcW w:w="2888" w:type="dxa"/>
            <w:tcBorders>
              <w:top w:val="single" w:color="000000" w:sz="4" w:space="0"/>
              <w:left w:val="single" w:color="000000" w:sz="4" w:space="0"/>
              <w:bottom w:val="single" w:color="000000" w:sz="4" w:space="0"/>
              <w:right w:val="single" w:color="000000" w:sz="4" w:space="0"/>
            </w:tcBorders>
            <w:noWrap/>
            <w:vAlign w:val="center"/>
          </w:tcPr>
          <w:p w14:paraId="272DD89D">
            <w:pPr>
              <w:spacing w:line="400" w:lineRule="exact"/>
              <w:ind w:firstLine="480" w:firstLineChars="200"/>
              <w:jc w:val="center"/>
              <w:rPr>
                <w:rFonts w:ascii="宋体" w:hAnsi="宋体" w:cs="宋体"/>
                <w:color w:val="auto"/>
                <w:sz w:val="24"/>
                <w:szCs w:val="24"/>
              </w:rPr>
            </w:pPr>
            <w:r>
              <w:rPr>
                <w:rFonts w:ascii="宋体" w:hAnsi="宋体" w:cs="宋体"/>
                <w:color w:val="auto"/>
                <w:sz w:val="24"/>
                <w:szCs w:val="24"/>
              </w:rPr>
              <w:t>1.5</w:t>
            </w:r>
          </w:p>
        </w:tc>
        <w:tc>
          <w:tcPr>
            <w:tcW w:w="2634" w:type="dxa"/>
            <w:tcBorders>
              <w:top w:val="single" w:color="000000" w:sz="4" w:space="0"/>
              <w:left w:val="single" w:color="000000" w:sz="4" w:space="0"/>
              <w:bottom w:val="single" w:color="000000" w:sz="4" w:space="0"/>
              <w:right w:val="single" w:color="000000" w:sz="4" w:space="0"/>
            </w:tcBorders>
            <w:noWrap/>
            <w:vAlign w:val="center"/>
          </w:tcPr>
          <w:p w14:paraId="255E762C">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个</w:t>
            </w:r>
          </w:p>
        </w:tc>
      </w:tr>
      <w:tr w14:paraId="1EDEBB8D">
        <w:tblPrEx>
          <w:tblCellMar>
            <w:top w:w="0" w:type="dxa"/>
            <w:left w:w="108" w:type="dxa"/>
            <w:bottom w:w="0" w:type="dxa"/>
            <w:right w:w="108" w:type="dxa"/>
          </w:tblCellMar>
        </w:tblPrEx>
        <w:trPr>
          <w:trHeight w:val="361" w:hRule="atLeast"/>
          <w:jc w:val="center"/>
        </w:trPr>
        <w:tc>
          <w:tcPr>
            <w:tcW w:w="3607" w:type="dxa"/>
            <w:tcBorders>
              <w:top w:val="single" w:color="000000" w:sz="4" w:space="0"/>
              <w:left w:val="single" w:color="000000" w:sz="4" w:space="0"/>
              <w:bottom w:val="single" w:color="000000" w:sz="4" w:space="0"/>
              <w:right w:val="single" w:color="000000" w:sz="4" w:space="0"/>
            </w:tcBorders>
            <w:noWrap/>
            <w:vAlign w:val="center"/>
          </w:tcPr>
          <w:p w14:paraId="5539B9D0">
            <w:pPr>
              <w:spacing w:line="400" w:lineRule="exact"/>
              <w:ind w:firstLine="480" w:firstLineChars="200"/>
              <w:jc w:val="center"/>
              <w:rPr>
                <w:rFonts w:ascii="宋体" w:hAnsi="宋体" w:cs="宋体"/>
                <w:color w:val="auto"/>
                <w:sz w:val="24"/>
                <w:szCs w:val="24"/>
              </w:rPr>
            </w:pPr>
            <w:r>
              <w:rPr>
                <w:rFonts w:hint="eastAsia" w:ascii="宋体" w:hAnsi="宋体" w:cs="宋体"/>
                <w:color w:val="auto"/>
                <w:sz w:val="24"/>
                <w:szCs w:val="24"/>
              </w:rPr>
              <w:t>豆浆</w:t>
            </w:r>
          </w:p>
        </w:tc>
        <w:tc>
          <w:tcPr>
            <w:tcW w:w="2888" w:type="dxa"/>
            <w:tcBorders>
              <w:top w:val="single" w:color="000000" w:sz="4" w:space="0"/>
              <w:left w:val="single" w:color="000000" w:sz="4" w:space="0"/>
              <w:bottom w:val="single" w:color="000000" w:sz="4" w:space="0"/>
              <w:right w:val="single" w:color="000000" w:sz="4" w:space="0"/>
            </w:tcBorders>
            <w:noWrap/>
            <w:vAlign w:val="center"/>
          </w:tcPr>
          <w:p w14:paraId="270F0EFA">
            <w:pPr>
              <w:spacing w:line="400" w:lineRule="exact"/>
              <w:ind w:firstLine="480" w:firstLineChars="200"/>
              <w:jc w:val="center"/>
              <w:rPr>
                <w:rFonts w:ascii="宋体" w:hAnsi="宋体" w:cs="宋体"/>
                <w:color w:val="auto"/>
                <w:sz w:val="24"/>
                <w:szCs w:val="24"/>
              </w:rPr>
            </w:pPr>
            <w:r>
              <w:rPr>
                <w:rFonts w:ascii="宋体" w:hAnsi="宋体" w:cs="宋体"/>
                <w:color w:val="auto"/>
                <w:sz w:val="24"/>
                <w:szCs w:val="24"/>
              </w:rPr>
              <w:t>0.7</w:t>
            </w:r>
          </w:p>
        </w:tc>
        <w:tc>
          <w:tcPr>
            <w:tcW w:w="2634" w:type="dxa"/>
            <w:tcBorders>
              <w:top w:val="single" w:color="000000" w:sz="4" w:space="0"/>
              <w:left w:val="single" w:color="000000" w:sz="4" w:space="0"/>
              <w:bottom w:val="single" w:color="000000" w:sz="4" w:space="0"/>
              <w:right w:val="single" w:color="000000" w:sz="4" w:space="0"/>
            </w:tcBorders>
            <w:noWrap/>
            <w:vAlign w:val="center"/>
          </w:tcPr>
          <w:p w14:paraId="4B46A717">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碗（≥</w:t>
            </w:r>
            <w:r>
              <w:rPr>
                <w:rFonts w:ascii="宋体" w:hAnsi="宋体" w:cs="宋体"/>
                <w:color w:val="auto"/>
                <w:sz w:val="24"/>
                <w:szCs w:val="24"/>
              </w:rPr>
              <w:t>330ml）</w:t>
            </w:r>
          </w:p>
        </w:tc>
      </w:tr>
      <w:tr w14:paraId="62C62BF0">
        <w:tblPrEx>
          <w:tblCellMar>
            <w:top w:w="0" w:type="dxa"/>
            <w:left w:w="108" w:type="dxa"/>
            <w:bottom w:w="0" w:type="dxa"/>
            <w:right w:w="108" w:type="dxa"/>
          </w:tblCellMar>
        </w:tblPrEx>
        <w:trPr>
          <w:trHeight w:val="361" w:hRule="atLeast"/>
          <w:jc w:val="center"/>
        </w:trPr>
        <w:tc>
          <w:tcPr>
            <w:tcW w:w="3607" w:type="dxa"/>
            <w:tcBorders>
              <w:top w:val="single" w:color="000000" w:sz="4" w:space="0"/>
              <w:left w:val="single" w:color="000000" w:sz="4" w:space="0"/>
              <w:bottom w:val="single" w:color="000000" w:sz="4" w:space="0"/>
              <w:right w:val="single" w:color="000000" w:sz="4" w:space="0"/>
            </w:tcBorders>
            <w:noWrap/>
            <w:vAlign w:val="center"/>
          </w:tcPr>
          <w:p w14:paraId="70286C32">
            <w:pPr>
              <w:spacing w:line="400" w:lineRule="exact"/>
              <w:ind w:firstLine="480" w:firstLineChars="200"/>
              <w:jc w:val="center"/>
              <w:rPr>
                <w:rFonts w:ascii="宋体" w:hAnsi="宋体" w:cs="宋体"/>
                <w:color w:val="auto"/>
                <w:sz w:val="24"/>
                <w:szCs w:val="24"/>
              </w:rPr>
            </w:pPr>
            <w:r>
              <w:rPr>
                <w:rFonts w:hint="eastAsia" w:ascii="宋体" w:hAnsi="宋体" w:cs="宋体"/>
                <w:color w:val="auto"/>
                <w:sz w:val="24"/>
                <w:szCs w:val="24"/>
              </w:rPr>
              <w:t>油条</w:t>
            </w:r>
          </w:p>
        </w:tc>
        <w:tc>
          <w:tcPr>
            <w:tcW w:w="2888" w:type="dxa"/>
            <w:tcBorders>
              <w:top w:val="single" w:color="000000" w:sz="4" w:space="0"/>
              <w:left w:val="single" w:color="000000" w:sz="4" w:space="0"/>
              <w:bottom w:val="single" w:color="000000" w:sz="4" w:space="0"/>
              <w:right w:val="single" w:color="000000" w:sz="4" w:space="0"/>
            </w:tcBorders>
            <w:noWrap/>
            <w:vAlign w:val="center"/>
          </w:tcPr>
          <w:p w14:paraId="31D14F13">
            <w:pPr>
              <w:spacing w:line="400" w:lineRule="exact"/>
              <w:ind w:firstLine="480" w:firstLineChars="200"/>
              <w:jc w:val="center"/>
              <w:rPr>
                <w:rFonts w:ascii="宋体" w:hAnsi="宋体" w:cs="宋体"/>
                <w:color w:val="auto"/>
                <w:sz w:val="24"/>
                <w:szCs w:val="24"/>
              </w:rPr>
            </w:pPr>
            <w:r>
              <w:rPr>
                <w:rFonts w:ascii="宋体" w:hAnsi="宋体" w:cs="宋体"/>
                <w:color w:val="auto"/>
                <w:sz w:val="24"/>
                <w:szCs w:val="24"/>
              </w:rPr>
              <w:t>1</w:t>
            </w:r>
          </w:p>
        </w:tc>
        <w:tc>
          <w:tcPr>
            <w:tcW w:w="2634" w:type="dxa"/>
            <w:tcBorders>
              <w:top w:val="single" w:color="000000" w:sz="4" w:space="0"/>
              <w:left w:val="single" w:color="000000" w:sz="4" w:space="0"/>
              <w:bottom w:val="single" w:color="000000" w:sz="4" w:space="0"/>
              <w:right w:val="single" w:color="000000" w:sz="4" w:space="0"/>
            </w:tcBorders>
            <w:noWrap/>
            <w:vAlign w:val="center"/>
          </w:tcPr>
          <w:p w14:paraId="3BF78348">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根（≥</w:t>
            </w:r>
            <w:r>
              <w:rPr>
                <w:rFonts w:ascii="宋体" w:hAnsi="宋体" w:cs="宋体"/>
                <w:color w:val="auto"/>
                <w:sz w:val="24"/>
                <w:szCs w:val="24"/>
              </w:rPr>
              <w:t>80g）</w:t>
            </w:r>
          </w:p>
        </w:tc>
      </w:tr>
      <w:tr w14:paraId="1A3389DE">
        <w:tblPrEx>
          <w:tblCellMar>
            <w:top w:w="0" w:type="dxa"/>
            <w:left w:w="108" w:type="dxa"/>
            <w:bottom w:w="0" w:type="dxa"/>
            <w:right w:w="108" w:type="dxa"/>
          </w:tblCellMar>
        </w:tblPrEx>
        <w:trPr>
          <w:trHeight w:val="351" w:hRule="atLeast"/>
          <w:jc w:val="center"/>
        </w:trPr>
        <w:tc>
          <w:tcPr>
            <w:tcW w:w="3607" w:type="dxa"/>
            <w:tcBorders>
              <w:top w:val="single" w:color="000000" w:sz="4" w:space="0"/>
              <w:left w:val="single" w:color="000000" w:sz="4" w:space="0"/>
              <w:bottom w:val="single" w:color="000000" w:sz="4" w:space="0"/>
              <w:right w:val="single" w:color="000000" w:sz="4" w:space="0"/>
            </w:tcBorders>
            <w:noWrap/>
            <w:vAlign w:val="center"/>
          </w:tcPr>
          <w:p w14:paraId="250C7F9B">
            <w:pPr>
              <w:spacing w:line="400" w:lineRule="exact"/>
              <w:ind w:firstLine="480" w:firstLineChars="200"/>
              <w:jc w:val="center"/>
              <w:rPr>
                <w:rFonts w:ascii="宋体" w:hAnsi="宋体" w:cs="宋体"/>
                <w:color w:val="auto"/>
                <w:sz w:val="24"/>
                <w:szCs w:val="24"/>
              </w:rPr>
            </w:pPr>
            <w:r>
              <w:rPr>
                <w:rFonts w:hint="eastAsia" w:ascii="宋体" w:hAnsi="宋体" w:cs="宋体"/>
                <w:color w:val="auto"/>
                <w:sz w:val="24"/>
                <w:szCs w:val="24"/>
              </w:rPr>
              <w:t>白粥</w:t>
            </w:r>
          </w:p>
        </w:tc>
        <w:tc>
          <w:tcPr>
            <w:tcW w:w="2888" w:type="dxa"/>
            <w:tcBorders>
              <w:top w:val="single" w:color="000000" w:sz="4" w:space="0"/>
              <w:left w:val="single" w:color="000000" w:sz="4" w:space="0"/>
              <w:bottom w:val="single" w:color="000000" w:sz="4" w:space="0"/>
              <w:right w:val="single" w:color="000000" w:sz="4" w:space="0"/>
            </w:tcBorders>
            <w:noWrap/>
            <w:vAlign w:val="center"/>
          </w:tcPr>
          <w:p w14:paraId="4EA395D6">
            <w:pPr>
              <w:spacing w:line="400" w:lineRule="exact"/>
              <w:ind w:firstLine="480" w:firstLineChars="200"/>
              <w:jc w:val="center"/>
              <w:rPr>
                <w:rFonts w:ascii="宋体" w:hAnsi="宋体" w:cs="宋体"/>
                <w:color w:val="auto"/>
                <w:sz w:val="24"/>
                <w:szCs w:val="24"/>
              </w:rPr>
            </w:pPr>
            <w:r>
              <w:rPr>
                <w:rFonts w:ascii="宋体" w:hAnsi="宋体" w:cs="宋体"/>
                <w:color w:val="auto"/>
                <w:sz w:val="24"/>
                <w:szCs w:val="24"/>
              </w:rPr>
              <w:t>0.5</w:t>
            </w:r>
          </w:p>
        </w:tc>
        <w:tc>
          <w:tcPr>
            <w:tcW w:w="2634" w:type="dxa"/>
            <w:tcBorders>
              <w:top w:val="single" w:color="000000" w:sz="4" w:space="0"/>
              <w:left w:val="single" w:color="000000" w:sz="4" w:space="0"/>
              <w:bottom w:val="single" w:color="000000" w:sz="4" w:space="0"/>
              <w:right w:val="single" w:color="000000" w:sz="4" w:space="0"/>
            </w:tcBorders>
            <w:noWrap/>
            <w:vAlign w:val="center"/>
          </w:tcPr>
          <w:p w14:paraId="4DDB14D8">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碗（≥</w:t>
            </w:r>
            <w:r>
              <w:rPr>
                <w:rFonts w:ascii="宋体" w:hAnsi="宋体" w:cs="宋体"/>
                <w:color w:val="auto"/>
                <w:sz w:val="24"/>
                <w:szCs w:val="24"/>
              </w:rPr>
              <w:t>330ml）</w:t>
            </w:r>
          </w:p>
        </w:tc>
      </w:tr>
      <w:tr w14:paraId="019DA2E1">
        <w:tblPrEx>
          <w:tblCellMar>
            <w:top w:w="0" w:type="dxa"/>
            <w:left w:w="108" w:type="dxa"/>
            <w:bottom w:w="0" w:type="dxa"/>
            <w:right w:w="108" w:type="dxa"/>
          </w:tblCellMar>
        </w:tblPrEx>
        <w:trPr>
          <w:trHeight w:val="357" w:hRule="atLeast"/>
          <w:jc w:val="center"/>
        </w:trPr>
        <w:tc>
          <w:tcPr>
            <w:tcW w:w="3607" w:type="dxa"/>
            <w:vMerge w:val="restart"/>
            <w:tcBorders>
              <w:top w:val="single" w:color="000000" w:sz="4" w:space="0"/>
              <w:left w:val="single" w:color="000000" w:sz="4" w:space="0"/>
              <w:right w:val="single" w:color="000000" w:sz="4" w:space="0"/>
            </w:tcBorders>
            <w:noWrap/>
            <w:vAlign w:val="center"/>
          </w:tcPr>
          <w:p w14:paraId="2CE4239D">
            <w:pPr>
              <w:spacing w:line="400" w:lineRule="exact"/>
              <w:rPr>
                <w:rFonts w:ascii="宋体" w:hAnsi="宋体" w:cs="宋体"/>
                <w:color w:val="auto"/>
                <w:sz w:val="24"/>
                <w:szCs w:val="24"/>
              </w:rPr>
            </w:pPr>
            <w:r>
              <w:rPr>
                <w:rFonts w:hint="eastAsia" w:ascii="宋体" w:hAnsi="宋体" w:cs="宋体"/>
                <w:color w:val="auto"/>
                <w:sz w:val="24"/>
                <w:szCs w:val="24"/>
              </w:rPr>
              <w:t>汤或干拌（面、</w:t>
            </w:r>
            <w:r>
              <w:rPr>
                <w:rFonts w:hint="eastAsia" w:ascii="宋体" w:hAnsi="宋体" w:cs="宋体"/>
                <w:color w:val="auto"/>
                <w:sz w:val="24"/>
                <w:szCs w:val="24"/>
                <w:lang w:val="zh-CN"/>
              </w:rPr>
              <w:t>米线、</w:t>
            </w:r>
            <w:r>
              <w:rPr>
                <w:rFonts w:hint="eastAsia" w:ascii="宋体" w:hAnsi="宋体" w:cs="宋体"/>
                <w:color w:val="auto"/>
                <w:sz w:val="24"/>
                <w:szCs w:val="24"/>
              </w:rPr>
              <w:t>粉、刀削）</w:t>
            </w:r>
          </w:p>
        </w:tc>
        <w:tc>
          <w:tcPr>
            <w:tcW w:w="2888" w:type="dxa"/>
            <w:tcBorders>
              <w:top w:val="single" w:color="000000" w:sz="4" w:space="0"/>
              <w:left w:val="single" w:color="000000" w:sz="4" w:space="0"/>
              <w:bottom w:val="single" w:color="000000" w:sz="4" w:space="0"/>
              <w:right w:val="single" w:color="000000" w:sz="4" w:space="0"/>
            </w:tcBorders>
            <w:noWrap/>
            <w:vAlign w:val="center"/>
          </w:tcPr>
          <w:p w14:paraId="7F44878B">
            <w:pPr>
              <w:spacing w:line="400" w:lineRule="exact"/>
              <w:ind w:firstLine="480" w:firstLineChars="200"/>
              <w:rPr>
                <w:rFonts w:ascii="宋体" w:hAnsi="宋体" w:cs="宋体"/>
                <w:color w:val="auto"/>
                <w:sz w:val="24"/>
                <w:szCs w:val="24"/>
              </w:rPr>
            </w:pPr>
            <w:r>
              <w:rPr>
                <w:rFonts w:ascii="宋体" w:hAnsi="宋体" w:cs="宋体"/>
                <w:color w:val="auto"/>
                <w:sz w:val="24"/>
                <w:szCs w:val="24"/>
              </w:rPr>
              <w:t>4.5</w:t>
            </w:r>
          </w:p>
        </w:tc>
        <w:tc>
          <w:tcPr>
            <w:tcW w:w="2634" w:type="dxa"/>
            <w:tcBorders>
              <w:top w:val="single" w:color="000000" w:sz="4" w:space="0"/>
              <w:left w:val="single" w:color="000000" w:sz="4" w:space="0"/>
              <w:bottom w:val="single" w:color="000000" w:sz="4" w:space="0"/>
              <w:right w:val="single" w:color="000000" w:sz="4" w:space="0"/>
            </w:tcBorders>
            <w:noWrap/>
            <w:vAlign w:val="center"/>
          </w:tcPr>
          <w:p w14:paraId="3101DA83">
            <w:pPr>
              <w:spacing w:line="400" w:lineRule="exact"/>
              <w:ind w:firstLine="480" w:firstLineChars="200"/>
              <w:rPr>
                <w:rFonts w:ascii="宋体" w:hAnsi="宋体" w:cs="宋体"/>
                <w:color w:val="auto"/>
                <w:sz w:val="24"/>
                <w:szCs w:val="24"/>
              </w:rPr>
            </w:pPr>
            <w:r>
              <w:rPr>
                <w:rFonts w:ascii="宋体" w:hAnsi="宋体" w:cs="宋体"/>
                <w:color w:val="auto"/>
                <w:sz w:val="24"/>
                <w:szCs w:val="24"/>
              </w:rPr>
              <w:t>1</w:t>
            </w:r>
            <w:r>
              <w:rPr>
                <w:rFonts w:hint="eastAsia" w:ascii="宋体" w:hAnsi="宋体" w:cs="宋体"/>
                <w:color w:val="auto"/>
                <w:sz w:val="24"/>
                <w:szCs w:val="24"/>
              </w:rPr>
              <w:t>两</w:t>
            </w:r>
          </w:p>
        </w:tc>
      </w:tr>
      <w:tr w14:paraId="50C276FD">
        <w:tblPrEx>
          <w:tblCellMar>
            <w:top w:w="0" w:type="dxa"/>
            <w:left w:w="108" w:type="dxa"/>
            <w:bottom w:w="0" w:type="dxa"/>
            <w:right w:w="108" w:type="dxa"/>
          </w:tblCellMar>
        </w:tblPrEx>
        <w:trPr>
          <w:trHeight w:val="376" w:hRule="atLeast"/>
          <w:jc w:val="center"/>
        </w:trPr>
        <w:tc>
          <w:tcPr>
            <w:tcW w:w="3607" w:type="dxa"/>
            <w:vMerge w:val="continue"/>
            <w:tcBorders>
              <w:left w:val="single" w:color="000000" w:sz="4" w:space="0"/>
              <w:right w:val="single" w:color="000000" w:sz="4" w:space="0"/>
            </w:tcBorders>
            <w:noWrap/>
            <w:vAlign w:val="center"/>
          </w:tcPr>
          <w:p w14:paraId="0B05AF7F">
            <w:pPr>
              <w:spacing w:line="400" w:lineRule="exact"/>
              <w:ind w:firstLine="480" w:firstLineChars="200"/>
              <w:rPr>
                <w:rFonts w:ascii="宋体" w:hAnsi="宋体" w:cs="宋体"/>
                <w:color w:val="auto"/>
                <w:sz w:val="24"/>
                <w:szCs w:val="24"/>
              </w:rPr>
            </w:pPr>
          </w:p>
        </w:tc>
        <w:tc>
          <w:tcPr>
            <w:tcW w:w="2888" w:type="dxa"/>
            <w:tcBorders>
              <w:top w:val="single" w:color="000000" w:sz="4" w:space="0"/>
              <w:left w:val="single" w:color="000000" w:sz="4" w:space="0"/>
              <w:bottom w:val="single" w:color="000000" w:sz="4" w:space="0"/>
              <w:right w:val="single" w:color="000000" w:sz="4" w:space="0"/>
            </w:tcBorders>
            <w:noWrap/>
            <w:vAlign w:val="center"/>
          </w:tcPr>
          <w:p w14:paraId="7273211C">
            <w:pPr>
              <w:spacing w:line="400" w:lineRule="exact"/>
              <w:ind w:firstLine="480" w:firstLineChars="200"/>
              <w:rPr>
                <w:rFonts w:ascii="宋体" w:hAnsi="宋体" w:cs="宋体"/>
                <w:color w:val="auto"/>
                <w:sz w:val="24"/>
                <w:szCs w:val="24"/>
              </w:rPr>
            </w:pPr>
            <w:r>
              <w:rPr>
                <w:rFonts w:ascii="宋体" w:hAnsi="宋体" w:cs="宋体"/>
                <w:color w:val="auto"/>
                <w:sz w:val="24"/>
                <w:szCs w:val="24"/>
              </w:rPr>
              <w:t>6</w:t>
            </w:r>
          </w:p>
        </w:tc>
        <w:tc>
          <w:tcPr>
            <w:tcW w:w="2634" w:type="dxa"/>
            <w:tcBorders>
              <w:top w:val="single" w:color="000000" w:sz="4" w:space="0"/>
              <w:left w:val="single" w:color="000000" w:sz="4" w:space="0"/>
              <w:bottom w:val="single" w:color="000000" w:sz="4" w:space="0"/>
              <w:right w:val="single" w:color="000000" w:sz="4" w:space="0"/>
            </w:tcBorders>
            <w:noWrap/>
            <w:vAlign w:val="center"/>
          </w:tcPr>
          <w:p w14:paraId="02F62F6B">
            <w:pPr>
              <w:spacing w:line="400" w:lineRule="exact"/>
              <w:ind w:firstLine="480" w:firstLineChars="200"/>
              <w:rPr>
                <w:rFonts w:ascii="宋体" w:hAnsi="宋体" w:cs="宋体"/>
                <w:color w:val="auto"/>
                <w:sz w:val="24"/>
                <w:szCs w:val="24"/>
              </w:rPr>
            </w:pPr>
            <w:r>
              <w:rPr>
                <w:rFonts w:ascii="宋体" w:hAnsi="宋体" w:cs="宋体"/>
                <w:color w:val="auto"/>
                <w:sz w:val="24"/>
                <w:szCs w:val="24"/>
              </w:rPr>
              <w:t>2</w:t>
            </w:r>
            <w:r>
              <w:rPr>
                <w:rFonts w:hint="eastAsia" w:ascii="宋体" w:hAnsi="宋体" w:cs="宋体"/>
                <w:color w:val="auto"/>
                <w:sz w:val="24"/>
                <w:szCs w:val="24"/>
              </w:rPr>
              <w:t>两</w:t>
            </w:r>
          </w:p>
        </w:tc>
      </w:tr>
      <w:tr w14:paraId="59F5F84A">
        <w:tblPrEx>
          <w:tblCellMar>
            <w:top w:w="0" w:type="dxa"/>
            <w:left w:w="108" w:type="dxa"/>
            <w:bottom w:w="0" w:type="dxa"/>
            <w:right w:w="108" w:type="dxa"/>
          </w:tblCellMar>
        </w:tblPrEx>
        <w:trPr>
          <w:trHeight w:val="376" w:hRule="atLeast"/>
          <w:jc w:val="center"/>
        </w:trPr>
        <w:tc>
          <w:tcPr>
            <w:tcW w:w="3607" w:type="dxa"/>
            <w:vMerge w:val="continue"/>
            <w:tcBorders>
              <w:left w:val="single" w:color="000000" w:sz="4" w:space="0"/>
              <w:bottom w:val="single" w:color="000000" w:sz="4" w:space="0"/>
              <w:right w:val="single" w:color="000000" w:sz="4" w:space="0"/>
            </w:tcBorders>
            <w:noWrap/>
            <w:vAlign w:val="center"/>
          </w:tcPr>
          <w:p w14:paraId="095C1BEC">
            <w:pPr>
              <w:spacing w:line="400" w:lineRule="exact"/>
              <w:ind w:firstLine="480" w:firstLineChars="200"/>
              <w:rPr>
                <w:rFonts w:ascii="宋体" w:hAnsi="宋体" w:cs="宋体"/>
                <w:color w:val="auto"/>
                <w:sz w:val="24"/>
                <w:szCs w:val="24"/>
              </w:rPr>
            </w:pPr>
          </w:p>
        </w:tc>
        <w:tc>
          <w:tcPr>
            <w:tcW w:w="2888" w:type="dxa"/>
            <w:tcBorders>
              <w:top w:val="single" w:color="000000" w:sz="4" w:space="0"/>
              <w:left w:val="single" w:color="000000" w:sz="4" w:space="0"/>
              <w:bottom w:val="single" w:color="000000" w:sz="4" w:space="0"/>
              <w:right w:val="single" w:color="000000" w:sz="4" w:space="0"/>
            </w:tcBorders>
            <w:noWrap/>
            <w:vAlign w:val="center"/>
          </w:tcPr>
          <w:p w14:paraId="024E2FAE">
            <w:pPr>
              <w:spacing w:line="400" w:lineRule="exact"/>
              <w:ind w:firstLine="480" w:firstLineChars="200"/>
              <w:rPr>
                <w:rFonts w:ascii="宋体" w:hAnsi="宋体" w:cs="宋体"/>
                <w:color w:val="auto"/>
                <w:sz w:val="24"/>
                <w:szCs w:val="24"/>
              </w:rPr>
            </w:pPr>
            <w:r>
              <w:rPr>
                <w:rFonts w:ascii="宋体" w:hAnsi="宋体" w:cs="宋体"/>
                <w:color w:val="auto"/>
                <w:sz w:val="24"/>
                <w:szCs w:val="24"/>
              </w:rPr>
              <w:t>7</w:t>
            </w:r>
          </w:p>
        </w:tc>
        <w:tc>
          <w:tcPr>
            <w:tcW w:w="2634" w:type="dxa"/>
            <w:tcBorders>
              <w:top w:val="single" w:color="000000" w:sz="4" w:space="0"/>
              <w:left w:val="single" w:color="000000" w:sz="4" w:space="0"/>
              <w:bottom w:val="single" w:color="000000" w:sz="4" w:space="0"/>
              <w:right w:val="single" w:color="000000" w:sz="4" w:space="0"/>
            </w:tcBorders>
            <w:noWrap/>
            <w:vAlign w:val="center"/>
          </w:tcPr>
          <w:p w14:paraId="4BB2B63E">
            <w:pPr>
              <w:spacing w:line="400" w:lineRule="exact"/>
              <w:ind w:firstLine="480" w:firstLineChars="200"/>
              <w:rPr>
                <w:rFonts w:ascii="宋体" w:hAnsi="宋体" w:cs="宋体"/>
                <w:color w:val="auto"/>
                <w:sz w:val="24"/>
                <w:szCs w:val="24"/>
              </w:rPr>
            </w:pPr>
            <w:r>
              <w:rPr>
                <w:rFonts w:ascii="宋体" w:hAnsi="宋体" w:cs="宋体"/>
                <w:color w:val="auto"/>
                <w:sz w:val="24"/>
                <w:szCs w:val="24"/>
              </w:rPr>
              <w:t>3</w:t>
            </w:r>
            <w:r>
              <w:rPr>
                <w:rFonts w:hint="eastAsia" w:ascii="宋体" w:hAnsi="宋体" w:cs="宋体"/>
                <w:color w:val="auto"/>
                <w:sz w:val="24"/>
                <w:szCs w:val="24"/>
              </w:rPr>
              <w:t>两</w:t>
            </w:r>
          </w:p>
        </w:tc>
      </w:tr>
    </w:tbl>
    <w:p w14:paraId="383BD6F3">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w:t>
      </w:r>
      <w:r>
        <w:rPr>
          <w:rFonts w:ascii="宋体" w:hAnsi="宋体" w:cs="宋体"/>
          <w:color w:val="auto"/>
          <w:sz w:val="24"/>
          <w:szCs w:val="24"/>
        </w:rPr>
        <w:t>4）</w:t>
      </w:r>
      <w:bookmarkStart w:id="49" w:name="OLE_LINK98"/>
      <w:r>
        <w:rPr>
          <w:rFonts w:hint="eastAsia" w:ascii="宋体" w:hAnsi="宋体" w:cs="宋体"/>
          <w:color w:val="auto"/>
          <w:sz w:val="24"/>
          <w:szCs w:val="24"/>
        </w:rPr>
        <w:t>基本大伙餐价格参照</w:t>
      </w:r>
      <w:bookmarkEnd w:id="49"/>
      <w:r>
        <w:rPr>
          <w:rFonts w:hint="eastAsia" w:ascii="宋体" w:hAnsi="宋体" w:cs="宋体"/>
          <w:color w:val="auto"/>
          <w:sz w:val="24"/>
          <w:szCs w:val="24"/>
        </w:rPr>
        <w:t>以下标准（其中鲜猪肉菜品比例每餐不得低于</w:t>
      </w:r>
      <w:r>
        <w:rPr>
          <w:rFonts w:ascii="宋体" w:hAnsi="宋体" w:cs="宋体"/>
          <w:color w:val="auto"/>
          <w:sz w:val="24"/>
          <w:szCs w:val="24"/>
        </w:rPr>
        <w:t>4个品种）：</w:t>
      </w:r>
    </w:p>
    <w:tbl>
      <w:tblPr>
        <w:tblStyle w:val="59"/>
        <w:tblW w:w="9157" w:type="dxa"/>
        <w:jc w:val="center"/>
        <w:tblLayout w:type="fixed"/>
        <w:tblCellMar>
          <w:top w:w="0" w:type="dxa"/>
          <w:left w:w="108" w:type="dxa"/>
          <w:bottom w:w="0" w:type="dxa"/>
          <w:right w:w="108" w:type="dxa"/>
        </w:tblCellMar>
      </w:tblPr>
      <w:tblGrid>
        <w:gridCol w:w="1561"/>
        <w:gridCol w:w="1376"/>
        <w:gridCol w:w="990"/>
        <w:gridCol w:w="3135"/>
        <w:gridCol w:w="2095"/>
      </w:tblGrid>
      <w:tr w14:paraId="1ED5B6DB">
        <w:tblPrEx>
          <w:tblCellMar>
            <w:top w:w="0" w:type="dxa"/>
            <w:left w:w="108" w:type="dxa"/>
            <w:bottom w:w="0" w:type="dxa"/>
            <w:right w:w="108" w:type="dxa"/>
          </w:tblCellMar>
        </w:tblPrEx>
        <w:trPr>
          <w:trHeight w:val="818" w:hRule="atLeast"/>
          <w:jc w:val="center"/>
        </w:trPr>
        <w:tc>
          <w:tcPr>
            <w:tcW w:w="2937" w:type="dxa"/>
            <w:gridSpan w:val="2"/>
            <w:tcBorders>
              <w:top w:val="single" w:color="000000" w:sz="4" w:space="0"/>
              <w:left w:val="single" w:color="000000" w:sz="4" w:space="0"/>
              <w:bottom w:val="single" w:color="000000" w:sz="4" w:space="0"/>
              <w:right w:val="single" w:color="000000" w:sz="4" w:space="0"/>
            </w:tcBorders>
            <w:noWrap/>
            <w:vAlign w:val="center"/>
          </w:tcPr>
          <w:p w14:paraId="0F2F134A">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品类</w:t>
            </w:r>
          </w:p>
        </w:tc>
        <w:tc>
          <w:tcPr>
            <w:tcW w:w="990" w:type="dxa"/>
            <w:tcBorders>
              <w:top w:val="single" w:color="000000" w:sz="4" w:space="0"/>
              <w:left w:val="single" w:color="000000" w:sz="4" w:space="0"/>
              <w:bottom w:val="single" w:color="000000" w:sz="4" w:space="0"/>
              <w:right w:val="single" w:color="000000" w:sz="4" w:space="0"/>
            </w:tcBorders>
            <w:noWrap/>
            <w:vAlign w:val="center"/>
          </w:tcPr>
          <w:p w14:paraId="0C282B69">
            <w:pPr>
              <w:spacing w:line="400" w:lineRule="exact"/>
              <w:rPr>
                <w:rFonts w:ascii="宋体" w:hAnsi="宋体" w:cs="宋体"/>
                <w:color w:val="auto"/>
                <w:sz w:val="24"/>
                <w:szCs w:val="24"/>
              </w:rPr>
            </w:pPr>
            <w:r>
              <w:rPr>
                <w:rFonts w:hint="eastAsia" w:ascii="宋体" w:hAnsi="宋体" w:cs="宋体"/>
                <w:color w:val="auto"/>
                <w:sz w:val="24"/>
                <w:szCs w:val="24"/>
              </w:rPr>
              <w:t>售价（元）</w:t>
            </w:r>
          </w:p>
        </w:tc>
        <w:tc>
          <w:tcPr>
            <w:tcW w:w="3135" w:type="dxa"/>
            <w:tcBorders>
              <w:top w:val="single" w:color="000000" w:sz="4" w:space="0"/>
              <w:left w:val="single" w:color="000000" w:sz="4" w:space="0"/>
              <w:bottom w:val="single" w:color="000000" w:sz="4" w:space="0"/>
              <w:right w:val="single" w:color="000000" w:sz="4" w:space="0"/>
            </w:tcBorders>
            <w:noWrap/>
            <w:vAlign w:val="center"/>
          </w:tcPr>
          <w:p w14:paraId="54674293">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荤菜类（</w:t>
            </w:r>
            <w:r>
              <w:rPr>
                <w:rFonts w:ascii="宋体" w:hAnsi="宋体" w:cs="宋体"/>
                <w:color w:val="auto"/>
                <w:sz w:val="24"/>
                <w:szCs w:val="24"/>
              </w:rPr>
              <w:t>g）（熟重）</w:t>
            </w:r>
          </w:p>
        </w:tc>
        <w:tc>
          <w:tcPr>
            <w:tcW w:w="2095" w:type="dxa"/>
            <w:tcBorders>
              <w:top w:val="single" w:color="000000" w:sz="4" w:space="0"/>
              <w:left w:val="single" w:color="000000" w:sz="4" w:space="0"/>
              <w:bottom w:val="single" w:color="000000" w:sz="4" w:space="0"/>
              <w:right w:val="single" w:color="000000" w:sz="4" w:space="0"/>
            </w:tcBorders>
            <w:noWrap/>
            <w:vAlign w:val="center"/>
          </w:tcPr>
          <w:p w14:paraId="4AECD162">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素菜类（</w:t>
            </w:r>
            <w:r>
              <w:rPr>
                <w:rFonts w:ascii="宋体" w:hAnsi="宋体" w:cs="宋体"/>
                <w:color w:val="auto"/>
                <w:sz w:val="24"/>
                <w:szCs w:val="24"/>
              </w:rPr>
              <w:t>g）</w:t>
            </w:r>
          </w:p>
          <w:p w14:paraId="563BD343">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（熟重）</w:t>
            </w:r>
          </w:p>
        </w:tc>
      </w:tr>
      <w:tr w14:paraId="728D7240">
        <w:tblPrEx>
          <w:tblCellMar>
            <w:top w:w="0" w:type="dxa"/>
            <w:left w:w="108" w:type="dxa"/>
            <w:bottom w:w="0" w:type="dxa"/>
            <w:right w:w="108" w:type="dxa"/>
          </w:tblCellMar>
        </w:tblPrEx>
        <w:trPr>
          <w:trHeight w:val="634" w:hRule="atLeast"/>
          <w:jc w:val="center"/>
        </w:trPr>
        <w:tc>
          <w:tcPr>
            <w:tcW w:w="1561" w:type="dxa"/>
            <w:tcBorders>
              <w:top w:val="single" w:color="000000" w:sz="4" w:space="0"/>
              <w:left w:val="single" w:color="000000" w:sz="4" w:space="0"/>
              <w:bottom w:val="single" w:color="auto" w:sz="4" w:space="0"/>
              <w:right w:val="single" w:color="000000" w:sz="4" w:space="0"/>
            </w:tcBorders>
            <w:noWrap/>
            <w:vAlign w:val="center"/>
          </w:tcPr>
          <w:p w14:paraId="4A2AA5DA">
            <w:pPr>
              <w:spacing w:line="400" w:lineRule="exact"/>
              <w:jc w:val="center"/>
              <w:rPr>
                <w:rFonts w:ascii="宋体" w:hAnsi="宋体" w:cs="宋体"/>
                <w:color w:val="auto"/>
                <w:sz w:val="24"/>
                <w:szCs w:val="24"/>
              </w:rPr>
            </w:pPr>
            <w:r>
              <w:rPr>
                <w:rFonts w:hint="eastAsia" w:ascii="宋体" w:hAnsi="宋体" w:cs="宋体"/>
                <w:color w:val="auto"/>
                <w:sz w:val="24"/>
                <w:szCs w:val="24"/>
              </w:rPr>
              <w:t>爱心餐</w:t>
            </w:r>
          </w:p>
          <w:p w14:paraId="1DD63A87">
            <w:pPr>
              <w:spacing w:line="400" w:lineRule="exact"/>
              <w:jc w:val="center"/>
              <w:rPr>
                <w:rFonts w:ascii="宋体" w:hAnsi="宋体" w:cs="宋体"/>
                <w:color w:val="auto"/>
                <w:sz w:val="24"/>
                <w:szCs w:val="24"/>
              </w:rPr>
            </w:pPr>
            <w:r>
              <w:rPr>
                <w:rFonts w:hint="eastAsia" w:ascii="宋体" w:hAnsi="宋体" w:cs="宋体"/>
                <w:color w:val="auto"/>
                <w:sz w:val="24"/>
                <w:szCs w:val="24"/>
              </w:rPr>
              <w:t>米饭、汤免费</w:t>
            </w:r>
          </w:p>
        </w:tc>
        <w:tc>
          <w:tcPr>
            <w:tcW w:w="137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55F0D35">
            <w:pPr>
              <w:spacing w:line="400" w:lineRule="exact"/>
              <w:jc w:val="center"/>
              <w:rPr>
                <w:rFonts w:ascii="宋体" w:hAnsi="宋体" w:cs="宋体"/>
                <w:color w:val="auto"/>
                <w:sz w:val="24"/>
                <w:szCs w:val="24"/>
              </w:rPr>
            </w:pPr>
            <w:r>
              <w:rPr>
                <w:rFonts w:hint="eastAsia" w:ascii="宋体" w:hAnsi="宋体" w:cs="宋体"/>
                <w:color w:val="auto"/>
                <w:sz w:val="24"/>
                <w:szCs w:val="24"/>
              </w:rPr>
              <w:t>一荤一素</w:t>
            </w:r>
          </w:p>
        </w:tc>
        <w:tc>
          <w:tcPr>
            <w:tcW w:w="99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2839F49">
            <w:pPr>
              <w:spacing w:line="400" w:lineRule="exact"/>
              <w:ind w:firstLine="480" w:firstLineChars="200"/>
              <w:rPr>
                <w:rFonts w:ascii="宋体" w:hAnsi="宋体" w:cs="宋体"/>
                <w:color w:val="auto"/>
                <w:sz w:val="24"/>
                <w:szCs w:val="24"/>
              </w:rPr>
            </w:pPr>
            <w:r>
              <w:rPr>
                <w:rFonts w:ascii="宋体" w:hAnsi="宋体" w:cs="宋体"/>
                <w:color w:val="auto"/>
                <w:sz w:val="24"/>
                <w:szCs w:val="24"/>
              </w:rPr>
              <w:t>5</w:t>
            </w:r>
          </w:p>
        </w:tc>
        <w:tc>
          <w:tcPr>
            <w:tcW w:w="3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CC634">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鲜猪肉≥</w:t>
            </w:r>
            <w:r>
              <w:rPr>
                <w:rFonts w:ascii="宋体" w:hAnsi="宋体" w:cs="宋体"/>
                <w:color w:val="auto"/>
                <w:sz w:val="24"/>
                <w:szCs w:val="24"/>
              </w:rPr>
              <w:t>60，配菜≥50</w:t>
            </w:r>
          </w:p>
        </w:tc>
        <w:tc>
          <w:tcPr>
            <w:tcW w:w="2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0900A">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w:t>
            </w:r>
            <w:r>
              <w:rPr>
                <w:rFonts w:ascii="宋体" w:hAnsi="宋体" w:cs="宋体"/>
                <w:color w:val="auto"/>
                <w:sz w:val="24"/>
                <w:szCs w:val="24"/>
              </w:rPr>
              <w:t xml:space="preserve">100 </w:t>
            </w:r>
          </w:p>
        </w:tc>
      </w:tr>
      <w:tr w14:paraId="7ED789F9">
        <w:tblPrEx>
          <w:tblCellMar>
            <w:top w:w="0" w:type="dxa"/>
            <w:left w:w="108" w:type="dxa"/>
            <w:bottom w:w="0" w:type="dxa"/>
            <w:right w:w="108" w:type="dxa"/>
          </w:tblCellMar>
        </w:tblPrEx>
        <w:trPr>
          <w:trHeight w:val="634" w:hRule="atLeast"/>
          <w:jc w:val="center"/>
        </w:trPr>
        <w:tc>
          <w:tcPr>
            <w:tcW w:w="1561" w:type="dxa"/>
            <w:vMerge w:val="restart"/>
            <w:tcBorders>
              <w:top w:val="single" w:color="auto" w:sz="4" w:space="0"/>
              <w:left w:val="single" w:color="000000" w:sz="4" w:space="0"/>
              <w:right w:val="single" w:color="000000" w:sz="4" w:space="0"/>
            </w:tcBorders>
            <w:noWrap/>
            <w:vAlign w:val="center"/>
          </w:tcPr>
          <w:p w14:paraId="4C4C2E70">
            <w:pPr>
              <w:spacing w:line="400" w:lineRule="exact"/>
              <w:jc w:val="center"/>
              <w:rPr>
                <w:rFonts w:ascii="宋体" w:hAnsi="宋体" w:cs="宋体"/>
                <w:color w:val="auto"/>
                <w:sz w:val="24"/>
                <w:szCs w:val="24"/>
              </w:rPr>
            </w:pPr>
            <w:r>
              <w:rPr>
                <w:rFonts w:hint="eastAsia" w:ascii="宋体" w:hAnsi="宋体" w:cs="宋体"/>
                <w:color w:val="auto"/>
                <w:sz w:val="24"/>
                <w:szCs w:val="24"/>
              </w:rPr>
              <w:t>基础大伙餐</w:t>
            </w:r>
          </w:p>
          <w:p w14:paraId="2BCEB55A">
            <w:pPr>
              <w:spacing w:line="400" w:lineRule="exact"/>
              <w:jc w:val="center"/>
              <w:rPr>
                <w:rFonts w:ascii="宋体" w:hAnsi="宋体" w:cs="宋体"/>
                <w:color w:val="auto"/>
                <w:sz w:val="24"/>
                <w:szCs w:val="24"/>
              </w:rPr>
            </w:pPr>
            <w:r>
              <w:rPr>
                <w:rFonts w:hint="eastAsia" w:ascii="宋体" w:hAnsi="宋体" w:cs="宋体"/>
                <w:color w:val="auto"/>
                <w:sz w:val="24"/>
                <w:szCs w:val="24"/>
              </w:rPr>
              <w:t>米饭、汤免费</w:t>
            </w:r>
          </w:p>
        </w:tc>
        <w:tc>
          <w:tcPr>
            <w:tcW w:w="1376"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1F314103">
            <w:pPr>
              <w:spacing w:line="400" w:lineRule="exact"/>
              <w:jc w:val="center"/>
              <w:rPr>
                <w:rFonts w:ascii="宋体" w:hAnsi="宋体" w:cs="宋体"/>
                <w:color w:val="auto"/>
                <w:sz w:val="24"/>
                <w:szCs w:val="24"/>
              </w:rPr>
            </w:pPr>
            <w:r>
              <w:rPr>
                <w:rFonts w:hint="eastAsia" w:ascii="宋体" w:hAnsi="宋体" w:cs="宋体"/>
                <w:color w:val="auto"/>
                <w:sz w:val="24"/>
                <w:szCs w:val="24"/>
              </w:rPr>
              <w:t>两素</w:t>
            </w:r>
          </w:p>
        </w:tc>
        <w:tc>
          <w:tcPr>
            <w:tcW w:w="99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285DAC66">
            <w:pPr>
              <w:spacing w:line="400" w:lineRule="exact"/>
              <w:ind w:firstLine="480" w:firstLineChars="200"/>
              <w:rPr>
                <w:rFonts w:ascii="宋体" w:hAnsi="宋体" w:cs="宋体"/>
                <w:color w:val="auto"/>
                <w:sz w:val="24"/>
                <w:szCs w:val="24"/>
              </w:rPr>
            </w:pPr>
            <w:r>
              <w:rPr>
                <w:rFonts w:ascii="宋体" w:hAnsi="宋体" w:cs="宋体"/>
                <w:color w:val="auto"/>
                <w:sz w:val="24"/>
                <w:szCs w:val="24"/>
              </w:rPr>
              <w:t>5</w:t>
            </w:r>
          </w:p>
        </w:tc>
        <w:tc>
          <w:tcPr>
            <w:tcW w:w="3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CACD6">
            <w:pPr>
              <w:spacing w:line="400" w:lineRule="exact"/>
              <w:ind w:firstLine="480" w:firstLineChars="200"/>
              <w:rPr>
                <w:rFonts w:ascii="宋体" w:hAnsi="宋体" w:cs="宋体"/>
                <w:color w:val="auto"/>
                <w:sz w:val="24"/>
                <w:szCs w:val="24"/>
              </w:rPr>
            </w:pPr>
          </w:p>
        </w:tc>
        <w:tc>
          <w:tcPr>
            <w:tcW w:w="2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272B0">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w:t>
            </w:r>
            <w:r>
              <w:rPr>
                <w:rFonts w:ascii="宋体" w:hAnsi="宋体" w:cs="宋体"/>
                <w:color w:val="auto"/>
                <w:sz w:val="24"/>
                <w:szCs w:val="24"/>
              </w:rPr>
              <w:t>200</w:t>
            </w:r>
          </w:p>
        </w:tc>
      </w:tr>
      <w:tr w14:paraId="673F2D21">
        <w:tblPrEx>
          <w:tblCellMar>
            <w:top w:w="0" w:type="dxa"/>
            <w:left w:w="108" w:type="dxa"/>
            <w:bottom w:w="0" w:type="dxa"/>
            <w:right w:w="108" w:type="dxa"/>
          </w:tblCellMar>
        </w:tblPrEx>
        <w:trPr>
          <w:trHeight w:val="634" w:hRule="atLeast"/>
          <w:jc w:val="center"/>
        </w:trPr>
        <w:tc>
          <w:tcPr>
            <w:tcW w:w="1561" w:type="dxa"/>
            <w:vMerge w:val="continue"/>
            <w:tcBorders>
              <w:left w:val="single" w:color="000000" w:sz="4" w:space="0"/>
              <w:right w:val="single" w:color="000000" w:sz="4" w:space="0"/>
            </w:tcBorders>
            <w:noWrap/>
            <w:vAlign w:val="center"/>
          </w:tcPr>
          <w:p w14:paraId="328C5B47">
            <w:pPr>
              <w:spacing w:line="400" w:lineRule="exact"/>
              <w:ind w:firstLine="480" w:firstLineChars="200"/>
              <w:jc w:val="center"/>
              <w:rPr>
                <w:rFonts w:ascii="宋体" w:hAnsi="宋体" w:cs="宋体"/>
                <w:color w:val="auto"/>
                <w:sz w:val="24"/>
                <w:szCs w:val="24"/>
              </w:rPr>
            </w:pPr>
          </w:p>
        </w:tc>
        <w:tc>
          <w:tcPr>
            <w:tcW w:w="13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86FFC">
            <w:pPr>
              <w:spacing w:line="400" w:lineRule="exact"/>
              <w:jc w:val="center"/>
              <w:rPr>
                <w:rFonts w:ascii="宋体" w:hAnsi="宋体" w:cs="宋体"/>
                <w:color w:val="auto"/>
                <w:sz w:val="24"/>
                <w:szCs w:val="24"/>
              </w:rPr>
            </w:pPr>
            <w:r>
              <w:rPr>
                <w:rFonts w:hint="eastAsia" w:ascii="宋体" w:hAnsi="宋体" w:cs="宋体"/>
                <w:color w:val="auto"/>
                <w:sz w:val="24"/>
                <w:szCs w:val="24"/>
              </w:rPr>
              <w:t>一荤一素</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AF607">
            <w:pPr>
              <w:spacing w:line="400" w:lineRule="exact"/>
              <w:ind w:firstLine="480" w:firstLineChars="200"/>
              <w:rPr>
                <w:rFonts w:ascii="宋体" w:hAnsi="宋体" w:cs="宋体"/>
                <w:color w:val="auto"/>
                <w:sz w:val="24"/>
                <w:szCs w:val="24"/>
              </w:rPr>
            </w:pPr>
            <w:r>
              <w:rPr>
                <w:rFonts w:ascii="宋体" w:hAnsi="宋体" w:cs="宋体"/>
                <w:color w:val="auto"/>
                <w:sz w:val="24"/>
                <w:szCs w:val="24"/>
              </w:rPr>
              <w:t>6</w:t>
            </w:r>
          </w:p>
        </w:tc>
        <w:tc>
          <w:tcPr>
            <w:tcW w:w="3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AC86F">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肉类≥</w:t>
            </w:r>
            <w:r>
              <w:rPr>
                <w:rFonts w:ascii="宋体" w:hAnsi="宋体" w:cs="宋体"/>
                <w:color w:val="auto"/>
                <w:sz w:val="24"/>
                <w:szCs w:val="24"/>
              </w:rPr>
              <w:t>60，配菜≥50</w:t>
            </w:r>
          </w:p>
        </w:tc>
        <w:tc>
          <w:tcPr>
            <w:tcW w:w="2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F6B20">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w:t>
            </w:r>
            <w:r>
              <w:rPr>
                <w:rFonts w:ascii="宋体" w:hAnsi="宋体" w:cs="宋体"/>
                <w:color w:val="auto"/>
                <w:sz w:val="24"/>
                <w:szCs w:val="24"/>
              </w:rPr>
              <w:t>100</w:t>
            </w:r>
          </w:p>
        </w:tc>
      </w:tr>
      <w:tr w14:paraId="3AAE2D93">
        <w:tblPrEx>
          <w:tblCellMar>
            <w:top w:w="0" w:type="dxa"/>
            <w:left w:w="108" w:type="dxa"/>
            <w:bottom w:w="0" w:type="dxa"/>
            <w:right w:w="108" w:type="dxa"/>
          </w:tblCellMar>
        </w:tblPrEx>
        <w:trPr>
          <w:trHeight w:val="824" w:hRule="atLeast"/>
          <w:jc w:val="center"/>
        </w:trPr>
        <w:tc>
          <w:tcPr>
            <w:tcW w:w="1561" w:type="dxa"/>
            <w:vMerge w:val="continue"/>
            <w:tcBorders>
              <w:top w:val="single" w:color="000000" w:sz="4" w:space="0"/>
              <w:left w:val="single" w:color="000000" w:sz="4" w:space="0"/>
              <w:bottom w:val="single" w:color="000000" w:sz="4" w:space="0"/>
              <w:right w:val="single" w:color="000000" w:sz="4" w:space="0"/>
            </w:tcBorders>
            <w:noWrap/>
            <w:vAlign w:val="center"/>
          </w:tcPr>
          <w:p w14:paraId="49FA241A">
            <w:pPr>
              <w:spacing w:line="400" w:lineRule="exact"/>
              <w:ind w:firstLine="480" w:firstLineChars="200"/>
              <w:jc w:val="center"/>
              <w:rPr>
                <w:rFonts w:ascii="宋体" w:hAnsi="宋体" w:cs="宋体"/>
                <w:color w:val="auto"/>
                <w:sz w:val="24"/>
                <w:szCs w:val="24"/>
              </w:rPr>
            </w:pPr>
          </w:p>
        </w:tc>
        <w:tc>
          <w:tcPr>
            <w:tcW w:w="1376" w:type="dxa"/>
            <w:tcBorders>
              <w:top w:val="single" w:color="000000" w:sz="4" w:space="0"/>
              <w:left w:val="single" w:color="000000" w:sz="4" w:space="0"/>
              <w:bottom w:val="single" w:color="000000" w:sz="4" w:space="0"/>
              <w:right w:val="single" w:color="000000" w:sz="4" w:space="0"/>
            </w:tcBorders>
            <w:noWrap/>
            <w:vAlign w:val="center"/>
          </w:tcPr>
          <w:p w14:paraId="4E797F25">
            <w:pPr>
              <w:spacing w:line="400" w:lineRule="exact"/>
              <w:jc w:val="center"/>
              <w:rPr>
                <w:rFonts w:ascii="宋体" w:hAnsi="宋体" w:cs="宋体"/>
                <w:color w:val="auto"/>
                <w:sz w:val="24"/>
                <w:szCs w:val="24"/>
              </w:rPr>
            </w:pPr>
            <w:r>
              <w:rPr>
                <w:rFonts w:hint="eastAsia" w:ascii="宋体" w:hAnsi="宋体" w:cs="宋体"/>
                <w:color w:val="auto"/>
                <w:sz w:val="24"/>
                <w:szCs w:val="24"/>
              </w:rPr>
              <w:t>一荤两素</w:t>
            </w:r>
          </w:p>
        </w:tc>
        <w:tc>
          <w:tcPr>
            <w:tcW w:w="990" w:type="dxa"/>
            <w:tcBorders>
              <w:top w:val="single" w:color="000000" w:sz="4" w:space="0"/>
              <w:left w:val="single" w:color="000000" w:sz="4" w:space="0"/>
              <w:bottom w:val="single" w:color="000000" w:sz="4" w:space="0"/>
              <w:right w:val="single" w:color="000000" w:sz="4" w:space="0"/>
            </w:tcBorders>
            <w:noWrap/>
            <w:vAlign w:val="center"/>
          </w:tcPr>
          <w:p w14:paraId="49FD9BD7">
            <w:pPr>
              <w:spacing w:line="400" w:lineRule="exact"/>
              <w:ind w:firstLine="480" w:firstLineChars="200"/>
              <w:rPr>
                <w:rFonts w:ascii="宋体" w:hAnsi="宋体" w:cs="宋体"/>
                <w:color w:val="auto"/>
                <w:sz w:val="24"/>
                <w:szCs w:val="24"/>
              </w:rPr>
            </w:pPr>
            <w:r>
              <w:rPr>
                <w:rFonts w:ascii="宋体" w:hAnsi="宋体" w:cs="宋体"/>
                <w:color w:val="auto"/>
                <w:sz w:val="24"/>
                <w:szCs w:val="24"/>
              </w:rPr>
              <w:t>7</w:t>
            </w:r>
          </w:p>
        </w:tc>
        <w:tc>
          <w:tcPr>
            <w:tcW w:w="3135" w:type="dxa"/>
            <w:tcBorders>
              <w:top w:val="single" w:color="000000" w:sz="4" w:space="0"/>
              <w:left w:val="single" w:color="000000" w:sz="4" w:space="0"/>
              <w:bottom w:val="single" w:color="000000" w:sz="4" w:space="0"/>
              <w:right w:val="single" w:color="000000" w:sz="4" w:space="0"/>
            </w:tcBorders>
            <w:noWrap/>
            <w:vAlign w:val="center"/>
          </w:tcPr>
          <w:p w14:paraId="38ADB63F">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肉类≥</w:t>
            </w:r>
            <w:r>
              <w:rPr>
                <w:rFonts w:ascii="宋体" w:hAnsi="宋体" w:cs="宋体"/>
                <w:color w:val="auto"/>
                <w:sz w:val="24"/>
                <w:szCs w:val="24"/>
              </w:rPr>
              <w:t>60，配菜≥100</w:t>
            </w:r>
          </w:p>
        </w:tc>
        <w:tc>
          <w:tcPr>
            <w:tcW w:w="2095" w:type="dxa"/>
            <w:tcBorders>
              <w:top w:val="single" w:color="000000" w:sz="4" w:space="0"/>
              <w:left w:val="single" w:color="000000" w:sz="4" w:space="0"/>
              <w:bottom w:val="single" w:color="000000" w:sz="4" w:space="0"/>
              <w:right w:val="single" w:color="000000" w:sz="4" w:space="0"/>
            </w:tcBorders>
            <w:noWrap/>
            <w:vAlign w:val="center"/>
          </w:tcPr>
          <w:p w14:paraId="664D5B73">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w:t>
            </w:r>
            <w:r>
              <w:rPr>
                <w:rFonts w:ascii="宋体" w:hAnsi="宋体" w:cs="宋体"/>
                <w:color w:val="auto"/>
                <w:sz w:val="24"/>
                <w:szCs w:val="24"/>
              </w:rPr>
              <w:t>200</w:t>
            </w:r>
          </w:p>
        </w:tc>
      </w:tr>
      <w:tr w14:paraId="65E88E30">
        <w:tblPrEx>
          <w:tblCellMar>
            <w:top w:w="0" w:type="dxa"/>
            <w:left w:w="108" w:type="dxa"/>
            <w:bottom w:w="0" w:type="dxa"/>
            <w:right w:w="108" w:type="dxa"/>
          </w:tblCellMar>
        </w:tblPrEx>
        <w:trPr>
          <w:trHeight w:val="824" w:hRule="atLeast"/>
          <w:jc w:val="center"/>
        </w:trPr>
        <w:tc>
          <w:tcPr>
            <w:tcW w:w="1561" w:type="dxa"/>
            <w:vMerge w:val="continue"/>
            <w:tcBorders>
              <w:top w:val="single" w:color="000000" w:sz="4" w:space="0"/>
              <w:left w:val="single" w:color="000000" w:sz="4" w:space="0"/>
              <w:bottom w:val="single" w:color="000000" w:sz="4" w:space="0"/>
              <w:right w:val="single" w:color="000000" w:sz="4" w:space="0"/>
            </w:tcBorders>
            <w:noWrap/>
            <w:vAlign w:val="center"/>
          </w:tcPr>
          <w:p w14:paraId="74CADAA9">
            <w:pPr>
              <w:spacing w:line="400" w:lineRule="exact"/>
              <w:ind w:firstLine="480" w:firstLineChars="200"/>
              <w:jc w:val="center"/>
              <w:rPr>
                <w:rFonts w:ascii="宋体" w:hAnsi="宋体" w:cs="宋体"/>
                <w:color w:val="auto"/>
                <w:sz w:val="24"/>
                <w:szCs w:val="24"/>
              </w:rPr>
            </w:pPr>
          </w:p>
        </w:tc>
        <w:tc>
          <w:tcPr>
            <w:tcW w:w="1376" w:type="dxa"/>
            <w:tcBorders>
              <w:top w:val="single" w:color="000000" w:sz="4" w:space="0"/>
              <w:left w:val="single" w:color="000000" w:sz="4" w:space="0"/>
              <w:bottom w:val="single" w:color="000000" w:sz="4" w:space="0"/>
              <w:right w:val="single" w:color="000000" w:sz="4" w:space="0"/>
            </w:tcBorders>
            <w:noWrap/>
            <w:vAlign w:val="center"/>
          </w:tcPr>
          <w:p w14:paraId="2D77EF49">
            <w:pPr>
              <w:spacing w:line="400" w:lineRule="exact"/>
              <w:jc w:val="center"/>
              <w:rPr>
                <w:rFonts w:ascii="宋体" w:hAnsi="宋体" w:cs="宋体"/>
                <w:color w:val="auto"/>
                <w:sz w:val="24"/>
                <w:szCs w:val="24"/>
              </w:rPr>
            </w:pPr>
            <w:r>
              <w:rPr>
                <w:rFonts w:hint="eastAsia" w:ascii="宋体" w:hAnsi="宋体" w:cs="宋体"/>
                <w:color w:val="auto"/>
                <w:sz w:val="24"/>
                <w:szCs w:val="24"/>
              </w:rPr>
              <w:t>两荤一素</w:t>
            </w:r>
          </w:p>
        </w:tc>
        <w:tc>
          <w:tcPr>
            <w:tcW w:w="990" w:type="dxa"/>
            <w:tcBorders>
              <w:top w:val="single" w:color="000000" w:sz="4" w:space="0"/>
              <w:left w:val="single" w:color="000000" w:sz="4" w:space="0"/>
              <w:bottom w:val="single" w:color="000000" w:sz="4" w:space="0"/>
              <w:right w:val="single" w:color="000000" w:sz="4" w:space="0"/>
            </w:tcBorders>
            <w:noWrap/>
            <w:vAlign w:val="center"/>
          </w:tcPr>
          <w:p w14:paraId="31A0B35F">
            <w:pPr>
              <w:spacing w:line="400" w:lineRule="exact"/>
              <w:ind w:firstLine="480" w:firstLineChars="200"/>
              <w:rPr>
                <w:rFonts w:ascii="宋体" w:hAnsi="宋体" w:cs="宋体"/>
                <w:color w:val="auto"/>
                <w:sz w:val="24"/>
                <w:szCs w:val="24"/>
              </w:rPr>
            </w:pPr>
            <w:r>
              <w:rPr>
                <w:rFonts w:ascii="宋体" w:hAnsi="宋体" w:cs="宋体"/>
                <w:color w:val="auto"/>
                <w:sz w:val="24"/>
                <w:szCs w:val="24"/>
              </w:rPr>
              <w:t>8</w:t>
            </w:r>
          </w:p>
        </w:tc>
        <w:tc>
          <w:tcPr>
            <w:tcW w:w="3135" w:type="dxa"/>
            <w:tcBorders>
              <w:top w:val="single" w:color="000000" w:sz="4" w:space="0"/>
              <w:left w:val="single" w:color="000000" w:sz="4" w:space="0"/>
              <w:bottom w:val="single" w:color="000000" w:sz="4" w:space="0"/>
              <w:right w:val="single" w:color="000000" w:sz="4" w:space="0"/>
            </w:tcBorders>
            <w:noWrap/>
            <w:vAlign w:val="center"/>
          </w:tcPr>
          <w:p w14:paraId="60F618A4">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肉类≥</w:t>
            </w:r>
            <w:r>
              <w:rPr>
                <w:rFonts w:ascii="宋体" w:hAnsi="宋体" w:cs="宋体"/>
                <w:color w:val="auto"/>
                <w:sz w:val="24"/>
                <w:szCs w:val="24"/>
              </w:rPr>
              <w:t>120，配菜≥100</w:t>
            </w:r>
          </w:p>
        </w:tc>
        <w:tc>
          <w:tcPr>
            <w:tcW w:w="2095" w:type="dxa"/>
            <w:tcBorders>
              <w:top w:val="single" w:color="000000" w:sz="4" w:space="0"/>
              <w:left w:val="single" w:color="000000" w:sz="4" w:space="0"/>
              <w:bottom w:val="single" w:color="000000" w:sz="4" w:space="0"/>
              <w:right w:val="single" w:color="000000" w:sz="4" w:space="0"/>
            </w:tcBorders>
            <w:noWrap/>
            <w:vAlign w:val="center"/>
          </w:tcPr>
          <w:p w14:paraId="5A38C0E0">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w:t>
            </w:r>
            <w:r>
              <w:rPr>
                <w:rFonts w:ascii="宋体" w:hAnsi="宋体" w:cs="宋体"/>
                <w:color w:val="auto"/>
                <w:sz w:val="24"/>
                <w:szCs w:val="24"/>
              </w:rPr>
              <w:t>100</w:t>
            </w:r>
          </w:p>
        </w:tc>
      </w:tr>
      <w:tr w14:paraId="759D7B1C">
        <w:tblPrEx>
          <w:tblCellMar>
            <w:top w:w="0" w:type="dxa"/>
            <w:left w:w="108" w:type="dxa"/>
            <w:bottom w:w="0" w:type="dxa"/>
            <w:right w:w="108" w:type="dxa"/>
          </w:tblCellMar>
        </w:tblPrEx>
        <w:trPr>
          <w:trHeight w:val="914" w:hRule="atLeast"/>
          <w:jc w:val="center"/>
        </w:trPr>
        <w:tc>
          <w:tcPr>
            <w:tcW w:w="1561" w:type="dxa"/>
            <w:vMerge w:val="continue"/>
            <w:tcBorders>
              <w:top w:val="single" w:color="000000" w:sz="4" w:space="0"/>
              <w:left w:val="single" w:color="000000" w:sz="4" w:space="0"/>
              <w:bottom w:val="single" w:color="000000" w:sz="4" w:space="0"/>
              <w:right w:val="single" w:color="000000" w:sz="4" w:space="0"/>
            </w:tcBorders>
            <w:noWrap/>
            <w:vAlign w:val="center"/>
          </w:tcPr>
          <w:p w14:paraId="62CB8F28">
            <w:pPr>
              <w:spacing w:line="400" w:lineRule="exact"/>
              <w:ind w:firstLine="480" w:firstLineChars="200"/>
              <w:jc w:val="center"/>
              <w:rPr>
                <w:rFonts w:ascii="宋体" w:hAnsi="宋体" w:cs="宋体"/>
                <w:color w:val="auto"/>
                <w:sz w:val="24"/>
                <w:szCs w:val="24"/>
              </w:rPr>
            </w:pPr>
          </w:p>
        </w:tc>
        <w:tc>
          <w:tcPr>
            <w:tcW w:w="1376" w:type="dxa"/>
            <w:tcBorders>
              <w:top w:val="single" w:color="000000" w:sz="4" w:space="0"/>
              <w:left w:val="single" w:color="000000" w:sz="4" w:space="0"/>
              <w:bottom w:val="single" w:color="000000" w:sz="4" w:space="0"/>
              <w:right w:val="single" w:color="000000" w:sz="4" w:space="0"/>
            </w:tcBorders>
            <w:noWrap/>
            <w:vAlign w:val="center"/>
          </w:tcPr>
          <w:p w14:paraId="6AAE0BEE">
            <w:pPr>
              <w:spacing w:line="400" w:lineRule="exact"/>
              <w:jc w:val="center"/>
              <w:rPr>
                <w:rFonts w:ascii="宋体" w:hAnsi="宋体" w:cs="宋体"/>
                <w:color w:val="auto"/>
                <w:sz w:val="24"/>
                <w:szCs w:val="24"/>
              </w:rPr>
            </w:pPr>
            <w:r>
              <w:rPr>
                <w:rFonts w:hint="eastAsia" w:ascii="宋体" w:hAnsi="宋体" w:cs="宋体"/>
                <w:color w:val="auto"/>
                <w:sz w:val="24"/>
                <w:szCs w:val="24"/>
              </w:rPr>
              <w:t>两荤两素</w:t>
            </w:r>
          </w:p>
        </w:tc>
        <w:tc>
          <w:tcPr>
            <w:tcW w:w="990" w:type="dxa"/>
            <w:tcBorders>
              <w:top w:val="single" w:color="000000" w:sz="4" w:space="0"/>
              <w:left w:val="single" w:color="000000" w:sz="4" w:space="0"/>
              <w:bottom w:val="single" w:color="000000" w:sz="4" w:space="0"/>
              <w:right w:val="single" w:color="000000" w:sz="4" w:space="0"/>
            </w:tcBorders>
            <w:noWrap/>
            <w:vAlign w:val="center"/>
          </w:tcPr>
          <w:p w14:paraId="1B9CDD95">
            <w:pPr>
              <w:spacing w:line="400" w:lineRule="exact"/>
              <w:ind w:firstLine="480" w:firstLineChars="200"/>
              <w:rPr>
                <w:rFonts w:ascii="宋体" w:hAnsi="宋体" w:cs="宋体"/>
                <w:color w:val="auto"/>
                <w:sz w:val="24"/>
                <w:szCs w:val="24"/>
              </w:rPr>
            </w:pPr>
            <w:r>
              <w:rPr>
                <w:rFonts w:ascii="宋体" w:hAnsi="宋体" w:cs="宋体"/>
                <w:color w:val="auto"/>
                <w:sz w:val="24"/>
                <w:szCs w:val="24"/>
              </w:rPr>
              <w:t>10</w:t>
            </w:r>
          </w:p>
        </w:tc>
        <w:tc>
          <w:tcPr>
            <w:tcW w:w="3135" w:type="dxa"/>
            <w:tcBorders>
              <w:top w:val="single" w:color="000000" w:sz="4" w:space="0"/>
              <w:left w:val="single" w:color="000000" w:sz="4" w:space="0"/>
              <w:bottom w:val="single" w:color="000000" w:sz="4" w:space="0"/>
              <w:right w:val="single" w:color="000000" w:sz="4" w:space="0"/>
            </w:tcBorders>
            <w:noWrap/>
            <w:vAlign w:val="center"/>
          </w:tcPr>
          <w:p w14:paraId="74954034">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肉类≥</w:t>
            </w:r>
            <w:r>
              <w:rPr>
                <w:rFonts w:ascii="宋体" w:hAnsi="宋体" w:cs="宋体"/>
                <w:color w:val="auto"/>
                <w:sz w:val="24"/>
                <w:szCs w:val="24"/>
              </w:rPr>
              <w:t>120，配菜≥100</w:t>
            </w:r>
          </w:p>
        </w:tc>
        <w:tc>
          <w:tcPr>
            <w:tcW w:w="2095" w:type="dxa"/>
            <w:tcBorders>
              <w:top w:val="single" w:color="000000" w:sz="4" w:space="0"/>
              <w:left w:val="single" w:color="000000" w:sz="4" w:space="0"/>
              <w:bottom w:val="single" w:color="000000" w:sz="4" w:space="0"/>
              <w:right w:val="single" w:color="000000" w:sz="4" w:space="0"/>
            </w:tcBorders>
            <w:noWrap/>
            <w:vAlign w:val="center"/>
          </w:tcPr>
          <w:p w14:paraId="1E74FD57">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w:t>
            </w:r>
            <w:r>
              <w:rPr>
                <w:rFonts w:ascii="宋体" w:hAnsi="宋体" w:cs="宋体"/>
                <w:color w:val="auto"/>
                <w:sz w:val="24"/>
                <w:szCs w:val="24"/>
              </w:rPr>
              <w:t>200</w:t>
            </w:r>
          </w:p>
        </w:tc>
      </w:tr>
    </w:tbl>
    <w:p w14:paraId="1B067254">
      <w:pPr>
        <w:spacing w:line="400" w:lineRule="exact"/>
        <w:ind w:firstLine="480" w:firstLineChars="200"/>
        <w:rPr>
          <w:rFonts w:ascii="宋体" w:hAnsi="宋体" w:cs="宋体"/>
          <w:color w:val="auto"/>
          <w:sz w:val="24"/>
          <w:szCs w:val="28"/>
        </w:rPr>
      </w:pPr>
      <w:r>
        <w:rPr>
          <w:rFonts w:hint="eastAsia" w:ascii="宋体" w:hAnsi="宋体" w:cs="仿宋"/>
          <w:color w:val="auto"/>
          <w:sz w:val="24"/>
          <w:szCs w:val="24"/>
        </w:rPr>
        <w:t>（</w:t>
      </w:r>
      <w:r>
        <w:rPr>
          <w:rFonts w:ascii="宋体" w:hAnsi="宋体" w:cs="仿宋"/>
          <w:color w:val="auto"/>
          <w:sz w:val="24"/>
          <w:szCs w:val="24"/>
        </w:rPr>
        <w:t>5）包1、包3、包4、包5</w:t>
      </w:r>
      <w:r>
        <w:rPr>
          <w:rFonts w:hint="eastAsia" w:ascii="宋体" w:hAnsi="宋体" w:cs="宋体"/>
          <w:color w:val="auto"/>
          <w:sz w:val="24"/>
          <w:szCs w:val="28"/>
        </w:rPr>
        <w:t>成交商须按照采购人要求每日提供爱心保障餐，以套餐形式提供，确保每日不同样，配置标准：中餐和晚餐一荤一素，提供免费汤，米饭免费添加；爱心保障餐每餐不高于</w:t>
      </w:r>
      <w:r>
        <w:rPr>
          <w:rFonts w:ascii="宋体" w:hAnsi="宋体" w:cs="宋体"/>
          <w:color w:val="auto"/>
          <w:sz w:val="24"/>
          <w:szCs w:val="28"/>
        </w:rPr>
        <w:t>5元，鼓励</w:t>
      </w:r>
      <w:r>
        <w:rPr>
          <w:rFonts w:hint="eastAsia" w:ascii="宋体" w:hAnsi="宋体" w:cs="宋体"/>
          <w:color w:val="auto"/>
          <w:sz w:val="24"/>
          <w:szCs w:val="28"/>
        </w:rPr>
        <w:t>成交商主动让利给困难家庭学生，可以通过关怀育人的项目，适当再降低餐标，由成交商在经营期内制订供餐方案，报采购人审核书面同意后实施。供应商须按照以上服务要求在基本大伙方案中响应，爱心保障餐品质应符合基本大伙饭菜品质和质量份量要求。</w:t>
      </w:r>
    </w:p>
    <w:p w14:paraId="444218BF">
      <w:pPr>
        <w:spacing w:line="400" w:lineRule="exact"/>
        <w:ind w:firstLine="480" w:firstLineChars="200"/>
        <w:rPr>
          <w:rFonts w:ascii="宋体" w:hAnsi="宋体" w:cs="仿宋"/>
          <w:color w:val="auto"/>
          <w:sz w:val="24"/>
          <w:szCs w:val="24"/>
        </w:rPr>
      </w:pPr>
      <w:r>
        <w:rPr>
          <w:rFonts w:ascii="宋体" w:hAnsi="宋体" w:cs="仿宋"/>
          <w:color w:val="auto"/>
          <w:sz w:val="24"/>
          <w:szCs w:val="24"/>
        </w:rPr>
        <w:t>3.食堂业态和档口设置须进行前置审核，特色品种在同质同量同品种的前提下，价格应低于周边市场价格或不高于同类高校，罗列所有能提供的特色菜品或套餐品类，菜肴品种、菜品价格、成本核算、菜品质量标准和经营管理（</w:t>
      </w:r>
      <w:r>
        <w:rPr>
          <w:rFonts w:hint="eastAsia" w:ascii="宋体" w:hAnsi="宋体" w:cs="仿宋"/>
          <w:color w:val="auto"/>
          <w:sz w:val="24"/>
          <w:szCs w:val="24"/>
        </w:rPr>
        <w:t>含人员管理）等须交采购人监管部门审核书面同意后方可实施，</w:t>
      </w:r>
      <w:r>
        <w:rPr>
          <w:rFonts w:hint="eastAsia" w:ascii="宋体" w:hAnsi="宋体"/>
          <w:color w:val="auto"/>
          <w:sz w:val="24"/>
          <w:szCs w:val="24"/>
        </w:rPr>
        <w:t>采购人</w:t>
      </w:r>
      <w:r>
        <w:rPr>
          <w:rFonts w:hint="eastAsia" w:ascii="宋体" w:hAnsi="宋体" w:cs="仿宋"/>
          <w:color w:val="auto"/>
          <w:sz w:val="24"/>
          <w:szCs w:val="24"/>
        </w:rPr>
        <w:t>实行全过程监督管理，</w:t>
      </w:r>
      <w:r>
        <w:rPr>
          <w:rFonts w:hint="eastAsia" w:ascii="宋体" w:hAnsi="宋体"/>
          <w:color w:val="auto"/>
          <w:sz w:val="24"/>
          <w:szCs w:val="24"/>
        </w:rPr>
        <w:t>否则，成交商按照每一菜品每次</w:t>
      </w:r>
      <w:r>
        <w:rPr>
          <w:rFonts w:ascii="宋体" w:hAnsi="宋体"/>
          <w:color w:val="auto"/>
          <w:sz w:val="24"/>
          <w:szCs w:val="24"/>
        </w:rPr>
        <w:t>5000元违约金支付采购人。</w:t>
      </w:r>
      <w:r>
        <w:rPr>
          <w:rFonts w:hint="eastAsia" w:ascii="宋体" w:hAnsi="宋体" w:cs="仿宋"/>
          <w:color w:val="auto"/>
          <w:sz w:val="24"/>
          <w:szCs w:val="24"/>
        </w:rPr>
        <w:t>成交商不得从事餐饮以外的其它任何业务（如经营超市等），不得经营超出自身经营许可或条件的餐饮项目（如没有凉菜制作条件和餐饮许可，则不得经营凉菜项目等）。成交商需不断增加饭菜的花色品种，提高饭菜质量，注重科学营养配餐。保证采购人正常教学运行期间满足师生就餐需求，且未经批准不得擅自停业。</w:t>
      </w:r>
    </w:p>
    <w:p w14:paraId="0DAE8884">
      <w:pPr>
        <w:spacing w:line="440" w:lineRule="exact"/>
        <w:ind w:firstLine="480" w:firstLineChars="200"/>
        <w:jc w:val="left"/>
        <w:rPr>
          <w:rFonts w:ascii="宋体" w:hAnsi="宋体" w:cs="仿宋"/>
          <w:color w:val="auto"/>
          <w:sz w:val="24"/>
          <w:szCs w:val="24"/>
        </w:rPr>
      </w:pPr>
      <w:r>
        <w:rPr>
          <w:rFonts w:ascii="宋体" w:hAnsi="宋体" w:cs="仿宋"/>
          <w:color w:val="auto"/>
          <w:sz w:val="24"/>
          <w:szCs w:val="24"/>
        </w:rPr>
        <w:t>4.</w:t>
      </w:r>
      <w:r>
        <w:rPr>
          <w:rFonts w:hint="eastAsia" w:ascii="宋体" w:hAnsi="宋体" w:cs="仿宋"/>
          <w:color w:val="auto"/>
          <w:sz w:val="24"/>
          <w:szCs w:val="24"/>
        </w:rPr>
        <w:t>成交商须直接管理和经营食堂，食堂所有窗口须一体化管理，不得分包或转包，</w:t>
      </w:r>
      <w:r>
        <w:rPr>
          <w:rFonts w:hint="eastAsia" w:ascii="宋体" w:hAnsi="宋体" w:cs="仿宋"/>
          <w:bCs/>
          <w:color w:val="auto"/>
          <w:sz w:val="24"/>
          <w:szCs w:val="24"/>
        </w:rPr>
        <w:t>一经发现分包或转包，采购人不认可任何分包转包合同，有权直接终止合同，扣罚所有履约保证金并追究成交商责任。采购人定期或不定期对所有档口工作人员的聘用合同、缴纳社保的材料、上岗情况及工资流水进行查验。</w:t>
      </w:r>
      <w:r>
        <w:rPr>
          <w:rFonts w:hint="eastAsia" w:ascii="宋体" w:hAnsi="宋体" w:cs="仿宋"/>
          <w:color w:val="auto"/>
          <w:sz w:val="24"/>
          <w:szCs w:val="24"/>
        </w:rPr>
        <w:t>成交商不得在食堂内非窗口场所、食堂周边、校园内摆摊设点，不得破坏食堂整体格局、外观和使用功能。</w:t>
      </w:r>
    </w:p>
    <w:p w14:paraId="1AB4D1F6">
      <w:pPr>
        <w:spacing w:line="440" w:lineRule="exact"/>
        <w:ind w:firstLine="480" w:firstLineChars="200"/>
        <w:jc w:val="left"/>
        <w:rPr>
          <w:rFonts w:ascii="宋体" w:hAnsi="宋体" w:cs="仿宋"/>
          <w:color w:val="auto"/>
          <w:sz w:val="24"/>
          <w:szCs w:val="24"/>
        </w:rPr>
      </w:pPr>
      <w:r>
        <w:rPr>
          <w:rFonts w:ascii="宋体" w:hAnsi="宋体" w:cs="仿宋"/>
          <w:color w:val="auto"/>
          <w:sz w:val="24"/>
          <w:szCs w:val="24"/>
        </w:rPr>
        <w:t>5.</w:t>
      </w:r>
      <w:r>
        <w:rPr>
          <w:rFonts w:hint="eastAsia" w:ascii="宋体" w:hAnsi="宋体" w:cs="仿宋"/>
          <w:color w:val="auto"/>
          <w:sz w:val="24"/>
          <w:szCs w:val="24"/>
        </w:rPr>
        <w:t>成交商须注重食品安全卫生管理，严格执行国家、政府行政主管部门、学校对食品安全生产的法律、法规、规章制度的要求，有健全的食品安全管理制度，有食品安全管理团队，有完备的食品安全事故处置预案。不得在食堂内使用、销售预制菜。</w:t>
      </w:r>
    </w:p>
    <w:p w14:paraId="23492452">
      <w:pPr>
        <w:spacing w:line="440" w:lineRule="exact"/>
        <w:ind w:firstLine="480" w:firstLineChars="200"/>
        <w:jc w:val="left"/>
        <w:rPr>
          <w:rFonts w:ascii="宋体" w:hAnsi="宋体" w:cs="仿宋"/>
          <w:color w:val="auto"/>
          <w:sz w:val="24"/>
          <w:szCs w:val="24"/>
        </w:rPr>
      </w:pPr>
      <w:r>
        <w:rPr>
          <w:rFonts w:ascii="宋体" w:hAnsi="宋体" w:cs="仿宋"/>
          <w:color w:val="auto"/>
          <w:sz w:val="24"/>
          <w:szCs w:val="24"/>
        </w:rPr>
        <w:t>6.</w:t>
      </w:r>
      <w:r>
        <w:rPr>
          <w:rFonts w:hint="eastAsia" w:ascii="宋体" w:hAnsi="宋体" w:cs="仿宋"/>
          <w:color w:val="auto"/>
          <w:sz w:val="24"/>
          <w:szCs w:val="24"/>
        </w:rPr>
        <w:t>成交商须注重师生身体健康，按照《“健康中国</w:t>
      </w:r>
      <w:r>
        <w:rPr>
          <w:rFonts w:ascii="宋体" w:hAnsi="宋体" w:cs="仿宋"/>
          <w:color w:val="auto"/>
          <w:sz w:val="24"/>
          <w:szCs w:val="24"/>
        </w:rPr>
        <w:t>2030”规划纲要》减盐要求，本项目所有食堂须使用低钠盐。且必须在具有食盐批发业务资质的企业中采购低钠盐。否则，采购人按每次</w:t>
      </w:r>
      <w:r>
        <w:rPr>
          <w:rFonts w:ascii="宋体" w:hAnsi="宋体" w:cs="宋体"/>
          <w:color w:val="auto"/>
          <w:sz w:val="24"/>
          <w:szCs w:val="24"/>
        </w:rPr>
        <w:t>50000元扣罚</w:t>
      </w:r>
      <w:r>
        <w:rPr>
          <w:rFonts w:hint="eastAsia" w:ascii="宋体" w:hAnsi="宋体" w:cs="宋体"/>
          <w:color w:val="auto"/>
          <w:sz w:val="24"/>
          <w:szCs w:val="24"/>
        </w:rPr>
        <w:t>成交商违约金。</w:t>
      </w:r>
    </w:p>
    <w:p w14:paraId="59E18706">
      <w:pPr>
        <w:spacing w:line="440" w:lineRule="exact"/>
        <w:ind w:firstLine="480" w:firstLineChars="200"/>
        <w:jc w:val="left"/>
        <w:rPr>
          <w:rFonts w:ascii="宋体" w:hAnsi="宋体" w:cs="仿宋"/>
          <w:color w:val="auto"/>
          <w:sz w:val="24"/>
          <w:szCs w:val="24"/>
        </w:rPr>
      </w:pPr>
      <w:r>
        <w:rPr>
          <w:rFonts w:ascii="宋体" w:hAnsi="宋体" w:cs="仿宋"/>
          <w:color w:val="auto"/>
          <w:sz w:val="24"/>
          <w:szCs w:val="24"/>
        </w:rPr>
        <w:t>7.人员管理要求：</w:t>
      </w:r>
    </w:p>
    <w:p w14:paraId="1B892438">
      <w:pPr>
        <w:spacing w:line="440" w:lineRule="exact"/>
        <w:ind w:firstLine="480" w:firstLineChars="200"/>
        <w:jc w:val="left"/>
        <w:rPr>
          <w:rFonts w:ascii="宋体" w:hAnsi="宋体"/>
          <w:color w:val="auto"/>
          <w:sz w:val="24"/>
          <w:szCs w:val="24"/>
        </w:rPr>
      </w:pPr>
      <w:r>
        <w:rPr>
          <w:rFonts w:hint="eastAsia" w:ascii="宋体" w:hAnsi="宋体" w:cs="仿宋"/>
          <w:color w:val="auto"/>
          <w:sz w:val="24"/>
          <w:szCs w:val="24"/>
        </w:rPr>
        <w:t>成交供应商在合同期内须履行好主体责任，按要求做好在本项目员工的教育管理，采购人将严格按该相关要求加强对成交供应商的考核。严格把好食堂从业人员的“入门关”，严格从业资格审查。对拟使用的食堂从业人员，要按照相关文件要求，开展性侵等各类违法犯罪信息查询，并按规定定期报备查询结果。食堂管理服务人员应政治坚定、遵纪守法、廉洁自律、品行端正、无犯罪记录；身体健康无传染性疾病；心理健康无精神病史；掌握相关岗位业务知识和技能，能胜任工作；年龄原则上不宜过大。成交商须按照要求提供项目所有人员信息（采购人严格报名）备查；采购人将不定期全面排查食堂从业人员动态信息情况，按照相关文件规定，每年</w:t>
      </w:r>
      <w:r>
        <w:rPr>
          <w:rFonts w:ascii="宋体" w:hAnsi="宋体" w:cs="仿宋"/>
          <w:color w:val="auto"/>
          <w:sz w:val="24"/>
          <w:szCs w:val="24"/>
        </w:rPr>
        <w:t>3月对在岗人员进行涉</w:t>
      </w:r>
      <w:r>
        <w:rPr>
          <w:rFonts w:hint="eastAsia" w:ascii="宋体" w:hAnsi="宋体" w:cs="仿宋"/>
          <w:color w:val="auto"/>
          <w:sz w:val="24"/>
          <w:szCs w:val="24"/>
        </w:rPr>
        <w:t>罪信息查询，对不符合或不具备在岗条件的人员要及时进行清退。成交商要关心关爱食堂从业人员，及时了解他们的思想动态，协助解决实际困难。</w:t>
      </w:r>
    </w:p>
    <w:p w14:paraId="455DC530">
      <w:pPr>
        <w:spacing w:line="440" w:lineRule="exact"/>
        <w:ind w:firstLine="480" w:firstLineChars="200"/>
        <w:jc w:val="left"/>
        <w:rPr>
          <w:rFonts w:ascii="宋体" w:hAnsi="宋体"/>
          <w:color w:val="auto"/>
          <w:sz w:val="24"/>
          <w:szCs w:val="24"/>
        </w:rPr>
      </w:pPr>
      <w:r>
        <w:rPr>
          <w:rFonts w:hint="eastAsia" w:ascii="宋体" w:hAnsi="宋体" w:cs="仿宋"/>
          <w:color w:val="auto"/>
          <w:sz w:val="24"/>
          <w:szCs w:val="24"/>
        </w:rPr>
        <w:t>成交商须服从政府相关部门和学校的监督管理和指导，自行承担经营责任和风险。</w:t>
      </w:r>
      <w:r>
        <w:rPr>
          <w:rFonts w:hint="eastAsia" w:ascii="宋体" w:hAnsi="宋体"/>
          <w:color w:val="auto"/>
          <w:sz w:val="24"/>
          <w:szCs w:val="24"/>
        </w:rPr>
        <w:t>成交商应制定完善的员工管理办法和制度，</w:t>
      </w:r>
      <w:r>
        <w:rPr>
          <w:rFonts w:hint="eastAsia" w:ascii="宋体" w:hAnsi="宋体" w:cs="仿宋"/>
          <w:color w:val="auto"/>
          <w:sz w:val="24"/>
          <w:szCs w:val="24"/>
        </w:rPr>
        <w:t>依法用工。</w:t>
      </w:r>
      <w:r>
        <w:rPr>
          <w:rFonts w:hint="eastAsia" w:ascii="宋体" w:hAnsi="宋体" w:cs="仿宋"/>
          <w:b/>
          <w:bCs/>
          <w:color w:val="auto"/>
          <w:sz w:val="24"/>
          <w:szCs w:val="24"/>
        </w:rPr>
        <w:t>成交商以本单位名义依法为本项目食堂所有从业人员全员签订劳动合同，不能签订劳动合同的必须签订劳务协议。</w:t>
      </w:r>
      <w:r>
        <w:rPr>
          <w:rFonts w:hint="eastAsia" w:ascii="宋体" w:hAnsi="宋体" w:cs="仿宋"/>
          <w:color w:val="auto"/>
          <w:sz w:val="24"/>
          <w:szCs w:val="24"/>
        </w:rPr>
        <w:t>工资待遇和社会保险按国家规定执行，</w:t>
      </w:r>
      <w:r>
        <w:rPr>
          <w:rFonts w:hint="eastAsia" w:ascii="宋体" w:hAnsi="宋体"/>
          <w:color w:val="auto"/>
          <w:sz w:val="24"/>
          <w:szCs w:val="24"/>
        </w:rPr>
        <w:t>必须做好内部员工管理，包括安全和稳定的管理。成交商应妥善处理与就餐人员之间的矛盾、冲突，且不得使冲突升级，成交商</w:t>
      </w:r>
      <w:r>
        <w:rPr>
          <w:rFonts w:hint="eastAsia" w:ascii="宋体" w:hAnsi="宋体" w:cs="仿宋"/>
          <w:color w:val="auto"/>
          <w:sz w:val="24"/>
          <w:szCs w:val="24"/>
        </w:rPr>
        <w:t>承担由此造成的一切经济、安全和法律责任。</w:t>
      </w:r>
      <w:r>
        <w:rPr>
          <w:rFonts w:hint="eastAsia" w:ascii="宋体" w:hAnsi="宋体"/>
          <w:color w:val="auto"/>
          <w:sz w:val="24"/>
          <w:szCs w:val="24"/>
        </w:rPr>
        <w:t>若因成交商资金链断裂、内部员工工伤、工资报酬、供货商、合作商、贷款纠纷等情况出现上访、投诉或重大网络舆情事件，或者发生</w:t>
      </w:r>
      <w:r>
        <w:rPr>
          <w:rFonts w:hint="eastAsia" w:ascii="宋体" w:hAnsi="宋体" w:cs="宋体"/>
          <w:color w:val="auto"/>
          <w:sz w:val="24"/>
          <w:szCs w:val="24"/>
          <w:lang w:val="zh-CN"/>
        </w:rPr>
        <w:t>学生集体性食物中毒、火灾、拥挤踩踏等群体性安全事故和</w:t>
      </w:r>
      <w:r>
        <w:rPr>
          <w:rFonts w:hint="eastAsia" w:ascii="宋体" w:hAnsi="宋体" w:cs="宋体"/>
          <w:color w:val="auto"/>
          <w:sz w:val="24"/>
          <w:szCs w:val="24"/>
        </w:rPr>
        <w:t>重大</w:t>
      </w:r>
      <w:r>
        <w:rPr>
          <w:rFonts w:hint="eastAsia" w:ascii="宋体" w:hAnsi="宋体" w:cs="宋体"/>
          <w:color w:val="auto"/>
          <w:sz w:val="24"/>
          <w:szCs w:val="24"/>
          <w:lang w:val="zh-CN"/>
        </w:rPr>
        <w:t>网络舆情事件</w:t>
      </w:r>
      <w:r>
        <w:rPr>
          <w:rFonts w:hint="eastAsia" w:ascii="宋体" w:hAnsi="宋体" w:cs="宋体"/>
          <w:bCs/>
          <w:color w:val="auto"/>
          <w:sz w:val="24"/>
          <w:szCs w:val="24"/>
          <w:lang w:val="zh-CN"/>
        </w:rPr>
        <w:t>，</w:t>
      </w:r>
      <w:r>
        <w:rPr>
          <w:rFonts w:hint="eastAsia" w:ascii="宋体" w:hAnsi="宋体"/>
          <w:color w:val="auto"/>
          <w:sz w:val="24"/>
          <w:szCs w:val="24"/>
        </w:rPr>
        <w:t>一经查实，成交商每次向采购人支付违约金</w:t>
      </w:r>
      <w:r>
        <w:rPr>
          <w:rFonts w:ascii="宋体" w:hAnsi="宋体"/>
          <w:color w:val="auto"/>
          <w:sz w:val="24"/>
          <w:szCs w:val="24"/>
        </w:rPr>
        <w:t>500000元，</w:t>
      </w:r>
      <w:r>
        <w:rPr>
          <w:rFonts w:hint="eastAsia" w:ascii="宋体" w:hAnsi="宋体"/>
          <w:color w:val="auto"/>
          <w:sz w:val="24"/>
          <w:szCs w:val="24"/>
        </w:rPr>
        <w:t>如</w:t>
      </w:r>
      <w:r>
        <w:rPr>
          <w:rFonts w:ascii="宋体" w:hAnsi="宋体"/>
          <w:color w:val="auto"/>
          <w:sz w:val="24"/>
          <w:szCs w:val="24"/>
        </w:rPr>
        <w:t>造成重大不良影响</w:t>
      </w:r>
      <w:r>
        <w:rPr>
          <w:rFonts w:hint="eastAsia" w:ascii="宋体" w:hAnsi="宋体"/>
          <w:color w:val="auto"/>
          <w:sz w:val="24"/>
          <w:szCs w:val="24"/>
        </w:rPr>
        <w:t>，</w:t>
      </w:r>
      <w:r>
        <w:rPr>
          <w:rFonts w:ascii="宋体" w:hAnsi="宋体"/>
          <w:color w:val="auto"/>
          <w:sz w:val="24"/>
          <w:szCs w:val="24"/>
        </w:rPr>
        <w:t>采购人有权单方面解除合同，</w:t>
      </w:r>
      <w:r>
        <w:rPr>
          <w:rFonts w:hint="eastAsia" w:ascii="宋体" w:hAnsi="宋体"/>
          <w:color w:val="auto"/>
          <w:sz w:val="24"/>
          <w:szCs w:val="24"/>
        </w:rPr>
        <w:t>且</w:t>
      </w:r>
      <w:r>
        <w:rPr>
          <w:rFonts w:ascii="宋体" w:hAnsi="宋体"/>
          <w:color w:val="auto"/>
          <w:sz w:val="24"/>
          <w:szCs w:val="24"/>
        </w:rPr>
        <w:t>不退还全部履约保证金。</w:t>
      </w:r>
      <w:r>
        <w:rPr>
          <w:rFonts w:hint="eastAsia" w:ascii="宋体" w:hAnsi="宋体"/>
          <w:color w:val="auto"/>
          <w:sz w:val="24"/>
          <w:szCs w:val="24"/>
        </w:rPr>
        <w:t>成交商或成交商工作人员应遵守采购人相关规章制度，因成交商或成交商工作人员原因给自身、采购人或第三方造成的一切人身、财产损害等后果由成交商自行承担。成交商须为食堂购买食品安全责任险和燃气安全责任险，且成交商须自行承担员工和经营范围内发生的人身财产安全、食品安全、燃气安全、消防安全等事故造成的一切经济、行政和法律责任。</w:t>
      </w:r>
    </w:p>
    <w:p w14:paraId="42A8FF3D">
      <w:pPr>
        <w:spacing w:line="440" w:lineRule="exact"/>
        <w:ind w:firstLine="482" w:firstLineChars="200"/>
        <w:jc w:val="left"/>
        <w:rPr>
          <w:rFonts w:ascii="宋体" w:hAnsi="宋体"/>
          <w:b/>
          <w:color w:val="auto"/>
          <w:sz w:val="24"/>
          <w:szCs w:val="24"/>
        </w:rPr>
      </w:pPr>
      <w:r>
        <w:rPr>
          <w:rFonts w:hint="eastAsia" w:ascii="宋体" w:hAnsi="宋体" w:cs="仿宋"/>
          <w:b/>
          <w:color w:val="auto"/>
          <w:sz w:val="24"/>
          <w:szCs w:val="24"/>
        </w:rPr>
        <w:t>成交商必须以本单位名义为本项目食堂所有从业人员购买社保，不能购买社保的超龄人员必须</w:t>
      </w:r>
      <w:r>
        <w:rPr>
          <w:rFonts w:ascii="宋体" w:hAnsi="宋体" w:cs="仿宋"/>
          <w:b/>
          <w:color w:val="auto"/>
          <w:sz w:val="24"/>
          <w:szCs w:val="24"/>
        </w:rPr>
        <w:t>100%购买雇主责任险，如发现少买或漏买，采购人将按每人每月1000元违约金处罚成交商。</w:t>
      </w:r>
    </w:p>
    <w:p w14:paraId="4D4ABD47">
      <w:pPr>
        <w:spacing w:line="440" w:lineRule="exact"/>
        <w:ind w:firstLine="482" w:firstLineChars="200"/>
        <w:jc w:val="left"/>
        <w:rPr>
          <w:rFonts w:ascii="宋体" w:hAnsi="宋体" w:cs="仿宋"/>
          <w:b/>
          <w:color w:val="auto"/>
          <w:sz w:val="24"/>
          <w:szCs w:val="24"/>
        </w:rPr>
      </w:pPr>
      <w:r>
        <w:rPr>
          <w:rFonts w:ascii="宋体" w:hAnsi="宋体" w:cs="仿宋"/>
          <w:b/>
          <w:color w:val="auto"/>
          <w:sz w:val="24"/>
          <w:szCs w:val="24"/>
        </w:rPr>
        <w:t>8.结算要求：</w:t>
      </w:r>
      <w:r>
        <w:rPr>
          <w:rFonts w:hint="eastAsia" w:ascii="宋体" w:hAnsi="宋体" w:cs="仿宋"/>
          <w:b/>
          <w:color w:val="auto"/>
          <w:sz w:val="24"/>
          <w:szCs w:val="24"/>
        </w:rPr>
        <w:t>成交商营业款结算周期则上为每月</w:t>
      </w:r>
      <w:r>
        <w:rPr>
          <w:rFonts w:ascii="宋体" w:hAnsi="宋体" w:cs="仿宋"/>
          <w:b/>
          <w:color w:val="auto"/>
          <w:sz w:val="24"/>
          <w:szCs w:val="24"/>
        </w:rPr>
        <w:t>20日，如遇寒暑</w:t>
      </w:r>
      <w:r>
        <w:rPr>
          <w:rFonts w:hint="eastAsia" w:ascii="宋体" w:hAnsi="宋体" w:cs="仿宋"/>
          <w:b/>
          <w:color w:val="auto"/>
          <w:sz w:val="24"/>
          <w:szCs w:val="24"/>
        </w:rPr>
        <w:t>假和法定节假日，</w:t>
      </w:r>
      <w:r>
        <w:rPr>
          <w:rFonts w:ascii="宋体" w:hAnsi="宋体" w:cs="仿宋"/>
          <w:b/>
          <w:color w:val="auto"/>
          <w:sz w:val="24"/>
          <w:szCs w:val="24"/>
        </w:rPr>
        <w:t>结算周期</w:t>
      </w:r>
      <w:r>
        <w:rPr>
          <w:rFonts w:hint="eastAsia" w:ascii="宋体" w:hAnsi="宋体" w:cs="仿宋"/>
          <w:b/>
          <w:color w:val="auto"/>
          <w:sz w:val="24"/>
          <w:szCs w:val="24"/>
        </w:rPr>
        <w:t>顺延</w:t>
      </w:r>
      <w:r>
        <w:rPr>
          <w:rFonts w:ascii="宋体" w:hAnsi="宋体" w:cs="仿宋"/>
          <w:b/>
          <w:color w:val="auto"/>
          <w:sz w:val="24"/>
          <w:szCs w:val="24"/>
        </w:rPr>
        <w:t>。为防止</w:t>
      </w:r>
      <w:r>
        <w:rPr>
          <w:rFonts w:hint="eastAsia" w:ascii="宋体" w:hAnsi="宋体" w:cs="仿宋"/>
          <w:b/>
          <w:color w:val="auto"/>
          <w:sz w:val="24"/>
          <w:szCs w:val="24"/>
        </w:rPr>
        <w:t>成交商拖欠员工工资、保险，供货商货款和其他合作商款项等，成交商需在采购人发出的营业款结算帐单之日起</w:t>
      </w:r>
      <w:r>
        <w:rPr>
          <w:rFonts w:ascii="宋体" w:hAnsi="宋体" w:cs="仿宋"/>
          <w:b/>
          <w:color w:val="auto"/>
          <w:sz w:val="24"/>
          <w:szCs w:val="24"/>
        </w:rPr>
        <w:t>10日内将员</w:t>
      </w:r>
      <w:r>
        <w:rPr>
          <w:rFonts w:hint="eastAsia" w:ascii="宋体" w:hAnsi="宋体" w:cs="仿宋"/>
          <w:b/>
          <w:color w:val="auto"/>
          <w:sz w:val="24"/>
          <w:szCs w:val="24"/>
        </w:rPr>
        <w:t>工资、保险，供货商货款和其他合作商款项</w:t>
      </w:r>
      <w:r>
        <w:rPr>
          <w:rFonts w:ascii="宋体" w:hAnsi="宋体" w:cs="仿宋"/>
          <w:b/>
          <w:color w:val="auto"/>
          <w:sz w:val="24"/>
          <w:szCs w:val="24"/>
        </w:rPr>
        <w:t>支付到位，采购人在收到</w:t>
      </w:r>
      <w:r>
        <w:rPr>
          <w:rFonts w:hint="eastAsia" w:ascii="宋体" w:hAnsi="宋体" w:cs="仿宋"/>
          <w:b/>
          <w:color w:val="auto"/>
          <w:sz w:val="24"/>
          <w:szCs w:val="24"/>
        </w:rPr>
        <w:t>成交商提交的工资、保险，供货商货款和其他合作商款项支付证明材料后</w:t>
      </w:r>
      <w:r>
        <w:rPr>
          <w:rFonts w:ascii="宋体" w:hAnsi="宋体" w:cs="仿宋"/>
          <w:b/>
          <w:color w:val="auto"/>
          <w:sz w:val="24"/>
          <w:szCs w:val="24"/>
        </w:rPr>
        <w:t>10内将营业款支付到位。</w:t>
      </w:r>
    </w:p>
    <w:p w14:paraId="509DBEF3">
      <w:pPr>
        <w:spacing w:line="440" w:lineRule="exact"/>
        <w:ind w:firstLine="480" w:firstLineChars="200"/>
        <w:jc w:val="left"/>
        <w:rPr>
          <w:rFonts w:ascii="宋体" w:hAnsi="宋体" w:cs="仿宋"/>
          <w:color w:val="auto"/>
          <w:sz w:val="24"/>
          <w:szCs w:val="24"/>
        </w:rPr>
      </w:pPr>
      <w:r>
        <w:rPr>
          <w:rFonts w:ascii="宋体" w:hAnsi="宋体" w:cs="仿宋"/>
          <w:color w:val="auto"/>
          <w:sz w:val="24"/>
          <w:szCs w:val="24"/>
        </w:rPr>
        <w:t>9.</w:t>
      </w:r>
      <w:r>
        <w:rPr>
          <w:rFonts w:hint="eastAsia" w:ascii="宋体" w:hAnsi="宋体" w:cs="仿宋"/>
          <w:color w:val="auto"/>
          <w:sz w:val="24"/>
          <w:szCs w:val="24"/>
        </w:rPr>
        <w:t>成交商必须使用采购人的一卡通系统进行收费，不得采取其他任何支付方式</w:t>
      </w:r>
      <w:r>
        <w:rPr>
          <w:rFonts w:ascii="宋体" w:hAnsi="宋体" w:cs="仿宋"/>
          <w:color w:val="auto"/>
          <w:sz w:val="24"/>
          <w:szCs w:val="24"/>
        </w:rPr>
        <w:t>(除学校统一监管的现金收银以外)。否则，经查实后</w:t>
      </w:r>
      <w:r>
        <w:rPr>
          <w:rFonts w:hint="eastAsia" w:ascii="宋体" w:hAnsi="宋体" w:cs="仿宋"/>
          <w:color w:val="auto"/>
          <w:sz w:val="24"/>
          <w:szCs w:val="24"/>
        </w:rPr>
        <w:t>成交商按照每次</w:t>
      </w:r>
      <w:r>
        <w:rPr>
          <w:rFonts w:ascii="宋体" w:hAnsi="宋体" w:cs="仿宋"/>
          <w:color w:val="auto"/>
          <w:sz w:val="24"/>
          <w:szCs w:val="24"/>
        </w:rPr>
        <w:t>20000元的违约金标准支付采购人，若当月发现三次以上违规交易的情况，则扣除当月营业额的20%作为违约金。采购人不再向</w:t>
      </w:r>
      <w:r>
        <w:rPr>
          <w:rFonts w:hint="eastAsia" w:ascii="宋体" w:hAnsi="宋体" w:cs="仿宋"/>
          <w:color w:val="auto"/>
          <w:sz w:val="24"/>
          <w:szCs w:val="24"/>
        </w:rPr>
        <w:t>成交商收取收费系统维护费，成交商需自行承担采购人食堂新增收费终端设备和数智食堂软硬件的购买、升级、线路改造及日常设备维护费用。</w:t>
      </w:r>
    </w:p>
    <w:p w14:paraId="15F09ACA">
      <w:pPr>
        <w:spacing w:line="440" w:lineRule="exact"/>
        <w:ind w:firstLine="480" w:firstLineChars="200"/>
        <w:jc w:val="left"/>
        <w:rPr>
          <w:rFonts w:ascii="宋体" w:hAnsi="宋体" w:cs="仿宋"/>
          <w:color w:val="auto"/>
          <w:sz w:val="24"/>
          <w:szCs w:val="24"/>
        </w:rPr>
      </w:pPr>
      <w:r>
        <w:rPr>
          <w:rFonts w:ascii="宋体" w:hAnsi="宋体" w:cs="仿宋"/>
          <w:color w:val="auto"/>
          <w:sz w:val="24"/>
          <w:szCs w:val="24"/>
        </w:rPr>
        <w:t>10.</w:t>
      </w:r>
      <w:r>
        <w:rPr>
          <w:rFonts w:hint="eastAsia" w:ascii="宋体" w:hAnsi="宋体" w:cs="仿宋"/>
          <w:color w:val="auto"/>
          <w:sz w:val="24"/>
          <w:szCs w:val="24"/>
        </w:rPr>
        <w:t>成交商须根据食堂的定位和要求进行成本核算。要按照相关规章制度和采购人要求，聘请市内外专家对员工进行安全和业务能力培训，并承担专家指导费；与其他食堂保持和谐经营关系。要采取有效措施确保饮食安全、生产安全和价格稳定，接受采购人监督考核，承担一切安全事故责任。</w:t>
      </w:r>
    </w:p>
    <w:p w14:paraId="0FA6B2F1">
      <w:pPr>
        <w:spacing w:line="440" w:lineRule="exact"/>
        <w:ind w:firstLine="480" w:firstLineChars="200"/>
        <w:jc w:val="left"/>
        <w:rPr>
          <w:rFonts w:ascii="宋体" w:hAnsi="宋体" w:cs="仿宋"/>
          <w:color w:val="auto"/>
          <w:sz w:val="24"/>
          <w:szCs w:val="24"/>
        </w:rPr>
      </w:pPr>
      <w:r>
        <w:rPr>
          <w:rFonts w:ascii="宋体" w:hAnsi="宋体" w:cs="仿宋"/>
          <w:color w:val="auto"/>
          <w:sz w:val="24"/>
          <w:szCs w:val="24"/>
        </w:rPr>
        <w:t>11.本项目</w:t>
      </w:r>
      <w:r>
        <w:rPr>
          <w:rFonts w:hint="eastAsia" w:ascii="宋体" w:hAnsi="宋体" w:cs="仿宋"/>
          <w:color w:val="auto"/>
          <w:sz w:val="24"/>
          <w:szCs w:val="24"/>
        </w:rPr>
        <w:t>成交商所有员工上岗前必须取得健康证，避免因员工身体原因造成的安全事故，否则不能上岗且按照每次违规扣罚2</w:t>
      </w:r>
      <w:r>
        <w:rPr>
          <w:rFonts w:ascii="宋体" w:hAnsi="宋体" w:cs="仿宋"/>
          <w:color w:val="auto"/>
          <w:sz w:val="24"/>
          <w:szCs w:val="24"/>
        </w:rPr>
        <w:t>000元标准执行。</w:t>
      </w:r>
      <w:r>
        <w:rPr>
          <w:rFonts w:hint="eastAsia" w:ascii="宋体" w:hAnsi="宋体" w:cs="仿宋"/>
          <w:color w:val="auto"/>
          <w:sz w:val="24"/>
          <w:szCs w:val="24"/>
        </w:rPr>
        <w:t>成交商还须根据实际用工需求接纳采购人推荐的优秀员工和管理人员。</w:t>
      </w:r>
    </w:p>
    <w:p w14:paraId="25033B82">
      <w:pPr>
        <w:spacing w:line="440" w:lineRule="exact"/>
        <w:ind w:firstLine="480" w:firstLineChars="200"/>
        <w:jc w:val="left"/>
        <w:rPr>
          <w:rFonts w:ascii="宋体" w:hAnsi="宋体" w:cs="仿宋"/>
          <w:color w:val="auto"/>
          <w:sz w:val="24"/>
          <w:szCs w:val="24"/>
        </w:rPr>
      </w:pPr>
      <w:r>
        <w:rPr>
          <w:rFonts w:ascii="宋体" w:hAnsi="宋体" w:cs="仿宋"/>
          <w:color w:val="auto"/>
          <w:sz w:val="24"/>
          <w:szCs w:val="24"/>
        </w:rPr>
        <w:t>12.</w:t>
      </w:r>
      <w:r>
        <w:rPr>
          <w:rFonts w:hint="eastAsia" w:ascii="宋体" w:hAnsi="宋体" w:cs="仿宋"/>
          <w:color w:val="auto"/>
          <w:sz w:val="24"/>
          <w:szCs w:val="24"/>
        </w:rPr>
        <w:t>成交商需自行负责经营区域及分摊的公共区域清洁卫生，其标准必须达到上级主管部门及采购人的相关要求，接受学校的日常监督考核。</w:t>
      </w:r>
    </w:p>
    <w:p w14:paraId="2B14D8AE">
      <w:pPr>
        <w:spacing w:line="440" w:lineRule="exact"/>
        <w:ind w:firstLine="480" w:firstLineChars="200"/>
        <w:jc w:val="left"/>
        <w:rPr>
          <w:rFonts w:ascii="宋体" w:hAnsi="宋体" w:cs="仿宋"/>
          <w:color w:val="auto"/>
          <w:sz w:val="24"/>
          <w:szCs w:val="24"/>
        </w:rPr>
      </w:pPr>
      <w:r>
        <w:rPr>
          <w:rFonts w:ascii="宋体" w:hAnsi="宋体" w:cs="仿宋"/>
          <w:color w:val="auto"/>
          <w:sz w:val="24"/>
          <w:szCs w:val="24"/>
        </w:rPr>
        <w:t>13.</w:t>
      </w:r>
      <w:r>
        <w:rPr>
          <w:rFonts w:hint="eastAsia" w:ascii="宋体" w:hAnsi="宋体" w:cs="仿宋"/>
          <w:color w:val="auto"/>
          <w:sz w:val="24"/>
          <w:szCs w:val="24"/>
        </w:rPr>
        <w:t>成交商须确保饭菜品质，成品菜符合质量要求，按五项指标（饮食卫生、服务态度、饭菜价格、饭菜质量、花色品种）接受采购人后勤部门考核和监督。成交商必须设立纸质意见簿和“一码收集”“一键反馈”等数智化意见采集和反馈系统，听取意见，改进服务，师生满意率达</w:t>
      </w:r>
      <w:r>
        <w:rPr>
          <w:rFonts w:ascii="宋体" w:hAnsi="宋体" w:cs="仿宋"/>
          <w:color w:val="auto"/>
          <w:sz w:val="24"/>
          <w:szCs w:val="24"/>
        </w:rPr>
        <w:t>85%以上。无条件配合采购人创建主管部门组织的学生食堂相关评选和创建活动。</w:t>
      </w:r>
    </w:p>
    <w:p w14:paraId="7926357D">
      <w:pPr>
        <w:spacing w:line="440" w:lineRule="exact"/>
        <w:ind w:firstLine="480" w:firstLineChars="200"/>
        <w:jc w:val="left"/>
        <w:rPr>
          <w:rFonts w:ascii="宋体" w:hAnsi="宋体" w:cs="仿宋"/>
          <w:color w:val="auto"/>
          <w:sz w:val="24"/>
          <w:szCs w:val="24"/>
        </w:rPr>
      </w:pPr>
      <w:r>
        <w:rPr>
          <w:rFonts w:ascii="宋体" w:hAnsi="宋体" w:cs="仿宋"/>
          <w:color w:val="auto"/>
          <w:sz w:val="24"/>
          <w:szCs w:val="24"/>
        </w:rPr>
        <w:t>14.</w:t>
      </w:r>
      <w:r>
        <w:rPr>
          <w:rFonts w:hint="eastAsia" w:ascii="宋体" w:hAnsi="宋体" w:cs="仿宋"/>
          <w:color w:val="auto"/>
          <w:sz w:val="24"/>
          <w:szCs w:val="24"/>
        </w:rPr>
        <w:t>成交商必须把好饮食卫生“四关”，即验收关、拣洗关、烹饪关和销售关；“三消毒”，即餐具消毒、工用具消毒和功能间消毒；“二净”，即窗口服务员工要衣、帽干净整洁；“一留样”，即熟食留样并记录。</w:t>
      </w:r>
    </w:p>
    <w:p w14:paraId="5EC6FF68">
      <w:pPr>
        <w:spacing w:line="440" w:lineRule="exact"/>
        <w:ind w:firstLine="480" w:firstLineChars="200"/>
        <w:jc w:val="left"/>
        <w:rPr>
          <w:rFonts w:ascii="宋体" w:hAnsi="宋体" w:cs="仿宋"/>
          <w:color w:val="auto"/>
          <w:sz w:val="24"/>
          <w:szCs w:val="24"/>
        </w:rPr>
      </w:pPr>
      <w:r>
        <w:rPr>
          <w:rFonts w:ascii="宋体" w:hAnsi="宋体" w:cs="仿宋"/>
          <w:color w:val="auto"/>
          <w:sz w:val="24"/>
          <w:szCs w:val="24"/>
        </w:rPr>
        <w:t>15.</w:t>
      </w:r>
      <w:r>
        <w:rPr>
          <w:rFonts w:hint="eastAsia" w:ascii="宋体" w:hAnsi="宋体" w:cs="仿宋"/>
          <w:color w:val="auto"/>
          <w:sz w:val="24"/>
          <w:szCs w:val="24"/>
        </w:rPr>
        <w:t>成交商做好餐具和工用具的洗涤，洗涤用品必须选用符合国家相关标准的食品级用品，清洗好的餐具和工用具做好保洁工作，餐具需烘干，无水渍。</w:t>
      </w:r>
    </w:p>
    <w:p w14:paraId="4F9605B3">
      <w:pPr>
        <w:spacing w:line="440" w:lineRule="exact"/>
        <w:ind w:firstLine="480" w:firstLineChars="200"/>
        <w:jc w:val="left"/>
        <w:rPr>
          <w:rFonts w:ascii="宋体" w:hAnsi="宋体" w:cs="仿宋"/>
          <w:color w:val="auto"/>
          <w:sz w:val="24"/>
          <w:szCs w:val="24"/>
        </w:rPr>
      </w:pPr>
      <w:r>
        <w:rPr>
          <w:rFonts w:ascii="宋体" w:hAnsi="宋体" w:cs="仿宋"/>
          <w:color w:val="auto"/>
          <w:sz w:val="24"/>
          <w:szCs w:val="24"/>
        </w:rPr>
        <w:t>16.</w:t>
      </w:r>
      <w:r>
        <w:rPr>
          <w:rFonts w:hint="eastAsia" w:ascii="宋体" w:hAnsi="宋体" w:cs="仿宋"/>
          <w:color w:val="auto"/>
          <w:sz w:val="24"/>
          <w:szCs w:val="24"/>
        </w:rPr>
        <w:t>成交商所提供的不锈钢餐具必须符合国家标准</w:t>
      </w:r>
      <w:r>
        <w:rPr>
          <w:rFonts w:ascii="宋体" w:hAnsi="宋体" w:cs="仿宋"/>
          <w:color w:val="auto"/>
          <w:sz w:val="24"/>
          <w:szCs w:val="24"/>
        </w:rPr>
        <w:t>GB/T15067.2-2016，密胺塑料餐具必须符合国家标准GB/T41001-2021，一次性塑料餐饮用具必须符合国家标准GB/T18006.12009，GB/T18006.1-2020，一次性纸</w:t>
      </w:r>
      <w:r>
        <w:rPr>
          <w:rFonts w:hint="eastAsia" w:ascii="宋体" w:hAnsi="宋体" w:cs="仿宋"/>
          <w:color w:val="auto"/>
          <w:sz w:val="24"/>
          <w:szCs w:val="24"/>
        </w:rPr>
        <w:t>碗必须符合国家标准</w:t>
      </w:r>
      <w:r>
        <w:rPr>
          <w:rFonts w:ascii="宋体" w:hAnsi="宋体" w:cs="仿宋"/>
          <w:color w:val="auto"/>
          <w:sz w:val="24"/>
          <w:szCs w:val="24"/>
        </w:rPr>
        <w:t>GB/T27591—2011，一次性筷子（木筷）必须符合国家标准GB/T19790.1-2021，一次性筷子（竹筷）必须符合国家标准GB19790.2-2005，倡导使用环保低碳可降解产品。</w:t>
      </w:r>
    </w:p>
    <w:p w14:paraId="0320D723">
      <w:pPr>
        <w:spacing w:line="440" w:lineRule="exact"/>
        <w:ind w:firstLine="480" w:firstLineChars="200"/>
        <w:jc w:val="left"/>
        <w:rPr>
          <w:rFonts w:ascii="宋体" w:hAnsi="宋体" w:cs="仿宋"/>
          <w:color w:val="auto"/>
          <w:sz w:val="24"/>
          <w:szCs w:val="24"/>
        </w:rPr>
      </w:pPr>
      <w:r>
        <w:rPr>
          <w:rFonts w:ascii="宋体" w:hAnsi="宋体" w:cs="仿宋"/>
          <w:color w:val="auto"/>
          <w:sz w:val="24"/>
          <w:szCs w:val="24"/>
        </w:rPr>
        <w:t>17.</w:t>
      </w:r>
      <w:r>
        <w:rPr>
          <w:rFonts w:hint="eastAsia" w:ascii="宋体" w:hAnsi="宋体" w:cs="仿宋"/>
          <w:color w:val="auto"/>
          <w:sz w:val="24"/>
          <w:szCs w:val="24"/>
        </w:rPr>
        <w:t>成交商应加强员工安全教育，落实安全措施，按加工流程和操作流程规范生产，违章操作者按有关制度严格处罚，确保食品安全、消防安全、生产安全、食堂卫生、环境卫生，“四防”（防毒、防火、防盗、防恐）责任到人，食堂负责人及专职安全员每日负责检查并作好检查记录备查。</w:t>
      </w:r>
    </w:p>
    <w:p w14:paraId="3F4D58EA">
      <w:pPr>
        <w:spacing w:line="440" w:lineRule="exact"/>
        <w:ind w:firstLine="480" w:firstLineChars="200"/>
        <w:jc w:val="left"/>
        <w:rPr>
          <w:rFonts w:ascii="宋体" w:hAnsi="宋体" w:cs="仿宋"/>
          <w:color w:val="auto"/>
          <w:sz w:val="24"/>
          <w:szCs w:val="24"/>
        </w:rPr>
      </w:pPr>
      <w:r>
        <w:rPr>
          <w:rFonts w:ascii="宋体" w:hAnsi="宋体" w:cs="仿宋"/>
          <w:color w:val="auto"/>
          <w:sz w:val="24"/>
          <w:szCs w:val="24"/>
        </w:rPr>
        <w:t>18.</w:t>
      </w:r>
      <w:r>
        <w:rPr>
          <w:rFonts w:hint="eastAsia" w:ascii="宋体" w:hAnsi="宋体" w:cs="仿宋"/>
          <w:color w:val="auto"/>
          <w:sz w:val="24"/>
          <w:szCs w:val="24"/>
        </w:rPr>
        <w:t>成交商经营本项目要实行“四统一”，即统一规划建设、统一管理、统一采购、统一洗消，服从调整和安排。如遇紧急情况和突发事件，成交商必须无条件服从采购人的统一安排和指挥。</w:t>
      </w:r>
    </w:p>
    <w:p w14:paraId="51385DD3">
      <w:pPr>
        <w:spacing w:line="440" w:lineRule="exact"/>
        <w:ind w:firstLine="480" w:firstLineChars="200"/>
        <w:jc w:val="left"/>
        <w:rPr>
          <w:rFonts w:ascii="宋体" w:hAnsi="宋体" w:cs="仿宋"/>
          <w:color w:val="auto"/>
          <w:sz w:val="24"/>
          <w:szCs w:val="24"/>
        </w:rPr>
      </w:pPr>
      <w:r>
        <w:rPr>
          <w:rFonts w:ascii="宋体" w:hAnsi="宋体" w:cs="仿宋"/>
          <w:color w:val="auto"/>
          <w:sz w:val="24"/>
          <w:szCs w:val="24"/>
        </w:rPr>
        <w:t>19.</w:t>
      </w:r>
      <w:r>
        <w:rPr>
          <w:rFonts w:hint="eastAsia" w:ascii="宋体" w:hAnsi="宋体" w:cs="仿宋"/>
          <w:color w:val="auto"/>
          <w:sz w:val="24"/>
          <w:szCs w:val="24"/>
        </w:rPr>
        <w:t>成交商必须按照采购人要求，指派公司负责人全面统筹所经营管理食堂的食品安全、饭菜质量、内部管理等，每月应至少</w:t>
      </w:r>
      <w:r>
        <w:rPr>
          <w:rFonts w:ascii="宋体" w:hAnsi="宋体" w:cs="仿宋"/>
          <w:color w:val="auto"/>
          <w:sz w:val="24"/>
          <w:szCs w:val="24"/>
        </w:rPr>
        <w:t>1次到食堂现场检查食品安全工作并留在检查影像资料和记录备查。</w:t>
      </w:r>
    </w:p>
    <w:p w14:paraId="60BA0D41">
      <w:pPr>
        <w:spacing w:line="440" w:lineRule="exact"/>
        <w:ind w:firstLine="480" w:firstLineChars="200"/>
        <w:jc w:val="left"/>
        <w:rPr>
          <w:rFonts w:ascii="宋体" w:hAnsi="宋体" w:cs="仿宋"/>
          <w:color w:val="auto"/>
          <w:sz w:val="24"/>
          <w:szCs w:val="24"/>
        </w:rPr>
      </w:pPr>
      <w:r>
        <w:rPr>
          <w:rFonts w:ascii="宋体" w:hAnsi="宋体" w:cs="仿宋"/>
          <w:color w:val="auto"/>
          <w:sz w:val="24"/>
          <w:szCs w:val="24"/>
        </w:rPr>
        <w:t>20.招标文件中未尽条款按《中华人民共和国食品安全法》、《中华人民共和国食品安全法实施条例》、《餐饮服务食品安全操作规范》、《GB31654-2021食品安全国家标准餐饮服务通用卫生规范</w:t>
      </w:r>
      <w:r>
        <w:rPr>
          <w:rFonts w:hint="eastAsia" w:ascii="宋体" w:hAnsi="宋体" w:cs="仿宋"/>
          <w:color w:val="auto"/>
          <w:sz w:val="24"/>
          <w:szCs w:val="24"/>
        </w:rPr>
        <w:t>》、《重庆文理学院食品安全管理办法》、《重庆文理学院食堂监管办法》等最新相关文件要求执行。</w:t>
      </w:r>
    </w:p>
    <w:p w14:paraId="1AB8F52E">
      <w:pPr>
        <w:spacing w:line="440" w:lineRule="exact"/>
        <w:ind w:firstLine="480" w:firstLineChars="200"/>
        <w:jc w:val="left"/>
        <w:rPr>
          <w:rFonts w:ascii="宋体" w:hAnsi="宋体" w:cs="仿宋"/>
          <w:color w:val="auto"/>
          <w:sz w:val="24"/>
          <w:szCs w:val="24"/>
        </w:rPr>
      </w:pPr>
      <w:r>
        <w:rPr>
          <w:rFonts w:ascii="宋体" w:hAnsi="宋体" w:cs="仿宋"/>
          <w:color w:val="auto"/>
          <w:sz w:val="24"/>
          <w:szCs w:val="24"/>
        </w:rPr>
        <w:t>21.采购人不提供员工住宿场所，</w:t>
      </w:r>
      <w:r>
        <w:rPr>
          <w:rFonts w:hint="eastAsia" w:ascii="宋体" w:hAnsi="宋体" w:cs="仿宋"/>
          <w:color w:val="auto"/>
          <w:sz w:val="24"/>
          <w:szCs w:val="24"/>
        </w:rPr>
        <w:t>成交商自行解决员工住宿问题，员工不得在食堂内住宿。</w:t>
      </w:r>
    </w:p>
    <w:p w14:paraId="2BDF0429">
      <w:pPr>
        <w:spacing w:line="440" w:lineRule="exact"/>
        <w:ind w:firstLine="480" w:firstLineChars="200"/>
        <w:jc w:val="left"/>
        <w:rPr>
          <w:rFonts w:ascii="宋体" w:hAnsi="宋体" w:cs="仿宋"/>
          <w:color w:val="auto"/>
          <w:sz w:val="24"/>
          <w:szCs w:val="24"/>
        </w:rPr>
      </w:pPr>
      <w:r>
        <w:rPr>
          <w:rFonts w:ascii="宋体" w:hAnsi="宋体" w:cs="仿宋"/>
          <w:color w:val="auto"/>
          <w:sz w:val="24"/>
          <w:szCs w:val="24"/>
        </w:rPr>
        <w:t>22.垃圾处理及油污排放:厨余垃圾成交供应商必须交由政府相关部门指定的有合法资质的单位回收处理，</w:t>
      </w:r>
      <w:bookmarkStart w:id="50" w:name="OLE_LINK12"/>
      <w:r>
        <w:rPr>
          <w:rFonts w:hint="eastAsia" w:ascii="宋体" w:hAnsi="宋体" w:cs="仿宋"/>
          <w:color w:val="auto"/>
          <w:sz w:val="24"/>
          <w:szCs w:val="24"/>
        </w:rPr>
        <w:t>费用由成交供应商承担，</w:t>
      </w:r>
      <w:bookmarkEnd w:id="50"/>
      <w:r>
        <w:rPr>
          <w:rFonts w:hint="eastAsia" w:ascii="宋体" w:hAnsi="宋体" w:cs="仿宋"/>
          <w:color w:val="auto"/>
          <w:sz w:val="24"/>
          <w:szCs w:val="24"/>
        </w:rPr>
        <w:t>严禁私自变卖等违法处理，否则每次扣罚违约金10000元。油污排放：食堂内所有油污必须排入学校现有的化油池，食堂至化油池间的管网根据需要进行必要的改造，并做好疏通和维护保养工作，</w:t>
      </w:r>
      <w:bookmarkStart w:id="51" w:name="OLE_LINK14"/>
      <w:bookmarkStart w:id="52" w:name="OLE_LINK13"/>
      <w:r>
        <w:rPr>
          <w:rFonts w:hint="eastAsia" w:ascii="宋体" w:hAnsi="宋体" w:cs="仿宋"/>
          <w:color w:val="auto"/>
          <w:sz w:val="24"/>
          <w:szCs w:val="24"/>
        </w:rPr>
        <w:t>其费用由成交供应商承担，拒绝改造或者改造不到位的每次扣罚违约金10000元。</w:t>
      </w:r>
    </w:p>
    <w:bookmarkEnd w:id="51"/>
    <w:bookmarkEnd w:id="52"/>
    <w:p w14:paraId="7A1B4FDB">
      <w:pPr>
        <w:spacing w:line="440" w:lineRule="exact"/>
        <w:ind w:firstLine="480" w:firstLineChars="200"/>
        <w:jc w:val="left"/>
        <w:rPr>
          <w:rFonts w:ascii="宋体" w:hAnsi="宋体" w:cs="仿宋"/>
          <w:color w:val="auto"/>
          <w:sz w:val="24"/>
          <w:szCs w:val="24"/>
        </w:rPr>
      </w:pPr>
      <w:r>
        <w:rPr>
          <w:rFonts w:ascii="宋体" w:hAnsi="宋体" w:cs="仿宋"/>
          <w:color w:val="auto"/>
          <w:sz w:val="24"/>
          <w:szCs w:val="24"/>
        </w:rPr>
        <w:t>23.食堂货运升降梯使用要求:现食堂内有部分货运升降梯暂不能使用，如成交供应商需要使用须对其安全性进行加强</w:t>
      </w:r>
      <w:r>
        <w:rPr>
          <w:rFonts w:hint="eastAsia" w:ascii="宋体" w:hAnsi="宋体" w:cs="仿宋"/>
          <w:color w:val="auto"/>
          <w:sz w:val="24"/>
          <w:szCs w:val="24"/>
        </w:rPr>
        <w:t>管理，并取得市场监管部门许可后方可使用，其使用的安全责任和费用由成交供应商承担。</w:t>
      </w:r>
    </w:p>
    <w:p w14:paraId="78C947E1">
      <w:pPr>
        <w:spacing w:line="440" w:lineRule="exact"/>
        <w:ind w:firstLine="480" w:firstLineChars="200"/>
        <w:jc w:val="left"/>
        <w:rPr>
          <w:rFonts w:ascii="宋体" w:hAnsi="宋体" w:cs="仿宋"/>
          <w:color w:val="auto"/>
          <w:sz w:val="24"/>
          <w:szCs w:val="24"/>
        </w:rPr>
      </w:pPr>
      <w:r>
        <w:rPr>
          <w:rFonts w:ascii="宋体" w:hAnsi="宋体" w:cs="仿宋"/>
          <w:color w:val="auto"/>
          <w:sz w:val="24"/>
          <w:szCs w:val="24"/>
        </w:rPr>
        <w:t xml:space="preserve">24、物质存贮管理要求:建设数智化库房管理系统，做到物资分区、分类、整齐有序，标识清楚、温度适宜、干净卫生、专人管理、台账清晰。 </w:t>
      </w:r>
    </w:p>
    <w:p w14:paraId="5478FB95">
      <w:pPr>
        <w:spacing w:line="440" w:lineRule="exact"/>
        <w:ind w:firstLine="480" w:firstLineChars="200"/>
        <w:jc w:val="left"/>
        <w:rPr>
          <w:rFonts w:ascii="宋体" w:hAnsi="宋体" w:cs="仿宋"/>
          <w:color w:val="auto"/>
          <w:sz w:val="24"/>
          <w:szCs w:val="24"/>
        </w:rPr>
      </w:pPr>
      <w:r>
        <w:rPr>
          <w:rFonts w:ascii="宋体" w:hAnsi="宋体" w:cs="仿宋"/>
          <w:color w:val="auto"/>
          <w:sz w:val="24"/>
          <w:szCs w:val="24"/>
        </w:rPr>
        <w:t>25.接待餐厅要求：包2成交商须积极配合、参与采购人的各类重大活动（如迎新、专项会务及活动、上级检查评估等），加强桌餐（包房接待）备餐能力，并提供优质服务。按采购人会议、活动主办单位要求提供用餐方案（用餐方案须经采购人会议活动主办单位审核</w:t>
      </w:r>
      <w:r>
        <w:rPr>
          <w:rFonts w:hint="eastAsia" w:ascii="宋体" w:hAnsi="宋体" w:cs="仿宋"/>
          <w:color w:val="auto"/>
          <w:sz w:val="24"/>
          <w:szCs w:val="24"/>
        </w:rPr>
        <w:t>书面同意</w:t>
      </w:r>
      <w:r>
        <w:rPr>
          <w:rFonts w:ascii="宋体" w:hAnsi="宋体" w:cs="仿宋"/>
          <w:color w:val="auto"/>
          <w:sz w:val="24"/>
          <w:szCs w:val="24"/>
        </w:rPr>
        <w:t>后执行），用餐形式包含大型会议自助餐和包房接待餐，方案中涉及的菜品等应优质薄利提供。</w:t>
      </w:r>
    </w:p>
    <w:p w14:paraId="2C232268">
      <w:pPr>
        <w:spacing w:line="440" w:lineRule="exact"/>
        <w:ind w:firstLine="480" w:firstLineChars="200"/>
        <w:jc w:val="left"/>
        <w:rPr>
          <w:rFonts w:ascii="宋体" w:hAnsi="宋体" w:cs="仿宋"/>
          <w:color w:val="auto"/>
          <w:sz w:val="24"/>
          <w:szCs w:val="24"/>
        </w:rPr>
      </w:pPr>
      <w:r>
        <w:rPr>
          <w:rFonts w:ascii="宋体" w:hAnsi="宋体" w:cs="仿宋"/>
          <w:color w:val="auto"/>
          <w:sz w:val="24"/>
          <w:szCs w:val="24"/>
        </w:rPr>
        <w:t>2</w:t>
      </w:r>
      <w:r>
        <w:rPr>
          <w:rFonts w:hint="eastAsia" w:ascii="宋体" w:hAnsi="宋体" w:cs="仿宋"/>
          <w:color w:val="auto"/>
          <w:sz w:val="24"/>
          <w:szCs w:val="24"/>
        </w:rPr>
        <w:t>6</w:t>
      </w:r>
      <w:r>
        <w:rPr>
          <w:rFonts w:ascii="宋体" w:hAnsi="宋体" w:cs="仿宋"/>
          <w:color w:val="auto"/>
          <w:sz w:val="24"/>
          <w:szCs w:val="24"/>
        </w:rPr>
        <w:t>.包1、包3、包5成交商必须在收到中标通知之日起至2025年9月5日正式供餐之前，无条件根据采购人要求做好暑假食堂供餐值班保障工作。所有成交商在2025年9月5日必须达到正式供餐条件要求，否则按违约处理，每延迟一天须支付违约金100000元。</w:t>
      </w:r>
    </w:p>
    <w:p w14:paraId="12CAC329">
      <w:pPr>
        <w:pStyle w:val="4"/>
        <w:spacing w:line="400" w:lineRule="exact"/>
        <w:rPr>
          <w:b w:val="0"/>
          <w:color w:val="auto"/>
        </w:rPr>
      </w:pPr>
      <w:bookmarkStart w:id="53" w:name="_Toc22378"/>
      <w:bookmarkStart w:id="54" w:name="_Toc8828"/>
      <w:r>
        <w:rPr>
          <w:rFonts w:hint="eastAsia"/>
          <w:b w:val="0"/>
          <w:color w:val="auto"/>
        </w:rPr>
        <w:t>（三）食材要求</w:t>
      </w:r>
      <w:bookmarkEnd w:id="53"/>
      <w:bookmarkEnd w:id="54"/>
    </w:p>
    <w:p w14:paraId="4875BD74">
      <w:pPr>
        <w:spacing w:line="440" w:lineRule="exact"/>
        <w:ind w:firstLine="480" w:firstLineChars="200"/>
        <w:jc w:val="left"/>
        <w:rPr>
          <w:rFonts w:ascii="宋体" w:hAnsi="宋体" w:cs="仿宋"/>
          <w:color w:val="auto"/>
          <w:sz w:val="24"/>
          <w:szCs w:val="24"/>
        </w:rPr>
      </w:pPr>
      <w:r>
        <w:rPr>
          <w:rFonts w:ascii="宋体" w:hAnsi="宋体" w:cs="宋体"/>
          <w:color w:val="auto"/>
          <w:sz w:val="24"/>
          <w:szCs w:val="28"/>
        </w:rPr>
        <w:t>1.</w:t>
      </w:r>
      <w:r>
        <w:rPr>
          <w:rFonts w:hint="eastAsia" w:ascii="宋体" w:hAnsi="宋体" w:cs="宋体"/>
          <w:color w:val="auto"/>
          <w:sz w:val="24"/>
          <w:szCs w:val="28"/>
        </w:rPr>
        <w:t>成交商必须建立食堂集中统一采购制度，集中统一采购食材（含米、面、油、肉、蔬菜、一次性餐具以及各类原辅料及调料），其中食用油必须为非转基因品种，米为</w:t>
      </w:r>
      <w:r>
        <w:rPr>
          <w:rFonts w:hint="eastAsia"/>
          <w:color w:val="auto"/>
          <w:sz w:val="24"/>
          <w:szCs w:val="24"/>
        </w:rPr>
        <w:t>品牌优质东北当年产大米</w:t>
      </w:r>
      <w:r>
        <w:rPr>
          <w:rFonts w:hint="eastAsia" w:ascii="宋体" w:hAnsi="宋体" w:cs="宋体"/>
          <w:color w:val="auto"/>
          <w:sz w:val="24"/>
          <w:szCs w:val="28"/>
        </w:rPr>
        <w:t>，未经采购人允许，不得使用及进口冻制食材。成交商必须全力配合采购人搞好食品安全的入口关管理，</w:t>
      </w:r>
      <w:r>
        <w:rPr>
          <w:rFonts w:hint="eastAsia" w:ascii="宋体" w:hAnsi="宋体" w:cs="仿宋"/>
          <w:color w:val="auto"/>
          <w:sz w:val="24"/>
          <w:szCs w:val="24"/>
        </w:rPr>
        <w:t>须保证各类食材供应商资质符合采购人要求，相应证照复印件收集完整，报采购人备案，并</w:t>
      </w:r>
      <w:r>
        <w:rPr>
          <w:rFonts w:hint="eastAsia" w:ascii="宋体" w:hAnsi="宋体" w:cs="宋体"/>
          <w:color w:val="auto"/>
          <w:sz w:val="24"/>
          <w:szCs w:val="28"/>
        </w:rPr>
        <w:t>将原辅料采购相关信息纳入采购人数智食堂系统统一管理。执行好采购人规定的采购原则和制度，确保食材采购管理规范。</w:t>
      </w:r>
    </w:p>
    <w:p w14:paraId="5B5FCD26">
      <w:pPr>
        <w:spacing w:line="440" w:lineRule="exact"/>
        <w:ind w:firstLine="480" w:firstLineChars="200"/>
        <w:jc w:val="left"/>
        <w:rPr>
          <w:rFonts w:ascii="宋体" w:hAnsi="宋体" w:cs="仿宋"/>
          <w:color w:val="auto"/>
          <w:sz w:val="24"/>
          <w:szCs w:val="24"/>
        </w:rPr>
      </w:pPr>
      <w:r>
        <w:rPr>
          <w:rFonts w:ascii="宋体" w:hAnsi="宋体" w:cs="仿宋"/>
          <w:color w:val="auto"/>
          <w:sz w:val="24"/>
          <w:szCs w:val="24"/>
        </w:rPr>
        <w:t>2.</w:t>
      </w:r>
      <w:r>
        <w:rPr>
          <w:rFonts w:hint="eastAsia" w:ascii="宋体" w:hAnsi="宋体" w:cs="仿宋"/>
          <w:color w:val="auto"/>
          <w:sz w:val="24"/>
          <w:szCs w:val="24"/>
        </w:rPr>
        <w:t>成交商必须使用进销存管理系统，在系统中建立所有食材（主料、辅料、调料）进货、出货台账，采购人将根据系统数据对食材进出情况进行核验。成交商须安排专人负责管理进销存系统，确保每天进货、出货数据及时更新，保证食材种类、数量与系统数据一致。</w:t>
      </w:r>
    </w:p>
    <w:p w14:paraId="39E262B3">
      <w:pPr>
        <w:spacing w:line="440" w:lineRule="exact"/>
        <w:ind w:firstLine="480" w:firstLineChars="200"/>
        <w:jc w:val="left"/>
        <w:rPr>
          <w:rFonts w:ascii="宋体" w:hAnsi="宋体" w:cs="仿宋"/>
          <w:color w:val="auto"/>
          <w:sz w:val="24"/>
          <w:szCs w:val="24"/>
        </w:rPr>
      </w:pPr>
      <w:r>
        <w:rPr>
          <w:rFonts w:ascii="宋体" w:hAnsi="宋体" w:cs="仿宋"/>
          <w:color w:val="auto"/>
          <w:sz w:val="24"/>
          <w:szCs w:val="24"/>
        </w:rPr>
        <w:t>3.餐饮原材料的采购须严格执行</w:t>
      </w:r>
      <w:r>
        <w:rPr>
          <w:rFonts w:hint="eastAsia" w:ascii="宋体" w:hAnsi="宋体" w:cs="宋体"/>
          <w:color w:val="auto"/>
          <w:sz w:val="24"/>
          <w:szCs w:val="28"/>
        </w:rPr>
        <w:t>索证索票、登记和验收制度</w:t>
      </w:r>
      <w:r>
        <w:rPr>
          <w:rFonts w:hint="eastAsia" w:ascii="宋体" w:hAnsi="宋体" w:cs="仿宋"/>
          <w:color w:val="auto"/>
          <w:sz w:val="24"/>
          <w:szCs w:val="24"/>
        </w:rPr>
        <w:t>，并建立台帐，</w:t>
      </w:r>
      <w:r>
        <w:rPr>
          <w:rFonts w:hint="eastAsia" w:ascii="宋体" w:hAnsi="宋体" w:cs="宋体"/>
          <w:color w:val="auto"/>
          <w:sz w:val="24"/>
          <w:szCs w:val="28"/>
        </w:rPr>
        <w:t>确保准确溯源。</w:t>
      </w:r>
      <w:r>
        <w:rPr>
          <w:rFonts w:hint="eastAsia" w:ascii="宋体" w:hAnsi="宋体" w:cs="仿宋"/>
          <w:color w:val="auto"/>
          <w:sz w:val="24"/>
          <w:szCs w:val="24"/>
        </w:rPr>
        <w:t>对购买的每批次货物生产厂家的营业执照、卫生许可证、检疫检验、购货单据等相关证明应保存二年以上，以备查验。</w:t>
      </w:r>
      <w:r>
        <w:rPr>
          <w:rFonts w:hint="eastAsia" w:ascii="宋体" w:hAnsi="宋体" w:cs="宋体"/>
          <w:color w:val="auto"/>
          <w:sz w:val="24"/>
          <w:szCs w:val="28"/>
        </w:rPr>
        <w:t>严禁“三无产品”（无生产日期、无质量合格证及无生产厂家）、不合格品、过期、变质食品及原料进入食堂</w:t>
      </w:r>
      <w:r>
        <w:rPr>
          <w:rFonts w:hint="eastAsia" w:ascii="宋体" w:hAnsi="宋体" w:cs="仿宋"/>
          <w:color w:val="auto"/>
          <w:sz w:val="24"/>
          <w:szCs w:val="24"/>
        </w:rPr>
        <w:t>，否则视为违约，</w:t>
      </w:r>
      <w:r>
        <w:rPr>
          <w:rFonts w:ascii="宋体" w:hAnsi="宋体"/>
          <w:color w:val="auto"/>
          <w:sz w:val="24"/>
          <w:szCs w:val="24"/>
        </w:rPr>
        <w:t>采购人有权单方面解除合同，</w:t>
      </w:r>
      <w:r>
        <w:rPr>
          <w:rFonts w:hint="eastAsia" w:ascii="宋体" w:hAnsi="宋体"/>
          <w:color w:val="auto"/>
          <w:sz w:val="24"/>
          <w:szCs w:val="24"/>
        </w:rPr>
        <w:t>且</w:t>
      </w:r>
      <w:r>
        <w:rPr>
          <w:rFonts w:ascii="宋体" w:hAnsi="宋体"/>
          <w:color w:val="auto"/>
          <w:sz w:val="24"/>
          <w:szCs w:val="24"/>
        </w:rPr>
        <w:t>不退还全部履约保证金</w:t>
      </w:r>
      <w:r>
        <w:rPr>
          <w:rFonts w:hint="eastAsia" w:ascii="宋体" w:hAnsi="宋体"/>
          <w:color w:val="auto"/>
          <w:sz w:val="24"/>
          <w:szCs w:val="24"/>
        </w:rPr>
        <w:t>。</w:t>
      </w:r>
    </w:p>
    <w:p w14:paraId="72A0C043">
      <w:pPr>
        <w:spacing w:line="440" w:lineRule="exact"/>
        <w:ind w:firstLine="480" w:firstLineChars="200"/>
        <w:jc w:val="left"/>
        <w:rPr>
          <w:rFonts w:ascii="宋体" w:hAnsi="宋体" w:cs="仿宋"/>
          <w:color w:val="auto"/>
          <w:sz w:val="24"/>
          <w:szCs w:val="24"/>
        </w:rPr>
      </w:pPr>
      <w:r>
        <w:rPr>
          <w:rFonts w:ascii="宋体" w:hAnsi="宋体" w:cs="仿宋"/>
          <w:color w:val="auto"/>
          <w:sz w:val="24"/>
          <w:szCs w:val="24"/>
        </w:rPr>
        <w:t>4.采购人随机检查</w:t>
      </w:r>
      <w:r>
        <w:rPr>
          <w:rFonts w:hint="eastAsia" w:ascii="宋体" w:hAnsi="宋体" w:cs="仿宋"/>
          <w:color w:val="auto"/>
          <w:sz w:val="24"/>
          <w:szCs w:val="24"/>
        </w:rPr>
        <w:t>成交商的伙食原材料采购情况，包括但不限于供应商合同、发票、支付凭证等文件资料，采购人必要时有权委托第三方机构对成交商伙食原料进行检验检测，并由成交商承担检验检测费；检验检测不合格的，成交商承担所有有关责任。成交商需积极配合采购人开展此项工作，不得推诿、拒绝，否则视为违约，每次扣罚违约金10000元。</w:t>
      </w:r>
    </w:p>
    <w:p w14:paraId="5A70A124">
      <w:pPr>
        <w:spacing w:line="440" w:lineRule="exact"/>
        <w:ind w:firstLine="480" w:firstLineChars="200"/>
        <w:jc w:val="left"/>
        <w:rPr>
          <w:rFonts w:ascii="宋体" w:hAnsi="宋体" w:cs="仿宋"/>
          <w:color w:val="auto"/>
          <w:sz w:val="24"/>
          <w:szCs w:val="24"/>
        </w:rPr>
      </w:pPr>
      <w:r>
        <w:rPr>
          <w:rFonts w:ascii="宋体" w:hAnsi="宋体" w:cs="仿宋"/>
          <w:color w:val="auto"/>
          <w:sz w:val="24"/>
          <w:szCs w:val="24"/>
        </w:rPr>
        <w:t>5.</w:t>
      </w:r>
      <w:r>
        <w:rPr>
          <w:rFonts w:hint="eastAsia" w:ascii="宋体" w:hAnsi="宋体" w:cs="仿宋"/>
          <w:color w:val="auto"/>
          <w:sz w:val="24"/>
          <w:szCs w:val="24"/>
        </w:rPr>
        <w:t>成交商烹制饭菜所用的原材料、调味品等应符合国家有关规定，严禁使用非食用辅助材料或添加剂加工食品，否则视为违约，首次扣罚违约金10000元，第二次开始每次50000元。</w:t>
      </w:r>
    </w:p>
    <w:p w14:paraId="0DA3BE2C">
      <w:pPr>
        <w:spacing w:line="400" w:lineRule="exact"/>
        <w:ind w:firstLine="480" w:firstLineChars="200"/>
        <w:rPr>
          <w:rFonts w:ascii="宋体" w:hAnsi="宋体" w:cs="宋体"/>
          <w:color w:val="auto"/>
          <w:sz w:val="24"/>
          <w:szCs w:val="28"/>
        </w:rPr>
      </w:pPr>
      <w:r>
        <w:rPr>
          <w:rFonts w:ascii="宋体" w:hAnsi="宋体" w:cs="宋体"/>
          <w:color w:val="auto"/>
          <w:sz w:val="24"/>
          <w:szCs w:val="28"/>
        </w:rPr>
        <w:t>6.</w:t>
      </w:r>
      <w:r>
        <w:rPr>
          <w:rFonts w:hint="eastAsia" w:ascii="宋体" w:hAnsi="宋体" w:cs="宋体"/>
          <w:color w:val="auto"/>
          <w:sz w:val="24"/>
          <w:szCs w:val="28"/>
        </w:rPr>
        <w:t>成交商须按照《重庆市财政局关于做好贫困地区农副产品预留采购份额工作的通知》（渝财采购〔</w:t>
      </w:r>
      <w:r>
        <w:rPr>
          <w:rFonts w:ascii="宋体" w:hAnsi="宋体" w:cs="宋体"/>
          <w:color w:val="auto"/>
          <w:sz w:val="24"/>
          <w:szCs w:val="28"/>
        </w:rPr>
        <w:t xml:space="preserve">2019〕10 </w:t>
      </w:r>
      <w:r>
        <w:rPr>
          <w:rFonts w:hint="eastAsia" w:ascii="宋体" w:hAnsi="宋体" w:cs="宋体"/>
          <w:color w:val="auto"/>
          <w:sz w:val="24"/>
          <w:szCs w:val="28"/>
        </w:rPr>
        <w:t>号，如有新文件要求，按新文件要求执行）及相关上级部门关于消费帮扶工作的要求，完成采购人预留给贫困地区或乡村振兴帮扶地区农副产品的采购份额，采购金额以采购人核定为准，成交商不得</w:t>
      </w:r>
      <w:r>
        <w:rPr>
          <w:rFonts w:hint="eastAsia" w:ascii="宋体" w:hAnsi="宋体" w:cs="仿宋"/>
          <w:color w:val="auto"/>
          <w:sz w:val="24"/>
          <w:szCs w:val="24"/>
        </w:rPr>
        <w:t>推诿、拒绝，否则，</w:t>
      </w:r>
      <w:r>
        <w:rPr>
          <w:rFonts w:hint="eastAsia" w:ascii="宋体" w:hAnsi="宋体"/>
          <w:color w:val="auto"/>
          <w:sz w:val="24"/>
          <w:szCs w:val="24"/>
        </w:rPr>
        <w:t>成交商每次向采购人支付违约金</w:t>
      </w:r>
      <w:r>
        <w:rPr>
          <w:rFonts w:ascii="宋体" w:hAnsi="宋体"/>
          <w:color w:val="auto"/>
          <w:sz w:val="24"/>
          <w:szCs w:val="24"/>
        </w:rPr>
        <w:t>50000元人民币</w:t>
      </w:r>
      <w:r>
        <w:rPr>
          <w:rFonts w:hint="eastAsia" w:ascii="宋体" w:hAnsi="宋体" w:cs="仿宋"/>
          <w:color w:val="auto"/>
          <w:sz w:val="24"/>
          <w:szCs w:val="24"/>
        </w:rPr>
        <w:t>。</w:t>
      </w:r>
    </w:p>
    <w:p w14:paraId="6688D2F1">
      <w:pPr>
        <w:pStyle w:val="4"/>
        <w:spacing w:line="400" w:lineRule="exact"/>
        <w:rPr>
          <w:b w:val="0"/>
          <w:color w:val="auto"/>
        </w:rPr>
      </w:pPr>
      <w:bookmarkStart w:id="55" w:name="_Toc18958"/>
      <w:r>
        <w:rPr>
          <w:rFonts w:hint="eastAsia"/>
          <w:b w:val="0"/>
          <w:color w:val="auto"/>
        </w:rPr>
        <w:t>（四）食堂消防安全要求</w:t>
      </w:r>
      <w:bookmarkEnd w:id="55"/>
    </w:p>
    <w:p w14:paraId="2E989DCF">
      <w:pPr>
        <w:spacing w:line="400" w:lineRule="exact"/>
        <w:ind w:firstLine="480" w:firstLineChars="200"/>
        <w:rPr>
          <w:rFonts w:ascii="宋体" w:hAnsi="宋体" w:cs="宋体"/>
          <w:color w:val="auto"/>
          <w:sz w:val="24"/>
          <w:szCs w:val="28"/>
        </w:rPr>
      </w:pPr>
      <w:r>
        <w:rPr>
          <w:rFonts w:ascii="宋体" w:hAnsi="宋体" w:cs="宋体"/>
          <w:color w:val="auto"/>
          <w:sz w:val="24"/>
          <w:szCs w:val="28"/>
        </w:rPr>
        <w:t>1.</w:t>
      </w:r>
      <w:r>
        <w:rPr>
          <w:rFonts w:hint="eastAsia" w:ascii="宋体" w:hAnsi="宋体" w:cs="宋体"/>
          <w:color w:val="auto"/>
          <w:sz w:val="24"/>
          <w:szCs w:val="28"/>
        </w:rPr>
        <w:t>成交商必须按照市场监管、消防、环保、燃气等部门及采购人的要求对食堂的燃气设施、一氧化碳探头、燃气报警装置和安全自闭阀、抽排灭火喷淋、新风系统、消防报警、喷淋、烟感、温感、报警系统、特种设备及电路电气设备进行安装、更换、添置、维修、维护、年检并取得相关合格报告或检验合格证明材料交采购人备案，保证相关设施、设备的正常、安全运行，确保通过食品安全、消防安全、燃气安全、环保等部门的验收。为保证服务需要，</w:t>
      </w:r>
      <w:r>
        <w:rPr>
          <w:rFonts w:hint="eastAsia" w:ascii="宋体" w:hAnsi="宋体" w:cs="宋体"/>
          <w:bCs/>
          <w:color w:val="auto"/>
          <w:sz w:val="24"/>
          <w:szCs w:val="28"/>
        </w:rPr>
        <w:t>完成油烟净化器、烟道、烟机及送排风系统的更换</w:t>
      </w:r>
      <w:r>
        <w:rPr>
          <w:rFonts w:hint="eastAsia" w:ascii="宋体" w:hAnsi="宋体" w:cs="宋体"/>
          <w:color w:val="auto"/>
          <w:sz w:val="24"/>
          <w:szCs w:val="28"/>
        </w:rPr>
        <w:t>、清洗、维护，油烟抽排标准符合国家及重庆市有关规定，上述一切改造、安装、更换、维修维护、整改费用由成交商自行承担。</w:t>
      </w:r>
    </w:p>
    <w:p w14:paraId="4ACE9DB8">
      <w:pPr>
        <w:spacing w:line="400" w:lineRule="exact"/>
        <w:ind w:firstLine="480" w:firstLineChars="200"/>
        <w:rPr>
          <w:rFonts w:ascii="宋体" w:hAnsi="宋体" w:cs="宋体"/>
          <w:color w:val="auto"/>
          <w:sz w:val="24"/>
          <w:szCs w:val="28"/>
        </w:rPr>
      </w:pPr>
      <w:r>
        <w:rPr>
          <w:rFonts w:ascii="宋体" w:hAnsi="宋体" w:cs="宋体"/>
          <w:color w:val="auto"/>
          <w:sz w:val="24"/>
          <w:szCs w:val="28"/>
        </w:rPr>
        <w:t>2.</w:t>
      </w:r>
      <w:r>
        <w:rPr>
          <w:rFonts w:hint="eastAsia" w:ascii="宋体" w:hAnsi="宋体" w:cs="宋体"/>
          <w:color w:val="auto"/>
          <w:sz w:val="24"/>
          <w:szCs w:val="28"/>
        </w:rPr>
        <w:t>环境改善完成后，成交商应达到由政府机构认可的第三方机构出具的消防安全验收合格检测报告，相关费用由成交商承担。</w:t>
      </w:r>
    </w:p>
    <w:p w14:paraId="2FCD9A71">
      <w:pPr>
        <w:spacing w:line="400" w:lineRule="exact"/>
        <w:ind w:firstLine="480" w:firstLineChars="200"/>
        <w:rPr>
          <w:rFonts w:ascii="宋体" w:hAnsi="宋体" w:cs="宋体"/>
          <w:color w:val="auto"/>
          <w:sz w:val="24"/>
          <w:szCs w:val="28"/>
        </w:rPr>
      </w:pPr>
      <w:r>
        <w:rPr>
          <w:rFonts w:ascii="宋体" w:hAnsi="宋体" w:cs="宋体"/>
          <w:color w:val="auto"/>
          <w:sz w:val="24"/>
          <w:szCs w:val="28"/>
        </w:rPr>
        <w:t>3.</w:t>
      </w:r>
      <w:r>
        <w:rPr>
          <w:rFonts w:hint="eastAsia" w:ascii="宋体" w:hAnsi="宋体" w:cs="宋体"/>
          <w:color w:val="auto"/>
          <w:sz w:val="24"/>
          <w:szCs w:val="28"/>
        </w:rPr>
        <w:t>成交商必须按消防法规相关要求，食堂防火分隔采用</w:t>
      </w:r>
      <w:r>
        <w:rPr>
          <w:rFonts w:ascii="宋体" w:hAnsi="宋体" w:cs="宋体"/>
          <w:color w:val="auto"/>
          <w:sz w:val="24"/>
          <w:szCs w:val="28"/>
        </w:rPr>
        <w:t>2.0砖墙分隔并使用防火玻璃，装修材料燃烧性能等级需达到B1级（难燃材料）及以上，其中顶棚材料须采用A级（不燃材料），严禁使用易燃可燃材料,具体要求如下：</w:t>
      </w:r>
    </w:p>
    <w:p w14:paraId="006A6376">
      <w:pPr>
        <w:spacing w:line="400" w:lineRule="exact"/>
        <w:ind w:firstLine="480" w:firstLineChars="200"/>
        <w:rPr>
          <w:rFonts w:ascii="宋体" w:hAnsi="宋体" w:cs="宋体"/>
          <w:color w:val="auto"/>
          <w:sz w:val="24"/>
          <w:szCs w:val="28"/>
        </w:rPr>
      </w:pPr>
      <w:r>
        <w:rPr>
          <w:rFonts w:hint="eastAsia" w:ascii="宋体" w:hAnsi="宋体" w:cs="宋体"/>
          <w:color w:val="auto"/>
          <w:sz w:val="24"/>
          <w:szCs w:val="28"/>
        </w:rPr>
        <w:t>（</w:t>
      </w:r>
      <w:r>
        <w:rPr>
          <w:rFonts w:ascii="宋体" w:hAnsi="宋体" w:cs="宋体"/>
          <w:color w:val="auto"/>
          <w:sz w:val="24"/>
          <w:szCs w:val="28"/>
        </w:rPr>
        <w:t>1）建筑防火规范</w:t>
      </w:r>
    </w:p>
    <w:p w14:paraId="64CD611E">
      <w:pPr>
        <w:spacing w:line="400" w:lineRule="exact"/>
        <w:ind w:firstLine="480" w:firstLineChars="200"/>
        <w:rPr>
          <w:rFonts w:ascii="宋体" w:hAnsi="宋体" w:cs="宋体"/>
          <w:color w:val="auto"/>
          <w:sz w:val="24"/>
          <w:szCs w:val="28"/>
        </w:rPr>
      </w:pPr>
      <w:r>
        <w:rPr>
          <w:rFonts w:ascii="宋体" w:hAnsi="宋体" w:cs="宋体"/>
          <w:color w:val="auto"/>
          <w:sz w:val="24"/>
          <w:szCs w:val="28"/>
        </w:rPr>
        <w:t>a.耐火等级</w:t>
      </w:r>
    </w:p>
    <w:p w14:paraId="0CFCFEA2">
      <w:pPr>
        <w:spacing w:line="400" w:lineRule="exact"/>
        <w:ind w:firstLine="480" w:firstLineChars="200"/>
        <w:rPr>
          <w:rFonts w:ascii="宋体" w:hAnsi="宋体" w:cs="宋体"/>
          <w:color w:val="auto"/>
          <w:sz w:val="24"/>
          <w:szCs w:val="28"/>
        </w:rPr>
      </w:pPr>
      <w:r>
        <w:rPr>
          <w:rFonts w:hint="eastAsia" w:ascii="宋体" w:hAnsi="宋体" w:cs="宋体"/>
          <w:color w:val="auto"/>
          <w:sz w:val="24"/>
          <w:szCs w:val="28"/>
        </w:rPr>
        <w:t>厨房区域应与其他区域采用防火隔墙（≥</w:t>
      </w:r>
      <w:r>
        <w:rPr>
          <w:rFonts w:ascii="宋体" w:hAnsi="宋体" w:cs="宋体"/>
          <w:color w:val="auto"/>
          <w:sz w:val="24"/>
          <w:szCs w:val="28"/>
        </w:rPr>
        <w:t>2h耐火极限）和甲级防火门分隔。</w:t>
      </w:r>
    </w:p>
    <w:p w14:paraId="6DEEEEC5">
      <w:pPr>
        <w:spacing w:line="400" w:lineRule="exact"/>
        <w:ind w:firstLine="480" w:firstLineChars="200"/>
        <w:rPr>
          <w:rFonts w:ascii="宋体" w:hAnsi="宋体" w:cs="宋体"/>
          <w:color w:val="auto"/>
          <w:sz w:val="24"/>
          <w:szCs w:val="28"/>
        </w:rPr>
      </w:pPr>
      <w:r>
        <w:rPr>
          <w:rFonts w:ascii="宋体" w:hAnsi="宋体" w:cs="宋体"/>
          <w:color w:val="auto"/>
          <w:sz w:val="24"/>
          <w:szCs w:val="28"/>
        </w:rPr>
        <w:t>墙面、地面：B1级（难燃）材料</w:t>
      </w:r>
      <w:r>
        <w:rPr>
          <w:rFonts w:hint="eastAsia" w:ascii="宋体" w:hAnsi="宋体" w:cs="宋体"/>
          <w:color w:val="auto"/>
          <w:sz w:val="24"/>
          <w:szCs w:val="28"/>
        </w:rPr>
        <w:t>及以上，</w:t>
      </w:r>
      <w:r>
        <w:rPr>
          <w:rFonts w:ascii="宋体" w:hAnsi="宋体" w:cs="宋体"/>
          <w:color w:val="auto"/>
          <w:sz w:val="24"/>
          <w:szCs w:val="28"/>
        </w:rPr>
        <w:t>顶棚必须使用A级（不燃）材料，禁止使用易燃材料（如泡沫板、木板等）。</w:t>
      </w:r>
    </w:p>
    <w:p w14:paraId="6306C6C1">
      <w:pPr>
        <w:spacing w:line="400" w:lineRule="exact"/>
        <w:ind w:firstLine="480" w:firstLineChars="200"/>
        <w:rPr>
          <w:rFonts w:ascii="宋体" w:hAnsi="宋体" w:cs="宋体"/>
          <w:color w:val="auto"/>
          <w:sz w:val="24"/>
          <w:szCs w:val="28"/>
        </w:rPr>
      </w:pPr>
      <w:r>
        <w:rPr>
          <w:rFonts w:ascii="宋体" w:hAnsi="宋体" w:cs="宋体"/>
          <w:color w:val="auto"/>
          <w:sz w:val="24"/>
          <w:szCs w:val="28"/>
        </w:rPr>
        <w:t>b.安全疏散</w:t>
      </w:r>
    </w:p>
    <w:p w14:paraId="688CFE3F">
      <w:pPr>
        <w:spacing w:line="400" w:lineRule="exact"/>
        <w:ind w:firstLine="480" w:firstLineChars="200"/>
        <w:rPr>
          <w:rFonts w:ascii="宋体" w:hAnsi="宋体" w:cs="宋体"/>
          <w:color w:val="auto"/>
          <w:sz w:val="24"/>
          <w:szCs w:val="28"/>
        </w:rPr>
      </w:pPr>
      <w:r>
        <w:rPr>
          <w:rFonts w:hint="eastAsia" w:ascii="宋体" w:hAnsi="宋体" w:cs="宋体"/>
          <w:color w:val="auto"/>
          <w:sz w:val="24"/>
          <w:szCs w:val="28"/>
        </w:rPr>
        <w:t>出口数量：至少设置</w:t>
      </w:r>
      <w:r>
        <w:rPr>
          <w:rFonts w:ascii="宋体" w:hAnsi="宋体" w:cs="宋体"/>
          <w:color w:val="auto"/>
          <w:sz w:val="24"/>
          <w:szCs w:val="28"/>
        </w:rPr>
        <w:t>2个独立安全出口，且间距≥5米。</w:t>
      </w:r>
    </w:p>
    <w:p w14:paraId="7ECE2DD3">
      <w:pPr>
        <w:spacing w:line="400" w:lineRule="exact"/>
        <w:ind w:firstLine="480" w:firstLineChars="200"/>
        <w:rPr>
          <w:rFonts w:ascii="宋体" w:hAnsi="宋体" w:cs="宋体"/>
          <w:color w:val="auto"/>
          <w:sz w:val="24"/>
          <w:szCs w:val="28"/>
        </w:rPr>
      </w:pPr>
      <w:r>
        <w:rPr>
          <w:rFonts w:hint="eastAsia" w:ascii="宋体" w:hAnsi="宋体" w:cs="宋体"/>
          <w:color w:val="auto"/>
          <w:sz w:val="24"/>
          <w:szCs w:val="28"/>
        </w:rPr>
        <w:t>通道宽度：主疏散通道≥</w:t>
      </w:r>
      <w:r>
        <w:rPr>
          <w:rFonts w:ascii="宋体" w:hAnsi="宋体" w:cs="宋体"/>
          <w:color w:val="auto"/>
          <w:sz w:val="24"/>
          <w:szCs w:val="28"/>
        </w:rPr>
        <w:t>1.4米，次通道≥1.1米，不得堆放杂物。</w:t>
      </w:r>
    </w:p>
    <w:p w14:paraId="4942445F">
      <w:pPr>
        <w:spacing w:line="400" w:lineRule="exact"/>
        <w:ind w:firstLine="480" w:firstLineChars="200"/>
        <w:rPr>
          <w:rFonts w:ascii="宋体" w:hAnsi="宋体" w:cs="宋体"/>
          <w:color w:val="auto"/>
          <w:sz w:val="24"/>
          <w:szCs w:val="28"/>
        </w:rPr>
      </w:pPr>
      <w:r>
        <w:rPr>
          <w:rFonts w:hint="eastAsia" w:ascii="宋体" w:hAnsi="宋体" w:cs="宋体"/>
          <w:color w:val="auto"/>
          <w:sz w:val="24"/>
          <w:szCs w:val="28"/>
        </w:rPr>
        <w:t>疏散门：必须为外开式，宽度≥</w:t>
      </w:r>
      <w:r>
        <w:rPr>
          <w:rFonts w:ascii="宋体" w:hAnsi="宋体" w:cs="宋体"/>
          <w:color w:val="auto"/>
          <w:sz w:val="24"/>
          <w:szCs w:val="28"/>
        </w:rPr>
        <w:t>1.2米，禁止使用推拉门或卷帘门。</w:t>
      </w:r>
    </w:p>
    <w:p w14:paraId="7F6F3049">
      <w:pPr>
        <w:spacing w:line="400" w:lineRule="exact"/>
        <w:ind w:firstLine="480" w:firstLineChars="200"/>
        <w:rPr>
          <w:rFonts w:ascii="宋体" w:hAnsi="宋体" w:cs="宋体"/>
          <w:color w:val="auto"/>
          <w:sz w:val="24"/>
          <w:szCs w:val="28"/>
        </w:rPr>
      </w:pPr>
      <w:r>
        <w:rPr>
          <w:rFonts w:ascii="宋体" w:hAnsi="宋体" w:cs="宋体"/>
          <w:color w:val="auto"/>
          <w:sz w:val="24"/>
          <w:szCs w:val="28"/>
        </w:rPr>
        <w:t>(2)厨房专项要求</w:t>
      </w:r>
    </w:p>
    <w:p w14:paraId="3CD068D7">
      <w:pPr>
        <w:spacing w:line="400" w:lineRule="exact"/>
        <w:ind w:firstLine="480" w:firstLineChars="200"/>
        <w:rPr>
          <w:rFonts w:ascii="宋体" w:hAnsi="宋体" w:cs="宋体"/>
          <w:color w:val="auto"/>
          <w:sz w:val="24"/>
          <w:szCs w:val="28"/>
        </w:rPr>
      </w:pPr>
      <w:r>
        <w:rPr>
          <w:rFonts w:ascii="宋体" w:hAnsi="宋体" w:cs="宋体"/>
          <w:color w:val="auto"/>
          <w:sz w:val="24"/>
          <w:szCs w:val="28"/>
        </w:rPr>
        <w:t>a.防火分隔</w:t>
      </w:r>
    </w:p>
    <w:p w14:paraId="74F4BCC9">
      <w:pPr>
        <w:spacing w:line="400" w:lineRule="exact"/>
        <w:ind w:firstLine="480" w:firstLineChars="200"/>
        <w:rPr>
          <w:rFonts w:ascii="宋体" w:hAnsi="宋体" w:cs="宋体"/>
          <w:color w:val="auto"/>
          <w:sz w:val="24"/>
          <w:szCs w:val="28"/>
        </w:rPr>
      </w:pPr>
      <w:r>
        <w:rPr>
          <w:rFonts w:hint="eastAsia" w:ascii="宋体" w:hAnsi="宋体" w:cs="宋体"/>
          <w:color w:val="auto"/>
          <w:sz w:val="24"/>
          <w:szCs w:val="28"/>
        </w:rPr>
        <w:t>厨房区域必须单独划分，与用餐区采用防火墙（耐火极限≥</w:t>
      </w:r>
      <w:r>
        <w:rPr>
          <w:rFonts w:ascii="宋体" w:hAnsi="宋体" w:cs="宋体"/>
          <w:color w:val="auto"/>
          <w:sz w:val="24"/>
          <w:szCs w:val="28"/>
        </w:rPr>
        <w:t>2h）分隔，就餐区域禁止出现明火操作。</w:t>
      </w:r>
    </w:p>
    <w:p w14:paraId="42C41B78">
      <w:pPr>
        <w:spacing w:line="400" w:lineRule="exact"/>
        <w:ind w:firstLine="480" w:firstLineChars="200"/>
        <w:rPr>
          <w:rFonts w:ascii="宋体" w:hAnsi="宋体" w:cs="宋体"/>
          <w:color w:val="auto"/>
          <w:sz w:val="24"/>
          <w:szCs w:val="28"/>
        </w:rPr>
      </w:pPr>
      <w:r>
        <w:rPr>
          <w:rFonts w:ascii="宋体" w:hAnsi="宋体" w:cs="宋体"/>
          <w:color w:val="auto"/>
          <w:sz w:val="24"/>
          <w:szCs w:val="28"/>
        </w:rPr>
        <w:t>b.燃气表间</w:t>
      </w:r>
      <w:r>
        <w:rPr>
          <w:rFonts w:hint="eastAsia" w:ascii="宋体" w:hAnsi="宋体" w:cs="宋体"/>
          <w:color w:val="auto"/>
          <w:sz w:val="24"/>
          <w:szCs w:val="28"/>
        </w:rPr>
        <w:t>需独立设置，通风次数≥</w:t>
      </w:r>
      <w:r>
        <w:rPr>
          <w:rFonts w:ascii="宋体" w:hAnsi="宋体" w:cs="宋体"/>
          <w:color w:val="auto"/>
          <w:sz w:val="24"/>
          <w:szCs w:val="28"/>
        </w:rPr>
        <w:t>6次/小时。</w:t>
      </w:r>
    </w:p>
    <w:p w14:paraId="5CFFE1E0">
      <w:pPr>
        <w:spacing w:line="400" w:lineRule="exact"/>
        <w:ind w:firstLine="480" w:firstLineChars="200"/>
        <w:rPr>
          <w:rFonts w:ascii="宋体" w:hAnsi="宋体" w:cs="宋体"/>
          <w:color w:val="auto"/>
          <w:sz w:val="24"/>
          <w:szCs w:val="28"/>
        </w:rPr>
      </w:pPr>
      <w:r>
        <w:rPr>
          <w:rFonts w:ascii="宋体" w:hAnsi="宋体" w:cs="宋体"/>
          <w:color w:val="auto"/>
          <w:sz w:val="24"/>
          <w:szCs w:val="28"/>
        </w:rPr>
        <w:t>c.排油烟系统</w:t>
      </w:r>
    </w:p>
    <w:p w14:paraId="754461FB">
      <w:pPr>
        <w:spacing w:line="400" w:lineRule="exact"/>
        <w:ind w:firstLine="480" w:firstLineChars="200"/>
        <w:rPr>
          <w:rFonts w:ascii="宋体" w:hAnsi="宋体" w:cs="宋体"/>
          <w:color w:val="auto"/>
          <w:sz w:val="24"/>
          <w:szCs w:val="28"/>
        </w:rPr>
      </w:pPr>
      <w:r>
        <w:rPr>
          <w:rFonts w:hint="eastAsia" w:ascii="宋体" w:hAnsi="宋体" w:cs="宋体"/>
          <w:color w:val="auto"/>
          <w:sz w:val="24"/>
          <w:szCs w:val="28"/>
        </w:rPr>
        <w:t>排油烟管道应采用不锈钢材质，</w:t>
      </w:r>
      <w:r>
        <w:rPr>
          <w:rFonts w:ascii="宋体" w:hAnsi="宋体" w:cs="宋体"/>
          <w:color w:val="auto"/>
          <w:sz w:val="24"/>
          <w:szCs w:val="28"/>
        </w:rPr>
        <w:t>安装</w:t>
      </w:r>
      <w:r>
        <w:rPr>
          <w:rFonts w:hint="eastAsia" w:ascii="宋体" w:hAnsi="宋体" w:cs="宋体"/>
          <w:color w:val="auto"/>
          <w:sz w:val="24"/>
          <w:szCs w:val="28"/>
        </w:rPr>
        <w:t>防火阀（</w:t>
      </w:r>
      <w:r>
        <w:rPr>
          <w:rFonts w:ascii="宋体" w:hAnsi="宋体" w:cs="宋体"/>
          <w:color w:val="auto"/>
          <w:sz w:val="24"/>
          <w:szCs w:val="28"/>
        </w:rPr>
        <w:t>150℃自动关闭）和油烟净化装置。</w:t>
      </w:r>
    </w:p>
    <w:p w14:paraId="7BF50A6F">
      <w:pPr>
        <w:spacing w:line="400" w:lineRule="exact"/>
        <w:ind w:firstLine="480" w:firstLineChars="200"/>
        <w:rPr>
          <w:rFonts w:ascii="宋体" w:hAnsi="宋体" w:cs="宋体"/>
          <w:color w:val="auto"/>
          <w:sz w:val="24"/>
          <w:szCs w:val="28"/>
        </w:rPr>
      </w:pPr>
      <w:r>
        <w:rPr>
          <w:rFonts w:hint="eastAsia" w:ascii="宋体" w:hAnsi="宋体" w:cs="宋体"/>
          <w:color w:val="auto"/>
          <w:sz w:val="24"/>
          <w:szCs w:val="28"/>
        </w:rPr>
        <w:t>排油烟罩、管道每季月至少清洗</w:t>
      </w:r>
      <w:r>
        <w:rPr>
          <w:rFonts w:ascii="宋体" w:hAnsi="宋体" w:cs="宋体"/>
          <w:color w:val="auto"/>
          <w:sz w:val="24"/>
          <w:szCs w:val="28"/>
        </w:rPr>
        <w:t>1次（需留存清洗记录）。</w:t>
      </w:r>
    </w:p>
    <w:p w14:paraId="6F3EE963">
      <w:pPr>
        <w:spacing w:line="400" w:lineRule="exact"/>
        <w:ind w:firstLine="480" w:firstLineChars="200"/>
        <w:rPr>
          <w:rFonts w:ascii="宋体" w:hAnsi="宋体" w:cs="宋体"/>
          <w:color w:val="auto"/>
          <w:sz w:val="24"/>
          <w:szCs w:val="28"/>
        </w:rPr>
      </w:pPr>
      <w:r>
        <w:rPr>
          <w:rFonts w:ascii="宋体" w:hAnsi="宋体" w:cs="宋体"/>
          <w:color w:val="auto"/>
          <w:sz w:val="24"/>
          <w:szCs w:val="28"/>
        </w:rPr>
        <w:t>d.灭火设施</w:t>
      </w:r>
    </w:p>
    <w:p w14:paraId="716F1346">
      <w:pPr>
        <w:spacing w:line="400" w:lineRule="exact"/>
        <w:ind w:firstLine="480" w:firstLineChars="200"/>
        <w:rPr>
          <w:rFonts w:ascii="宋体" w:hAnsi="宋体" w:cs="宋体"/>
          <w:color w:val="auto"/>
          <w:sz w:val="24"/>
          <w:szCs w:val="28"/>
        </w:rPr>
      </w:pPr>
      <w:r>
        <w:rPr>
          <w:rFonts w:hint="eastAsia" w:ascii="宋体" w:hAnsi="宋体" w:cs="宋体"/>
          <w:color w:val="auto"/>
          <w:sz w:val="24"/>
          <w:szCs w:val="28"/>
        </w:rPr>
        <w:t>厨房必须安装厨房专用自动灭火装置（覆盖炉灶、烟道等），并联动燃气切断阀。</w:t>
      </w:r>
    </w:p>
    <w:p w14:paraId="0928F796">
      <w:pPr>
        <w:spacing w:line="400" w:lineRule="exact"/>
        <w:ind w:firstLine="480" w:firstLineChars="200"/>
        <w:rPr>
          <w:rFonts w:ascii="宋体" w:hAnsi="宋体" w:cs="宋体"/>
          <w:color w:val="auto"/>
          <w:sz w:val="24"/>
          <w:szCs w:val="28"/>
        </w:rPr>
      </w:pPr>
      <w:r>
        <w:rPr>
          <w:rFonts w:hint="eastAsia" w:ascii="宋体" w:hAnsi="宋体" w:cs="宋体"/>
          <w:color w:val="auto"/>
          <w:sz w:val="24"/>
          <w:szCs w:val="28"/>
        </w:rPr>
        <w:t>配置泡沫灭火器（应对油火），每</w:t>
      </w:r>
      <w:r>
        <w:rPr>
          <w:rFonts w:ascii="宋体" w:hAnsi="宋体" w:cs="宋体"/>
          <w:color w:val="auto"/>
          <w:sz w:val="24"/>
          <w:szCs w:val="28"/>
        </w:rPr>
        <w:t>50㎡不少于2具。</w:t>
      </w:r>
    </w:p>
    <w:p w14:paraId="6507F412">
      <w:pPr>
        <w:spacing w:line="400" w:lineRule="exact"/>
        <w:ind w:firstLine="480" w:firstLineChars="200"/>
        <w:rPr>
          <w:rFonts w:ascii="宋体" w:hAnsi="宋体" w:cs="宋体"/>
          <w:color w:val="auto"/>
          <w:sz w:val="24"/>
          <w:szCs w:val="28"/>
        </w:rPr>
      </w:pPr>
      <w:r>
        <w:rPr>
          <w:rFonts w:ascii="宋体" w:hAnsi="宋体" w:cs="宋体"/>
          <w:color w:val="auto"/>
          <w:sz w:val="24"/>
          <w:szCs w:val="28"/>
        </w:rPr>
        <w:t>(3)消防设施配置</w:t>
      </w:r>
    </w:p>
    <w:p w14:paraId="3C5F4015">
      <w:pPr>
        <w:spacing w:line="400" w:lineRule="exact"/>
        <w:ind w:firstLine="480" w:firstLineChars="200"/>
        <w:rPr>
          <w:rFonts w:ascii="宋体" w:hAnsi="宋体" w:cs="宋体"/>
          <w:color w:val="auto"/>
          <w:sz w:val="24"/>
          <w:szCs w:val="28"/>
        </w:rPr>
      </w:pPr>
      <w:r>
        <w:rPr>
          <w:rFonts w:ascii="宋体" w:hAnsi="宋体" w:cs="宋体"/>
          <w:color w:val="auto"/>
          <w:sz w:val="24"/>
          <w:szCs w:val="28"/>
        </w:rPr>
        <w:t>a.火灾报警系统</w:t>
      </w:r>
    </w:p>
    <w:p w14:paraId="1410E2E0">
      <w:pPr>
        <w:spacing w:line="400" w:lineRule="exact"/>
        <w:ind w:firstLine="480" w:firstLineChars="200"/>
        <w:rPr>
          <w:rFonts w:ascii="宋体" w:hAnsi="宋体" w:cs="宋体"/>
          <w:color w:val="auto"/>
          <w:sz w:val="24"/>
          <w:szCs w:val="28"/>
        </w:rPr>
      </w:pPr>
      <w:r>
        <w:rPr>
          <w:rFonts w:hint="eastAsia" w:ascii="宋体" w:hAnsi="宋体" w:cs="宋体"/>
          <w:color w:val="auto"/>
          <w:sz w:val="24"/>
          <w:szCs w:val="28"/>
        </w:rPr>
        <w:t>安装感烟、感温探测器（现有位置不得私自改变、遮挡），厨房需增设可燃气体探测器并全面覆盖操作经营范围（燃气泄漏报警）。</w:t>
      </w:r>
    </w:p>
    <w:p w14:paraId="3CDCA3E0">
      <w:pPr>
        <w:spacing w:line="400" w:lineRule="exact"/>
        <w:ind w:firstLine="480" w:firstLineChars="200"/>
        <w:rPr>
          <w:rFonts w:ascii="宋体" w:hAnsi="宋体" w:cs="宋体"/>
          <w:color w:val="auto"/>
          <w:sz w:val="24"/>
          <w:szCs w:val="28"/>
        </w:rPr>
      </w:pPr>
      <w:r>
        <w:rPr>
          <w:rFonts w:ascii="宋体" w:hAnsi="宋体" w:cs="宋体"/>
          <w:color w:val="auto"/>
          <w:sz w:val="24"/>
          <w:szCs w:val="28"/>
        </w:rPr>
        <w:t>b.报警系统需联动声光警报和应急广播。</w:t>
      </w:r>
    </w:p>
    <w:p w14:paraId="60703298">
      <w:pPr>
        <w:spacing w:line="400" w:lineRule="exact"/>
        <w:ind w:firstLine="480" w:firstLineChars="200"/>
        <w:rPr>
          <w:rFonts w:ascii="宋体" w:hAnsi="宋体" w:cs="宋体"/>
          <w:color w:val="auto"/>
          <w:sz w:val="24"/>
          <w:szCs w:val="28"/>
        </w:rPr>
      </w:pPr>
      <w:r>
        <w:rPr>
          <w:rFonts w:ascii="宋体" w:hAnsi="宋体" w:cs="宋体"/>
          <w:color w:val="auto"/>
          <w:sz w:val="24"/>
          <w:szCs w:val="28"/>
        </w:rPr>
        <w:t>c.喷淋系统</w:t>
      </w:r>
    </w:p>
    <w:p w14:paraId="0C424FA3">
      <w:pPr>
        <w:spacing w:line="400" w:lineRule="exact"/>
        <w:ind w:firstLine="480" w:firstLineChars="200"/>
        <w:rPr>
          <w:rFonts w:ascii="宋体" w:hAnsi="宋体" w:cs="宋体"/>
          <w:color w:val="auto"/>
          <w:sz w:val="24"/>
          <w:szCs w:val="28"/>
        </w:rPr>
      </w:pPr>
      <w:r>
        <w:rPr>
          <w:rFonts w:hint="eastAsia" w:ascii="宋体" w:hAnsi="宋体" w:cs="宋体"/>
          <w:color w:val="auto"/>
          <w:sz w:val="24"/>
          <w:szCs w:val="28"/>
        </w:rPr>
        <w:t>用餐区采用标准喷头（动作温度</w:t>
      </w:r>
      <w:r>
        <w:rPr>
          <w:rFonts w:ascii="宋体" w:hAnsi="宋体" w:cs="宋体"/>
          <w:color w:val="auto"/>
          <w:sz w:val="24"/>
          <w:szCs w:val="28"/>
        </w:rPr>
        <w:t>68℃），厨房区域需用高温喷头（93℃）。</w:t>
      </w:r>
    </w:p>
    <w:p w14:paraId="4BA3147F">
      <w:pPr>
        <w:spacing w:line="400" w:lineRule="exact"/>
        <w:ind w:firstLine="480" w:firstLineChars="200"/>
        <w:rPr>
          <w:rFonts w:ascii="宋体" w:hAnsi="宋体" w:cs="宋体"/>
          <w:color w:val="auto"/>
          <w:sz w:val="24"/>
          <w:szCs w:val="28"/>
        </w:rPr>
      </w:pPr>
      <w:r>
        <w:rPr>
          <w:rFonts w:hint="eastAsia" w:ascii="宋体" w:hAnsi="宋体" w:cs="宋体"/>
          <w:color w:val="auto"/>
          <w:sz w:val="24"/>
          <w:szCs w:val="28"/>
        </w:rPr>
        <w:t>喷淋头与灶具水平距离≥</w:t>
      </w:r>
      <w:r>
        <w:rPr>
          <w:rFonts w:ascii="宋体" w:hAnsi="宋体" w:cs="宋体"/>
          <w:color w:val="auto"/>
          <w:sz w:val="24"/>
          <w:szCs w:val="28"/>
        </w:rPr>
        <w:t>0.8米，避免误喷。</w:t>
      </w:r>
    </w:p>
    <w:p w14:paraId="0D19E30F">
      <w:pPr>
        <w:spacing w:line="400" w:lineRule="exact"/>
        <w:ind w:firstLine="480" w:firstLineChars="200"/>
        <w:rPr>
          <w:rFonts w:ascii="宋体" w:hAnsi="宋体" w:cs="宋体"/>
          <w:color w:val="auto"/>
          <w:sz w:val="24"/>
          <w:szCs w:val="28"/>
        </w:rPr>
      </w:pPr>
      <w:r>
        <w:rPr>
          <w:rFonts w:ascii="宋体" w:hAnsi="宋体" w:cs="宋体"/>
          <w:color w:val="auto"/>
          <w:sz w:val="24"/>
          <w:szCs w:val="28"/>
        </w:rPr>
        <w:t>d.应急照明与标识</w:t>
      </w:r>
    </w:p>
    <w:p w14:paraId="4733E041">
      <w:pPr>
        <w:spacing w:line="400" w:lineRule="exact"/>
        <w:ind w:firstLine="480" w:firstLineChars="200"/>
        <w:rPr>
          <w:rFonts w:ascii="宋体" w:hAnsi="宋体" w:cs="宋体"/>
          <w:color w:val="auto"/>
          <w:sz w:val="24"/>
          <w:szCs w:val="28"/>
        </w:rPr>
      </w:pPr>
      <w:r>
        <w:rPr>
          <w:rFonts w:hint="eastAsia" w:ascii="宋体" w:hAnsi="宋体" w:cs="宋体"/>
          <w:color w:val="auto"/>
          <w:sz w:val="24"/>
          <w:szCs w:val="28"/>
        </w:rPr>
        <w:t>疏散通道、出口处设置持续供电≥</w:t>
      </w:r>
      <w:r>
        <w:rPr>
          <w:rFonts w:ascii="宋体" w:hAnsi="宋体" w:cs="宋体"/>
          <w:color w:val="auto"/>
          <w:sz w:val="24"/>
          <w:szCs w:val="28"/>
        </w:rPr>
        <w:t>1小时的应急照明。</w:t>
      </w:r>
    </w:p>
    <w:p w14:paraId="74B00630">
      <w:pPr>
        <w:spacing w:line="400" w:lineRule="exact"/>
        <w:ind w:firstLine="480" w:firstLineChars="200"/>
        <w:rPr>
          <w:rFonts w:ascii="宋体" w:hAnsi="宋体" w:cs="宋体"/>
          <w:color w:val="auto"/>
          <w:sz w:val="24"/>
          <w:szCs w:val="28"/>
        </w:rPr>
      </w:pPr>
      <w:r>
        <w:rPr>
          <w:rFonts w:hint="eastAsia" w:ascii="宋体" w:hAnsi="宋体" w:cs="宋体"/>
          <w:color w:val="auto"/>
          <w:sz w:val="24"/>
          <w:szCs w:val="28"/>
        </w:rPr>
        <w:t>地面</w:t>
      </w:r>
      <w:r>
        <w:rPr>
          <w:rFonts w:ascii="宋体" w:hAnsi="宋体" w:cs="宋体"/>
          <w:color w:val="auto"/>
          <w:sz w:val="24"/>
          <w:szCs w:val="28"/>
        </w:rPr>
        <w:t>1米以下设置发光疏散指示标志，间距≤20米。</w:t>
      </w:r>
    </w:p>
    <w:p w14:paraId="27F40AE0">
      <w:pPr>
        <w:spacing w:line="400" w:lineRule="exact"/>
        <w:ind w:firstLine="480" w:firstLineChars="200"/>
        <w:rPr>
          <w:rFonts w:ascii="宋体" w:hAnsi="宋体" w:cs="宋体"/>
          <w:color w:val="auto"/>
          <w:sz w:val="24"/>
          <w:szCs w:val="28"/>
        </w:rPr>
      </w:pPr>
      <w:r>
        <w:rPr>
          <w:rFonts w:ascii="宋体" w:hAnsi="宋体" w:cs="宋体"/>
          <w:color w:val="auto"/>
          <w:sz w:val="24"/>
          <w:szCs w:val="28"/>
        </w:rPr>
        <w:t>(4)电气防火要求</w:t>
      </w:r>
    </w:p>
    <w:p w14:paraId="085387A3">
      <w:pPr>
        <w:spacing w:line="400" w:lineRule="exact"/>
        <w:ind w:firstLine="480" w:firstLineChars="200"/>
        <w:rPr>
          <w:rFonts w:ascii="宋体" w:hAnsi="宋体" w:cs="宋体"/>
          <w:color w:val="auto"/>
          <w:sz w:val="24"/>
          <w:szCs w:val="28"/>
        </w:rPr>
      </w:pPr>
      <w:r>
        <w:rPr>
          <w:rFonts w:ascii="宋体" w:hAnsi="宋体" w:cs="宋体"/>
          <w:color w:val="auto"/>
          <w:sz w:val="24"/>
          <w:szCs w:val="28"/>
        </w:rPr>
        <w:t>a.所有电线穿金属管保护或阻燃PVC管</w:t>
      </w:r>
      <w:r>
        <w:rPr>
          <w:rFonts w:hint="eastAsia" w:ascii="宋体" w:hAnsi="宋体" w:cs="宋体"/>
          <w:color w:val="auto"/>
          <w:sz w:val="24"/>
          <w:szCs w:val="28"/>
        </w:rPr>
        <w:t>，禁止私拉临时线路。</w:t>
      </w:r>
    </w:p>
    <w:p w14:paraId="35420846">
      <w:pPr>
        <w:spacing w:line="400" w:lineRule="exact"/>
        <w:ind w:firstLine="480" w:firstLineChars="200"/>
        <w:rPr>
          <w:rFonts w:ascii="宋体" w:hAnsi="宋体" w:cs="宋体"/>
          <w:color w:val="auto"/>
          <w:sz w:val="24"/>
          <w:szCs w:val="28"/>
        </w:rPr>
      </w:pPr>
      <w:r>
        <w:rPr>
          <w:rFonts w:ascii="宋体" w:hAnsi="宋体" w:cs="宋体"/>
          <w:color w:val="auto"/>
          <w:sz w:val="24"/>
          <w:szCs w:val="28"/>
        </w:rPr>
        <w:t>b.大功率设备（如蒸柜、烤箱）需单独回路，配电箱加装漏电保护器。</w:t>
      </w:r>
    </w:p>
    <w:p w14:paraId="1F69D832">
      <w:pPr>
        <w:spacing w:line="400" w:lineRule="exact"/>
        <w:ind w:firstLine="480" w:firstLineChars="200"/>
        <w:rPr>
          <w:rFonts w:ascii="宋体" w:hAnsi="宋体" w:cs="宋体"/>
          <w:color w:val="auto"/>
          <w:sz w:val="24"/>
          <w:szCs w:val="28"/>
        </w:rPr>
      </w:pPr>
      <w:r>
        <w:rPr>
          <w:rFonts w:ascii="宋体" w:hAnsi="宋体" w:cs="宋体"/>
          <w:color w:val="auto"/>
          <w:sz w:val="24"/>
          <w:szCs w:val="28"/>
        </w:rPr>
        <w:t>c.插座、开关距水源≥1米，厨房设备需防水防潮。</w:t>
      </w:r>
    </w:p>
    <w:p w14:paraId="65371D48">
      <w:pPr>
        <w:spacing w:line="400" w:lineRule="exact"/>
        <w:ind w:firstLine="480" w:firstLineChars="200"/>
        <w:rPr>
          <w:rFonts w:ascii="宋体" w:hAnsi="宋体" w:cs="宋体"/>
          <w:color w:val="auto"/>
          <w:sz w:val="24"/>
          <w:szCs w:val="28"/>
        </w:rPr>
      </w:pPr>
      <w:r>
        <w:rPr>
          <w:rFonts w:ascii="宋体" w:hAnsi="宋体" w:cs="宋体"/>
          <w:color w:val="auto"/>
          <w:sz w:val="24"/>
          <w:szCs w:val="28"/>
        </w:rPr>
        <w:t>(5)施工期间管理</w:t>
      </w:r>
    </w:p>
    <w:p w14:paraId="58429CC5">
      <w:pPr>
        <w:spacing w:line="400" w:lineRule="exact"/>
        <w:ind w:firstLine="480" w:firstLineChars="200"/>
        <w:rPr>
          <w:rFonts w:ascii="宋体" w:hAnsi="宋体" w:cs="宋体"/>
          <w:color w:val="auto"/>
          <w:sz w:val="24"/>
          <w:szCs w:val="28"/>
        </w:rPr>
      </w:pPr>
      <w:r>
        <w:rPr>
          <w:rFonts w:ascii="宋体" w:hAnsi="宋体" w:cs="宋体"/>
          <w:color w:val="auto"/>
          <w:sz w:val="24"/>
          <w:szCs w:val="28"/>
        </w:rPr>
        <w:t>动火审批：焊接、切割等作业需办理动火证，现场配置灭火器材并清除周边可燃物。</w:t>
      </w:r>
    </w:p>
    <w:p w14:paraId="601602A5">
      <w:pPr>
        <w:spacing w:line="400" w:lineRule="exact"/>
        <w:ind w:firstLine="480" w:firstLineChars="200"/>
        <w:rPr>
          <w:rFonts w:ascii="宋体" w:hAnsi="宋体" w:cs="宋体"/>
          <w:color w:val="auto"/>
          <w:sz w:val="24"/>
          <w:szCs w:val="28"/>
        </w:rPr>
      </w:pPr>
      <w:r>
        <w:rPr>
          <w:rFonts w:ascii="宋体" w:hAnsi="宋体" w:cs="宋体"/>
          <w:color w:val="auto"/>
          <w:sz w:val="24"/>
          <w:szCs w:val="28"/>
        </w:rPr>
        <w:t>临时用电：使用防爆灯具和电缆，下班后切断电源。</w:t>
      </w:r>
    </w:p>
    <w:p w14:paraId="4CD133DB">
      <w:pPr>
        <w:spacing w:line="400" w:lineRule="exact"/>
        <w:ind w:firstLine="480" w:firstLineChars="200"/>
        <w:rPr>
          <w:rFonts w:ascii="宋体" w:hAnsi="宋体" w:cs="宋体"/>
          <w:color w:val="auto"/>
          <w:sz w:val="24"/>
          <w:szCs w:val="28"/>
        </w:rPr>
      </w:pPr>
      <w:r>
        <w:rPr>
          <w:rFonts w:ascii="宋体" w:hAnsi="宋体" w:cs="宋体"/>
          <w:color w:val="auto"/>
          <w:sz w:val="24"/>
          <w:szCs w:val="28"/>
        </w:rPr>
        <w:t>4.燃气报警探头全覆盖；消防通道畅通、设施设备完好及标识标牌醒目。</w:t>
      </w:r>
      <w:r>
        <w:rPr>
          <w:rFonts w:hint="eastAsia" w:ascii="宋体" w:hAnsi="宋体" w:cs="宋体"/>
          <w:color w:val="auto"/>
          <w:sz w:val="24"/>
          <w:szCs w:val="28"/>
        </w:rPr>
        <w:t>成交商全面负责食堂内的防火、防盗工作和员工的管理工作，认真履行安全职责，不得占用消防通道、遮挡消防设施设备及标牌。注意用水、用电、用气的安全，并做好定期相关培训。配合采购人及国家相关部门定期安全检查，发现安全隐患立即整改。若成交商出现食堂重大消防安全事故并造成重大负面影响的，成交商除承担一切经济和法律责任外，采购人有权单方面解除合同，并扣罚成交商全部履约保证金；若出现食堂消防安全事故未且造成负面影响的，采购人扣罚成交商违约金</w:t>
      </w:r>
      <w:r>
        <w:rPr>
          <w:rFonts w:ascii="宋体" w:hAnsi="宋体" w:cs="宋体"/>
          <w:color w:val="auto"/>
          <w:sz w:val="24"/>
          <w:szCs w:val="28"/>
        </w:rPr>
        <w:t>20000元/次。</w:t>
      </w:r>
    </w:p>
    <w:p w14:paraId="5712B50A">
      <w:pPr>
        <w:spacing w:line="400" w:lineRule="exact"/>
        <w:ind w:firstLine="480" w:firstLineChars="200"/>
        <w:rPr>
          <w:rFonts w:ascii="宋体" w:hAnsi="宋体" w:cs="宋体"/>
          <w:color w:val="auto"/>
          <w:sz w:val="24"/>
          <w:szCs w:val="28"/>
        </w:rPr>
      </w:pPr>
      <w:r>
        <w:rPr>
          <w:rFonts w:ascii="宋体" w:hAnsi="宋体" w:cs="宋体"/>
          <w:color w:val="auto"/>
          <w:sz w:val="24"/>
          <w:szCs w:val="28"/>
        </w:rPr>
        <w:t>5.</w:t>
      </w:r>
      <w:r>
        <w:rPr>
          <w:rFonts w:hint="eastAsia" w:ascii="宋体" w:hAnsi="宋体" w:cs="宋体"/>
          <w:color w:val="auto"/>
          <w:sz w:val="24"/>
          <w:szCs w:val="28"/>
        </w:rPr>
        <w:t>成交商不得损坏原有的消防设施设备，如原有消防设施设备已坏或不能正常使用或覆盖不全，由成交商负责增加、更换，被更换的设施设备交由采购处置；按消防要求，成交商配置足够的灭火器材和后厨</w:t>
      </w:r>
      <w:r>
        <w:rPr>
          <w:rFonts w:ascii="宋体" w:hAnsi="宋体" w:cs="宋体"/>
          <w:color w:val="auto"/>
          <w:sz w:val="24"/>
          <w:szCs w:val="28"/>
        </w:rPr>
        <w:t>F类专用灭火器、灭火</w:t>
      </w:r>
      <w:r>
        <w:rPr>
          <w:rFonts w:hint="eastAsia" w:ascii="宋体" w:hAnsi="宋体" w:cs="宋体"/>
          <w:color w:val="auto"/>
          <w:sz w:val="24"/>
          <w:szCs w:val="28"/>
        </w:rPr>
        <w:t>毯、疏散引导箱，安装满足需要的应急照明和疏散标识。成交商需按消防和物业管理条例自行添置消防设备设施。</w:t>
      </w:r>
    </w:p>
    <w:p w14:paraId="3BDDDF82">
      <w:pPr>
        <w:pStyle w:val="3"/>
        <w:spacing w:line="500" w:lineRule="atLeast"/>
        <w:rPr>
          <w:b w:val="0"/>
          <w:color w:val="auto"/>
        </w:rPr>
      </w:pPr>
      <w:bookmarkStart w:id="56" w:name="_Toc21360"/>
      <w:r>
        <w:rPr>
          <w:rFonts w:hint="eastAsia"/>
          <w:b w:val="0"/>
          <w:color w:val="auto"/>
        </w:rPr>
        <w:t>（五）食堂服务育人要求</w:t>
      </w:r>
      <w:bookmarkEnd w:id="56"/>
    </w:p>
    <w:p w14:paraId="36E267AA">
      <w:pPr>
        <w:spacing w:line="440" w:lineRule="exact"/>
        <w:ind w:firstLine="480" w:firstLineChars="200"/>
        <w:jc w:val="left"/>
        <w:rPr>
          <w:rFonts w:ascii="宋体" w:hAnsi="宋体" w:cs="仿宋"/>
          <w:color w:val="auto"/>
          <w:sz w:val="24"/>
          <w:szCs w:val="24"/>
        </w:rPr>
      </w:pPr>
      <w:r>
        <w:rPr>
          <w:rFonts w:hint="eastAsia" w:ascii="宋体" w:hAnsi="宋体" w:cs="宋体"/>
          <w:color w:val="auto"/>
          <w:sz w:val="24"/>
          <w:szCs w:val="28"/>
        </w:rPr>
        <w:t>成交商围绕后勤育人的要求，应积极配合采购人推进“三全育人”工作，成交商需按照不低于</w:t>
      </w:r>
      <w:r>
        <w:rPr>
          <w:rFonts w:ascii="宋体" w:hAnsi="宋体" w:cs="宋体"/>
          <w:color w:val="auto"/>
          <w:sz w:val="24"/>
          <w:szCs w:val="28"/>
        </w:rPr>
        <w:t>3万元/年的投入，</w:t>
      </w:r>
      <w:r>
        <w:rPr>
          <w:rFonts w:hint="eastAsia" w:ascii="宋体" w:hAnsi="宋体" w:cs="宋体"/>
          <w:color w:val="auto"/>
          <w:sz w:val="24"/>
          <w:szCs w:val="28"/>
        </w:rPr>
        <w:t>无条件</w:t>
      </w:r>
      <w:r>
        <w:rPr>
          <w:rFonts w:ascii="宋体" w:hAnsi="宋体" w:cs="宋体"/>
          <w:color w:val="auto"/>
          <w:sz w:val="24"/>
          <w:szCs w:val="28"/>
        </w:rPr>
        <w:t>协助采购人相关部门做好</w:t>
      </w:r>
      <w:r>
        <w:rPr>
          <w:rFonts w:hint="eastAsia" w:ascii="宋体" w:hAnsi="宋体" w:cs="宋体"/>
          <w:color w:val="auto"/>
          <w:sz w:val="24"/>
          <w:szCs w:val="28"/>
        </w:rPr>
        <w:t>实践体验育人、劳动育人、环境育人、</w:t>
      </w:r>
      <w:r>
        <w:rPr>
          <w:rFonts w:ascii="宋体" w:hAnsi="宋体" w:cs="宋体"/>
          <w:color w:val="auto"/>
          <w:sz w:val="24"/>
          <w:szCs w:val="28"/>
        </w:rPr>
        <w:t>服务育人、</w:t>
      </w:r>
      <w:r>
        <w:rPr>
          <w:rFonts w:hint="eastAsia" w:ascii="宋体" w:hAnsi="宋体" w:cs="宋体"/>
          <w:color w:val="auto"/>
          <w:sz w:val="24"/>
          <w:szCs w:val="28"/>
        </w:rPr>
        <w:t>文化育人和后勤</w:t>
      </w:r>
      <w:r>
        <w:rPr>
          <w:rFonts w:ascii="宋体" w:hAnsi="宋体" w:cs="宋体"/>
          <w:color w:val="auto"/>
          <w:sz w:val="24"/>
          <w:szCs w:val="28"/>
        </w:rPr>
        <w:t>餐饮</w:t>
      </w:r>
      <w:r>
        <w:rPr>
          <w:rFonts w:hint="eastAsia" w:ascii="宋体" w:hAnsi="宋体" w:cs="宋体"/>
          <w:color w:val="auto"/>
          <w:sz w:val="24"/>
          <w:szCs w:val="28"/>
        </w:rPr>
        <w:t>特色</w:t>
      </w:r>
      <w:r>
        <w:rPr>
          <w:rFonts w:ascii="宋体" w:hAnsi="宋体" w:cs="宋体"/>
          <w:color w:val="auto"/>
          <w:sz w:val="24"/>
          <w:szCs w:val="28"/>
        </w:rPr>
        <w:t>文化打造工作。深化共建共享工作机制，在食堂就餐区</w:t>
      </w:r>
      <w:r>
        <w:rPr>
          <w:rFonts w:hint="eastAsia" w:ascii="宋体" w:hAnsi="宋体" w:cs="宋体"/>
          <w:color w:val="auto"/>
          <w:sz w:val="24"/>
          <w:szCs w:val="28"/>
        </w:rPr>
        <w:t>设立数智电子文化展示墙，由中标人投入充足经费开展以食品安全、营养健康、制止餐饮浪费等文化主题活动，积极配合采购人学生伙管会的各项活动规划和落实。成交商还需应采购人要求投入充足经费确保各类饮食文化活动项目的开展、传统佳节氛围营造、勤工助学岗位提供以及勤工助学人员的伙食保障。</w:t>
      </w:r>
      <w:r>
        <w:rPr>
          <w:rFonts w:hint="eastAsia" w:ascii="宋体" w:hAnsi="宋体" w:cs="仿宋"/>
          <w:color w:val="auto"/>
          <w:sz w:val="24"/>
          <w:szCs w:val="24"/>
        </w:rPr>
        <w:t>食堂文化建设符合采购人相关规定，与采购人发展特色契合，打造后勤育人品牌，积极营造和谐校园文化，不得在采购人本招标区域以外从事任何商业、广告、集会等活动。</w:t>
      </w:r>
    </w:p>
    <w:p w14:paraId="22B134E6">
      <w:pPr>
        <w:pStyle w:val="4"/>
        <w:spacing w:line="400" w:lineRule="exact"/>
        <w:rPr>
          <w:b w:val="0"/>
          <w:color w:val="auto"/>
        </w:rPr>
      </w:pPr>
      <w:bookmarkStart w:id="57" w:name="_Toc1204"/>
      <w:r>
        <w:rPr>
          <w:rFonts w:hint="eastAsia"/>
          <w:b w:val="0"/>
          <w:color w:val="auto"/>
        </w:rPr>
        <w:t>（六）招标项目环境改造要求</w:t>
      </w:r>
      <w:bookmarkEnd w:id="57"/>
    </w:p>
    <w:p w14:paraId="597A4E01">
      <w:pPr>
        <w:spacing w:line="400" w:lineRule="exact"/>
        <w:ind w:firstLine="480" w:firstLineChars="200"/>
        <w:jc w:val="left"/>
        <w:rPr>
          <w:rFonts w:ascii="宋体" w:hAnsi="宋体" w:cs="宋体"/>
          <w:color w:val="auto"/>
          <w:sz w:val="24"/>
          <w:szCs w:val="24"/>
        </w:rPr>
      </w:pPr>
      <w:bookmarkStart w:id="58" w:name="_Hlk103589519"/>
      <w:r>
        <w:rPr>
          <w:rFonts w:hint="eastAsia" w:ascii="宋体" w:hAnsi="宋体" w:cs="宋体"/>
          <w:color w:val="auto"/>
          <w:sz w:val="24"/>
          <w:szCs w:val="28"/>
        </w:rPr>
        <w:t>环境改造总体要求：食堂整体的装修改造严格按国家市场监督管理总局最新</w:t>
      </w:r>
      <w:r>
        <w:rPr>
          <w:rFonts w:ascii="宋体" w:hAnsi="宋体" w:cs="宋体"/>
          <w:color w:val="auto"/>
          <w:sz w:val="24"/>
          <w:szCs w:val="28"/>
        </w:rPr>
        <w:t>发布的《餐饮服务食品安全操作规范》内容进行规范化改造。食堂改造后就餐区和后</w:t>
      </w:r>
      <w:r>
        <w:rPr>
          <w:rFonts w:hint="eastAsia" w:ascii="宋体" w:hAnsi="宋体" w:cs="宋体"/>
          <w:color w:val="auto"/>
          <w:sz w:val="24"/>
          <w:szCs w:val="28"/>
        </w:rPr>
        <w:t>厨面积比原则上保持</w:t>
      </w:r>
      <w:r>
        <w:rPr>
          <w:rFonts w:ascii="宋体" w:hAnsi="宋体" w:cs="宋体"/>
          <w:color w:val="auto"/>
          <w:sz w:val="24"/>
          <w:szCs w:val="28"/>
        </w:rPr>
        <w:t>1：1，</w:t>
      </w:r>
      <w:r>
        <w:rPr>
          <w:rFonts w:hint="eastAsia" w:ascii="宋体" w:hAnsi="宋体" w:cs="宋体"/>
          <w:color w:val="auto"/>
          <w:sz w:val="24"/>
          <w:szCs w:val="28"/>
        </w:rPr>
        <w:t>后厨需按照</w:t>
      </w:r>
      <w:r>
        <w:rPr>
          <w:rFonts w:ascii="宋体" w:hAnsi="宋体" w:cs="宋体"/>
          <w:color w:val="auto"/>
          <w:sz w:val="24"/>
          <w:szCs w:val="28"/>
        </w:rPr>
        <w:t>4D及以上厨房标准设计，根据后</w:t>
      </w:r>
      <w:r>
        <w:rPr>
          <w:rFonts w:hint="eastAsia" w:ascii="宋体" w:hAnsi="宋体" w:cs="宋体"/>
          <w:color w:val="auto"/>
          <w:sz w:val="24"/>
          <w:szCs w:val="28"/>
        </w:rPr>
        <w:t>厨设计提供相应的</w:t>
      </w:r>
      <w:r>
        <w:rPr>
          <w:rFonts w:ascii="宋体" w:hAnsi="宋体" w:cs="宋体"/>
          <w:color w:val="auto"/>
          <w:sz w:val="24"/>
          <w:szCs w:val="28"/>
        </w:rPr>
        <w:t>4D及以上厨房（即：整理到位、责任到位、培训到位、执行到位）建设标准及方案。食堂需实现“明厨亮灶”，按照采购人数智食堂建设工作要求自行承担各自食堂建设费用和</w:t>
      </w:r>
      <w:r>
        <w:rPr>
          <w:rFonts w:hint="eastAsia" w:ascii="宋体" w:hAnsi="宋体" w:cs="宋体"/>
          <w:color w:val="auto"/>
          <w:sz w:val="24"/>
          <w:szCs w:val="28"/>
        </w:rPr>
        <w:t>均摊</w:t>
      </w:r>
      <w:r>
        <w:rPr>
          <w:rFonts w:hint="eastAsia" w:ascii="宋体" w:hAnsi="宋体" w:cs="宋体"/>
          <w:color w:val="auto"/>
          <w:sz w:val="24"/>
          <w:szCs w:val="24"/>
        </w:rPr>
        <w:t>数智食堂监管平台</w:t>
      </w:r>
      <w:r>
        <w:rPr>
          <w:rFonts w:hint="eastAsia" w:ascii="宋体" w:hAnsi="宋体" w:cs="宋体"/>
          <w:color w:val="auto"/>
          <w:sz w:val="24"/>
          <w:szCs w:val="28"/>
        </w:rPr>
        <w:t>建设及设备设施费用</w:t>
      </w:r>
      <w:bookmarkEnd w:id="58"/>
      <w:bookmarkStart w:id="59" w:name="OLE_LINK11"/>
      <w:bookmarkStart w:id="60" w:name="OLE_LINK10"/>
      <w:bookmarkStart w:id="61" w:name="_Hlk104212236"/>
      <w:r>
        <w:rPr>
          <w:rFonts w:hint="eastAsia" w:ascii="宋体" w:hAnsi="宋体" w:cs="宋体"/>
          <w:color w:val="auto"/>
          <w:sz w:val="24"/>
          <w:szCs w:val="28"/>
        </w:rPr>
        <w:t>。</w:t>
      </w:r>
    </w:p>
    <w:bookmarkEnd w:id="59"/>
    <w:bookmarkEnd w:id="60"/>
    <w:p w14:paraId="6FBAFCEF">
      <w:pPr>
        <w:spacing w:line="440" w:lineRule="exact"/>
        <w:ind w:firstLine="480" w:firstLineChars="200"/>
        <w:jc w:val="left"/>
        <w:rPr>
          <w:rFonts w:ascii="宋体" w:hAnsi="宋体" w:cs="仿宋"/>
          <w:color w:val="auto"/>
          <w:sz w:val="24"/>
          <w:szCs w:val="24"/>
        </w:rPr>
      </w:pPr>
      <w:r>
        <w:rPr>
          <w:rFonts w:ascii="宋体" w:hAnsi="宋体" w:cs="仿宋"/>
          <w:color w:val="auto"/>
          <w:sz w:val="24"/>
          <w:szCs w:val="24"/>
        </w:rPr>
        <w:t>1.</w:t>
      </w:r>
      <w:r>
        <w:rPr>
          <w:rFonts w:hint="eastAsia" w:ascii="宋体" w:hAnsi="宋体" w:cs="宋体"/>
          <w:color w:val="auto"/>
          <w:sz w:val="24"/>
          <w:szCs w:val="28"/>
        </w:rPr>
        <w:t>厨房及各功能间改造：各食堂食堂需设立包括主食库、副食库、中转库房、留样间、快检室、洗碗间、备餐间、员工（男、女）更衣室、办公室、杂物间、冷冻（冷藏）间、肉类、蔬菜粗加工间、集中加工烹饪间、蒸煮间，各区域均采用色标管理，标识标牌清晰。特色餐加工区域设置必须有利于排水；后厨地面铺贴满足需要的防滑地砖。</w:t>
      </w:r>
      <w:r>
        <w:rPr>
          <w:rFonts w:hint="eastAsia" w:ascii="宋体" w:hAnsi="宋体" w:cs="仿宋"/>
          <w:color w:val="auto"/>
          <w:sz w:val="24"/>
          <w:szCs w:val="24"/>
        </w:rPr>
        <w:t>食堂防火分隔采用</w:t>
      </w:r>
      <w:r>
        <w:rPr>
          <w:rFonts w:ascii="宋体" w:hAnsi="宋体" w:cs="仿宋"/>
          <w:color w:val="auto"/>
          <w:sz w:val="24"/>
          <w:szCs w:val="24"/>
        </w:rPr>
        <w:t>2.0砖墙分隔并使用防火玻璃，燃气报警探头全覆盖；消防通道畅通、设施设备完好及标识标牌醒目。食堂内部功能布局合理，达到食品卫生、消防相关政策和法规要求。</w:t>
      </w:r>
      <w:r>
        <w:rPr>
          <w:rFonts w:hint="eastAsia" w:ascii="宋体" w:hAnsi="宋体" w:cs="仿宋"/>
          <w:color w:val="auto"/>
          <w:sz w:val="24"/>
          <w:szCs w:val="24"/>
        </w:rPr>
        <w:t>成交商应提供高效节水的厨具设备，如低流量水龙头、感应式水阀等，并提供无水或少水的清洁方案；确保后厨排水系统的设计合理，能够快速排水，保持地面干燥；选用环保、易清洁的建筑材料和厨具设备，降低清洁用水量和维护成本，同时结合无水厨房的建设，推行节能措施，提高能源利用效率，提供无水厨房方案的成本效益分析，确保方案具有经济可行性。</w:t>
      </w:r>
    </w:p>
    <w:p w14:paraId="6414A68E">
      <w:pPr>
        <w:spacing w:line="440" w:lineRule="exact"/>
        <w:ind w:firstLine="480" w:firstLineChars="200"/>
        <w:jc w:val="left"/>
        <w:rPr>
          <w:rFonts w:ascii="宋体" w:hAnsi="宋体" w:cs="仿宋"/>
          <w:color w:val="auto"/>
          <w:sz w:val="24"/>
          <w:szCs w:val="24"/>
        </w:rPr>
      </w:pPr>
      <w:r>
        <w:rPr>
          <w:rFonts w:ascii="宋体" w:hAnsi="宋体" w:cs="仿宋"/>
          <w:color w:val="auto"/>
          <w:sz w:val="24"/>
          <w:szCs w:val="24"/>
        </w:rPr>
        <w:t>2.燃气安装要求：</w:t>
      </w:r>
      <w:r>
        <w:rPr>
          <w:rFonts w:hint="eastAsia" w:ascii="宋体" w:hAnsi="宋体" w:cs="宋体"/>
          <w:bCs/>
          <w:color w:val="auto"/>
          <w:sz w:val="24"/>
          <w:szCs w:val="24"/>
        </w:rPr>
        <w:t>成交商须自行联系永川区燃气公司，并按永川区天燃气公司的技术标准和管理要求重新安装布局，且一切费用和风险由成交商自行承担。</w:t>
      </w:r>
      <w:r>
        <w:rPr>
          <w:rFonts w:hint="eastAsia" w:ascii="宋体" w:hAnsi="宋体" w:cs="仿宋"/>
          <w:color w:val="auto"/>
          <w:sz w:val="24"/>
          <w:szCs w:val="24"/>
        </w:rPr>
        <w:t>成交商必须设置自动灭火装置。按照《建筑设计防火规范》</w:t>
      </w:r>
      <w:r>
        <w:rPr>
          <w:rFonts w:ascii="宋体" w:hAnsi="宋体" w:cs="仿宋"/>
          <w:color w:val="auto"/>
          <w:sz w:val="24"/>
          <w:szCs w:val="24"/>
        </w:rPr>
        <w:t>GB 50016—20</w:t>
      </w:r>
      <w:r>
        <w:rPr>
          <w:rFonts w:hint="eastAsia" w:ascii="宋体" w:hAnsi="宋体" w:cs="仿宋"/>
          <w:color w:val="auto"/>
          <w:sz w:val="24"/>
          <w:szCs w:val="24"/>
        </w:rPr>
        <w:t>22</w:t>
      </w:r>
      <w:r>
        <w:rPr>
          <w:rFonts w:ascii="宋体" w:hAnsi="宋体" w:cs="仿宋"/>
          <w:color w:val="auto"/>
          <w:sz w:val="24"/>
          <w:szCs w:val="24"/>
        </w:rPr>
        <w:t xml:space="preserve"> </w:t>
      </w:r>
      <w:r>
        <w:rPr>
          <w:rFonts w:hint="eastAsia" w:ascii="宋体" w:hAnsi="宋体" w:cs="仿宋"/>
          <w:color w:val="auto"/>
          <w:sz w:val="24"/>
          <w:szCs w:val="24"/>
        </w:rPr>
        <w:t>（</w:t>
      </w:r>
      <w:r>
        <w:rPr>
          <w:rFonts w:ascii="宋体" w:hAnsi="宋体" w:cs="仿宋"/>
          <w:color w:val="auto"/>
          <w:sz w:val="24"/>
          <w:szCs w:val="24"/>
        </w:rPr>
        <w:t>20</w:t>
      </w:r>
      <w:r>
        <w:rPr>
          <w:rFonts w:hint="eastAsia" w:ascii="宋体" w:hAnsi="宋体" w:cs="仿宋"/>
          <w:color w:val="auto"/>
          <w:sz w:val="24"/>
          <w:szCs w:val="24"/>
        </w:rPr>
        <w:t>22</w:t>
      </w:r>
      <w:r>
        <w:rPr>
          <w:rFonts w:ascii="宋体" w:hAnsi="宋体" w:cs="仿宋"/>
          <w:color w:val="auto"/>
          <w:sz w:val="24"/>
          <w:szCs w:val="24"/>
        </w:rPr>
        <w:t>年版）要求：餐厅建筑面积大于1000㎡的餐馆或食堂，其烹饪操作间的排油烟罩及烹饪部位应设置自动灭火装置，并应在燃气或燃油管道上设置与自动灭火装置联动的自动切断装置。</w:t>
      </w:r>
    </w:p>
    <w:p w14:paraId="39E2FD05">
      <w:pPr>
        <w:spacing w:line="440" w:lineRule="exact"/>
        <w:ind w:firstLine="480" w:firstLineChars="200"/>
        <w:jc w:val="left"/>
        <w:rPr>
          <w:rFonts w:ascii="宋体" w:hAnsi="宋体" w:cs="仿宋"/>
          <w:color w:val="auto"/>
          <w:sz w:val="24"/>
          <w:szCs w:val="24"/>
        </w:rPr>
      </w:pPr>
      <w:r>
        <w:rPr>
          <w:rFonts w:ascii="宋体" w:hAnsi="宋体" w:cs="仿宋"/>
          <w:color w:val="auto"/>
          <w:sz w:val="24"/>
          <w:szCs w:val="24"/>
        </w:rPr>
        <w:t>3.防水处理要求：</w:t>
      </w:r>
      <w:r>
        <w:rPr>
          <w:rFonts w:hint="eastAsia" w:ascii="宋体" w:hAnsi="宋体" w:cs="仿宋"/>
          <w:color w:val="auto"/>
          <w:sz w:val="24"/>
          <w:szCs w:val="24"/>
        </w:rPr>
        <w:t>成交商应严格按照国家相关规范对食堂重新进行防水改造，装修后必须保证楼层防水处理达到采购人要求。</w:t>
      </w:r>
    </w:p>
    <w:p w14:paraId="21DF9E3D">
      <w:pPr>
        <w:spacing w:line="400" w:lineRule="exact"/>
        <w:ind w:firstLine="480" w:firstLineChars="200"/>
        <w:rPr>
          <w:rFonts w:ascii="宋体" w:hAnsi="宋体" w:cs="宋体"/>
          <w:color w:val="auto"/>
          <w:sz w:val="24"/>
          <w:szCs w:val="28"/>
        </w:rPr>
      </w:pPr>
      <w:r>
        <w:rPr>
          <w:rFonts w:ascii="宋体" w:hAnsi="宋体" w:cs="宋体"/>
          <w:color w:val="auto"/>
          <w:sz w:val="24"/>
          <w:szCs w:val="28"/>
        </w:rPr>
        <w:t>4.公共卫生间设置要求：各食堂按照现有男女蹲位及站位数量设立。总体服务设施齐全，高档、美观、实用、保护隐私。须满足照明设施齐备，小便器和洗手</w:t>
      </w:r>
      <w:r>
        <w:rPr>
          <w:rFonts w:hint="eastAsia" w:ascii="宋体" w:hAnsi="宋体" w:cs="宋体"/>
          <w:color w:val="auto"/>
          <w:sz w:val="24"/>
          <w:szCs w:val="28"/>
        </w:rPr>
        <w:t>盆采用电磁感应冲水，蹲便器采用脚踏阀冲水，洗手盆为大理石台面或岩板一体洗手盆，须安装烘干设备，整体配备高档洁具。窗采用铝合金中空玻璃；门采用铝塑或高档木门（防潮）；地面采用高档防滑地砖；内墙高档瓷砖到顶；顶棚采用铝扣集成吊顶或纸面石膏板吊顶，安装抽排通风设施。</w:t>
      </w:r>
    </w:p>
    <w:p w14:paraId="68A57614">
      <w:pPr>
        <w:spacing w:line="400" w:lineRule="exact"/>
        <w:ind w:firstLine="480" w:firstLineChars="200"/>
        <w:rPr>
          <w:rFonts w:ascii="宋体" w:hAnsi="宋体" w:cs="宋体"/>
          <w:color w:val="auto"/>
          <w:sz w:val="24"/>
          <w:szCs w:val="28"/>
        </w:rPr>
      </w:pPr>
      <w:r>
        <w:rPr>
          <w:rFonts w:ascii="宋体" w:hAnsi="宋体" w:cs="宋体"/>
          <w:color w:val="auto"/>
          <w:sz w:val="24"/>
          <w:szCs w:val="28"/>
        </w:rPr>
        <w:t>5.各食堂就餐区可做适当分区、装修须凸显校园文化特色，融合学校现有标志标识、专业特色、服务育人等内容和功能，整体呈现现代风格，灯光明亮，符合当代大学气质，现有空调全部更换为全新格力或美的空调且食堂覆盖，须满足师生就餐、自习、研讨、工作交流等要求，确保监控设施全覆盖、</w:t>
      </w:r>
      <w:r>
        <w:rPr>
          <w:rFonts w:hint="eastAsia" w:ascii="宋体" w:hAnsi="宋体" w:cs="宋体"/>
          <w:color w:val="auto"/>
          <w:sz w:val="24"/>
          <w:szCs w:val="28"/>
        </w:rPr>
        <w:t>数智食堂功能按</w:t>
      </w:r>
      <w:r>
        <w:rPr>
          <w:rFonts w:hint="eastAsia" w:ascii="宋体" w:hAnsi="宋体" w:cs="宋体"/>
          <w:bCs/>
          <w:color w:val="auto"/>
          <w:sz w:val="24"/>
          <w:szCs w:val="24"/>
        </w:rPr>
        <w:t>“餐饮安全在线”应用手机端（原“重庆阳光食品”</w:t>
      </w:r>
      <w:r>
        <w:rPr>
          <w:rFonts w:ascii="宋体" w:hAnsi="宋体" w:cs="宋体"/>
          <w:bCs/>
          <w:color w:val="auto"/>
          <w:sz w:val="24"/>
          <w:szCs w:val="24"/>
        </w:rPr>
        <w:t>APP）</w:t>
      </w:r>
      <w:r>
        <w:rPr>
          <w:rFonts w:hint="eastAsia" w:ascii="宋体" w:hAnsi="宋体" w:cs="宋体"/>
          <w:color w:val="auto"/>
          <w:sz w:val="24"/>
          <w:szCs w:val="28"/>
        </w:rPr>
        <w:t>功能要求接入并正常使用。</w:t>
      </w:r>
    </w:p>
    <w:p w14:paraId="41E49C2C">
      <w:pPr>
        <w:spacing w:line="400" w:lineRule="exact"/>
        <w:ind w:firstLine="480" w:firstLineChars="200"/>
        <w:rPr>
          <w:rFonts w:ascii="宋体" w:hAnsi="宋体" w:cs="宋体"/>
          <w:color w:val="auto"/>
          <w:sz w:val="24"/>
          <w:szCs w:val="28"/>
        </w:rPr>
      </w:pPr>
      <w:r>
        <w:rPr>
          <w:rFonts w:ascii="宋体" w:hAnsi="宋体" w:cs="宋体"/>
          <w:color w:val="auto"/>
          <w:sz w:val="24"/>
          <w:szCs w:val="28"/>
        </w:rPr>
        <w:t>6.供应商提供4D及以上厨房建设方案：供应商要结合后厨设计，提供相应科学、合理且可行的4D及以上厨房建设方案，实现环境卫生“四无”要求，即地面无油渍、无水迹、无卫生死角、无杂物。墙砖满贴，功能间、加工间及</w:t>
      </w:r>
      <w:r>
        <w:rPr>
          <w:rFonts w:hint="eastAsia" w:ascii="宋体" w:hAnsi="宋体" w:cs="宋体"/>
          <w:color w:val="auto"/>
          <w:sz w:val="24"/>
          <w:szCs w:val="28"/>
        </w:rPr>
        <w:t>售卖间均全屋铝扣板吊顶。</w:t>
      </w:r>
    </w:p>
    <w:p w14:paraId="5FFEF1E9">
      <w:pPr>
        <w:spacing w:line="400" w:lineRule="exact"/>
        <w:ind w:firstLine="480" w:firstLineChars="200"/>
        <w:rPr>
          <w:rFonts w:ascii="宋体" w:hAnsi="宋体" w:cs="宋体"/>
          <w:color w:val="auto"/>
          <w:sz w:val="24"/>
          <w:szCs w:val="28"/>
        </w:rPr>
      </w:pPr>
      <w:r>
        <w:rPr>
          <w:rFonts w:ascii="宋体" w:hAnsi="宋体" w:cs="宋体"/>
          <w:color w:val="auto"/>
          <w:sz w:val="24"/>
          <w:szCs w:val="28"/>
        </w:rPr>
        <w:t>7.</w:t>
      </w:r>
      <w:r>
        <w:rPr>
          <w:rFonts w:hint="eastAsia" w:ascii="宋体" w:hAnsi="宋体" w:cs="宋体"/>
          <w:color w:val="auto"/>
          <w:sz w:val="24"/>
          <w:szCs w:val="28"/>
        </w:rPr>
        <w:t>成交商根据实际需要须对食堂外墙进行整修和改造工作。在合同服务期内，成交商负责对食堂装饰工程、食堂主体外墙、设备设施的质量保修维护工作。按照采购人要求及时、高效完成各项售后维修维护工作。</w:t>
      </w:r>
    </w:p>
    <w:p w14:paraId="50C0ED27">
      <w:pPr>
        <w:spacing w:line="400" w:lineRule="exact"/>
        <w:ind w:firstLine="480" w:firstLineChars="200"/>
        <w:rPr>
          <w:rFonts w:ascii="宋体" w:hAnsi="宋体" w:cs="宋体"/>
          <w:color w:val="auto"/>
          <w:sz w:val="24"/>
          <w:szCs w:val="28"/>
        </w:rPr>
      </w:pPr>
      <w:r>
        <w:rPr>
          <w:rFonts w:ascii="宋体" w:hAnsi="宋体" w:cs="宋体"/>
          <w:color w:val="auto"/>
          <w:sz w:val="24"/>
          <w:szCs w:val="28"/>
        </w:rPr>
        <w:t>8.供应商</w:t>
      </w:r>
      <w:r>
        <w:rPr>
          <w:rFonts w:hint="eastAsia" w:ascii="宋体" w:hAnsi="宋体" w:cs="宋体"/>
          <w:color w:val="auto"/>
          <w:sz w:val="24"/>
          <w:szCs w:val="28"/>
        </w:rPr>
        <w:t>提供数智食堂建设方案：供应商按照采购人数智食堂建设要求，无条件响应并投资完成建设。即采购人数智食堂总平台搭建（须满足采购人两校区所有</w:t>
      </w:r>
      <w:r>
        <w:rPr>
          <w:rFonts w:ascii="宋体" w:hAnsi="宋体" w:cs="宋体"/>
          <w:color w:val="auto"/>
          <w:sz w:val="24"/>
          <w:szCs w:val="28"/>
        </w:rPr>
        <w:t>食堂的统筹监管需求）、本项目食堂必要的硬件建设（具体建设需求参数见</w:t>
      </w:r>
      <w:r>
        <w:rPr>
          <w:rFonts w:hint="eastAsia" w:ascii="宋体" w:hAnsi="宋体" w:cs="宋体"/>
          <w:color w:val="auto"/>
          <w:sz w:val="24"/>
          <w:szCs w:val="28"/>
        </w:rPr>
        <w:t>“五、“数智食堂”建设要求”）。按照采购人数智食堂建设工作要求自行承担各自食堂数智食堂相关费用，</w:t>
      </w:r>
      <w:r>
        <w:rPr>
          <w:rFonts w:hint="eastAsia"/>
          <w:color w:val="auto"/>
          <w:sz w:val="24"/>
        </w:rPr>
        <w:t>其中包</w:t>
      </w:r>
      <w:r>
        <w:rPr>
          <w:color w:val="auto"/>
          <w:sz w:val="24"/>
        </w:rPr>
        <w:t>3</w:t>
      </w:r>
      <w:r>
        <w:rPr>
          <w:rFonts w:hint="eastAsia"/>
          <w:color w:val="auto"/>
          <w:sz w:val="24"/>
        </w:rPr>
        <w:t>的成交商须完成“数智食堂”学校食安监管平台建设要求全部内容，包</w:t>
      </w:r>
      <w:r>
        <w:rPr>
          <w:color w:val="auto"/>
          <w:sz w:val="24"/>
        </w:rPr>
        <w:t>1</w:t>
      </w:r>
      <w:r>
        <w:rPr>
          <w:rFonts w:hint="eastAsia"/>
          <w:color w:val="auto"/>
          <w:sz w:val="24"/>
        </w:rPr>
        <w:t>、包</w:t>
      </w:r>
      <w:r>
        <w:rPr>
          <w:color w:val="auto"/>
          <w:sz w:val="24"/>
        </w:rPr>
        <w:t>2</w:t>
      </w:r>
      <w:r>
        <w:rPr>
          <w:rFonts w:hint="eastAsia"/>
          <w:color w:val="auto"/>
          <w:sz w:val="24"/>
        </w:rPr>
        <w:t>、包</w:t>
      </w:r>
      <w:r>
        <w:rPr>
          <w:color w:val="auto"/>
          <w:sz w:val="24"/>
        </w:rPr>
        <w:t>3</w:t>
      </w:r>
      <w:r>
        <w:rPr>
          <w:rFonts w:hint="eastAsia"/>
          <w:color w:val="auto"/>
          <w:sz w:val="24"/>
        </w:rPr>
        <w:t>、包</w:t>
      </w:r>
      <w:r>
        <w:rPr>
          <w:color w:val="auto"/>
          <w:sz w:val="24"/>
        </w:rPr>
        <w:t>4</w:t>
      </w:r>
      <w:r>
        <w:rPr>
          <w:rFonts w:hint="eastAsia"/>
          <w:color w:val="auto"/>
          <w:sz w:val="24"/>
        </w:rPr>
        <w:t>和包</w:t>
      </w:r>
      <w:r>
        <w:rPr>
          <w:color w:val="auto"/>
          <w:sz w:val="24"/>
        </w:rPr>
        <w:t>5</w:t>
      </w:r>
      <w:r>
        <w:rPr>
          <w:rFonts w:hint="eastAsia"/>
          <w:color w:val="auto"/>
          <w:sz w:val="24"/>
        </w:rPr>
        <w:t>的成交商须按照“数智食堂”食堂数智化设备建设要求完成各自食堂的所有建设。</w:t>
      </w:r>
      <w:r>
        <w:rPr>
          <w:rFonts w:hint="eastAsia" w:ascii="宋体" w:hAnsi="宋体" w:cs="宋体"/>
          <w:color w:val="auto"/>
          <w:sz w:val="24"/>
          <w:szCs w:val="28"/>
        </w:rPr>
        <w:t>整个数智食堂系统须在该食堂装修改造投入使用前建成，经采购人验收后投入使用，成交商须委托系统建设单位负责对采购人的使用人员进行培训，成交商须在数智食堂建设合同中明确系统建设单位负责免费为采购人后续拓展接入的食堂终端设备做好技术服务，成交商同时将该系统的产权移交给采购人并办理移交手续，采购人终身免费使用该系统，成交商数智食堂建设单位须在售后服务期限内负责数智食堂系统的维护，确保整个系统正常使用。录像及管理数据资产归采购人处置，任何数据不得不经采购人书面同意提供给第三方，所有数据必须无条件提供给采购人并提供相关接口或数据库权限。</w:t>
      </w:r>
    </w:p>
    <w:p w14:paraId="55E1A2F4">
      <w:pPr>
        <w:spacing w:line="400" w:lineRule="exact"/>
        <w:ind w:firstLine="480" w:firstLineChars="200"/>
        <w:rPr>
          <w:rFonts w:ascii="宋体" w:hAnsi="宋体" w:cs="宋体"/>
          <w:color w:val="auto"/>
          <w:sz w:val="24"/>
          <w:szCs w:val="28"/>
        </w:rPr>
      </w:pPr>
      <w:r>
        <w:rPr>
          <w:rFonts w:ascii="宋体" w:hAnsi="宋体" w:cs="宋体"/>
          <w:color w:val="auto"/>
          <w:sz w:val="24"/>
          <w:szCs w:val="28"/>
        </w:rPr>
        <w:t>9.本次招标的食堂建筑物现状：现有的室内消防设施仅有消火栓系统、应急疏散指示标志和防火门，没有或部分没有消防报警、喷淋、防排烟、烟感和温感等设施。各供应商务必要充分了解该情况，在装修改造方案中进行合</w:t>
      </w:r>
      <w:r>
        <w:rPr>
          <w:rFonts w:hint="eastAsia" w:ascii="宋体" w:hAnsi="宋体" w:cs="宋体"/>
          <w:color w:val="auto"/>
          <w:sz w:val="24"/>
          <w:szCs w:val="28"/>
        </w:rPr>
        <w:t>规性设计并通过建设行政主管部门的消防设计审查和竣工验收，同时需要将设计方案报采购人的消防安全主管部门审核书面同意后实施。新增的各项消防设施和报警装置，需要统一接入采购人整个消防系统联网，故消防设施设备必须与原有消防系统无缝对接（</w:t>
      </w:r>
      <w:r>
        <w:rPr>
          <w:rFonts w:hint="eastAsia" w:ascii="宋体" w:hAnsi="宋体" w:cs="宋体"/>
          <w:bCs/>
          <w:color w:val="auto"/>
          <w:sz w:val="24"/>
          <w:szCs w:val="28"/>
        </w:rPr>
        <w:t>现在采购人的消防系统使用的是“海湾牌”系列产品</w:t>
      </w:r>
      <w:r>
        <w:rPr>
          <w:rFonts w:hint="eastAsia" w:ascii="宋体" w:hAnsi="宋体" w:cs="宋体"/>
          <w:color w:val="auto"/>
          <w:sz w:val="24"/>
          <w:szCs w:val="28"/>
        </w:rPr>
        <w:t>）。</w:t>
      </w:r>
    </w:p>
    <w:p w14:paraId="60C77D93">
      <w:pPr>
        <w:spacing w:line="440" w:lineRule="exact"/>
        <w:ind w:firstLine="480" w:firstLineChars="200"/>
        <w:jc w:val="left"/>
        <w:rPr>
          <w:rFonts w:ascii="宋体" w:hAnsi="宋体" w:cs="仿宋"/>
          <w:color w:val="auto"/>
          <w:sz w:val="24"/>
          <w:szCs w:val="24"/>
        </w:rPr>
      </w:pPr>
      <w:r>
        <w:rPr>
          <w:rFonts w:ascii="宋体" w:hAnsi="宋体" w:cs="宋体"/>
          <w:color w:val="auto"/>
          <w:sz w:val="24"/>
          <w:szCs w:val="28"/>
        </w:rPr>
        <w:t xml:space="preserve">10.食堂油烟排放改造，需符合《重庆市餐饮业大气污染物排放标准》（DB 50/859-2018）的要求建设到位（新标准要求油烟最高允许排放浓度为 1.O </w:t>
      </w:r>
      <w:r>
        <w:rPr>
          <w:rFonts w:hint="eastAsia" w:ascii="宋体" w:hAnsi="宋体" w:cs="宋体"/>
          <w:color w:val="auto"/>
          <w:sz w:val="24"/>
          <w:szCs w:val="28"/>
        </w:rPr>
        <w:t>毫克</w:t>
      </w:r>
      <w:r>
        <w:rPr>
          <w:rFonts w:ascii="宋体" w:hAnsi="宋体" w:cs="宋体"/>
          <w:color w:val="auto"/>
          <w:sz w:val="24"/>
          <w:szCs w:val="28"/>
        </w:rPr>
        <w:t xml:space="preserve">/ 立方米，非甲烷总烃的最高允许排放浓度为 10.0 </w:t>
      </w:r>
      <w:r>
        <w:rPr>
          <w:rFonts w:hint="eastAsia" w:ascii="宋体" w:hAnsi="宋体" w:cs="宋体"/>
          <w:color w:val="auto"/>
          <w:sz w:val="24"/>
          <w:szCs w:val="28"/>
        </w:rPr>
        <w:t>毫克</w:t>
      </w:r>
      <w:r>
        <w:rPr>
          <w:rFonts w:ascii="宋体" w:hAnsi="宋体" w:cs="宋体"/>
          <w:color w:val="auto"/>
          <w:sz w:val="24"/>
          <w:szCs w:val="28"/>
        </w:rPr>
        <w:t>/</w:t>
      </w:r>
      <w:r>
        <w:rPr>
          <w:rFonts w:hint="eastAsia" w:ascii="宋体" w:hAnsi="宋体" w:cs="宋体"/>
          <w:color w:val="auto"/>
          <w:sz w:val="24"/>
          <w:szCs w:val="28"/>
        </w:rPr>
        <w:t>立方米）。</w:t>
      </w:r>
      <w:r>
        <w:rPr>
          <w:rFonts w:hint="eastAsia" w:ascii="宋体" w:hAnsi="宋体" w:cs="仿宋"/>
          <w:color w:val="auto"/>
          <w:sz w:val="24"/>
          <w:szCs w:val="24"/>
        </w:rPr>
        <w:t>抽排净化系统改造由具有相应资质的单位设计施工，需提供国家环保达标检测报告。为保证食品安全，成交商必须按规定每月聘请专业公司对油烟净化器、抽排系统、风机等进行清洗维护，达到国家消防及环保的要求，并承担相应的费用，日常油烟抽排设备等启动运行产生的噪音须控制在环保规定标准内，超过环保规定标准后引起学生及周边居民投诉须立即整改到位。</w:t>
      </w:r>
    </w:p>
    <w:p w14:paraId="1A06576B">
      <w:pPr>
        <w:spacing w:line="440" w:lineRule="exact"/>
        <w:ind w:firstLine="480" w:firstLineChars="200"/>
        <w:jc w:val="left"/>
        <w:rPr>
          <w:rFonts w:ascii="宋体" w:hAnsi="宋体" w:cs="宋体"/>
          <w:color w:val="auto"/>
          <w:sz w:val="24"/>
          <w:szCs w:val="28"/>
        </w:rPr>
      </w:pPr>
      <w:bookmarkStart w:id="62" w:name="OLE_LINK4"/>
      <w:bookmarkStart w:id="63" w:name="OLE_LINK3"/>
      <w:r>
        <w:rPr>
          <w:rFonts w:ascii="宋体" w:hAnsi="宋体" w:cs="宋体"/>
          <w:color w:val="auto"/>
          <w:sz w:val="24"/>
          <w:szCs w:val="28"/>
        </w:rPr>
        <w:t>11.</w:t>
      </w:r>
      <w:r>
        <w:rPr>
          <w:rFonts w:hint="eastAsia" w:ascii="宋体" w:hAnsi="宋体" w:cs="宋体"/>
          <w:color w:val="auto"/>
          <w:sz w:val="24"/>
          <w:szCs w:val="28"/>
        </w:rPr>
        <w:t>成交商根据招标条件、自身管理和服务的需要，对加工区的分隔或房间的功能做必要的整合或调整，装修改造方案和施工图须在满足需求、现状条件和设计规范的基础上，由成交商委托有资质的单位进行设计和施工图审查，并按照食堂所在地（重庆市永川区）建设行政主管部门和燃气管理部门、市场监督、消防管理部门的要求，办理好各项合法的建设审批手续后方能组织实施。成交商应在中标通知书发布后</w:t>
      </w:r>
      <w:r>
        <w:rPr>
          <w:rFonts w:ascii="宋体" w:hAnsi="宋体" w:cs="宋体"/>
          <w:color w:val="auto"/>
          <w:sz w:val="24"/>
          <w:szCs w:val="28"/>
        </w:rPr>
        <w:t>10</w:t>
      </w:r>
      <w:r>
        <w:rPr>
          <w:rFonts w:hint="eastAsia" w:ascii="宋体" w:hAnsi="宋体" w:cs="宋体"/>
          <w:color w:val="auto"/>
          <w:sz w:val="24"/>
          <w:szCs w:val="28"/>
        </w:rPr>
        <w:t>日内完成装修改造涉及的平面布局、管网、用电负荷等设计方案论证并通过采购人的审核，作为施工图设计的依据；同时在中标通知书发布后</w:t>
      </w:r>
      <w:r>
        <w:rPr>
          <w:rFonts w:ascii="宋体" w:hAnsi="宋体" w:cs="宋体"/>
          <w:color w:val="auto"/>
          <w:sz w:val="24"/>
          <w:szCs w:val="28"/>
        </w:rPr>
        <w:t xml:space="preserve"> 15日内，提交环境改善投入实施方案和投资概算并通过采购人的审核，作为中标人环境改善投入的实施依据。</w:t>
      </w:r>
      <w:bookmarkEnd w:id="62"/>
      <w:bookmarkEnd w:id="63"/>
    </w:p>
    <w:p w14:paraId="074D6ECF">
      <w:pPr>
        <w:spacing w:line="400" w:lineRule="exact"/>
        <w:ind w:firstLine="480" w:firstLineChars="200"/>
        <w:rPr>
          <w:rFonts w:ascii="宋体" w:hAnsi="宋体" w:cs="宋体"/>
          <w:color w:val="auto"/>
          <w:sz w:val="24"/>
          <w:szCs w:val="28"/>
        </w:rPr>
      </w:pPr>
      <w:r>
        <w:rPr>
          <w:rFonts w:ascii="宋体" w:hAnsi="宋体" w:cs="宋体"/>
          <w:color w:val="auto"/>
          <w:sz w:val="24"/>
          <w:szCs w:val="28"/>
        </w:rPr>
        <w:t>12.</w:t>
      </w:r>
      <w:r>
        <w:rPr>
          <w:rFonts w:hint="eastAsia" w:ascii="宋体" w:hAnsi="宋体" w:cs="宋体"/>
          <w:color w:val="auto"/>
          <w:sz w:val="24"/>
          <w:szCs w:val="28"/>
        </w:rPr>
        <w:t>成交商在装修改造中必须委托有资质的监理单位对施工全过程进行监理，装修改造完工后，成交商自行邀请所在地建设行政主管部门、燃气管理部门、市场监管部门以及其他相关主管部门进行合格验收并取得验收合格意见书。采购人结合装修改造对各食堂区域进行安防升级施工时，成交商须无条件的配合并承担升级所需的费用。在装修改造办理建设审批手续过程中，若需要以采购人名义进行的申报、报验等工作，采购人只负责配合提供采购人的相关信息、已有的工程资料和盖章，其余的所有工作，由成交商完成，并由成交商承担相应的费用。</w:t>
      </w:r>
    </w:p>
    <w:p w14:paraId="6C1071A3">
      <w:pPr>
        <w:spacing w:line="400" w:lineRule="exact"/>
        <w:ind w:firstLine="480" w:firstLineChars="200"/>
        <w:rPr>
          <w:rFonts w:ascii="宋体" w:hAnsi="宋体" w:cs="宋体"/>
          <w:color w:val="auto"/>
          <w:sz w:val="24"/>
          <w:szCs w:val="28"/>
        </w:rPr>
      </w:pPr>
      <w:r>
        <w:rPr>
          <w:rFonts w:ascii="宋体" w:hAnsi="宋体" w:cs="宋体"/>
          <w:color w:val="auto"/>
          <w:sz w:val="24"/>
          <w:szCs w:val="28"/>
        </w:rPr>
        <w:t>13.</w:t>
      </w:r>
      <w:r>
        <w:rPr>
          <w:rFonts w:hint="eastAsia" w:ascii="宋体" w:hAnsi="宋体" w:cs="宋体"/>
          <w:color w:val="auto"/>
          <w:sz w:val="24"/>
          <w:szCs w:val="28"/>
        </w:rPr>
        <w:t>成交商在取得相关主管部门的验收合格意见书和采购人指定的第三方有资质公司出具的项目结算审核报告书的基础上，将一套完整的施工过程资料备齐后</w:t>
      </w:r>
      <w:r>
        <w:rPr>
          <w:rFonts w:ascii="宋体" w:hAnsi="宋体" w:cs="宋体"/>
          <w:color w:val="auto"/>
          <w:sz w:val="24"/>
          <w:szCs w:val="28"/>
        </w:rPr>
        <w:t xml:space="preserve"> 15个工作日内，由采购人组织相关人员组成验收小组，对整个装修改造和设备设施投入进行验收，形成验收意见。装饰装修改造投入的结算编制，按照重庆市 2018 </w:t>
      </w:r>
      <w:r>
        <w:rPr>
          <w:rFonts w:hint="eastAsia" w:ascii="宋体" w:hAnsi="宋体" w:cs="宋体"/>
          <w:color w:val="auto"/>
          <w:sz w:val="24"/>
          <w:szCs w:val="28"/>
        </w:rPr>
        <w:t>年及最新的相关工程定额和文件计价。成交商投入金额审定的允许负偏差范围为中标承诺金额的</w:t>
      </w:r>
      <w:r>
        <w:rPr>
          <w:rFonts w:ascii="宋体" w:hAnsi="宋体" w:cs="宋体"/>
          <w:color w:val="auto"/>
          <w:sz w:val="24"/>
          <w:szCs w:val="28"/>
        </w:rPr>
        <w:t>-2%，若发现实际投资金额超出了允许的负偏差范围，视为未履行中标承诺，</w:t>
      </w:r>
      <w:r>
        <w:rPr>
          <w:rFonts w:hint="eastAsia" w:ascii="宋体" w:hAnsi="宋体" w:cs="宋体"/>
          <w:color w:val="auto"/>
          <w:sz w:val="24"/>
          <w:szCs w:val="28"/>
        </w:rPr>
        <w:t>成交商必须按差额部分</w:t>
      </w:r>
      <w:r>
        <w:rPr>
          <w:rFonts w:hint="eastAsia" w:ascii="宋体" w:hAnsi="宋体" w:cs="仿宋"/>
          <w:color w:val="auto"/>
          <w:sz w:val="24"/>
          <w:szCs w:val="24"/>
        </w:rPr>
        <w:t>补偿给采购人</w:t>
      </w:r>
      <w:r>
        <w:rPr>
          <w:rFonts w:hint="eastAsia" w:ascii="宋体" w:hAnsi="宋体" w:cs="宋体"/>
          <w:color w:val="auto"/>
          <w:sz w:val="24"/>
          <w:szCs w:val="28"/>
        </w:rPr>
        <w:t>，差额补偿金从成交商履约保证金中扣除，如</w:t>
      </w:r>
      <w:r>
        <w:rPr>
          <w:rFonts w:hint="eastAsia" w:ascii="宋体" w:hAnsi="宋体" w:cs="仿宋"/>
          <w:color w:val="auto"/>
          <w:sz w:val="24"/>
          <w:szCs w:val="24"/>
        </w:rPr>
        <w:t>影响师生就餐的，学校还将追究其违约责任。</w:t>
      </w:r>
      <w:r>
        <w:rPr>
          <w:rFonts w:hint="eastAsia" w:ascii="宋体" w:hAnsi="宋体" w:cs="宋体"/>
          <w:color w:val="auto"/>
          <w:sz w:val="24"/>
          <w:szCs w:val="28"/>
        </w:rPr>
        <w:t>装修投入的正偏差，不设上限偏差范围。</w:t>
      </w:r>
    </w:p>
    <w:bookmarkEnd w:id="61"/>
    <w:p w14:paraId="5020E1D3">
      <w:pPr>
        <w:spacing w:line="400" w:lineRule="exact"/>
        <w:ind w:firstLine="480" w:firstLineChars="200"/>
        <w:jc w:val="left"/>
        <w:rPr>
          <w:rFonts w:ascii="宋体" w:hAnsi="宋体" w:cs="宋体"/>
          <w:color w:val="auto"/>
          <w:sz w:val="24"/>
          <w:szCs w:val="28"/>
        </w:rPr>
      </w:pPr>
      <w:bookmarkStart w:id="64" w:name="OLE_LINK62"/>
      <w:bookmarkStart w:id="65" w:name="OLE_LINK63"/>
      <w:bookmarkStart w:id="66" w:name="_Toc6747"/>
      <w:r>
        <w:rPr>
          <w:rFonts w:ascii="宋体" w:hAnsi="宋体" w:cs="宋体"/>
          <w:color w:val="auto"/>
          <w:sz w:val="24"/>
          <w:szCs w:val="28"/>
        </w:rPr>
        <w:t>14.成交商资金投入要求：包1投入资金不得低于250万元，</w:t>
      </w:r>
      <w:bookmarkEnd w:id="64"/>
      <w:bookmarkEnd w:id="65"/>
      <w:r>
        <w:rPr>
          <w:rFonts w:ascii="宋体" w:hAnsi="宋体" w:cs="宋体"/>
          <w:color w:val="auto"/>
          <w:sz w:val="24"/>
          <w:szCs w:val="28"/>
        </w:rPr>
        <w:t>包2投入资金不得低于250万元，包3投入资金不得低于460万，包4投入资金不得低于260万，包5投入资金不得低于250万，该投入费用包括数智食堂建设、环境改善、设施设备购置、餐厨具等，供应商在投标文件中承诺具体金额，但不低于本招标文件要求的最低金额，成交商投入资金以</w:t>
      </w:r>
      <w:r>
        <w:rPr>
          <w:rFonts w:hint="eastAsia" w:ascii="宋体" w:hAnsi="宋体" w:cs="宋体"/>
          <w:color w:val="auto"/>
          <w:sz w:val="24"/>
          <w:szCs w:val="28"/>
        </w:rPr>
        <w:t>采购人指定的</w:t>
      </w:r>
      <w:r>
        <w:rPr>
          <w:rFonts w:ascii="宋体" w:hAnsi="宋体" w:cs="宋体"/>
          <w:color w:val="auto"/>
          <w:sz w:val="24"/>
          <w:szCs w:val="28"/>
        </w:rPr>
        <w:t>第三方有资质的公司出具的项目结算审核报告书为准，结算审核</w:t>
      </w:r>
      <w:r>
        <w:rPr>
          <w:rFonts w:hint="eastAsia" w:ascii="宋体" w:hAnsi="宋体" w:cs="宋体"/>
          <w:color w:val="auto"/>
          <w:sz w:val="24"/>
          <w:szCs w:val="28"/>
        </w:rPr>
        <w:t>费用由成交商自行负担</w:t>
      </w:r>
      <w:r>
        <w:rPr>
          <w:rFonts w:ascii="宋体" w:hAnsi="宋体" w:cs="宋体"/>
          <w:color w:val="auto"/>
          <w:sz w:val="24"/>
          <w:szCs w:val="28"/>
        </w:rPr>
        <w:t>。</w:t>
      </w:r>
    </w:p>
    <w:p w14:paraId="5040B66B">
      <w:pPr>
        <w:spacing w:line="400" w:lineRule="exact"/>
        <w:ind w:firstLine="480" w:firstLineChars="200"/>
        <w:rPr>
          <w:rFonts w:ascii="宋体" w:hAnsi="宋体" w:cs="宋体"/>
          <w:color w:val="auto"/>
          <w:sz w:val="24"/>
          <w:szCs w:val="28"/>
        </w:rPr>
      </w:pPr>
      <w:r>
        <w:rPr>
          <w:rFonts w:ascii="宋体" w:hAnsi="宋体" w:cs="宋体"/>
          <w:color w:val="auto"/>
          <w:sz w:val="24"/>
          <w:szCs w:val="28"/>
        </w:rPr>
        <w:t>15.“三防”设施要求：确保配备符合实际的防鼠、防虫、防蝇设施并能够有效发挥作用，防止鼠类等有害生物侵入。其中，墙壁、地板应无缝隙；所有管道与外界或天花板连接处应封闭，所有管线穿越而产生的孔洞应封堵，孔洞填充牢固，无缝隙；使用水封式地漏；人员、货物与外界相连通道应设有防鼠板；门缝隙、排水管道出水口应按照操作规范要求做好“三防”措施。</w:t>
      </w:r>
    </w:p>
    <w:p w14:paraId="682FCC76">
      <w:pPr>
        <w:spacing w:line="400" w:lineRule="exact"/>
        <w:ind w:firstLine="480" w:firstLineChars="200"/>
        <w:rPr>
          <w:rFonts w:ascii="宋体" w:hAnsi="宋体" w:cs="宋体"/>
          <w:color w:val="auto"/>
          <w:sz w:val="24"/>
          <w:szCs w:val="28"/>
        </w:rPr>
      </w:pPr>
      <w:bookmarkStart w:id="67" w:name="OLE_LINK5"/>
      <w:bookmarkStart w:id="68" w:name="OLE_LINK6"/>
      <w:r>
        <w:rPr>
          <w:rFonts w:ascii="宋体" w:hAnsi="宋体" w:cs="宋体"/>
          <w:color w:val="auto"/>
          <w:sz w:val="24"/>
          <w:szCs w:val="28"/>
        </w:rPr>
        <w:t>16.水电搭接安装要求。原先的所有电气线路和给水管网必须结合自身经营所需电力负荷和使用需求重新规划布局（包括搭接至变压器的主供电电缆），如因食堂能源超负荷，还需承担能源扩容所涉及的费用。成交商整个招标经营区域只能设置一块水、电、气计量表，水电气搭接口由采购人指定，需要配备负荷用电安全要求的用电安全防护设施设备。施工中发生的安全责任事故由成交商自行承担。</w:t>
      </w:r>
      <w:bookmarkEnd w:id="67"/>
      <w:bookmarkEnd w:id="68"/>
    </w:p>
    <w:p w14:paraId="30E6DE21">
      <w:pPr>
        <w:spacing w:line="400" w:lineRule="exact"/>
        <w:ind w:firstLine="480" w:firstLineChars="200"/>
        <w:rPr>
          <w:rFonts w:ascii="宋体" w:hAnsi="宋体" w:cs="宋体"/>
          <w:color w:val="auto"/>
          <w:sz w:val="24"/>
          <w:szCs w:val="28"/>
        </w:rPr>
      </w:pPr>
      <w:r>
        <w:rPr>
          <w:rFonts w:ascii="宋体" w:hAnsi="宋体" w:cs="宋体"/>
          <w:color w:val="auto"/>
          <w:sz w:val="24"/>
          <w:szCs w:val="28"/>
        </w:rPr>
        <w:t>17.包4红河校区三食堂的成交商须邀请专业机构对大厅（隔层）和屋顶现有的钢架结构进行安全监测，并向采购人提交安全监测报告，采购人</w:t>
      </w:r>
      <w:r>
        <w:rPr>
          <w:rFonts w:hint="eastAsia" w:ascii="宋体" w:hAnsi="宋体" w:cs="宋体"/>
          <w:color w:val="auto"/>
          <w:sz w:val="24"/>
          <w:szCs w:val="28"/>
        </w:rPr>
        <w:t>邀请</w:t>
      </w:r>
      <w:r>
        <w:rPr>
          <w:rFonts w:ascii="宋体" w:hAnsi="宋体" w:cs="宋体"/>
          <w:color w:val="auto"/>
          <w:sz w:val="24"/>
          <w:szCs w:val="28"/>
        </w:rPr>
        <w:t>相关</w:t>
      </w:r>
      <w:r>
        <w:rPr>
          <w:rFonts w:hint="eastAsia" w:ascii="宋体" w:hAnsi="宋体" w:cs="宋体"/>
          <w:color w:val="auto"/>
          <w:sz w:val="24"/>
          <w:szCs w:val="28"/>
        </w:rPr>
        <w:t>专业</w:t>
      </w:r>
      <w:r>
        <w:rPr>
          <w:rFonts w:ascii="宋体" w:hAnsi="宋体" w:cs="宋体"/>
          <w:color w:val="auto"/>
          <w:sz w:val="24"/>
          <w:szCs w:val="28"/>
        </w:rPr>
        <w:t>监测机构监测后确认没有安全隐患后成交商方可投入使用，并由成交商自行承担所有相关专业检测费用；如大厅（隔层）和屋顶现有的钢架结构安全监测不合格，须成交商出资进行改造并达到安全要求。</w:t>
      </w:r>
    </w:p>
    <w:p w14:paraId="5309C6BF">
      <w:pPr>
        <w:pStyle w:val="4"/>
        <w:spacing w:line="400" w:lineRule="exact"/>
        <w:rPr>
          <w:b w:val="0"/>
          <w:color w:val="auto"/>
        </w:rPr>
      </w:pPr>
      <w:bookmarkStart w:id="69" w:name="_Toc24479"/>
      <w:r>
        <w:rPr>
          <w:rFonts w:hint="eastAsia"/>
          <w:b w:val="0"/>
          <w:color w:val="auto"/>
        </w:rPr>
        <w:t>（七）教工餐要求</w:t>
      </w:r>
      <w:bookmarkEnd w:id="69"/>
    </w:p>
    <w:p w14:paraId="381BF632">
      <w:pPr>
        <w:snapToGrid w:val="0"/>
        <w:spacing w:line="400" w:lineRule="exact"/>
        <w:ind w:firstLine="480" w:firstLineChars="200"/>
        <w:rPr>
          <w:color w:val="auto"/>
          <w:sz w:val="24"/>
          <w:szCs w:val="24"/>
        </w:rPr>
      </w:pPr>
      <w:r>
        <w:rPr>
          <w:rFonts w:ascii="宋体" w:hAnsi="宋体"/>
          <w:color w:val="auto"/>
          <w:sz w:val="24"/>
          <w:szCs w:val="24"/>
        </w:rPr>
        <w:t>1.采购人以提供的优惠条件要求</w:t>
      </w:r>
      <w:r>
        <w:rPr>
          <w:rFonts w:hint="eastAsia" w:ascii="宋体" w:hAnsi="宋体"/>
          <w:color w:val="auto"/>
          <w:sz w:val="24"/>
          <w:szCs w:val="24"/>
        </w:rPr>
        <w:t>成交商做好自助教工餐。自助教工餐菜品必须有鸡、鸭、鱼、兔、猪、牛羊肉、根茎、瓜果、豆制品、绿叶蔬菜等荤素菜合理搭配的新鲜食材。菜品基本配置：每餐</w:t>
      </w:r>
      <w:r>
        <w:rPr>
          <w:rFonts w:ascii="宋体" w:hAnsi="宋体"/>
          <w:color w:val="auto"/>
          <w:sz w:val="24"/>
          <w:szCs w:val="24"/>
        </w:rPr>
        <w:t xml:space="preserve"> 6荤6素、荤或素汤1道（变换使用）、生牛乳酸奶1盒（每人）或水果1个（每人）、米饭、粥、馒头，</w:t>
      </w:r>
      <w:r>
        <w:rPr>
          <w:rFonts w:hint="eastAsia"/>
          <w:color w:val="auto"/>
          <w:sz w:val="24"/>
          <w:szCs w:val="24"/>
        </w:rPr>
        <w:t>做到饭菜丰富、品种轮换（原则上每周菜品重复率不超过</w:t>
      </w:r>
      <w:r>
        <w:rPr>
          <w:color w:val="auto"/>
          <w:sz w:val="24"/>
          <w:szCs w:val="24"/>
        </w:rPr>
        <w:t>20%</w:t>
      </w:r>
      <w:r>
        <w:rPr>
          <w:rFonts w:hint="eastAsia"/>
          <w:color w:val="auto"/>
          <w:sz w:val="24"/>
          <w:szCs w:val="24"/>
        </w:rPr>
        <w:t>且每天要有</w:t>
      </w:r>
      <w:r>
        <w:rPr>
          <w:color w:val="auto"/>
          <w:sz w:val="24"/>
          <w:szCs w:val="24"/>
        </w:rPr>
        <w:t>1</w:t>
      </w:r>
      <w:r>
        <w:rPr>
          <w:rFonts w:hint="eastAsia"/>
          <w:color w:val="auto"/>
          <w:sz w:val="24"/>
          <w:szCs w:val="24"/>
        </w:rPr>
        <w:t>道主题菜品）、南北风味搭配；做好饭菜保温。</w:t>
      </w:r>
      <w:r>
        <w:rPr>
          <w:rFonts w:hint="eastAsia" w:ascii="宋体" w:hAnsi="宋体"/>
          <w:color w:val="auto"/>
          <w:sz w:val="24"/>
          <w:szCs w:val="24"/>
        </w:rPr>
        <w:t>价格为</w:t>
      </w:r>
      <w:r>
        <w:rPr>
          <w:rFonts w:ascii="宋体" w:hAnsi="宋体"/>
          <w:color w:val="auto"/>
          <w:sz w:val="24"/>
          <w:szCs w:val="24"/>
        </w:rPr>
        <w:t>15元（采购人在编在岗教职工当天第一次只刷卡计次学校补贴15元</w:t>
      </w:r>
      <w:r>
        <w:rPr>
          <w:rFonts w:hint="eastAsia" w:ascii="宋体" w:hAnsi="宋体"/>
          <w:color w:val="auto"/>
          <w:sz w:val="24"/>
          <w:szCs w:val="24"/>
        </w:rPr>
        <w:t>给成交商，第二次刷卡为</w:t>
      </w:r>
      <w:r>
        <w:rPr>
          <w:rFonts w:ascii="宋体" w:hAnsi="宋体"/>
          <w:color w:val="auto"/>
          <w:sz w:val="24"/>
          <w:szCs w:val="24"/>
        </w:rPr>
        <w:t>15元，采购人不再补贴；采购人外聘合同工及退休教职工当天第一次刷卡5元，采购人补贴10元</w:t>
      </w:r>
      <w:r>
        <w:rPr>
          <w:rFonts w:hint="eastAsia" w:ascii="宋体" w:hAnsi="宋体"/>
          <w:color w:val="auto"/>
          <w:sz w:val="24"/>
          <w:szCs w:val="24"/>
        </w:rPr>
        <w:t>给成交商，第二次刷卡为</w:t>
      </w:r>
      <w:r>
        <w:rPr>
          <w:rFonts w:ascii="宋体" w:hAnsi="宋体"/>
          <w:color w:val="auto"/>
          <w:sz w:val="24"/>
          <w:szCs w:val="24"/>
        </w:rPr>
        <w:t>15元，采购人不再补贴）。</w:t>
      </w:r>
      <w:r>
        <w:rPr>
          <w:rFonts w:hint="eastAsia"/>
          <w:color w:val="auto"/>
          <w:sz w:val="24"/>
          <w:szCs w:val="24"/>
        </w:rPr>
        <w:t>成交商每周提前制订教工餐菜单，并提交采购审核，并于每周五前公布下周菜单。</w:t>
      </w:r>
    </w:p>
    <w:p w14:paraId="64FC8136">
      <w:pPr>
        <w:spacing w:line="400" w:lineRule="exact"/>
        <w:ind w:firstLine="480" w:firstLineChars="200"/>
        <w:jc w:val="left"/>
        <w:rPr>
          <w:color w:val="auto"/>
          <w:sz w:val="24"/>
          <w:szCs w:val="24"/>
        </w:rPr>
      </w:pPr>
      <w:r>
        <w:rPr>
          <w:rFonts w:ascii="宋体" w:hAnsi="宋体"/>
          <w:color w:val="auto"/>
          <w:sz w:val="24"/>
          <w:szCs w:val="24"/>
        </w:rPr>
        <w:t>2.</w:t>
      </w:r>
      <w:r>
        <w:rPr>
          <w:rFonts w:hint="eastAsia" w:ascii="宋体" w:hAnsi="宋体"/>
          <w:color w:val="auto"/>
          <w:sz w:val="24"/>
          <w:szCs w:val="24"/>
        </w:rPr>
        <w:t>成交商采购</w:t>
      </w:r>
      <w:r>
        <w:rPr>
          <w:rFonts w:hint="eastAsia"/>
          <w:color w:val="auto"/>
          <w:sz w:val="24"/>
          <w:szCs w:val="24"/>
        </w:rPr>
        <w:t>原料须符合《食品安全法》及其实施条例规定，从正规固定进货渠道采购。主材选择必须为非转基因品牌植物油，品牌优质东北米、优质鲜肉（一级以上），鱼类菜品须用活鱼制作。所选主材需提供相关证明材料交采购人备案。</w:t>
      </w:r>
    </w:p>
    <w:p w14:paraId="5E1712BC">
      <w:pPr>
        <w:spacing w:line="400" w:lineRule="exact"/>
        <w:ind w:firstLine="480" w:firstLineChars="200"/>
        <w:jc w:val="left"/>
        <w:rPr>
          <w:color w:val="auto"/>
          <w:sz w:val="24"/>
          <w:szCs w:val="24"/>
        </w:rPr>
      </w:pPr>
      <w:r>
        <w:rPr>
          <w:color w:val="auto"/>
          <w:sz w:val="24"/>
          <w:szCs w:val="24"/>
        </w:rPr>
        <w:t>3.</w:t>
      </w:r>
      <w:r>
        <w:rPr>
          <w:rFonts w:hint="eastAsia"/>
          <w:color w:val="auto"/>
          <w:sz w:val="24"/>
          <w:szCs w:val="24"/>
        </w:rPr>
        <w:t>采购人将在成交供应商运行期间适时合理调整教工餐供应方式和考核方式，成交供应商须无条件配合。</w:t>
      </w:r>
    </w:p>
    <w:p w14:paraId="7E5ED4AC">
      <w:pPr>
        <w:spacing w:line="400" w:lineRule="exact"/>
        <w:ind w:firstLine="480" w:firstLineChars="200"/>
        <w:jc w:val="left"/>
        <w:rPr>
          <w:color w:val="auto"/>
          <w:sz w:val="24"/>
          <w:szCs w:val="24"/>
        </w:rPr>
      </w:pPr>
      <w:r>
        <w:rPr>
          <w:color w:val="auto"/>
          <w:sz w:val="24"/>
          <w:szCs w:val="24"/>
        </w:rPr>
        <w:t>4.</w:t>
      </w:r>
      <w:r>
        <w:rPr>
          <w:rFonts w:hint="eastAsia"/>
          <w:color w:val="auto"/>
          <w:sz w:val="24"/>
          <w:szCs w:val="24"/>
        </w:rPr>
        <w:t>采购人在勘察阶段提供一年的教工餐菜单供投标人查看，此菜单作为合同期内的教工餐，未经采购人书面同意，不得随意变更。如未查看视为认同此菜单。</w:t>
      </w:r>
    </w:p>
    <w:p w14:paraId="56E5A63F">
      <w:pPr>
        <w:pStyle w:val="3"/>
        <w:spacing w:line="400" w:lineRule="exact"/>
        <w:rPr>
          <w:b w:val="0"/>
          <w:color w:val="auto"/>
        </w:rPr>
      </w:pPr>
      <w:bookmarkStart w:id="70" w:name="_Toc15853"/>
      <w:r>
        <w:rPr>
          <w:b w:val="0"/>
          <w:color w:val="auto"/>
        </w:rPr>
        <w:t>*</w:t>
      </w:r>
      <w:r>
        <w:rPr>
          <w:rFonts w:hint="eastAsia"/>
          <w:b w:val="0"/>
          <w:color w:val="auto"/>
        </w:rPr>
        <w:t>五、数智食堂建设要求</w:t>
      </w:r>
      <w:bookmarkEnd w:id="70"/>
    </w:p>
    <w:p w14:paraId="1A1DD83A">
      <w:pPr>
        <w:rPr>
          <w:color w:val="auto"/>
          <w:szCs w:val="28"/>
        </w:rPr>
      </w:pPr>
      <w:r>
        <w:rPr>
          <w:rFonts w:hint="eastAsia"/>
          <w:color w:val="auto"/>
        </w:rPr>
        <w:t>（一）“数智食堂”总体建设要求</w:t>
      </w:r>
    </w:p>
    <w:tbl>
      <w:tblPr>
        <w:tblStyle w:val="59"/>
        <w:tblW w:w="93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1"/>
      </w:tblGrid>
      <w:tr w14:paraId="10086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jc w:val="center"/>
        </w:trPr>
        <w:tc>
          <w:tcPr>
            <w:tcW w:w="9391" w:type="dxa"/>
            <w:vAlign w:val="center"/>
          </w:tcPr>
          <w:p w14:paraId="5D17E069">
            <w:pPr>
              <w:keepNext/>
              <w:keepLines/>
              <w:adjustRightInd w:val="0"/>
              <w:snapToGrid w:val="0"/>
              <w:spacing w:line="360" w:lineRule="auto"/>
              <w:jc w:val="center"/>
              <w:rPr>
                <w:color w:val="auto"/>
              </w:rPr>
            </w:pPr>
            <w:r>
              <w:rPr>
                <w:rFonts w:hint="eastAsia" w:ascii="宋体" w:hAnsi="宋体" w:cs="宋体"/>
                <w:color w:val="auto"/>
                <w:szCs w:val="28"/>
              </w:rPr>
              <w:t>总体建设要求</w:t>
            </w:r>
          </w:p>
        </w:tc>
      </w:tr>
      <w:tr w14:paraId="3360B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9" w:hRule="atLeast"/>
          <w:jc w:val="center"/>
        </w:trPr>
        <w:tc>
          <w:tcPr>
            <w:tcW w:w="9391" w:type="dxa"/>
            <w:vAlign w:val="center"/>
          </w:tcPr>
          <w:p w14:paraId="2C4F0BA8">
            <w:pPr>
              <w:widowControl/>
              <w:spacing w:line="360" w:lineRule="auto"/>
              <w:ind w:firstLine="480" w:firstLineChars="200"/>
              <w:jc w:val="left"/>
              <w:textAlignment w:val="center"/>
              <w:rPr>
                <w:rFonts w:ascii="宋体" w:hAnsi="宋体" w:cs="宋体"/>
                <w:color w:val="auto"/>
                <w:sz w:val="24"/>
                <w:szCs w:val="24"/>
              </w:rPr>
            </w:pPr>
            <w:r>
              <w:rPr>
                <w:rFonts w:hint="eastAsia" w:ascii="宋体" w:hAnsi="宋体" w:cs="宋体"/>
                <w:color w:val="auto"/>
                <w:sz w:val="24"/>
                <w:szCs w:val="24"/>
              </w:rPr>
              <w:t>项目实施后，须实现以下四个方面的管理及功能：</w:t>
            </w:r>
          </w:p>
          <w:p w14:paraId="125027B8">
            <w:pPr>
              <w:widowControl/>
              <w:spacing w:line="360" w:lineRule="auto"/>
              <w:ind w:firstLine="480" w:firstLineChars="200"/>
              <w:jc w:val="left"/>
              <w:textAlignment w:val="center"/>
              <w:rPr>
                <w:rFonts w:ascii="宋体" w:hAnsi="宋体" w:cs="宋体"/>
                <w:color w:val="auto"/>
                <w:sz w:val="24"/>
                <w:szCs w:val="24"/>
              </w:rPr>
            </w:pPr>
            <w:r>
              <w:rPr>
                <w:rFonts w:hint="eastAsia" w:ascii="宋体" w:hAnsi="宋体" w:cs="宋体"/>
                <w:color w:val="auto"/>
                <w:sz w:val="24"/>
                <w:szCs w:val="24"/>
              </w:rPr>
              <w:t>一是视频监控管理，实时了解后厨动态，实现全流程记录，大厅屏幕实时播放，引导公众直接参与食安监督，提升保障食堂工作人员的自律意识，监管系统实现全覆盖，需接入学校视频监控系统；</w:t>
            </w:r>
          </w:p>
          <w:p w14:paraId="766871B3">
            <w:pPr>
              <w:widowControl/>
              <w:spacing w:line="360" w:lineRule="auto"/>
              <w:ind w:firstLine="480" w:firstLineChars="200"/>
              <w:jc w:val="left"/>
              <w:textAlignment w:val="center"/>
              <w:rPr>
                <w:rFonts w:ascii="宋体" w:hAnsi="宋体" w:cs="宋体"/>
                <w:color w:val="auto"/>
                <w:sz w:val="24"/>
                <w:szCs w:val="24"/>
              </w:rPr>
            </w:pPr>
            <w:r>
              <w:rPr>
                <w:rFonts w:hint="eastAsia" w:ascii="宋体" w:hAnsi="宋体" w:cs="宋体"/>
                <w:color w:val="auto"/>
                <w:sz w:val="24"/>
                <w:szCs w:val="24"/>
              </w:rPr>
              <w:t>二是通过智能物联硬件设备</w:t>
            </w:r>
            <w:r>
              <w:rPr>
                <w:rFonts w:ascii="宋体" w:hAnsi="宋体" w:cs="宋体"/>
                <w:color w:val="auto"/>
                <w:sz w:val="24"/>
                <w:szCs w:val="24"/>
              </w:rPr>
              <w:t>+</w:t>
            </w:r>
            <w:r>
              <w:rPr>
                <w:rFonts w:hint="eastAsia" w:ascii="宋体" w:hAnsi="宋体" w:cs="宋体"/>
                <w:color w:val="auto"/>
                <w:sz w:val="24"/>
                <w:szCs w:val="24"/>
              </w:rPr>
              <w:t>食安管控平台，对食堂进行全面的监管，及时发现违规异常情况，发出预警，从多方面保障校园食品安全，智能物联硬件设备包含智能晨检门禁、智能留样秤、智能留样冰箱、动火离人摄像头、</w:t>
            </w:r>
            <w:r>
              <w:rPr>
                <w:rFonts w:ascii="宋体" w:hAnsi="宋体" w:cs="宋体"/>
                <w:color w:val="auto"/>
                <w:sz w:val="24"/>
                <w:szCs w:val="24"/>
              </w:rPr>
              <w:t>AI行为分析摄像头、AI鼠患识别、</w:t>
            </w:r>
            <w:r>
              <w:rPr>
                <w:rFonts w:hint="eastAsia" w:ascii="宋体" w:hAnsi="宋体" w:cs="宋体"/>
                <w:color w:val="auto"/>
                <w:sz w:val="24"/>
                <w:szCs w:val="24"/>
              </w:rPr>
              <w:t>食安服务终端、仓库物联监管系统、紫外消毒管理系统、餐具消毒系统、冷库监管、水电能耗监管、客流量智能人员统计摄像头、农残检测、重金属检测和智能溯源秤、陌生人识别摄像机等；</w:t>
            </w:r>
          </w:p>
          <w:p w14:paraId="0C3E140C">
            <w:pPr>
              <w:widowControl/>
              <w:spacing w:line="360" w:lineRule="auto"/>
              <w:ind w:firstLine="480" w:firstLineChars="200"/>
              <w:jc w:val="left"/>
              <w:textAlignment w:val="center"/>
              <w:rPr>
                <w:rFonts w:ascii="宋体" w:hAnsi="宋体" w:cs="宋体"/>
                <w:color w:val="auto"/>
                <w:sz w:val="24"/>
                <w:szCs w:val="24"/>
              </w:rPr>
            </w:pPr>
            <w:r>
              <w:rPr>
                <w:rFonts w:hint="eastAsia" w:ascii="宋体" w:hAnsi="宋体" w:cs="宋体"/>
                <w:color w:val="auto"/>
                <w:sz w:val="24"/>
                <w:szCs w:val="24"/>
              </w:rPr>
              <w:t>三是食堂数据化管理，提高管理层的工作效率，包含食堂数据驾驶舱和后勤监管平台数据屏等；</w:t>
            </w:r>
          </w:p>
          <w:p w14:paraId="12F8892B">
            <w:pPr>
              <w:widowControl/>
              <w:spacing w:line="360" w:lineRule="auto"/>
              <w:ind w:firstLine="480" w:firstLineChars="200"/>
              <w:jc w:val="left"/>
              <w:textAlignment w:val="center"/>
              <w:rPr>
                <w:color w:val="auto"/>
              </w:rPr>
            </w:pPr>
            <w:r>
              <w:rPr>
                <w:rFonts w:hint="eastAsia" w:ascii="宋体" w:hAnsi="宋体" w:cs="宋体"/>
                <w:color w:val="auto"/>
                <w:sz w:val="24"/>
                <w:szCs w:val="24"/>
              </w:rPr>
              <w:t>四是后勤监管数智化升级，实现师生满意度管理、菜品菜价审核、菜品溯源监管、数字化巡检和合同考核、处罚管理等。</w:t>
            </w:r>
          </w:p>
        </w:tc>
      </w:tr>
    </w:tbl>
    <w:p w14:paraId="3A3F33A3">
      <w:pPr>
        <w:spacing w:line="440" w:lineRule="exact"/>
        <w:ind w:firstLine="480" w:firstLineChars="200"/>
        <w:jc w:val="left"/>
        <w:rPr>
          <w:rFonts w:ascii="宋体" w:hAnsi="宋体" w:cs="仿宋"/>
          <w:color w:val="auto"/>
          <w:sz w:val="24"/>
          <w:szCs w:val="24"/>
        </w:rPr>
      </w:pPr>
    </w:p>
    <w:p w14:paraId="32F24C5B">
      <w:pPr>
        <w:spacing w:line="440" w:lineRule="exact"/>
        <w:ind w:firstLine="480" w:firstLineChars="200"/>
        <w:jc w:val="left"/>
        <w:rPr>
          <w:color w:val="auto"/>
          <w:sz w:val="24"/>
        </w:rPr>
      </w:pPr>
      <w:r>
        <w:rPr>
          <w:rFonts w:hint="eastAsia" w:ascii="宋体" w:hAnsi="宋体" w:cs="仿宋"/>
          <w:color w:val="auto"/>
          <w:sz w:val="24"/>
          <w:szCs w:val="24"/>
        </w:rPr>
        <w:t>（二）</w:t>
      </w:r>
      <w:r>
        <w:rPr>
          <w:rFonts w:hint="eastAsia"/>
          <w:color w:val="auto"/>
          <w:sz w:val="24"/>
        </w:rPr>
        <w:t>“数智食堂”各包食堂数智化设备建设要求</w:t>
      </w:r>
    </w:p>
    <w:tbl>
      <w:tblPr>
        <w:tblStyle w:val="59"/>
        <w:tblW w:w="4724" w:type="pct"/>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5580"/>
        <w:gridCol w:w="1013"/>
        <w:gridCol w:w="1343"/>
      </w:tblGrid>
      <w:tr w14:paraId="576BB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5000" w:type="pct"/>
            <w:gridSpan w:val="4"/>
            <w:noWrap/>
            <w:vAlign w:val="center"/>
          </w:tcPr>
          <w:p w14:paraId="6F2987E1">
            <w:pPr>
              <w:widowControl/>
              <w:jc w:val="center"/>
              <w:rPr>
                <w:rFonts w:ascii="宋体" w:hAnsi="宋体" w:cs="宋体"/>
                <w:color w:val="auto"/>
                <w:kern w:val="0"/>
                <w:sz w:val="24"/>
                <w:szCs w:val="24"/>
              </w:rPr>
            </w:pPr>
            <w:r>
              <w:rPr>
                <w:rFonts w:hint="eastAsia" w:cs="宋体"/>
                <w:bCs/>
                <w:color w:val="auto"/>
                <w:szCs w:val="28"/>
              </w:rPr>
              <w:t>“数智食堂”学校食安监管平台建设要求（包</w:t>
            </w:r>
            <w:r>
              <w:rPr>
                <w:rFonts w:cs="宋体"/>
                <w:bCs/>
                <w:color w:val="auto"/>
                <w:szCs w:val="28"/>
              </w:rPr>
              <w:t>3</w:t>
            </w:r>
            <w:r>
              <w:rPr>
                <w:rFonts w:hint="eastAsia" w:cs="宋体"/>
                <w:bCs/>
                <w:color w:val="auto"/>
                <w:szCs w:val="28"/>
              </w:rPr>
              <w:t>）</w:t>
            </w:r>
          </w:p>
        </w:tc>
      </w:tr>
      <w:tr w14:paraId="61A35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638" w:type="pct"/>
            <w:noWrap/>
            <w:vAlign w:val="center"/>
          </w:tcPr>
          <w:p w14:paraId="52C57F98">
            <w:pPr>
              <w:widowControl/>
              <w:jc w:val="center"/>
              <w:rPr>
                <w:rFonts w:ascii="宋体" w:hAnsi="宋体" w:cs="宋体"/>
                <w:color w:val="auto"/>
                <w:kern w:val="0"/>
                <w:sz w:val="24"/>
                <w:szCs w:val="24"/>
              </w:rPr>
            </w:pPr>
            <w:r>
              <w:rPr>
                <w:rFonts w:hint="eastAsia" w:ascii="宋体" w:hAnsi="宋体" w:cs="宋体"/>
                <w:color w:val="auto"/>
                <w:kern w:val="0"/>
                <w:sz w:val="24"/>
                <w:szCs w:val="24"/>
              </w:rPr>
              <w:t>产品名称</w:t>
            </w:r>
          </w:p>
        </w:tc>
        <w:tc>
          <w:tcPr>
            <w:tcW w:w="3067" w:type="pct"/>
            <w:noWrap/>
            <w:vAlign w:val="center"/>
          </w:tcPr>
          <w:p w14:paraId="44A1D672">
            <w:pPr>
              <w:widowControl/>
              <w:jc w:val="center"/>
              <w:rPr>
                <w:rFonts w:ascii="宋体" w:hAnsi="宋体" w:cs="宋体"/>
                <w:color w:val="auto"/>
                <w:kern w:val="0"/>
                <w:sz w:val="24"/>
                <w:szCs w:val="24"/>
              </w:rPr>
            </w:pPr>
            <w:r>
              <w:rPr>
                <w:rFonts w:hint="eastAsia" w:ascii="宋体" w:hAnsi="宋体" w:cs="宋体"/>
                <w:color w:val="auto"/>
                <w:kern w:val="0"/>
                <w:sz w:val="24"/>
                <w:szCs w:val="24"/>
              </w:rPr>
              <w:t>主要技术参数</w:t>
            </w:r>
          </w:p>
        </w:tc>
        <w:tc>
          <w:tcPr>
            <w:tcW w:w="557" w:type="pct"/>
            <w:noWrap/>
            <w:vAlign w:val="center"/>
          </w:tcPr>
          <w:p w14:paraId="1C512E0E">
            <w:pPr>
              <w:widowControl/>
              <w:jc w:val="center"/>
              <w:rPr>
                <w:rFonts w:ascii="宋体" w:hAnsi="宋体" w:cs="宋体"/>
                <w:color w:val="auto"/>
                <w:kern w:val="0"/>
                <w:sz w:val="24"/>
                <w:szCs w:val="24"/>
              </w:rPr>
            </w:pPr>
            <w:r>
              <w:rPr>
                <w:rFonts w:hint="eastAsia" w:ascii="宋体" w:hAnsi="宋体" w:cs="宋体"/>
                <w:color w:val="auto"/>
                <w:kern w:val="0"/>
                <w:sz w:val="24"/>
                <w:szCs w:val="24"/>
              </w:rPr>
              <w:t>单位</w:t>
            </w:r>
          </w:p>
        </w:tc>
        <w:tc>
          <w:tcPr>
            <w:tcW w:w="735" w:type="pct"/>
            <w:noWrap/>
            <w:vAlign w:val="center"/>
          </w:tcPr>
          <w:p w14:paraId="6686E571">
            <w:pPr>
              <w:widowControl/>
              <w:jc w:val="center"/>
              <w:rPr>
                <w:rFonts w:ascii="宋体" w:hAnsi="宋体" w:cs="宋体"/>
                <w:color w:val="auto"/>
                <w:kern w:val="0"/>
                <w:sz w:val="24"/>
                <w:szCs w:val="24"/>
              </w:rPr>
            </w:pPr>
            <w:r>
              <w:rPr>
                <w:rFonts w:hint="eastAsia" w:ascii="宋体" w:hAnsi="宋体" w:cs="宋体"/>
                <w:color w:val="auto"/>
                <w:kern w:val="0"/>
                <w:sz w:val="24"/>
                <w:szCs w:val="24"/>
              </w:rPr>
              <w:t>数量</w:t>
            </w:r>
          </w:p>
        </w:tc>
      </w:tr>
      <w:tr w14:paraId="31670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8" w:type="pct"/>
            <w:vAlign w:val="center"/>
          </w:tcPr>
          <w:p w14:paraId="7B763856">
            <w:pPr>
              <w:jc w:val="center"/>
              <w:rPr>
                <w:rFonts w:ascii="宋体" w:hAnsi="宋体" w:cs="宋体"/>
                <w:color w:val="auto"/>
                <w:kern w:val="0"/>
                <w:sz w:val="24"/>
                <w:szCs w:val="24"/>
                <w:lang w:bidi="ar"/>
              </w:rPr>
            </w:pPr>
            <w:r>
              <w:rPr>
                <w:rFonts w:hint="eastAsia" w:ascii="宋体" w:hAnsi="宋体" w:cs="宋体"/>
                <w:color w:val="auto"/>
                <w:sz w:val="24"/>
                <w:szCs w:val="24"/>
              </w:rPr>
              <w:t>食品安全监督管理平台</w:t>
            </w:r>
          </w:p>
        </w:tc>
        <w:tc>
          <w:tcPr>
            <w:tcW w:w="3067" w:type="pct"/>
          </w:tcPr>
          <w:p w14:paraId="0A30B416">
            <w:pPr>
              <w:pStyle w:val="91"/>
              <w:numPr>
                <w:ilvl w:val="0"/>
                <w:numId w:val="13"/>
              </w:numPr>
              <w:ind w:left="0" w:firstLine="0" w:firstLineChars="0"/>
              <w:rPr>
                <w:rFonts w:cs="宋体"/>
                <w:color w:val="auto"/>
                <w:sz w:val="24"/>
                <w:szCs w:val="24"/>
              </w:rPr>
            </w:pPr>
            <w:r>
              <w:rPr>
                <w:rFonts w:hint="eastAsia" w:cs="宋体"/>
                <w:color w:val="auto"/>
                <w:sz w:val="24"/>
                <w:szCs w:val="24"/>
              </w:rPr>
              <w:t>数智食安监管平台大屏：</w:t>
            </w:r>
          </w:p>
          <w:p w14:paraId="453EF4E2">
            <w:pPr>
              <w:pStyle w:val="91"/>
              <w:numPr>
                <w:ilvl w:val="0"/>
                <w:numId w:val="14"/>
              </w:numPr>
              <w:ind w:left="0" w:firstLine="0" w:firstLineChars="0"/>
              <w:rPr>
                <w:rFonts w:cs="宋体"/>
                <w:color w:val="auto"/>
                <w:sz w:val="24"/>
                <w:szCs w:val="24"/>
              </w:rPr>
            </w:pPr>
            <w:r>
              <w:rPr>
                <w:rFonts w:hint="eastAsia" w:cs="宋体"/>
                <w:color w:val="auto"/>
                <w:sz w:val="24"/>
                <w:szCs w:val="24"/>
              </w:rPr>
              <w:t>食堂概览统计：</w:t>
            </w:r>
          </w:p>
          <w:p w14:paraId="319EDA84">
            <w:pPr>
              <w:pStyle w:val="91"/>
              <w:numPr>
                <w:ilvl w:val="0"/>
                <w:numId w:val="15"/>
              </w:numPr>
              <w:ind w:firstLine="0" w:firstLineChars="0"/>
              <w:rPr>
                <w:rFonts w:cs="宋体"/>
                <w:color w:val="auto"/>
                <w:sz w:val="24"/>
                <w:szCs w:val="24"/>
              </w:rPr>
            </w:pPr>
            <w:r>
              <w:rPr>
                <w:rFonts w:hint="eastAsia" w:cs="宋体"/>
                <w:color w:val="auto"/>
                <w:sz w:val="24"/>
                <w:szCs w:val="24"/>
              </w:rPr>
              <w:t>统计食堂数量、监管数量、食安指挥天数</w:t>
            </w:r>
          </w:p>
          <w:p w14:paraId="5CCB5CE8">
            <w:pPr>
              <w:pStyle w:val="91"/>
              <w:numPr>
                <w:ilvl w:val="0"/>
                <w:numId w:val="15"/>
              </w:numPr>
              <w:ind w:firstLine="0" w:firstLineChars="0"/>
              <w:rPr>
                <w:rFonts w:cs="宋体"/>
                <w:color w:val="auto"/>
                <w:sz w:val="24"/>
                <w:szCs w:val="24"/>
              </w:rPr>
            </w:pPr>
            <w:r>
              <w:rPr>
                <w:rFonts w:hint="eastAsia" w:cs="宋体"/>
                <w:color w:val="auto"/>
                <w:sz w:val="24"/>
                <w:szCs w:val="24"/>
              </w:rPr>
              <w:t>呈现系统统计数据：数智场景、数智设备、智能明厨亮灶、巡检总数</w:t>
            </w:r>
          </w:p>
          <w:p w14:paraId="1631C4B2">
            <w:pPr>
              <w:pStyle w:val="91"/>
              <w:numPr>
                <w:ilvl w:val="0"/>
                <w:numId w:val="14"/>
              </w:numPr>
              <w:ind w:left="0" w:firstLine="0" w:firstLineChars="0"/>
              <w:rPr>
                <w:rFonts w:cs="宋体"/>
                <w:color w:val="auto"/>
                <w:sz w:val="24"/>
                <w:szCs w:val="24"/>
              </w:rPr>
            </w:pPr>
            <w:r>
              <w:rPr>
                <w:rFonts w:hint="eastAsia" w:cs="宋体"/>
                <w:color w:val="auto"/>
                <w:sz w:val="24"/>
                <w:szCs w:val="24"/>
              </w:rPr>
              <w:t>本月食堂巡查食堂得分</w:t>
            </w:r>
          </w:p>
          <w:p w14:paraId="2E3655D7">
            <w:pPr>
              <w:pStyle w:val="91"/>
              <w:widowControl w:val="0"/>
              <w:ind w:firstLine="0" w:firstLineChars="0"/>
              <w:rPr>
                <w:rFonts w:cs="宋体"/>
                <w:color w:val="auto"/>
                <w:sz w:val="24"/>
                <w:szCs w:val="24"/>
              </w:rPr>
            </w:pPr>
            <w:r>
              <w:rPr>
                <w:rFonts w:hint="eastAsia" w:cs="宋体"/>
                <w:color w:val="auto"/>
                <w:sz w:val="24"/>
                <w:szCs w:val="24"/>
              </w:rPr>
              <w:t>统计食堂本月巡检的总和得分</w:t>
            </w:r>
          </w:p>
          <w:p w14:paraId="1E19BF05">
            <w:pPr>
              <w:pStyle w:val="91"/>
              <w:numPr>
                <w:ilvl w:val="0"/>
                <w:numId w:val="14"/>
              </w:numPr>
              <w:ind w:left="0" w:firstLine="0" w:firstLineChars="0"/>
              <w:rPr>
                <w:rFonts w:cs="宋体"/>
                <w:color w:val="auto"/>
                <w:sz w:val="24"/>
                <w:szCs w:val="24"/>
              </w:rPr>
            </w:pPr>
            <w:r>
              <w:rPr>
                <w:rFonts w:hint="eastAsia" w:cs="宋体"/>
                <w:color w:val="auto"/>
                <w:sz w:val="24"/>
                <w:szCs w:val="24"/>
              </w:rPr>
              <w:t>食堂食安地图</w:t>
            </w:r>
          </w:p>
          <w:p w14:paraId="2EFF84EC">
            <w:pPr>
              <w:widowControl/>
              <w:numPr>
                <w:ilvl w:val="0"/>
                <w:numId w:val="16"/>
              </w:numPr>
              <w:ind w:firstLine="0"/>
              <w:jc w:val="left"/>
              <w:rPr>
                <w:rFonts w:ascii="宋体" w:hAnsi="宋体" w:cs="宋体"/>
                <w:color w:val="auto"/>
                <w:sz w:val="24"/>
                <w:szCs w:val="24"/>
              </w:rPr>
            </w:pPr>
            <w:r>
              <w:rPr>
                <w:rFonts w:hint="eastAsia" w:ascii="宋体" w:hAnsi="宋体" w:cs="宋体"/>
                <w:color w:val="auto"/>
                <w:sz w:val="24"/>
                <w:szCs w:val="24"/>
              </w:rPr>
              <w:t>系统获取食堂实时的食安风险数据，出现风险时，进行食堂高亮预警</w:t>
            </w:r>
          </w:p>
          <w:p w14:paraId="495877B4">
            <w:pPr>
              <w:widowControl/>
              <w:numPr>
                <w:ilvl w:val="0"/>
                <w:numId w:val="16"/>
              </w:numPr>
              <w:ind w:firstLine="0"/>
              <w:jc w:val="left"/>
              <w:rPr>
                <w:rFonts w:ascii="宋体" w:hAnsi="宋体" w:cs="宋体"/>
                <w:color w:val="auto"/>
                <w:sz w:val="24"/>
                <w:szCs w:val="24"/>
              </w:rPr>
            </w:pPr>
            <w:r>
              <w:rPr>
                <w:rFonts w:hint="eastAsia" w:ascii="宋体" w:hAnsi="宋体" w:cs="宋体"/>
                <w:color w:val="auto"/>
                <w:sz w:val="24"/>
                <w:szCs w:val="24"/>
              </w:rPr>
              <w:t>点击中部食堂名称，查看该食堂的专管详情</w:t>
            </w:r>
          </w:p>
          <w:p w14:paraId="74E78D92">
            <w:pPr>
              <w:widowControl/>
              <w:numPr>
                <w:ilvl w:val="0"/>
                <w:numId w:val="16"/>
              </w:numPr>
              <w:ind w:firstLine="0"/>
              <w:jc w:val="left"/>
              <w:rPr>
                <w:rFonts w:ascii="宋体" w:hAnsi="宋体" w:cs="宋体"/>
                <w:color w:val="auto"/>
                <w:sz w:val="24"/>
                <w:szCs w:val="24"/>
              </w:rPr>
            </w:pPr>
            <w:r>
              <w:rPr>
                <w:rFonts w:hint="eastAsia" w:ascii="宋体" w:hAnsi="宋体" w:cs="宋体"/>
                <w:color w:val="auto"/>
                <w:sz w:val="24"/>
                <w:szCs w:val="24"/>
              </w:rPr>
              <w:t>查看食堂食安得分</w:t>
            </w:r>
          </w:p>
          <w:p w14:paraId="600B4CB3">
            <w:pPr>
              <w:widowControl/>
              <w:numPr>
                <w:ilvl w:val="0"/>
                <w:numId w:val="16"/>
              </w:numPr>
              <w:ind w:firstLine="0"/>
              <w:jc w:val="left"/>
              <w:rPr>
                <w:rFonts w:ascii="宋体" w:hAnsi="宋体" w:cs="宋体"/>
                <w:color w:val="auto"/>
                <w:sz w:val="24"/>
                <w:szCs w:val="24"/>
              </w:rPr>
            </w:pPr>
            <w:r>
              <w:rPr>
                <w:rFonts w:hint="eastAsia" w:ascii="宋体" w:hAnsi="宋体" w:cs="宋体"/>
                <w:color w:val="auto"/>
                <w:sz w:val="24"/>
                <w:szCs w:val="24"/>
              </w:rPr>
              <w:t>食堂数据概览</w:t>
            </w:r>
          </w:p>
          <w:p w14:paraId="76811891">
            <w:pPr>
              <w:widowControl/>
              <w:numPr>
                <w:ilvl w:val="0"/>
                <w:numId w:val="16"/>
              </w:numPr>
              <w:ind w:firstLine="0"/>
              <w:jc w:val="left"/>
              <w:rPr>
                <w:rFonts w:ascii="宋体" w:hAnsi="宋体" w:cs="宋体"/>
                <w:color w:val="auto"/>
                <w:sz w:val="24"/>
                <w:szCs w:val="24"/>
              </w:rPr>
            </w:pPr>
            <w:r>
              <w:rPr>
                <w:rFonts w:hint="eastAsia" w:ascii="宋体" w:hAnsi="宋体" w:cs="宋体"/>
                <w:color w:val="auto"/>
                <w:sz w:val="24"/>
                <w:szCs w:val="24"/>
              </w:rPr>
              <w:t>食堂员工的健康证分析</w:t>
            </w:r>
          </w:p>
          <w:p w14:paraId="021BED6B">
            <w:pPr>
              <w:widowControl/>
              <w:numPr>
                <w:ilvl w:val="0"/>
                <w:numId w:val="16"/>
              </w:numPr>
              <w:ind w:firstLine="0"/>
              <w:jc w:val="left"/>
              <w:rPr>
                <w:rFonts w:ascii="宋体" w:hAnsi="宋体" w:cs="宋体"/>
                <w:color w:val="auto"/>
                <w:sz w:val="24"/>
                <w:szCs w:val="24"/>
              </w:rPr>
            </w:pPr>
            <w:r>
              <w:rPr>
                <w:rFonts w:hint="eastAsia" w:ascii="宋体" w:hAnsi="宋体" w:cs="宋体"/>
                <w:color w:val="auto"/>
                <w:sz w:val="24"/>
                <w:szCs w:val="24"/>
              </w:rPr>
              <w:t>食堂员工晨检和出勤的数据展示</w:t>
            </w:r>
          </w:p>
          <w:p w14:paraId="5FE9CF22">
            <w:pPr>
              <w:widowControl/>
              <w:numPr>
                <w:ilvl w:val="0"/>
                <w:numId w:val="16"/>
              </w:numPr>
              <w:ind w:firstLine="0"/>
              <w:jc w:val="left"/>
              <w:rPr>
                <w:rFonts w:ascii="宋体" w:hAnsi="宋体" w:cs="宋体"/>
                <w:color w:val="auto"/>
                <w:sz w:val="24"/>
                <w:szCs w:val="24"/>
              </w:rPr>
            </w:pPr>
            <w:r>
              <w:rPr>
                <w:rFonts w:hint="eastAsia" w:ascii="宋体" w:hAnsi="宋体" w:cs="宋体"/>
                <w:color w:val="auto"/>
                <w:sz w:val="24"/>
                <w:szCs w:val="24"/>
              </w:rPr>
              <w:t>食安现场过程监管（数智场景监管）</w:t>
            </w:r>
          </w:p>
          <w:p w14:paraId="00FC7ED4">
            <w:pPr>
              <w:widowControl/>
              <w:numPr>
                <w:ilvl w:val="0"/>
                <w:numId w:val="16"/>
              </w:numPr>
              <w:ind w:firstLine="0"/>
              <w:jc w:val="left"/>
              <w:rPr>
                <w:rFonts w:ascii="宋体" w:hAnsi="宋体" w:cs="宋体"/>
                <w:color w:val="auto"/>
                <w:sz w:val="24"/>
                <w:szCs w:val="24"/>
              </w:rPr>
            </w:pPr>
            <w:r>
              <w:rPr>
                <w:rFonts w:hint="eastAsia" w:ascii="宋体" w:hAnsi="宋体" w:cs="宋体"/>
                <w:color w:val="auto"/>
                <w:sz w:val="24"/>
                <w:szCs w:val="24"/>
              </w:rPr>
              <w:t>食堂留样监管（点击留样状态可查看留样记录）</w:t>
            </w:r>
          </w:p>
          <w:p w14:paraId="06543084">
            <w:pPr>
              <w:widowControl/>
              <w:numPr>
                <w:ilvl w:val="0"/>
                <w:numId w:val="16"/>
              </w:numPr>
              <w:ind w:firstLine="0"/>
              <w:jc w:val="left"/>
              <w:rPr>
                <w:rFonts w:ascii="宋体" w:hAnsi="宋体" w:cs="宋体"/>
                <w:color w:val="auto"/>
                <w:sz w:val="24"/>
                <w:szCs w:val="24"/>
              </w:rPr>
            </w:pPr>
            <w:r>
              <w:rPr>
                <w:rFonts w:hint="eastAsia" w:ascii="宋体" w:hAnsi="宋体" w:cs="宋体"/>
                <w:color w:val="auto"/>
                <w:sz w:val="24"/>
                <w:szCs w:val="24"/>
              </w:rPr>
              <w:t>食堂的菜品展示</w:t>
            </w:r>
          </w:p>
          <w:p w14:paraId="139DBA42">
            <w:pPr>
              <w:widowControl/>
              <w:numPr>
                <w:ilvl w:val="0"/>
                <w:numId w:val="16"/>
              </w:numPr>
              <w:ind w:firstLine="0"/>
              <w:jc w:val="left"/>
              <w:rPr>
                <w:rFonts w:ascii="宋体" w:hAnsi="宋体" w:cs="宋体"/>
                <w:color w:val="auto"/>
                <w:sz w:val="24"/>
                <w:szCs w:val="24"/>
              </w:rPr>
            </w:pPr>
            <w:r>
              <w:rPr>
                <w:rFonts w:hint="eastAsia" w:ascii="宋体" w:hAnsi="宋体" w:cs="宋体"/>
                <w:color w:val="auto"/>
                <w:sz w:val="24"/>
                <w:szCs w:val="24"/>
              </w:rPr>
              <w:t>供应商信息展示</w:t>
            </w:r>
          </w:p>
          <w:p w14:paraId="00DF07CA">
            <w:pPr>
              <w:widowControl/>
              <w:numPr>
                <w:ilvl w:val="0"/>
                <w:numId w:val="16"/>
              </w:numPr>
              <w:ind w:firstLine="0"/>
              <w:jc w:val="left"/>
              <w:rPr>
                <w:rFonts w:ascii="宋体" w:hAnsi="宋体" w:cs="宋体"/>
                <w:color w:val="auto"/>
                <w:sz w:val="24"/>
                <w:szCs w:val="24"/>
              </w:rPr>
            </w:pPr>
            <w:r>
              <w:rPr>
                <w:rFonts w:hint="eastAsia" w:ascii="宋体" w:hAnsi="宋体" w:cs="宋体"/>
                <w:color w:val="auto"/>
                <w:sz w:val="24"/>
                <w:szCs w:val="24"/>
              </w:rPr>
              <w:t>查看食安分数详情，展示门店当前风险，呈现详情</w:t>
            </w:r>
          </w:p>
          <w:p w14:paraId="511D0ECC">
            <w:pPr>
              <w:pStyle w:val="91"/>
              <w:numPr>
                <w:ilvl w:val="0"/>
                <w:numId w:val="14"/>
              </w:numPr>
              <w:ind w:left="0" w:firstLine="0" w:firstLineChars="0"/>
              <w:rPr>
                <w:rFonts w:cs="宋体"/>
                <w:color w:val="auto"/>
                <w:sz w:val="24"/>
                <w:szCs w:val="24"/>
              </w:rPr>
            </w:pPr>
            <w:r>
              <w:rPr>
                <w:rFonts w:hint="eastAsia" w:cs="宋体"/>
                <w:color w:val="auto"/>
                <w:sz w:val="24"/>
                <w:szCs w:val="24"/>
              </w:rPr>
              <w:t>数智设备布防统计</w:t>
            </w:r>
          </w:p>
          <w:p w14:paraId="20866521">
            <w:pPr>
              <w:pStyle w:val="91"/>
              <w:numPr>
                <w:ilvl w:val="0"/>
                <w:numId w:val="17"/>
              </w:numPr>
              <w:ind w:firstLine="0" w:firstLineChars="0"/>
              <w:rPr>
                <w:rFonts w:cs="宋体"/>
                <w:color w:val="auto"/>
                <w:sz w:val="24"/>
                <w:szCs w:val="24"/>
              </w:rPr>
            </w:pPr>
            <w:r>
              <w:rPr>
                <w:rFonts w:hint="eastAsia" w:cs="宋体"/>
                <w:color w:val="auto"/>
                <w:sz w:val="24"/>
                <w:szCs w:val="24"/>
              </w:rPr>
              <w:t>统计所有食堂安装的各类设备类型数量，并针对在线率进行呈现</w:t>
            </w:r>
          </w:p>
          <w:p w14:paraId="2E056C3B">
            <w:pPr>
              <w:pStyle w:val="91"/>
              <w:numPr>
                <w:ilvl w:val="0"/>
                <w:numId w:val="17"/>
              </w:numPr>
              <w:ind w:firstLine="0" w:firstLineChars="0"/>
              <w:rPr>
                <w:rFonts w:cs="宋体"/>
                <w:color w:val="auto"/>
                <w:sz w:val="24"/>
                <w:szCs w:val="24"/>
              </w:rPr>
            </w:pPr>
            <w:r>
              <w:rPr>
                <w:rFonts w:hint="eastAsia" w:cs="宋体"/>
                <w:color w:val="auto"/>
                <w:sz w:val="24"/>
                <w:szCs w:val="24"/>
              </w:rPr>
              <w:t>查看详情：食堂的实时预警提醒、食堂设备监管情况、安全预警中心、数智食堂物联监管数据</w:t>
            </w:r>
          </w:p>
          <w:p w14:paraId="6BEB68CD">
            <w:pPr>
              <w:pStyle w:val="91"/>
              <w:numPr>
                <w:ilvl w:val="0"/>
                <w:numId w:val="14"/>
              </w:numPr>
              <w:ind w:left="0" w:firstLine="0" w:firstLineChars="0"/>
              <w:rPr>
                <w:rFonts w:cs="宋体"/>
                <w:color w:val="auto"/>
                <w:sz w:val="24"/>
                <w:szCs w:val="24"/>
              </w:rPr>
            </w:pPr>
            <w:r>
              <w:rPr>
                <w:rFonts w:hint="eastAsia" w:cs="宋体"/>
                <w:color w:val="auto"/>
                <w:sz w:val="24"/>
                <w:szCs w:val="24"/>
              </w:rPr>
              <w:t>预警走马灯</w:t>
            </w:r>
          </w:p>
          <w:p w14:paraId="06488165">
            <w:pPr>
              <w:pStyle w:val="91"/>
              <w:widowControl w:val="0"/>
              <w:ind w:firstLine="0" w:firstLineChars="0"/>
              <w:rPr>
                <w:rFonts w:cs="宋体"/>
                <w:color w:val="auto"/>
                <w:sz w:val="24"/>
                <w:szCs w:val="24"/>
              </w:rPr>
            </w:pPr>
            <w:r>
              <w:rPr>
                <w:rFonts w:hint="eastAsia" w:cs="宋体"/>
                <w:color w:val="auto"/>
                <w:sz w:val="24"/>
                <w:szCs w:val="24"/>
              </w:rPr>
              <w:t>通过走马灯形式汇报食堂近期的风险事件</w:t>
            </w:r>
          </w:p>
          <w:p w14:paraId="00038A3B">
            <w:pPr>
              <w:pStyle w:val="91"/>
              <w:numPr>
                <w:ilvl w:val="0"/>
                <w:numId w:val="14"/>
              </w:numPr>
              <w:ind w:left="0" w:firstLine="0" w:firstLineChars="0"/>
              <w:rPr>
                <w:rFonts w:cs="宋体"/>
                <w:color w:val="auto"/>
                <w:sz w:val="24"/>
                <w:szCs w:val="24"/>
              </w:rPr>
            </w:pPr>
            <w:r>
              <w:rPr>
                <w:rFonts w:hint="eastAsia" w:cs="宋体"/>
                <w:color w:val="auto"/>
                <w:sz w:val="24"/>
                <w:szCs w:val="24"/>
              </w:rPr>
              <w:t>报警弹窗</w:t>
            </w:r>
          </w:p>
          <w:p w14:paraId="7BBA0052">
            <w:pPr>
              <w:widowControl/>
              <w:numPr>
                <w:ilvl w:val="0"/>
                <w:numId w:val="18"/>
              </w:numPr>
              <w:ind w:firstLine="0"/>
              <w:jc w:val="left"/>
              <w:rPr>
                <w:rFonts w:ascii="宋体" w:hAnsi="宋体" w:cs="宋体"/>
                <w:color w:val="auto"/>
                <w:sz w:val="24"/>
                <w:szCs w:val="24"/>
              </w:rPr>
            </w:pPr>
            <w:r>
              <w:rPr>
                <w:rFonts w:hint="eastAsia" w:ascii="宋体" w:hAnsi="宋体" w:cs="宋体"/>
                <w:color w:val="auto"/>
                <w:sz w:val="24"/>
                <w:szCs w:val="24"/>
              </w:rPr>
              <w:t>报警弹窗：对食堂的设备报警时间进行弹窗提醒</w:t>
            </w:r>
          </w:p>
          <w:p w14:paraId="1EF8A668">
            <w:pPr>
              <w:widowControl/>
              <w:numPr>
                <w:ilvl w:val="0"/>
                <w:numId w:val="18"/>
              </w:numPr>
              <w:ind w:firstLine="0"/>
              <w:jc w:val="left"/>
              <w:rPr>
                <w:rFonts w:cs="宋体"/>
                <w:color w:val="auto"/>
                <w:sz w:val="24"/>
                <w:szCs w:val="24"/>
              </w:rPr>
            </w:pPr>
            <w:r>
              <w:rPr>
                <w:rFonts w:hint="eastAsia" w:ascii="宋体" w:hAnsi="宋体" w:cs="宋体"/>
                <w:color w:val="auto"/>
                <w:sz w:val="24"/>
                <w:szCs w:val="24"/>
              </w:rPr>
              <w:t>报警详情：显示近期的报警事件，支持快捷关闭</w:t>
            </w:r>
          </w:p>
          <w:p w14:paraId="74C20668">
            <w:pPr>
              <w:pStyle w:val="91"/>
              <w:numPr>
                <w:ilvl w:val="0"/>
                <w:numId w:val="14"/>
              </w:numPr>
              <w:ind w:left="0" w:firstLine="0" w:firstLineChars="0"/>
              <w:rPr>
                <w:rFonts w:cs="宋体"/>
                <w:color w:val="auto"/>
                <w:sz w:val="24"/>
                <w:szCs w:val="24"/>
              </w:rPr>
            </w:pPr>
            <w:r>
              <w:rPr>
                <w:rFonts w:hint="eastAsia" w:cs="宋体"/>
                <w:color w:val="auto"/>
                <w:sz w:val="24"/>
                <w:szCs w:val="24"/>
              </w:rPr>
              <w:t>每日食品安全检查记录</w:t>
            </w:r>
          </w:p>
          <w:p w14:paraId="0E353CA7">
            <w:pPr>
              <w:pStyle w:val="91"/>
              <w:numPr>
                <w:ilvl w:val="0"/>
                <w:numId w:val="19"/>
              </w:numPr>
              <w:ind w:firstLine="0" w:firstLineChars="0"/>
              <w:rPr>
                <w:rFonts w:cs="宋体"/>
                <w:color w:val="auto"/>
                <w:sz w:val="24"/>
                <w:szCs w:val="24"/>
              </w:rPr>
            </w:pPr>
            <w:r>
              <w:rPr>
                <w:rFonts w:hint="eastAsia" w:cs="宋体"/>
                <w:color w:val="auto"/>
                <w:sz w:val="24"/>
                <w:szCs w:val="24"/>
              </w:rPr>
              <w:t>公示食堂提交的日管控情况</w:t>
            </w:r>
          </w:p>
          <w:p w14:paraId="031D976F">
            <w:pPr>
              <w:pStyle w:val="91"/>
              <w:numPr>
                <w:ilvl w:val="0"/>
                <w:numId w:val="19"/>
              </w:numPr>
              <w:ind w:firstLine="0" w:firstLineChars="0"/>
              <w:rPr>
                <w:rFonts w:cs="宋体"/>
                <w:color w:val="auto"/>
                <w:sz w:val="24"/>
                <w:szCs w:val="24"/>
              </w:rPr>
            </w:pPr>
            <w:r>
              <w:rPr>
                <w:rFonts w:hint="eastAsia" w:cs="宋体"/>
                <w:color w:val="auto"/>
                <w:sz w:val="24"/>
                <w:szCs w:val="24"/>
              </w:rPr>
              <w:t>查看详情：展示各食堂每日的完成情况，其中包括不合格的问题说明以及整改措施，并跟进展示其整改进度及详情</w:t>
            </w:r>
          </w:p>
          <w:p w14:paraId="740AB908">
            <w:pPr>
              <w:pStyle w:val="91"/>
              <w:numPr>
                <w:ilvl w:val="0"/>
                <w:numId w:val="14"/>
              </w:numPr>
              <w:ind w:left="0" w:firstLine="0" w:firstLineChars="0"/>
              <w:rPr>
                <w:rFonts w:cs="宋体"/>
                <w:color w:val="auto"/>
                <w:sz w:val="24"/>
                <w:szCs w:val="24"/>
              </w:rPr>
            </w:pPr>
            <w:r>
              <w:rPr>
                <w:rFonts w:hint="eastAsia" w:cs="宋体"/>
                <w:color w:val="auto"/>
                <w:sz w:val="24"/>
                <w:szCs w:val="24"/>
              </w:rPr>
              <w:t>每周食品安全治理报告</w:t>
            </w:r>
          </w:p>
          <w:p w14:paraId="152BF2A5">
            <w:pPr>
              <w:widowControl/>
              <w:numPr>
                <w:ilvl w:val="0"/>
                <w:numId w:val="20"/>
              </w:numPr>
              <w:ind w:firstLine="0"/>
              <w:jc w:val="left"/>
              <w:rPr>
                <w:rFonts w:ascii="宋体" w:hAnsi="宋体" w:cs="宋体"/>
                <w:color w:val="auto"/>
                <w:sz w:val="24"/>
                <w:szCs w:val="24"/>
              </w:rPr>
            </w:pPr>
            <w:r>
              <w:rPr>
                <w:rFonts w:hint="eastAsia" w:ascii="宋体" w:hAnsi="宋体" w:cs="宋体"/>
                <w:color w:val="auto"/>
                <w:sz w:val="24"/>
                <w:szCs w:val="24"/>
              </w:rPr>
              <w:t>公示系统创建的周排查记录数据</w:t>
            </w:r>
          </w:p>
          <w:p w14:paraId="366FEC3D">
            <w:pPr>
              <w:widowControl/>
              <w:numPr>
                <w:ilvl w:val="0"/>
                <w:numId w:val="20"/>
              </w:numPr>
              <w:ind w:firstLine="0"/>
              <w:jc w:val="left"/>
              <w:rPr>
                <w:rFonts w:cs="宋体"/>
                <w:color w:val="auto"/>
                <w:sz w:val="24"/>
                <w:szCs w:val="24"/>
              </w:rPr>
            </w:pPr>
            <w:r>
              <w:rPr>
                <w:rFonts w:hint="eastAsia" w:ascii="宋体" w:hAnsi="宋体" w:cs="宋体"/>
                <w:color w:val="auto"/>
                <w:sz w:val="24"/>
                <w:szCs w:val="24"/>
              </w:rPr>
              <w:t>点击可查看详情，包括每周发现的问题及整改情况</w:t>
            </w:r>
          </w:p>
          <w:p w14:paraId="59A5C9DC">
            <w:pPr>
              <w:pStyle w:val="91"/>
              <w:numPr>
                <w:ilvl w:val="0"/>
                <w:numId w:val="14"/>
              </w:numPr>
              <w:ind w:left="0" w:firstLine="0" w:firstLineChars="0"/>
              <w:rPr>
                <w:rFonts w:cs="宋体"/>
                <w:color w:val="auto"/>
                <w:sz w:val="24"/>
                <w:szCs w:val="24"/>
              </w:rPr>
            </w:pPr>
            <w:r>
              <w:rPr>
                <w:rFonts w:hint="eastAsia" w:cs="宋体"/>
                <w:color w:val="auto"/>
                <w:sz w:val="24"/>
                <w:szCs w:val="24"/>
              </w:rPr>
              <w:t>每月食品安全调度报告</w:t>
            </w:r>
          </w:p>
          <w:p w14:paraId="235993A1">
            <w:pPr>
              <w:widowControl/>
              <w:numPr>
                <w:ilvl w:val="0"/>
                <w:numId w:val="21"/>
              </w:numPr>
              <w:ind w:firstLine="0"/>
              <w:jc w:val="left"/>
              <w:rPr>
                <w:rFonts w:ascii="宋体" w:hAnsi="宋体" w:cs="宋体"/>
                <w:color w:val="auto"/>
                <w:sz w:val="24"/>
                <w:szCs w:val="24"/>
              </w:rPr>
            </w:pPr>
            <w:r>
              <w:rPr>
                <w:rFonts w:hint="eastAsia" w:ascii="宋体" w:hAnsi="宋体" w:cs="宋体"/>
                <w:color w:val="auto"/>
                <w:sz w:val="24"/>
                <w:szCs w:val="24"/>
              </w:rPr>
              <w:t>可查看系统创建的月调度报告</w:t>
            </w:r>
          </w:p>
          <w:p w14:paraId="1EAE907F">
            <w:pPr>
              <w:widowControl/>
              <w:numPr>
                <w:ilvl w:val="0"/>
                <w:numId w:val="21"/>
              </w:numPr>
              <w:ind w:firstLine="0"/>
              <w:jc w:val="left"/>
              <w:rPr>
                <w:rFonts w:cs="宋体"/>
                <w:color w:val="auto"/>
                <w:sz w:val="24"/>
                <w:szCs w:val="24"/>
              </w:rPr>
            </w:pPr>
            <w:r>
              <w:rPr>
                <w:rFonts w:hint="eastAsia" w:ascii="宋体" w:hAnsi="宋体" w:cs="宋体"/>
                <w:color w:val="auto"/>
                <w:sz w:val="24"/>
                <w:szCs w:val="24"/>
              </w:rPr>
              <w:t>支持点击查看详情，可直接预览月调度报告中的文件内容</w:t>
            </w:r>
          </w:p>
          <w:p w14:paraId="00FA8A89">
            <w:pPr>
              <w:pStyle w:val="91"/>
              <w:numPr>
                <w:ilvl w:val="0"/>
                <w:numId w:val="13"/>
              </w:numPr>
              <w:ind w:left="0" w:firstLine="0" w:firstLineChars="0"/>
              <w:rPr>
                <w:rFonts w:cs="宋体"/>
                <w:color w:val="auto"/>
                <w:sz w:val="24"/>
                <w:szCs w:val="24"/>
              </w:rPr>
            </w:pPr>
            <w:r>
              <w:rPr>
                <w:rFonts w:hint="eastAsia" w:cs="宋体"/>
                <w:color w:val="auto"/>
                <w:sz w:val="24"/>
                <w:szCs w:val="24"/>
              </w:rPr>
              <w:t>数字巡检屏：</w:t>
            </w:r>
          </w:p>
          <w:p w14:paraId="220A0F0C">
            <w:pPr>
              <w:pStyle w:val="91"/>
              <w:numPr>
                <w:ilvl w:val="0"/>
                <w:numId w:val="22"/>
              </w:numPr>
              <w:ind w:left="0" w:firstLine="0" w:firstLineChars="0"/>
              <w:rPr>
                <w:rFonts w:cs="宋体"/>
                <w:color w:val="auto"/>
                <w:sz w:val="24"/>
                <w:szCs w:val="24"/>
              </w:rPr>
            </w:pPr>
            <w:r>
              <w:rPr>
                <w:rFonts w:hint="eastAsia" w:cs="宋体"/>
                <w:color w:val="auto"/>
                <w:sz w:val="24"/>
                <w:szCs w:val="24"/>
              </w:rPr>
              <w:t>后勤数智巡检：</w:t>
            </w:r>
          </w:p>
          <w:p w14:paraId="68D4A403">
            <w:pPr>
              <w:pStyle w:val="91"/>
              <w:widowControl w:val="0"/>
              <w:ind w:firstLine="0" w:firstLineChars="0"/>
              <w:rPr>
                <w:rFonts w:cs="宋体"/>
                <w:color w:val="auto"/>
                <w:sz w:val="24"/>
                <w:szCs w:val="24"/>
              </w:rPr>
            </w:pPr>
            <w:r>
              <w:rPr>
                <w:rFonts w:hint="eastAsia" w:cs="宋体"/>
                <w:color w:val="auto"/>
                <w:sz w:val="24"/>
                <w:szCs w:val="24"/>
              </w:rPr>
              <w:t>可查看食堂的巡检信息、本月食堂巡检进度、本月巡检提升分析、本月食堂巡检分析、食堂</w:t>
            </w:r>
            <w:r>
              <w:rPr>
                <w:rFonts w:cs="宋体"/>
                <w:color w:val="auto"/>
                <w:sz w:val="24"/>
                <w:szCs w:val="24"/>
              </w:rPr>
              <w:t>3</w:t>
            </w:r>
            <w:r>
              <w:rPr>
                <w:rFonts w:hint="eastAsia" w:cs="宋体"/>
                <w:color w:val="auto"/>
                <w:sz w:val="24"/>
                <w:szCs w:val="24"/>
              </w:rPr>
              <w:t>个月的重点提升方向、食安红榜、待提升排名、食堂实时的巡检进度展示</w:t>
            </w:r>
          </w:p>
          <w:p w14:paraId="3617DC1F">
            <w:pPr>
              <w:pStyle w:val="91"/>
              <w:numPr>
                <w:ilvl w:val="0"/>
                <w:numId w:val="22"/>
              </w:numPr>
              <w:ind w:left="0" w:firstLine="0" w:firstLineChars="0"/>
              <w:rPr>
                <w:rFonts w:cs="宋体"/>
                <w:color w:val="auto"/>
                <w:sz w:val="24"/>
                <w:szCs w:val="24"/>
              </w:rPr>
            </w:pPr>
            <w:r>
              <w:rPr>
                <w:rFonts w:hint="eastAsia" w:cs="宋体"/>
                <w:color w:val="auto"/>
                <w:sz w:val="24"/>
                <w:szCs w:val="24"/>
              </w:rPr>
              <w:t>本月食堂巡检分析：</w:t>
            </w:r>
          </w:p>
          <w:p w14:paraId="22AC7BF2">
            <w:pPr>
              <w:pStyle w:val="91"/>
              <w:widowControl w:val="0"/>
              <w:ind w:firstLine="0" w:firstLineChars="0"/>
              <w:rPr>
                <w:rFonts w:cs="宋体"/>
                <w:color w:val="auto"/>
                <w:sz w:val="24"/>
                <w:szCs w:val="24"/>
              </w:rPr>
            </w:pPr>
            <w:r>
              <w:rPr>
                <w:rFonts w:hint="eastAsia" w:cs="宋体"/>
                <w:color w:val="auto"/>
                <w:sz w:val="24"/>
                <w:szCs w:val="24"/>
              </w:rPr>
              <w:t>统计当月食堂督导巡检与视频巡检的进度情况，点击对应圆环图可查看巡检进度详情</w:t>
            </w:r>
          </w:p>
          <w:p w14:paraId="59B0384E">
            <w:pPr>
              <w:pStyle w:val="91"/>
              <w:numPr>
                <w:ilvl w:val="0"/>
                <w:numId w:val="22"/>
              </w:numPr>
              <w:ind w:left="0" w:firstLine="0" w:firstLineChars="0"/>
              <w:rPr>
                <w:rFonts w:cs="宋体"/>
                <w:color w:val="auto"/>
                <w:sz w:val="24"/>
                <w:szCs w:val="24"/>
              </w:rPr>
            </w:pPr>
            <w:r>
              <w:rPr>
                <w:rFonts w:hint="eastAsia" w:cs="宋体"/>
                <w:color w:val="auto"/>
                <w:sz w:val="24"/>
                <w:szCs w:val="24"/>
              </w:rPr>
              <w:t>自检自清提交统计</w:t>
            </w:r>
          </w:p>
          <w:p w14:paraId="59D1260D">
            <w:pPr>
              <w:pStyle w:val="91"/>
              <w:widowControl w:val="0"/>
              <w:ind w:firstLine="0" w:firstLineChars="0"/>
              <w:rPr>
                <w:rFonts w:cs="宋体"/>
                <w:color w:val="auto"/>
                <w:sz w:val="24"/>
                <w:szCs w:val="24"/>
              </w:rPr>
            </w:pPr>
            <w:r>
              <w:rPr>
                <w:rFonts w:hint="eastAsia" w:cs="宋体"/>
                <w:color w:val="auto"/>
                <w:sz w:val="24"/>
                <w:szCs w:val="24"/>
              </w:rPr>
              <w:t>统计各门店近期的自检自清统计情况，能看到门店的提交情况，如是否提交，是否迟交等</w:t>
            </w:r>
          </w:p>
          <w:p w14:paraId="4B57F26A">
            <w:pPr>
              <w:pStyle w:val="91"/>
              <w:numPr>
                <w:ilvl w:val="0"/>
                <w:numId w:val="22"/>
              </w:numPr>
              <w:ind w:left="0" w:firstLine="0" w:firstLineChars="0"/>
              <w:rPr>
                <w:rFonts w:cs="宋体"/>
                <w:color w:val="auto"/>
                <w:sz w:val="24"/>
                <w:szCs w:val="24"/>
              </w:rPr>
            </w:pPr>
            <w:r>
              <w:rPr>
                <w:rFonts w:hint="eastAsia" w:cs="宋体"/>
                <w:color w:val="auto"/>
                <w:sz w:val="24"/>
                <w:szCs w:val="24"/>
              </w:rPr>
              <w:t>本月食堂巡检进度</w:t>
            </w:r>
          </w:p>
          <w:p w14:paraId="0854E7D9">
            <w:pPr>
              <w:pStyle w:val="91"/>
              <w:widowControl w:val="0"/>
              <w:ind w:firstLine="0" w:firstLineChars="0"/>
              <w:rPr>
                <w:rFonts w:cs="宋体"/>
                <w:color w:val="auto"/>
                <w:sz w:val="24"/>
                <w:szCs w:val="24"/>
              </w:rPr>
            </w:pPr>
            <w:r>
              <w:rPr>
                <w:rFonts w:hint="eastAsia" w:cs="宋体"/>
                <w:color w:val="auto"/>
                <w:sz w:val="24"/>
                <w:szCs w:val="24"/>
              </w:rPr>
              <w:t>分布以柱状图与列表的形式统计当月督查巡检、视频巡检的食堂得分，并进行排名</w:t>
            </w:r>
          </w:p>
          <w:p w14:paraId="74E221AC">
            <w:pPr>
              <w:pStyle w:val="91"/>
              <w:numPr>
                <w:ilvl w:val="0"/>
                <w:numId w:val="22"/>
              </w:numPr>
              <w:ind w:left="0" w:firstLine="0" w:firstLineChars="0"/>
              <w:rPr>
                <w:rFonts w:cs="宋体"/>
                <w:color w:val="auto"/>
                <w:sz w:val="24"/>
                <w:szCs w:val="24"/>
              </w:rPr>
            </w:pPr>
            <w:r>
              <w:rPr>
                <w:rFonts w:hint="eastAsia" w:cs="宋体"/>
                <w:color w:val="auto"/>
                <w:sz w:val="24"/>
                <w:szCs w:val="24"/>
              </w:rPr>
              <w:t>食安红榜</w:t>
            </w:r>
          </w:p>
          <w:p w14:paraId="648BDF5D">
            <w:pPr>
              <w:pStyle w:val="91"/>
              <w:widowControl w:val="0"/>
              <w:ind w:firstLine="0" w:firstLineChars="0"/>
              <w:rPr>
                <w:rFonts w:cs="宋体"/>
                <w:color w:val="auto"/>
                <w:sz w:val="24"/>
                <w:szCs w:val="24"/>
              </w:rPr>
            </w:pPr>
            <w:r>
              <w:rPr>
                <w:rFonts w:hint="eastAsia" w:cs="宋体"/>
                <w:color w:val="auto"/>
                <w:sz w:val="24"/>
                <w:szCs w:val="24"/>
              </w:rPr>
              <w:t>通过公示计算食堂当月的综合得分，并跟进得分对食堂进行排行</w:t>
            </w:r>
          </w:p>
          <w:p w14:paraId="48A07083">
            <w:pPr>
              <w:pStyle w:val="91"/>
              <w:numPr>
                <w:ilvl w:val="0"/>
                <w:numId w:val="22"/>
              </w:numPr>
              <w:ind w:left="0" w:firstLine="0" w:firstLineChars="0"/>
              <w:rPr>
                <w:rFonts w:cs="宋体"/>
                <w:color w:val="auto"/>
                <w:sz w:val="24"/>
                <w:szCs w:val="24"/>
              </w:rPr>
            </w:pPr>
            <w:r>
              <w:rPr>
                <w:rFonts w:hint="eastAsia" w:cs="宋体"/>
                <w:color w:val="auto"/>
                <w:sz w:val="24"/>
                <w:szCs w:val="24"/>
              </w:rPr>
              <w:t>待提升排名</w:t>
            </w:r>
          </w:p>
          <w:p w14:paraId="08724EE2">
            <w:pPr>
              <w:pStyle w:val="91"/>
              <w:widowControl w:val="0"/>
              <w:ind w:firstLine="0" w:firstLineChars="0"/>
              <w:rPr>
                <w:rFonts w:cs="宋体"/>
                <w:color w:val="auto"/>
                <w:sz w:val="24"/>
                <w:szCs w:val="24"/>
              </w:rPr>
            </w:pPr>
            <w:r>
              <w:rPr>
                <w:rFonts w:hint="eastAsia" w:cs="宋体"/>
                <w:color w:val="auto"/>
                <w:sz w:val="24"/>
                <w:szCs w:val="24"/>
              </w:rPr>
              <w:t>统计各食堂当月所排查处理的问题数量，并进行排行</w:t>
            </w:r>
          </w:p>
          <w:p w14:paraId="2FAC7953">
            <w:pPr>
              <w:pStyle w:val="91"/>
              <w:numPr>
                <w:ilvl w:val="0"/>
                <w:numId w:val="22"/>
              </w:numPr>
              <w:ind w:left="0" w:firstLine="0" w:firstLineChars="0"/>
              <w:rPr>
                <w:rFonts w:cs="宋体"/>
                <w:color w:val="auto"/>
                <w:sz w:val="24"/>
                <w:szCs w:val="24"/>
              </w:rPr>
            </w:pPr>
            <w:r>
              <w:rPr>
                <w:rFonts w:hint="eastAsia" w:cs="宋体"/>
                <w:color w:val="auto"/>
                <w:sz w:val="24"/>
                <w:szCs w:val="24"/>
              </w:rPr>
              <w:t>实时巡查进度展示</w:t>
            </w:r>
          </w:p>
          <w:p w14:paraId="0D4B0302">
            <w:pPr>
              <w:widowControl/>
              <w:jc w:val="left"/>
              <w:rPr>
                <w:rFonts w:cs="宋体"/>
                <w:color w:val="auto"/>
                <w:sz w:val="24"/>
                <w:szCs w:val="24"/>
              </w:rPr>
            </w:pPr>
            <w:r>
              <w:rPr>
                <w:rFonts w:hint="eastAsia" w:ascii="宋体" w:hAnsi="宋体" w:cs="宋体"/>
                <w:color w:val="auto"/>
                <w:sz w:val="24"/>
                <w:szCs w:val="24"/>
              </w:rPr>
              <w:t>实时显示轮播近期内所有门店的巡检事件，并显示其巡检结果</w:t>
            </w:r>
          </w:p>
        </w:tc>
        <w:tc>
          <w:tcPr>
            <w:tcW w:w="557" w:type="pct"/>
            <w:vAlign w:val="center"/>
          </w:tcPr>
          <w:p w14:paraId="74000754">
            <w:pPr>
              <w:spacing w:line="460" w:lineRule="exact"/>
              <w:jc w:val="center"/>
              <w:rPr>
                <w:rFonts w:ascii="宋体" w:hAnsi="宋体" w:cs="宋体"/>
                <w:color w:val="auto"/>
                <w:sz w:val="24"/>
                <w:szCs w:val="24"/>
              </w:rPr>
            </w:pPr>
            <w:r>
              <w:rPr>
                <w:rFonts w:hint="eastAsia" w:ascii="宋体" w:hAnsi="宋体" w:cs="宋体"/>
                <w:color w:val="auto"/>
                <w:sz w:val="24"/>
                <w:szCs w:val="24"/>
              </w:rPr>
              <w:t>项</w:t>
            </w:r>
          </w:p>
        </w:tc>
        <w:tc>
          <w:tcPr>
            <w:tcW w:w="735" w:type="pct"/>
            <w:vAlign w:val="center"/>
          </w:tcPr>
          <w:p w14:paraId="5BB3C15C">
            <w:pPr>
              <w:spacing w:line="460" w:lineRule="exact"/>
              <w:jc w:val="center"/>
              <w:rPr>
                <w:rFonts w:ascii="宋体" w:hAnsi="宋体" w:cs="宋体"/>
                <w:color w:val="auto"/>
                <w:sz w:val="24"/>
                <w:szCs w:val="24"/>
              </w:rPr>
            </w:pPr>
            <w:r>
              <w:rPr>
                <w:rFonts w:ascii="宋体" w:hAnsi="宋体" w:cs="宋体"/>
                <w:color w:val="auto"/>
                <w:sz w:val="24"/>
                <w:szCs w:val="24"/>
              </w:rPr>
              <w:t>1</w:t>
            </w:r>
          </w:p>
        </w:tc>
      </w:tr>
      <w:tr w14:paraId="5A049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38" w:type="pct"/>
            <w:vAlign w:val="center"/>
          </w:tcPr>
          <w:p w14:paraId="3BAB429A">
            <w:pPr>
              <w:jc w:val="center"/>
              <w:rPr>
                <w:rFonts w:ascii="宋体" w:hAnsi="宋体" w:cs="宋体"/>
                <w:color w:val="auto"/>
                <w:sz w:val="24"/>
                <w:szCs w:val="24"/>
              </w:rPr>
            </w:pPr>
            <w:r>
              <w:rPr>
                <w:rFonts w:hint="eastAsia" w:ascii="宋体" w:hAnsi="宋体" w:cs="宋体"/>
                <w:color w:val="auto"/>
                <w:sz w:val="24"/>
                <w:szCs w:val="24"/>
              </w:rPr>
              <w:t>食堂信息管理</w:t>
            </w:r>
          </w:p>
          <w:p w14:paraId="39A7C493">
            <w:pPr>
              <w:jc w:val="center"/>
              <w:rPr>
                <w:rFonts w:ascii="宋体" w:hAnsi="宋体" w:cs="宋体"/>
                <w:color w:val="auto"/>
                <w:kern w:val="0"/>
                <w:sz w:val="24"/>
                <w:szCs w:val="24"/>
                <w:lang w:bidi="ar"/>
              </w:rPr>
            </w:pPr>
          </w:p>
        </w:tc>
        <w:tc>
          <w:tcPr>
            <w:tcW w:w="3067" w:type="pct"/>
          </w:tcPr>
          <w:p w14:paraId="5C8FB8DF">
            <w:pPr>
              <w:pStyle w:val="91"/>
              <w:numPr>
                <w:ilvl w:val="0"/>
                <w:numId w:val="23"/>
              </w:numPr>
              <w:ind w:left="0" w:firstLine="0" w:firstLineChars="0"/>
              <w:rPr>
                <w:rFonts w:ascii="宋体" w:hAnsi="宋体" w:cs="宋体"/>
                <w:color w:val="auto"/>
                <w:sz w:val="24"/>
                <w:szCs w:val="24"/>
              </w:rPr>
            </w:pPr>
            <w:r>
              <w:rPr>
                <w:rFonts w:hint="eastAsia" w:ascii="宋体" w:hAnsi="宋体" w:cs="宋体"/>
                <w:color w:val="auto"/>
                <w:kern w:val="0"/>
                <w:sz w:val="24"/>
                <w:szCs w:val="24"/>
                <w:lang w:bidi="ar"/>
              </w:rPr>
              <w:t>食堂类型管理</w:t>
            </w:r>
          </w:p>
          <w:p w14:paraId="282035DA">
            <w:pPr>
              <w:widowControl/>
              <w:jc w:val="left"/>
              <w:rPr>
                <w:rFonts w:ascii="宋体" w:hAnsi="宋体" w:cs="宋体"/>
                <w:color w:val="auto"/>
                <w:sz w:val="24"/>
                <w:szCs w:val="24"/>
              </w:rPr>
            </w:pPr>
            <w:r>
              <w:rPr>
                <w:rFonts w:hint="eastAsia" w:ascii="宋体" w:hAnsi="宋体" w:cs="宋体"/>
                <w:color w:val="auto"/>
                <w:sz w:val="24"/>
                <w:szCs w:val="24"/>
              </w:rPr>
              <w:t>支持维护学校食堂类型，并可进行食堂类型的增删改等操作，食堂类型状态的停用和启用</w:t>
            </w:r>
          </w:p>
          <w:p w14:paraId="0B56EDA4">
            <w:pPr>
              <w:pStyle w:val="91"/>
              <w:numPr>
                <w:ilvl w:val="0"/>
                <w:numId w:val="23"/>
              </w:numPr>
              <w:ind w:left="0" w:firstLine="0" w:firstLineChars="0"/>
              <w:rPr>
                <w:rFonts w:ascii="宋体" w:hAnsi="宋体" w:cs="宋体"/>
                <w:color w:val="auto"/>
                <w:sz w:val="24"/>
                <w:szCs w:val="24"/>
              </w:rPr>
            </w:pPr>
            <w:r>
              <w:rPr>
                <w:rFonts w:hint="eastAsia" w:ascii="宋体" w:hAnsi="宋体" w:cs="宋体"/>
                <w:color w:val="auto"/>
                <w:kern w:val="0"/>
                <w:sz w:val="24"/>
                <w:szCs w:val="24"/>
                <w:lang w:bidi="ar"/>
              </w:rPr>
              <w:t>食堂管理</w:t>
            </w:r>
          </w:p>
          <w:p w14:paraId="69E6D68B">
            <w:pPr>
              <w:widowControl/>
              <w:numPr>
                <w:ilvl w:val="0"/>
                <w:numId w:val="24"/>
              </w:numPr>
              <w:ind w:firstLine="0"/>
              <w:jc w:val="left"/>
              <w:rPr>
                <w:rFonts w:ascii="宋体" w:hAnsi="宋体" w:cs="宋体"/>
                <w:color w:val="auto"/>
                <w:sz w:val="24"/>
                <w:szCs w:val="24"/>
              </w:rPr>
            </w:pPr>
            <w:r>
              <w:rPr>
                <w:rFonts w:hint="eastAsia" w:ascii="宋体" w:hAnsi="宋体" w:cs="宋体"/>
                <w:color w:val="auto"/>
                <w:sz w:val="24"/>
                <w:szCs w:val="24"/>
              </w:rPr>
              <w:t>支持维护学校校区组织信息</w:t>
            </w:r>
          </w:p>
          <w:p w14:paraId="09E9B47F">
            <w:pPr>
              <w:widowControl/>
              <w:numPr>
                <w:ilvl w:val="0"/>
                <w:numId w:val="24"/>
              </w:numPr>
              <w:ind w:firstLine="0"/>
              <w:jc w:val="left"/>
              <w:rPr>
                <w:color w:val="auto"/>
              </w:rPr>
            </w:pPr>
            <w:r>
              <w:rPr>
                <w:rFonts w:hint="eastAsia" w:ascii="宋体" w:hAnsi="宋体" w:cs="宋体"/>
                <w:color w:val="auto"/>
                <w:sz w:val="24"/>
                <w:szCs w:val="24"/>
              </w:rPr>
              <w:t>支持维护学校校区下属食堂信息、运营企业信息、负责人信息、营业执照信息</w:t>
            </w:r>
          </w:p>
          <w:p w14:paraId="2960F1BA">
            <w:pPr>
              <w:pStyle w:val="91"/>
              <w:numPr>
                <w:ilvl w:val="0"/>
                <w:numId w:val="23"/>
              </w:numPr>
              <w:ind w:left="0" w:firstLine="0" w:firstLineChars="0"/>
              <w:rPr>
                <w:color w:val="auto"/>
              </w:rPr>
            </w:pPr>
            <w:r>
              <w:rPr>
                <w:rFonts w:hint="eastAsia" w:ascii="宋体" w:hAnsi="宋体" w:cs="宋体"/>
                <w:color w:val="auto"/>
                <w:kern w:val="0"/>
                <w:sz w:val="24"/>
                <w:szCs w:val="24"/>
                <w:lang w:bidi="ar"/>
              </w:rPr>
              <w:t>食堂设备管理</w:t>
            </w:r>
          </w:p>
          <w:p w14:paraId="63F9475B">
            <w:pPr>
              <w:widowControl/>
              <w:numPr>
                <w:ilvl w:val="0"/>
                <w:numId w:val="25"/>
              </w:numPr>
              <w:ind w:firstLine="0"/>
              <w:jc w:val="left"/>
              <w:rPr>
                <w:rFonts w:ascii="宋体" w:hAnsi="宋体" w:cs="宋体"/>
                <w:color w:val="auto"/>
                <w:sz w:val="24"/>
                <w:szCs w:val="24"/>
              </w:rPr>
            </w:pPr>
            <w:r>
              <w:rPr>
                <w:rFonts w:hint="eastAsia" w:ascii="宋体" w:hAnsi="宋体" w:cs="宋体"/>
                <w:color w:val="auto"/>
                <w:sz w:val="24"/>
                <w:szCs w:val="24"/>
              </w:rPr>
              <w:t>支持进行下属食堂设备维护、查看、配置</w:t>
            </w:r>
          </w:p>
          <w:p w14:paraId="01BEBB36">
            <w:pPr>
              <w:widowControl/>
              <w:numPr>
                <w:ilvl w:val="0"/>
                <w:numId w:val="25"/>
              </w:numPr>
              <w:ind w:firstLine="0"/>
              <w:jc w:val="left"/>
              <w:rPr>
                <w:color w:val="auto"/>
              </w:rPr>
            </w:pPr>
            <w:r>
              <w:rPr>
                <w:rFonts w:hint="eastAsia" w:ascii="宋体" w:hAnsi="宋体" w:cs="宋体"/>
                <w:color w:val="auto"/>
                <w:sz w:val="24"/>
                <w:szCs w:val="24"/>
              </w:rPr>
              <w:t>设备类型：监控设备、门禁设备、物联传感、显示设备</w:t>
            </w:r>
          </w:p>
          <w:p w14:paraId="35B5CC0F">
            <w:pPr>
              <w:pStyle w:val="91"/>
              <w:numPr>
                <w:ilvl w:val="0"/>
                <w:numId w:val="23"/>
              </w:numPr>
              <w:spacing w:line="360" w:lineRule="auto"/>
              <w:ind w:left="0" w:firstLine="0" w:firstLineChars="0"/>
              <w:rPr>
                <w:rFonts w:ascii="宋体" w:hAnsi="宋体" w:cs="宋体"/>
                <w:color w:val="auto"/>
                <w:sz w:val="24"/>
                <w:szCs w:val="24"/>
              </w:rPr>
            </w:pPr>
            <w:r>
              <w:rPr>
                <w:rFonts w:hint="eastAsia" w:ascii="宋体" w:hAnsi="宋体" w:cs="宋体"/>
                <w:color w:val="auto"/>
                <w:kern w:val="0"/>
                <w:sz w:val="24"/>
                <w:szCs w:val="24"/>
                <w:lang w:bidi="ar"/>
              </w:rPr>
              <w:t>场景类型管理</w:t>
            </w:r>
          </w:p>
          <w:p w14:paraId="460F99B9">
            <w:pPr>
              <w:widowControl/>
              <w:numPr>
                <w:ilvl w:val="0"/>
                <w:numId w:val="26"/>
              </w:numPr>
              <w:ind w:firstLine="0"/>
              <w:jc w:val="left"/>
              <w:rPr>
                <w:rFonts w:ascii="宋体" w:hAnsi="宋体" w:cs="宋体"/>
                <w:color w:val="auto"/>
                <w:sz w:val="24"/>
                <w:szCs w:val="24"/>
              </w:rPr>
            </w:pPr>
            <w:r>
              <w:rPr>
                <w:rFonts w:hint="eastAsia" w:ascii="宋体" w:hAnsi="宋体" w:cs="宋体"/>
                <w:color w:val="auto"/>
                <w:sz w:val="24"/>
                <w:szCs w:val="24"/>
              </w:rPr>
              <w:t>部署时默认下发初始六大场景及规则；默认场景无法删除</w:t>
            </w:r>
          </w:p>
          <w:p w14:paraId="6818C40A">
            <w:pPr>
              <w:widowControl/>
              <w:numPr>
                <w:ilvl w:val="0"/>
                <w:numId w:val="26"/>
              </w:numPr>
              <w:ind w:firstLine="0"/>
              <w:jc w:val="left"/>
              <w:rPr>
                <w:color w:val="auto"/>
              </w:rPr>
            </w:pPr>
            <w:r>
              <w:rPr>
                <w:rFonts w:hint="eastAsia" w:ascii="宋体" w:hAnsi="宋体" w:cs="宋体"/>
                <w:color w:val="auto"/>
                <w:sz w:val="24"/>
                <w:szCs w:val="24"/>
              </w:rPr>
              <w:t>支持维护场景类型（增、删、改），场景类型设备配置、默认规则设置</w:t>
            </w:r>
          </w:p>
          <w:p w14:paraId="0EFC1417">
            <w:pPr>
              <w:pStyle w:val="91"/>
              <w:numPr>
                <w:ilvl w:val="0"/>
                <w:numId w:val="23"/>
              </w:numPr>
              <w:ind w:left="0" w:firstLine="0" w:firstLineChars="0"/>
              <w:rPr>
                <w:rFonts w:ascii="宋体" w:hAnsi="宋体" w:cs="宋体"/>
                <w:color w:val="auto"/>
                <w:sz w:val="24"/>
                <w:szCs w:val="24"/>
              </w:rPr>
            </w:pPr>
            <w:r>
              <w:rPr>
                <w:rFonts w:hint="eastAsia" w:ascii="宋体" w:hAnsi="宋体" w:cs="宋体"/>
                <w:color w:val="auto"/>
                <w:kern w:val="0"/>
                <w:sz w:val="24"/>
                <w:szCs w:val="24"/>
                <w:lang w:bidi="ar"/>
              </w:rPr>
              <w:t>物联场景管理</w:t>
            </w:r>
          </w:p>
          <w:p w14:paraId="13FCE026">
            <w:pPr>
              <w:widowControl/>
              <w:jc w:val="left"/>
              <w:rPr>
                <w:rFonts w:ascii="宋体" w:hAnsi="宋体" w:cs="宋体"/>
                <w:color w:val="auto"/>
                <w:sz w:val="24"/>
                <w:szCs w:val="24"/>
              </w:rPr>
            </w:pPr>
            <w:r>
              <w:rPr>
                <w:rFonts w:hint="eastAsia" w:ascii="宋体" w:hAnsi="宋体" w:cs="宋体"/>
                <w:color w:val="auto"/>
                <w:sz w:val="24"/>
                <w:szCs w:val="24"/>
              </w:rPr>
              <w:t>支持维护下属食堂中物联场景空间，同时点击配置可配置绑定设备，对场景空间状态可进行开启或关闭</w:t>
            </w:r>
          </w:p>
        </w:tc>
        <w:tc>
          <w:tcPr>
            <w:tcW w:w="557" w:type="pct"/>
            <w:vAlign w:val="center"/>
          </w:tcPr>
          <w:p w14:paraId="28A66F08">
            <w:pPr>
              <w:spacing w:line="460" w:lineRule="exact"/>
              <w:jc w:val="center"/>
              <w:rPr>
                <w:rFonts w:ascii="宋体" w:hAnsi="宋体" w:cs="宋体"/>
                <w:color w:val="auto"/>
                <w:sz w:val="24"/>
                <w:szCs w:val="24"/>
              </w:rPr>
            </w:pPr>
            <w:r>
              <w:rPr>
                <w:rFonts w:hint="eastAsia" w:ascii="宋体" w:hAnsi="宋体" w:cs="宋体"/>
                <w:color w:val="auto"/>
                <w:sz w:val="24"/>
                <w:szCs w:val="24"/>
              </w:rPr>
              <w:t>项</w:t>
            </w:r>
          </w:p>
        </w:tc>
        <w:tc>
          <w:tcPr>
            <w:tcW w:w="735" w:type="pct"/>
            <w:vAlign w:val="center"/>
          </w:tcPr>
          <w:p w14:paraId="1DB80280">
            <w:pPr>
              <w:spacing w:line="460" w:lineRule="exact"/>
              <w:jc w:val="center"/>
              <w:rPr>
                <w:rFonts w:ascii="宋体" w:hAnsi="宋体" w:cs="宋体"/>
                <w:color w:val="auto"/>
                <w:sz w:val="24"/>
                <w:szCs w:val="24"/>
              </w:rPr>
            </w:pPr>
            <w:r>
              <w:rPr>
                <w:rFonts w:ascii="宋体" w:hAnsi="宋体" w:cs="宋体"/>
                <w:color w:val="auto"/>
                <w:sz w:val="24"/>
                <w:szCs w:val="24"/>
              </w:rPr>
              <w:t>1</w:t>
            </w:r>
          </w:p>
        </w:tc>
      </w:tr>
      <w:tr w14:paraId="7B9D4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38" w:type="pct"/>
            <w:vAlign w:val="center"/>
          </w:tcPr>
          <w:p w14:paraId="471BD21F">
            <w:pPr>
              <w:jc w:val="center"/>
              <w:rPr>
                <w:rFonts w:ascii="宋体" w:hAnsi="宋体" w:cs="宋体"/>
                <w:color w:val="auto"/>
                <w:sz w:val="24"/>
                <w:szCs w:val="24"/>
              </w:rPr>
            </w:pPr>
            <w:r>
              <w:rPr>
                <w:rFonts w:hint="eastAsia" w:ascii="宋体" w:hAnsi="宋体" w:cs="宋体"/>
                <w:color w:val="auto"/>
                <w:sz w:val="24"/>
                <w:szCs w:val="24"/>
              </w:rPr>
              <w:t>食安考评管理</w:t>
            </w:r>
          </w:p>
          <w:p w14:paraId="69526F9B">
            <w:pPr>
              <w:jc w:val="center"/>
              <w:rPr>
                <w:rFonts w:ascii="宋体" w:hAnsi="宋体" w:cs="宋体"/>
                <w:color w:val="auto"/>
                <w:kern w:val="0"/>
                <w:sz w:val="24"/>
                <w:szCs w:val="24"/>
                <w:lang w:bidi="ar"/>
              </w:rPr>
            </w:pPr>
          </w:p>
        </w:tc>
        <w:tc>
          <w:tcPr>
            <w:tcW w:w="3067" w:type="pct"/>
          </w:tcPr>
          <w:p w14:paraId="0DA76B4A">
            <w:pPr>
              <w:widowControl/>
              <w:numPr>
                <w:ilvl w:val="0"/>
                <w:numId w:val="27"/>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日管控</w:t>
            </w:r>
          </w:p>
          <w:p w14:paraId="5AFE09BE">
            <w:pPr>
              <w:widowControl/>
              <w:jc w:val="left"/>
              <w:rPr>
                <w:rFonts w:ascii="宋体" w:hAnsi="宋体" w:cs="宋体"/>
                <w:color w:val="auto"/>
                <w:sz w:val="24"/>
                <w:szCs w:val="24"/>
              </w:rPr>
            </w:pPr>
            <w:r>
              <w:rPr>
                <w:rFonts w:hint="eastAsia" w:ascii="宋体" w:hAnsi="宋体" w:cs="宋体"/>
                <w:color w:val="auto"/>
                <w:sz w:val="24"/>
                <w:szCs w:val="24"/>
              </w:rPr>
              <w:t>可查看食堂人员上传的日管控记录，并可以点击查看检查人员和负责人签名，支持导出</w:t>
            </w:r>
          </w:p>
          <w:p w14:paraId="5DADD838">
            <w:pPr>
              <w:widowControl/>
              <w:numPr>
                <w:ilvl w:val="0"/>
                <w:numId w:val="27"/>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周排查</w:t>
            </w:r>
          </w:p>
          <w:p w14:paraId="451320DB">
            <w:pPr>
              <w:widowControl/>
              <w:jc w:val="left"/>
              <w:rPr>
                <w:rFonts w:ascii="宋体" w:hAnsi="宋体" w:cs="宋体"/>
                <w:color w:val="auto"/>
                <w:sz w:val="24"/>
                <w:szCs w:val="24"/>
              </w:rPr>
            </w:pPr>
            <w:r>
              <w:rPr>
                <w:rFonts w:hint="eastAsia" w:ascii="宋体" w:hAnsi="宋体" w:cs="宋体"/>
                <w:color w:val="auto"/>
                <w:sz w:val="24"/>
                <w:szCs w:val="24"/>
              </w:rPr>
              <w:t>可根据选择的报告周期，获取该周期食堂的整改问题信息，可支持排查报告、整改、本周巡检、日管控的导出</w:t>
            </w:r>
          </w:p>
          <w:p w14:paraId="5C09228F">
            <w:pPr>
              <w:widowControl/>
              <w:numPr>
                <w:ilvl w:val="0"/>
                <w:numId w:val="27"/>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月报告</w:t>
            </w:r>
          </w:p>
          <w:p w14:paraId="64B4A4FC">
            <w:pPr>
              <w:widowControl/>
              <w:jc w:val="left"/>
              <w:rPr>
                <w:rFonts w:ascii="宋体" w:hAnsi="宋体" w:cs="宋体"/>
                <w:color w:val="auto"/>
                <w:sz w:val="24"/>
                <w:szCs w:val="24"/>
              </w:rPr>
            </w:pPr>
            <w:r>
              <w:rPr>
                <w:rFonts w:hint="eastAsia" w:ascii="宋体" w:hAnsi="宋体" w:cs="宋体"/>
                <w:color w:val="auto"/>
                <w:sz w:val="24"/>
                <w:szCs w:val="24"/>
              </w:rPr>
              <w:t>可进行选择的周期进行生成一个月报告，支持上传图片，并导出</w:t>
            </w:r>
          </w:p>
          <w:p w14:paraId="3A46572F">
            <w:pPr>
              <w:widowControl/>
              <w:numPr>
                <w:ilvl w:val="0"/>
                <w:numId w:val="27"/>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报告发布</w:t>
            </w:r>
          </w:p>
          <w:p w14:paraId="606F35B9">
            <w:pPr>
              <w:widowControl/>
              <w:jc w:val="left"/>
              <w:rPr>
                <w:rFonts w:ascii="宋体" w:hAnsi="宋体" w:cs="宋体"/>
                <w:color w:val="auto"/>
                <w:sz w:val="24"/>
                <w:szCs w:val="24"/>
              </w:rPr>
            </w:pPr>
            <w:r>
              <w:rPr>
                <w:rFonts w:hint="eastAsia" w:ascii="宋体" w:hAnsi="宋体" w:cs="宋体"/>
                <w:color w:val="auto"/>
                <w:sz w:val="24"/>
                <w:szCs w:val="24"/>
              </w:rPr>
              <w:t>支持将月调度文件上传并在监管平台大屏进行公示，上传的文件支持预览导出</w:t>
            </w:r>
          </w:p>
        </w:tc>
        <w:tc>
          <w:tcPr>
            <w:tcW w:w="557" w:type="pct"/>
            <w:vAlign w:val="center"/>
          </w:tcPr>
          <w:p w14:paraId="496F607F">
            <w:pPr>
              <w:spacing w:line="460" w:lineRule="exact"/>
              <w:jc w:val="center"/>
              <w:rPr>
                <w:rFonts w:ascii="宋体" w:hAnsi="宋体" w:cs="宋体"/>
                <w:color w:val="auto"/>
                <w:sz w:val="24"/>
                <w:szCs w:val="24"/>
              </w:rPr>
            </w:pPr>
            <w:r>
              <w:rPr>
                <w:rFonts w:hint="eastAsia" w:ascii="宋体" w:hAnsi="宋体" w:cs="宋体"/>
                <w:color w:val="auto"/>
                <w:sz w:val="24"/>
                <w:szCs w:val="24"/>
              </w:rPr>
              <w:t>项</w:t>
            </w:r>
          </w:p>
        </w:tc>
        <w:tc>
          <w:tcPr>
            <w:tcW w:w="735" w:type="pct"/>
            <w:vAlign w:val="center"/>
          </w:tcPr>
          <w:p w14:paraId="131E9D37">
            <w:pPr>
              <w:spacing w:line="460" w:lineRule="exact"/>
              <w:jc w:val="center"/>
              <w:rPr>
                <w:rFonts w:ascii="宋体" w:hAnsi="宋体" w:cs="宋体"/>
                <w:color w:val="auto"/>
                <w:sz w:val="24"/>
                <w:szCs w:val="24"/>
              </w:rPr>
            </w:pPr>
            <w:r>
              <w:rPr>
                <w:rFonts w:ascii="宋体" w:hAnsi="宋体" w:cs="宋体"/>
                <w:color w:val="auto"/>
                <w:sz w:val="24"/>
                <w:szCs w:val="24"/>
              </w:rPr>
              <w:t>1</w:t>
            </w:r>
          </w:p>
        </w:tc>
      </w:tr>
      <w:tr w14:paraId="3B208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38" w:type="pct"/>
            <w:vAlign w:val="center"/>
          </w:tcPr>
          <w:p w14:paraId="288956C6">
            <w:pPr>
              <w:jc w:val="center"/>
              <w:rPr>
                <w:rFonts w:ascii="宋体" w:hAnsi="宋体" w:cs="宋体"/>
                <w:color w:val="auto"/>
                <w:sz w:val="24"/>
                <w:szCs w:val="24"/>
              </w:rPr>
            </w:pPr>
            <w:r>
              <w:rPr>
                <w:rFonts w:hint="eastAsia" w:ascii="宋体" w:hAnsi="宋体" w:cs="宋体"/>
                <w:color w:val="auto"/>
                <w:sz w:val="24"/>
                <w:szCs w:val="24"/>
              </w:rPr>
              <w:t>数智食安监管</w:t>
            </w:r>
          </w:p>
          <w:p w14:paraId="2C4CCD05">
            <w:pPr>
              <w:jc w:val="center"/>
              <w:rPr>
                <w:rFonts w:ascii="宋体" w:hAnsi="宋体" w:cs="宋体"/>
                <w:color w:val="auto"/>
                <w:kern w:val="0"/>
                <w:sz w:val="24"/>
                <w:szCs w:val="24"/>
                <w:lang w:bidi="ar"/>
              </w:rPr>
            </w:pPr>
          </w:p>
        </w:tc>
        <w:tc>
          <w:tcPr>
            <w:tcW w:w="3067" w:type="pct"/>
          </w:tcPr>
          <w:p w14:paraId="3993476E">
            <w:pPr>
              <w:widowControl/>
              <w:numPr>
                <w:ilvl w:val="0"/>
                <w:numId w:val="28"/>
              </w:numPr>
              <w:ind w:left="0" w:firstLine="0"/>
              <w:jc w:val="left"/>
              <w:rPr>
                <w:rFonts w:ascii="宋体" w:hAnsi="宋体" w:cs="宋体"/>
                <w:color w:val="auto"/>
                <w:sz w:val="24"/>
                <w:szCs w:val="24"/>
              </w:rPr>
            </w:pPr>
            <w:r>
              <w:rPr>
                <w:rFonts w:hint="eastAsia" w:ascii="宋体" w:hAnsi="宋体" w:cs="宋体"/>
                <w:color w:val="auto"/>
                <w:sz w:val="24"/>
                <w:szCs w:val="24"/>
              </w:rPr>
              <w:t>食安信息监管</w:t>
            </w:r>
          </w:p>
          <w:p w14:paraId="110297DC">
            <w:pPr>
              <w:widowControl/>
              <w:numPr>
                <w:ilvl w:val="0"/>
                <w:numId w:val="29"/>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菜品库管理</w:t>
            </w:r>
          </w:p>
          <w:p w14:paraId="66EB2AD1">
            <w:pPr>
              <w:widowControl/>
              <w:jc w:val="left"/>
              <w:rPr>
                <w:rFonts w:ascii="宋体" w:hAnsi="宋体" w:cs="宋体"/>
                <w:color w:val="auto"/>
                <w:sz w:val="24"/>
                <w:szCs w:val="24"/>
              </w:rPr>
            </w:pPr>
            <w:r>
              <w:rPr>
                <w:rFonts w:hint="eastAsia" w:ascii="宋体" w:hAnsi="宋体" w:cs="宋体"/>
                <w:color w:val="auto"/>
                <w:sz w:val="24"/>
                <w:szCs w:val="24"/>
              </w:rPr>
              <w:t>菜品库管理：查看该系统下所有食堂的菜品库信息，支持查看详情并导出</w:t>
            </w:r>
          </w:p>
          <w:p w14:paraId="047F93A3">
            <w:pPr>
              <w:widowControl/>
              <w:numPr>
                <w:ilvl w:val="0"/>
                <w:numId w:val="29"/>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食安台账管理</w:t>
            </w:r>
          </w:p>
          <w:p w14:paraId="34067300">
            <w:pPr>
              <w:widowControl/>
              <w:jc w:val="left"/>
              <w:rPr>
                <w:rFonts w:ascii="宋体" w:hAnsi="宋体" w:cs="宋体"/>
                <w:color w:val="auto"/>
                <w:sz w:val="24"/>
                <w:szCs w:val="24"/>
              </w:rPr>
            </w:pPr>
            <w:r>
              <w:rPr>
                <w:rFonts w:hint="eastAsia" w:ascii="宋体" w:hAnsi="宋体" w:cs="宋体"/>
                <w:color w:val="auto"/>
                <w:sz w:val="24"/>
                <w:szCs w:val="24"/>
              </w:rPr>
              <w:t>支持查看下属食堂上报食安台账：出入库、食材加工、环境记录、人员健康</w:t>
            </w:r>
          </w:p>
          <w:p w14:paraId="7E546359">
            <w:pPr>
              <w:widowControl/>
              <w:numPr>
                <w:ilvl w:val="0"/>
                <w:numId w:val="29"/>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食堂消毒记录</w:t>
            </w:r>
          </w:p>
          <w:p w14:paraId="782C032E">
            <w:pPr>
              <w:widowControl/>
              <w:jc w:val="left"/>
              <w:rPr>
                <w:rFonts w:ascii="宋体" w:hAnsi="宋体" w:cs="宋体"/>
                <w:color w:val="auto"/>
                <w:sz w:val="24"/>
                <w:szCs w:val="24"/>
              </w:rPr>
            </w:pPr>
            <w:r>
              <w:rPr>
                <w:rFonts w:hint="eastAsia" w:ascii="宋体" w:hAnsi="宋体" w:cs="宋体"/>
                <w:color w:val="auto"/>
                <w:sz w:val="24"/>
                <w:szCs w:val="24"/>
              </w:rPr>
              <w:t>支持查看下属食堂消毒记录：备餐间紫外线灯消毒记录、餐饮具消毒记录</w:t>
            </w:r>
          </w:p>
          <w:p w14:paraId="008C19EC">
            <w:pPr>
              <w:widowControl/>
              <w:numPr>
                <w:ilvl w:val="0"/>
                <w:numId w:val="29"/>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农残检测记录</w:t>
            </w:r>
          </w:p>
          <w:p w14:paraId="58F7C8CB">
            <w:pPr>
              <w:widowControl/>
              <w:jc w:val="left"/>
              <w:rPr>
                <w:rFonts w:ascii="宋体" w:hAnsi="宋体" w:cs="宋体"/>
                <w:color w:val="auto"/>
                <w:sz w:val="24"/>
                <w:szCs w:val="24"/>
              </w:rPr>
            </w:pPr>
            <w:r>
              <w:rPr>
                <w:rFonts w:hint="eastAsia" w:ascii="宋体" w:hAnsi="宋体" w:cs="宋体"/>
                <w:color w:val="auto"/>
                <w:sz w:val="24"/>
                <w:szCs w:val="24"/>
              </w:rPr>
              <w:t>支持查看下属食堂农残检测记录</w:t>
            </w:r>
          </w:p>
          <w:p w14:paraId="5DBA09C0">
            <w:pPr>
              <w:widowControl/>
              <w:numPr>
                <w:ilvl w:val="0"/>
                <w:numId w:val="29"/>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晨检记录</w:t>
            </w:r>
          </w:p>
          <w:p w14:paraId="36353E53">
            <w:pPr>
              <w:widowControl/>
              <w:jc w:val="left"/>
              <w:rPr>
                <w:rFonts w:ascii="宋体" w:hAnsi="宋体" w:cs="宋体"/>
                <w:color w:val="auto"/>
                <w:sz w:val="24"/>
                <w:szCs w:val="24"/>
              </w:rPr>
            </w:pPr>
            <w:r>
              <w:rPr>
                <w:rFonts w:hint="eastAsia" w:ascii="宋体" w:hAnsi="宋体" w:cs="宋体"/>
                <w:color w:val="auto"/>
                <w:sz w:val="24"/>
                <w:szCs w:val="24"/>
              </w:rPr>
              <w:t>晨检记录：展示该客户下所有关联食堂的晨检记录、设备统计、晨检进度、晨检统计，并可进行晨检记录的导出，同时点击查看详情可以查看详细食堂的晨检记录</w:t>
            </w:r>
          </w:p>
          <w:p w14:paraId="7AA6BD3D">
            <w:pPr>
              <w:widowControl/>
              <w:numPr>
                <w:ilvl w:val="0"/>
                <w:numId w:val="29"/>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留样记录</w:t>
            </w:r>
          </w:p>
          <w:p w14:paraId="474BB247">
            <w:pPr>
              <w:widowControl/>
              <w:jc w:val="left"/>
              <w:rPr>
                <w:rFonts w:ascii="宋体" w:hAnsi="宋体" w:cs="宋体"/>
                <w:color w:val="auto"/>
                <w:sz w:val="24"/>
                <w:szCs w:val="24"/>
              </w:rPr>
            </w:pPr>
            <w:r>
              <w:rPr>
                <w:rFonts w:hint="eastAsia" w:ascii="宋体" w:hAnsi="宋体" w:cs="宋体"/>
                <w:color w:val="auto"/>
                <w:sz w:val="24"/>
                <w:szCs w:val="24"/>
              </w:rPr>
              <w:t>支持查看下属食堂每日留样记录、留样进度</w:t>
            </w:r>
          </w:p>
          <w:p w14:paraId="433FF632">
            <w:pPr>
              <w:widowControl/>
              <w:numPr>
                <w:ilvl w:val="0"/>
                <w:numId w:val="28"/>
              </w:numPr>
              <w:ind w:left="0" w:firstLine="0"/>
              <w:jc w:val="left"/>
              <w:rPr>
                <w:rFonts w:ascii="宋体" w:hAnsi="宋体" w:cs="宋体"/>
                <w:color w:val="auto"/>
                <w:sz w:val="24"/>
                <w:szCs w:val="24"/>
              </w:rPr>
            </w:pPr>
            <w:r>
              <w:rPr>
                <w:rFonts w:hint="eastAsia" w:ascii="宋体" w:hAnsi="宋体" w:cs="宋体"/>
                <w:color w:val="auto"/>
                <w:sz w:val="24"/>
                <w:szCs w:val="24"/>
              </w:rPr>
              <w:t>数智监管</w:t>
            </w:r>
          </w:p>
          <w:p w14:paraId="081C926B">
            <w:pPr>
              <w:widowControl/>
              <w:numPr>
                <w:ilvl w:val="0"/>
                <w:numId w:val="30"/>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设备记录</w:t>
            </w:r>
          </w:p>
          <w:p w14:paraId="08EEB609">
            <w:pPr>
              <w:widowControl/>
              <w:jc w:val="left"/>
              <w:rPr>
                <w:rFonts w:ascii="宋体" w:hAnsi="宋体" w:cs="宋体"/>
                <w:color w:val="auto"/>
                <w:sz w:val="24"/>
                <w:szCs w:val="24"/>
              </w:rPr>
            </w:pPr>
            <w:r>
              <w:rPr>
                <w:rFonts w:hint="eastAsia" w:ascii="宋体" w:hAnsi="宋体" w:cs="宋体"/>
                <w:color w:val="auto"/>
                <w:sz w:val="24"/>
                <w:szCs w:val="24"/>
              </w:rPr>
              <w:t>支持查看下属食堂所有设备报警、预警记录（含数智物联场景风险）</w:t>
            </w:r>
          </w:p>
          <w:p w14:paraId="46107040">
            <w:pPr>
              <w:widowControl/>
              <w:numPr>
                <w:ilvl w:val="0"/>
                <w:numId w:val="30"/>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环境监管</w:t>
            </w:r>
          </w:p>
          <w:p w14:paraId="339CE86F">
            <w:pPr>
              <w:widowControl/>
              <w:jc w:val="left"/>
              <w:rPr>
                <w:rFonts w:ascii="宋体" w:hAnsi="宋体" w:cs="宋体"/>
                <w:color w:val="auto"/>
                <w:sz w:val="24"/>
                <w:szCs w:val="24"/>
              </w:rPr>
            </w:pPr>
            <w:r>
              <w:rPr>
                <w:rFonts w:hint="eastAsia" w:ascii="宋体" w:hAnsi="宋体" w:cs="宋体"/>
                <w:color w:val="auto"/>
                <w:sz w:val="24"/>
                <w:szCs w:val="24"/>
              </w:rPr>
              <w:t>支持查看下属食堂食材仓库温湿度情况－主食仓库、副食仓库</w:t>
            </w:r>
          </w:p>
          <w:p w14:paraId="14908522">
            <w:pPr>
              <w:widowControl/>
              <w:numPr>
                <w:ilvl w:val="0"/>
                <w:numId w:val="30"/>
              </w:numPr>
              <w:ind w:left="0" w:firstLine="0"/>
              <w:jc w:val="left"/>
              <w:rPr>
                <w:rFonts w:ascii="宋体" w:hAnsi="宋体" w:cs="宋体"/>
                <w:color w:val="auto"/>
                <w:kern w:val="0"/>
                <w:sz w:val="24"/>
                <w:szCs w:val="24"/>
                <w:lang w:bidi="ar"/>
              </w:rPr>
            </w:pPr>
            <w:r>
              <w:rPr>
                <w:rFonts w:ascii="宋体" w:hAnsi="宋体" w:cs="宋体"/>
                <w:color w:val="auto"/>
                <w:kern w:val="0"/>
                <w:sz w:val="24"/>
                <w:szCs w:val="24"/>
                <w:lang w:bidi="ar"/>
              </w:rPr>
              <w:t>AI智能点检</w:t>
            </w:r>
          </w:p>
          <w:p w14:paraId="1E35332F">
            <w:pPr>
              <w:widowControl/>
              <w:jc w:val="left"/>
              <w:rPr>
                <w:rFonts w:ascii="宋体" w:hAnsi="宋体" w:cs="宋体"/>
                <w:color w:val="auto"/>
                <w:sz w:val="24"/>
                <w:szCs w:val="24"/>
              </w:rPr>
            </w:pPr>
            <w:r>
              <w:rPr>
                <w:rFonts w:hint="eastAsia" w:ascii="宋体" w:hAnsi="宋体" w:cs="宋体"/>
                <w:color w:val="auto"/>
                <w:sz w:val="24"/>
                <w:szCs w:val="24"/>
              </w:rPr>
              <w:t>支持查看</w:t>
            </w:r>
            <w:r>
              <w:rPr>
                <w:rFonts w:ascii="宋体" w:hAnsi="宋体" w:cs="宋体"/>
                <w:color w:val="auto"/>
                <w:sz w:val="24"/>
                <w:szCs w:val="24"/>
              </w:rPr>
              <w:t>AI事件抓拍图片信息</w:t>
            </w:r>
          </w:p>
          <w:p w14:paraId="3B9F06C6">
            <w:pPr>
              <w:widowControl/>
              <w:numPr>
                <w:ilvl w:val="0"/>
                <w:numId w:val="30"/>
              </w:numPr>
              <w:ind w:left="0" w:firstLine="0"/>
              <w:jc w:val="left"/>
              <w:rPr>
                <w:rFonts w:ascii="宋体" w:hAnsi="宋体" w:cs="宋体"/>
                <w:color w:val="auto"/>
                <w:kern w:val="0"/>
                <w:sz w:val="24"/>
                <w:szCs w:val="24"/>
                <w:lang w:bidi="ar"/>
              </w:rPr>
            </w:pPr>
            <w:r>
              <w:rPr>
                <w:rFonts w:ascii="宋体" w:hAnsi="宋体" w:cs="宋体"/>
                <w:color w:val="auto"/>
                <w:kern w:val="0"/>
                <w:sz w:val="24"/>
                <w:szCs w:val="24"/>
                <w:lang w:bidi="ar"/>
              </w:rPr>
              <w:t>AI生物检测</w:t>
            </w:r>
          </w:p>
          <w:p w14:paraId="3C025D46">
            <w:pPr>
              <w:widowControl/>
              <w:jc w:val="left"/>
              <w:rPr>
                <w:rFonts w:ascii="宋体" w:hAnsi="宋体" w:cs="宋体"/>
                <w:color w:val="auto"/>
                <w:sz w:val="24"/>
                <w:szCs w:val="24"/>
              </w:rPr>
            </w:pPr>
            <w:r>
              <w:rPr>
                <w:rFonts w:hint="eastAsia" w:ascii="宋体" w:hAnsi="宋体" w:cs="宋体"/>
                <w:color w:val="auto"/>
                <w:sz w:val="24"/>
                <w:szCs w:val="24"/>
              </w:rPr>
              <w:t>支持查看下属食堂有害生物风险事件，以及处理记录</w:t>
            </w:r>
          </w:p>
          <w:p w14:paraId="112B5DAE">
            <w:pPr>
              <w:widowControl/>
              <w:numPr>
                <w:ilvl w:val="0"/>
                <w:numId w:val="28"/>
              </w:numPr>
              <w:ind w:left="0" w:firstLine="0"/>
              <w:jc w:val="left"/>
              <w:rPr>
                <w:rFonts w:ascii="宋体" w:hAnsi="宋体" w:cs="宋体"/>
                <w:color w:val="auto"/>
                <w:sz w:val="24"/>
                <w:szCs w:val="24"/>
              </w:rPr>
            </w:pPr>
            <w:r>
              <w:rPr>
                <w:rFonts w:hint="eastAsia" w:ascii="宋体" w:hAnsi="宋体" w:cs="宋体"/>
                <w:color w:val="auto"/>
                <w:sz w:val="24"/>
                <w:szCs w:val="24"/>
              </w:rPr>
              <w:t>可查询，导出食品添加剂、菜品留样、原料进货查验及索证、食材入库、食材检测、智能检测、浸泡记录、晨检记录、熟食加工、清洗消毒、环境消杀、紫外线消毒、垃圾处理、餐线温度控制和供应商送货检查记录信息。</w:t>
            </w:r>
          </w:p>
          <w:p w14:paraId="42627008">
            <w:pPr>
              <w:widowControl/>
              <w:numPr>
                <w:ilvl w:val="0"/>
                <w:numId w:val="28"/>
              </w:numPr>
              <w:ind w:left="0" w:firstLine="0"/>
              <w:jc w:val="left"/>
              <w:rPr>
                <w:rFonts w:ascii="宋体" w:hAnsi="宋体" w:cs="宋体"/>
                <w:color w:val="auto"/>
                <w:sz w:val="24"/>
                <w:szCs w:val="24"/>
              </w:rPr>
            </w:pPr>
            <w:r>
              <w:rPr>
                <w:rFonts w:hint="eastAsia" w:ascii="宋体" w:hAnsi="宋体" w:cs="宋体"/>
                <w:color w:val="auto"/>
                <w:sz w:val="24"/>
                <w:szCs w:val="24"/>
              </w:rPr>
              <w:t>可采集物联数据；可根据设定的阈值触发报警。</w:t>
            </w:r>
          </w:p>
          <w:p w14:paraId="30C41EFD">
            <w:pPr>
              <w:widowControl/>
              <w:numPr>
                <w:ilvl w:val="0"/>
                <w:numId w:val="28"/>
              </w:numPr>
              <w:ind w:left="0" w:firstLine="0"/>
              <w:jc w:val="left"/>
              <w:rPr>
                <w:rFonts w:ascii="宋体" w:hAnsi="宋体" w:cs="宋体"/>
                <w:color w:val="auto"/>
                <w:sz w:val="24"/>
                <w:szCs w:val="24"/>
              </w:rPr>
            </w:pPr>
            <w:r>
              <w:rPr>
                <w:rFonts w:hint="eastAsia" w:ascii="宋体" w:hAnsi="宋体" w:cs="宋体"/>
                <w:color w:val="auto"/>
                <w:sz w:val="24"/>
                <w:szCs w:val="24"/>
              </w:rPr>
              <w:t>可通过视频进行厨师工作服</w:t>
            </w:r>
            <w:r>
              <w:rPr>
                <w:rFonts w:ascii="宋体" w:hAnsi="宋体" w:cs="宋体"/>
                <w:color w:val="auto"/>
                <w:sz w:val="24"/>
                <w:szCs w:val="24"/>
              </w:rPr>
              <w:t>/工作帽识别、口罩检测、老鼠检测可发起行为报警；可设置报警处置流程；驾驶中心可通过语音对食堂现场进行喊话；可对风险进行前置提醒。</w:t>
            </w:r>
          </w:p>
          <w:p w14:paraId="61E13AF8">
            <w:pPr>
              <w:widowControl/>
              <w:numPr>
                <w:ilvl w:val="0"/>
                <w:numId w:val="28"/>
              </w:numPr>
              <w:ind w:left="0" w:firstLine="0"/>
              <w:jc w:val="left"/>
              <w:rPr>
                <w:rFonts w:ascii="宋体" w:hAnsi="宋体" w:cs="宋体"/>
                <w:color w:val="auto"/>
                <w:sz w:val="24"/>
                <w:szCs w:val="24"/>
              </w:rPr>
            </w:pPr>
            <w:r>
              <w:rPr>
                <w:rFonts w:hint="eastAsia" w:ascii="宋体" w:hAnsi="宋体" w:cs="宋体"/>
                <w:color w:val="auto"/>
                <w:sz w:val="24"/>
                <w:szCs w:val="24"/>
              </w:rPr>
              <w:t>可统计物联网设备上报的预警数据；可展示动火离人、挡鼠板、防潮网和备餐间的预警信息。</w:t>
            </w:r>
          </w:p>
          <w:p w14:paraId="1ECC10FA">
            <w:pPr>
              <w:widowControl/>
              <w:numPr>
                <w:ilvl w:val="0"/>
                <w:numId w:val="28"/>
              </w:numPr>
              <w:ind w:left="0" w:firstLine="0"/>
              <w:jc w:val="left"/>
              <w:rPr>
                <w:rFonts w:ascii="宋体" w:hAnsi="宋体" w:cs="宋体"/>
                <w:color w:val="auto"/>
                <w:sz w:val="24"/>
                <w:szCs w:val="24"/>
              </w:rPr>
            </w:pPr>
            <w:r>
              <w:rPr>
                <w:rFonts w:hint="eastAsia" w:ascii="宋体" w:hAnsi="宋体" w:cs="宋体"/>
                <w:color w:val="auto"/>
                <w:sz w:val="24"/>
                <w:szCs w:val="24"/>
              </w:rPr>
              <w:t>可查看备餐间消毒和餐饮具消毒信息；可查看消毒结果的达标情况和消毒时间数据信息。</w:t>
            </w:r>
          </w:p>
          <w:p w14:paraId="79E05306">
            <w:pPr>
              <w:widowControl/>
              <w:numPr>
                <w:ilvl w:val="0"/>
                <w:numId w:val="28"/>
              </w:numPr>
              <w:ind w:left="0" w:firstLine="0"/>
              <w:jc w:val="left"/>
              <w:rPr>
                <w:rFonts w:ascii="宋体" w:hAnsi="宋体" w:cs="宋体"/>
                <w:color w:val="auto"/>
                <w:sz w:val="24"/>
                <w:szCs w:val="24"/>
              </w:rPr>
            </w:pPr>
            <w:r>
              <w:rPr>
                <w:rFonts w:hint="eastAsia" w:ascii="宋体" w:hAnsi="宋体" w:cs="宋体"/>
                <w:color w:val="auto"/>
                <w:sz w:val="24"/>
                <w:szCs w:val="24"/>
              </w:rPr>
              <w:t>可查看农残检测的合格数据占比、检测总数和合格总数；可查看门店、样品名称、检测时间、合格情况信息。</w:t>
            </w:r>
          </w:p>
          <w:p w14:paraId="69E76125">
            <w:pPr>
              <w:widowControl/>
              <w:numPr>
                <w:ilvl w:val="0"/>
                <w:numId w:val="28"/>
              </w:numPr>
              <w:ind w:left="0" w:firstLine="0"/>
              <w:jc w:val="left"/>
              <w:rPr>
                <w:rFonts w:ascii="宋体" w:hAnsi="宋体" w:cs="宋体"/>
                <w:color w:val="auto"/>
                <w:sz w:val="24"/>
                <w:szCs w:val="24"/>
              </w:rPr>
            </w:pPr>
            <w:r>
              <w:rPr>
                <w:rFonts w:hint="eastAsia" w:ascii="宋体" w:hAnsi="宋体" w:cs="宋体"/>
                <w:color w:val="auto"/>
                <w:sz w:val="24"/>
                <w:szCs w:val="24"/>
              </w:rPr>
              <w:t>可查看门店和餐次的留样进度；可查看门店、餐次、样品的名称、时间和留样人信息。</w:t>
            </w:r>
          </w:p>
          <w:p w14:paraId="7B060C23">
            <w:pPr>
              <w:widowControl/>
              <w:jc w:val="left"/>
              <w:rPr>
                <w:color w:val="auto"/>
              </w:rPr>
            </w:pPr>
            <w:r>
              <w:rPr>
                <w:rFonts w:ascii="宋体" w:hAnsi="宋体" w:cs="宋体"/>
                <w:color w:val="auto"/>
                <w:sz w:val="24"/>
                <w:szCs w:val="24"/>
              </w:rPr>
              <w:t>10.可查看晨检人姓名、编号、所属门店和体温数据信息。</w:t>
            </w:r>
          </w:p>
        </w:tc>
        <w:tc>
          <w:tcPr>
            <w:tcW w:w="557" w:type="pct"/>
            <w:vAlign w:val="center"/>
          </w:tcPr>
          <w:p w14:paraId="0AEBF520">
            <w:pPr>
              <w:spacing w:line="460" w:lineRule="exact"/>
              <w:jc w:val="center"/>
              <w:rPr>
                <w:rFonts w:ascii="宋体" w:hAnsi="宋体" w:cs="宋体"/>
                <w:color w:val="auto"/>
                <w:sz w:val="24"/>
                <w:szCs w:val="24"/>
              </w:rPr>
            </w:pPr>
            <w:r>
              <w:rPr>
                <w:rFonts w:hint="eastAsia" w:ascii="宋体" w:hAnsi="宋体" w:cs="宋体"/>
                <w:color w:val="auto"/>
                <w:sz w:val="24"/>
                <w:szCs w:val="24"/>
              </w:rPr>
              <w:t>项</w:t>
            </w:r>
          </w:p>
        </w:tc>
        <w:tc>
          <w:tcPr>
            <w:tcW w:w="735" w:type="pct"/>
            <w:vAlign w:val="center"/>
          </w:tcPr>
          <w:p w14:paraId="494F08A7">
            <w:pPr>
              <w:spacing w:line="460" w:lineRule="exact"/>
              <w:jc w:val="center"/>
              <w:rPr>
                <w:rFonts w:ascii="宋体" w:hAnsi="宋体" w:cs="宋体"/>
                <w:color w:val="auto"/>
                <w:sz w:val="24"/>
                <w:szCs w:val="24"/>
              </w:rPr>
            </w:pPr>
            <w:r>
              <w:rPr>
                <w:rFonts w:ascii="宋体" w:hAnsi="宋体" w:cs="宋体"/>
                <w:color w:val="auto"/>
                <w:sz w:val="24"/>
                <w:szCs w:val="24"/>
              </w:rPr>
              <w:t>1</w:t>
            </w:r>
          </w:p>
        </w:tc>
      </w:tr>
      <w:tr w14:paraId="0B647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38" w:type="pct"/>
            <w:vAlign w:val="center"/>
          </w:tcPr>
          <w:p w14:paraId="1ECDD7EA">
            <w:pPr>
              <w:jc w:val="center"/>
              <w:rPr>
                <w:rFonts w:ascii="宋体" w:hAnsi="宋体" w:cs="宋体"/>
                <w:color w:val="auto"/>
                <w:sz w:val="24"/>
                <w:szCs w:val="24"/>
              </w:rPr>
            </w:pPr>
            <w:r>
              <w:rPr>
                <w:rFonts w:hint="eastAsia" w:ascii="宋体" w:hAnsi="宋体" w:cs="宋体"/>
                <w:color w:val="auto"/>
                <w:sz w:val="24"/>
                <w:szCs w:val="24"/>
              </w:rPr>
              <w:t>数字巡检</w:t>
            </w:r>
          </w:p>
          <w:p w14:paraId="7388121A">
            <w:pPr>
              <w:jc w:val="center"/>
              <w:rPr>
                <w:rFonts w:ascii="宋体" w:hAnsi="宋体" w:cs="宋体"/>
                <w:color w:val="auto"/>
                <w:kern w:val="0"/>
                <w:sz w:val="24"/>
                <w:szCs w:val="24"/>
                <w:lang w:bidi="ar"/>
              </w:rPr>
            </w:pPr>
          </w:p>
        </w:tc>
        <w:tc>
          <w:tcPr>
            <w:tcW w:w="3067" w:type="pct"/>
          </w:tcPr>
          <w:p w14:paraId="39DF9897">
            <w:pPr>
              <w:widowControl/>
              <w:numPr>
                <w:ilvl w:val="0"/>
                <w:numId w:val="31"/>
              </w:numPr>
              <w:ind w:left="0" w:firstLine="0"/>
              <w:jc w:val="left"/>
              <w:rPr>
                <w:rFonts w:ascii="宋体" w:hAnsi="宋体" w:cs="宋体"/>
                <w:color w:val="auto"/>
                <w:sz w:val="24"/>
                <w:szCs w:val="24"/>
              </w:rPr>
            </w:pPr>
            <w:r>
              <w:rPr>
                <w:rFonts w:hint="eastAsia" w:ascii="宋体" w:hAnsi="宋体" w:cs="宋体"/>
                <w:color w:val="auto"/>
                <w:sz w:val="24"/>
                <w:szCs w:val="24"/>
              </w:rPr>
              <w:t>巡检配置</w:t>
            </w:r>
          </w:p>
          <w:p w14:paraId="4E1446D0">
            <w:pPr>
              <w:widowControl/>
              <w:numPr>
                <w:ilvl w:val="0"/>
                <w:numId w:val="32"/>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检查表管理</w:t>
            </w:r>
          </w:p>
          <w:p w14:paraId="1B34FFB3">
            <w:pPr>
              <w:widowControl/>
              <w:jc w:val="left"/>
              <w:rPr>
                <w:rFonts w:ascii="宋体" w:hAnsi="宋体" w:cs="宋体"/>
                <w:color w:val="auto"/>
                <w:sz w:val="24"/>
                <w:szCs w:val="24"/>
              </w:rPr>
            </w:pPr>
            <w:r>
              <w:rPr>
                <w:rFonts w:hint="eastAsia" w:ascii="宋体" w:hAnsi="宋体" w:cs="宋体"/>
                <w:color w:val="auto"/>
                <w:sz w:val="24"/>
                <w:szCs w:val="24"/>
              </w:rPr>
              <w:t>支持维护巡检所需检查表信息，并可进行检查表的增删改导，同时可以对检查表进行检查项设定，可对检查表进行关联食堂、关联用户等操作，可对检查表状态进行启用和停用</w:t>
            </w:r>
          </w:p>
          <w:p w14:paraId="1F061D1B">
            <w:pPr>
              <w:widowControl/>
              <w:numPr>
                <w:ilvl w:val="0"/>
                <w:numId w:val="32"/>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任务管理</w:t>
            </w:r>
          </w:p>
          <w:p w14:paraId="4C84435E">
            <w:pPr>
              <w:widowControl/>
              <w:jc w:val="left"/>
              <w:rPr>
                <w:rFonts w:ascii="宋体" w:hAnsi="宋体" w:cs="宋体"/>
                <w:color w:val="auto"/>
                <w:sz w:val="24"/>
                <w:szCs w:val="24"/>
              </w:rPr>
            </w:pPr>
            <w:r>
              <w:rPr>
                <w:rFonts w:hint="eastAsia" w:ascii="宋体" w:hAnsi="宋体" w:cs="宋体"/>
                <w:color w:val="auto"/>
                <w:sz w:val="24"/>
                <w:szCs w:val="24"/>
              </w:rPr>
              <w:t>支持维护线下巡店任务及巡检员，并可进行巡检任务的新增，同时可以对巡检任务进行取消任务，点击查看详情可以查看巡检任务记录详情</w:t>
            </w:r>
          </w:p>
          <w:p w14:paraId="14640380">
            <w:pPr>
              <w:widowControl/>
              <w:numPr>
                <w:ilvl w:val="0"/>
                <w:numId w:val="32"/>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点位类型管理</w:t>
            </w:r>
          </w:p>
          <w:p w14:paraId="19C58F7B">
            <w:pPr>
              <w:widowControl/>
              <w:jc w:val="left"/>
              <w:rPr>
                <w:rFonts w:ascii="宋体" w:hAnsi="宋体" w:cs="宋体"/>
                <w:color w:val="auto"/>
                <w:sz w:val="24"/>
                <w:szCs w:val="24"/>
              </w:rPr>
            </w:pPr>
            <w:r>
              <w:rPr>
                <w:rFonts w:hint="eastAsia" w:ascii="宋体" w:hAnsi="宋体" w:cs="宋体"/>
                <w:color w:val="auto"/>
                <w:sz w:val="24"/>
                <w:szCs w:val="24"/>
              </w:rPr>
              <w:t>支持维护视频巡检所需，摄像头点位信息</w:t>
            </w:r>
          </w:p>
          <w:p w14:paraId="49120FD2">
            <w:pPr>
              <w:widowControl/>
              <w:numPr>
                <w:ilvl w:val="0"/>
                <w:numId w:val="32"/>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抽查类型管理</w:t>
            </w:r>
          </w:p>
          <w:p w14:paraId="5DA6D8F5">
            <w:pPr>
              <w:widowControl/>
              <w:jc w:val="left"/>
              <w:rPr>
                <w:rFonts w:ascii="宋体" w:hAnsi="宋体" w:cs="宋体"/>
                <w:color w:val="auto"/>
                <w:sz w:val="24"/>
                <w:szCs w:val="24"/>
              </w:rPr>
            </w:pPr>
            <w:r>
              <w:rPr>
                <w:rFonts w:hint="eastAsia" w:ascii="宋体" w:hAnsi="宋体" w:cs="宋体"/>
                <w:color w:val="auto"/>
                <w:sz w:val="24"/>
                <w:szCs w:val="24"/>
              </w:rPr>
              <w:t>支持维护随机抽查类型</w:t>
            </w:r>
          </w:p>
          <w:p w14:paraId="40F34677">
            <w:pPr>
              <w:widowControl/>
              <w:numPr>
                <w:ilvl w:val="0"/>
                <w:numId w:val="31"/>
              </w:numPr>
              <w:ind w:left="0" w:firstLine="0"/>
              <w:jc w:val="left"/>
              <w:rPr>
                <w:rFonts w:ascii="宋体" w:hAnsi="宋体" w:cs="宋体"/>
                <w:color w:val="auto"/>
                <w:sz w:val="24"/>
                <w:szCs w:val="24"/>
              </w:rPr>
            </w:pPr>
            <w:r>
              <w:rPr>
                <w:rFonts w:hint="eastAsia" w:ascii="宋体" w:hAnsi="宋体" w:cs="宋体"/>
                <w:color w:val="auto"/>
                <w:sz w:val="24"/>
                <w:szCs w:val="24"/>
              </w:rPr>
              <w:t>自检自清</w:t>
            </w:r>
          </w:p>
          <w:p w14:paraId="3C917EDB">
            <w:pPr>
              <w:widowControl/>
              <w:numPr>
                <w:ilvl w:val="0"/>
                <w:numId w:val="33"/>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日检模板</w:t>
            </w:r>
          </w:p>
          <w:p w14:paraId="3AC1AED2">
            <w:pPr>
              <w:widowControl/>
              <w:jc w:val="left"/>
              <w:rPr>
                <w:rFonts w:ascii="宋体" w:hAnsi="宋体" w:cs="宋体"/>
                <w:color w:val="auto"/>
                <w:sz w:val="24"/>
                <w:szCs w:val="24"/>
              </w:rPr>
            </w:pPr>
            <w:r>
              <w:rPr>
                <w:rFonts w:hint="eastAsia" w:ascii="宋体" w:hAnsi="宋体" w:cs="宋体"/>
                <w:color w:val="auto"/>
                <w:sz w:val="24"/>
                <w:szCs w:val="24"/>
              </w:rPr>
              <w:t>支持维护日检模板，并可进行日检模板的增删改，同时点击预览可以预览日检模版，点击权限设置可对日检模板进行编辑权限设置</w:t>
            </w:r>
          </w:p>
          <w:p w14:paraId="4B862411">
            <w:pPr>
              <w:widowControl/>
              <w:numPr>
                <w:ilvl w:val="0"/>
                <w:numId w:val="33"/>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日检规则</w:t>
            </w:r>
          </w:p>
          <w:p w14:paraId="28E765DB">
            <w:pPr>
              <w:widowControl/>
              <w:jc w:val="left"/>
              <w:rPr>
                <w:rFonts w:ascii="宋体" w:hAnsi="宋体" w:cs="宋体"/>
                <w:color w:val="auto"/>
                <w:sz w:val="24"/>
                <w:szCs w:val="24"/>
              </w:rPr>
            </w:pPr>
            <w:r>
              <w:rPr>
                <w:rFonts w:hint="eastAsia" w:ascii="宋体" w:hAnsi="宋体" w:cs="宋体"/>
                <w:color w:val="auto"/>
                <w:sz w:val="24"/>
                <w:szCs w:val="24"/>
              </w:rPr>
              <w:t>支持维护日检规则，并可进行日检模板的增删改，同时点击校验可校验日检规则，点击日检规则状态可以日检规则进行启用和停用</w:t>
            </w:r>
          </w:p>
          <w:p w14:paraId="6E1BEBA4">
            <w:pPr>
              <w:widowControl/>
              <w:numPr>
                <w:ilvl w:val="0"/>
                <w:numId w:val="33"/>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日志列表</w:t>
            </w:r>
          </w:p>
          <w:p w14:paraId="7AFF6882">
            <w:pPr>
              <w:widowControl/>
              <w:jc w:val="left"/>
              <w:rPr>
                <w:rFonts w:ascii="宋体" w:hAnsi="宋体" w:cs="宋体"/>
                <w:color w:val="auto"/>
                <w:sz w:val="24"/>
                <w:szCs w:val="24"/>
              </w:rPr>
            </w:pPr>
            <w:r>
              <w:rPr>
                <w:rFonts w:hint="eastAsia" w:ascii="宋体" w:hAnsi="宋体" w:cs="宋体"/>
                <w:color w:val="auto"/>
                <w:sz w:val="24"/>
                <w:szCs w:val="24"/>
              </w:rPr>
              <w:t>支持查看、审核所有日志列表记录、我需要看的日志和我需要审核的日志</w:t>
            </w:r>
          </w:p>
          <w:p w14:paraId="6A8EDDC3">
            <w:pPr>
              <w:widowControl/>
              <w:numPr>
                <w:ilvl w:val="0"/>
                <w:numId w:val="33"/>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日志统计</w:t>
            </w:r>
          </w:p>
          <w:p w14:paraId="303EF789">
            <w:pPr>
              <w:widowControl/>
              <w:jc w:val="left"/>
              <w:rPr>
                <w:rFonts w:ascii="宋体" w:hAnsi="宋体" w:cs="宋体"/>
                <w:color w:val="auto"/>
                <w:sz w:val="24"/>
                <w:szCs w:val="24"/>
              </w:rPr>
            </w:pPr>
            <w:r>
              <w:rPr>
                <w:rFonts w:hint="eastAsia" w:ascii="宋体" w:hAnsi="宋体" w:cs="宋体"/>
                <w:color w:val="auto"/>
                <w:sz w:val="24"/>
                <w:szCs w:val="24"/>
              </w:rPr>
              <w:t>支持查看所有日志的提交结果统计和审核结果统计，点击日志可查看日志提交统计的详情</w:t>
            </w:r>
          </w:p>
          <w:p w14:paraId="411839BB">
            <w:pPr>
              <w:widowControl/>
              <w:numPr>
                <w:ilvl w:val="0"/>
                <w:numId w:val="31"/>
              </w:numPr>
              <w:ind w:left="0" w:firstLine="0"/>
              <w:jc w:val="left"/>
              <w:rPr>
                <w:rFonts w:ascii="宋体" w:hAnsi="宋体" w:cs="宋体"/>
                <w:color w:val="auto"/>
                <w:sz w:val="24"/>
                <w:szCs w:val="24"/>
              </w:rPr>
            </w:pPr>
            <w:r>
              <w:rPr>
                <w:rFonts w:hint="eastAsia" w:ascii="宋体" w:hAnsi="宋体" w:cs="宋体"/>
                <w:color w:val="auto"/>
                <w:sz w:val="24"/>
                <w:szCs w:val="24"/>
              </w:rPr>
              <w:t>巡检考评</w:t>
            </w:r>
          </w:p>
          <w:p w14:paraId="54F83B85">
            <w:pPr>
              <w:widowControl/>
              <w:numPr>
                <w:ilvl w:val="0"/>
                <w:numId w:val="34"/>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整改审核</w:t>
            </w:r>
          </w:p>
          <w:p w14:paraId="455C855D">
            <w:pPr>
              <w:widowControl/>
              <w:numPr>
                <w:ilvl w:val="0"/>
                <w:numId w:val="35"/>
              </w:numPr>
              <w:ind w:firstLine="0"/>
              <w:jc w:val="left"/>
              <w:rPr>
                <w:rFonts w:ascii="宋体" w:hAnsi="宋体" w:cs="宋体"/>
                <w:color w:val="auto"/>
                <w:sz w:val="24"/>
                <w:szCs w:val="24"/>
              </w:rPr>
            </w:pPr>
            <w:r>
              <w:rPr>
                <w:rFonts w:hint="eastAsia" w:ascii="宋体" w:hAnsi="宋体" w:cs="宋体"/>
                <w:color w:val="auto"/>
                <w:sz w:val="24"/>
                <w:szCs w:val="24"/>
              </w:rPr>
              <w:t>展示该客户下的所有巡检整改审核记录，点击查看可查看巡店整改的详情记录</w:t>
            </w:r>
          </w:p>
          <w:p w14:paraId="31C735B6">
            <w:pPr>
              <w:widowControl/>
              <w:jc w:val="left"/>
              <w:rPr>
                <w:rFonts w:ascii="宋体" w:hAnsi="宋体" w:cs="宋体"/>
                <w:color w:val="auto"/>
                <w:sz w:val="24"/>
                <w:szCs w:val="24"/>
              </w:rPr>
            </w:pPr>
            <w:r>
              <w:rPr>
                <w:rFonts w:ascii="宋体" w:hAnsi="宋体" w:cs="宋体"/>
                <w:color w:val="auto"/>
                <w:sz w:val="24"/>
                <w:szCs w:val="24"/>
              </w:rPr>
              <w:t>a.督查巡检</w:t>
            </w:r>
          </w:p>
          <w:p w14:paraId="468EBD2A">
            <w:pPr>
              <w:widowControl/>
              <w:jc w:val="left"/>
              <w:rPr>
                <w:rFonts w:ascii="宋体" w:hAnsi="宋体" w:cs="宋体"/>
                <w:color w:val="auto"/>
                <w:sz w:val="24"/>
                <w:szCs w:val="24"/>
              </w:rPr>
            </w:pPr>
            <w:r>
              <w:rPr>
                <w:rFonts w:ascii="宋体" w:hAnsi="宋体" w:cs="宋体"/>
                <w:color w:val="auto"/>
                <w:sz w:val="24"/>
                <w:szCs w:val="24"/>
              </w:rPr>
              <w:t>b.</w:t>
            </w:r>
            <w:r>
              <w:rPr>
                <w:rFonts w:hint="eastAsia" w:ascii="宋体" w:hAnsi="宋体" w:cs="宋体"/>
                <w:color w:val="auto"/>
                <w:sz w:val="24"/>
                <w:szCs w:val="24"/>
              </w:rPr>
              <w:t>任务巡检</w:t>
            </w:r>
          </w:p>
          <w:p w14:paraId="51063B68">
            <w:pPr>
              <w:widowControl/>
              <w:jc w:val="left"/>
              <w:rPr>
                <w:rFonts w:ascii="宋体" w:hAnsi="宋体" w:cs="宋体"/>
                <w:color w:val="auto"/>
                <w:sz w:val="24"/>
                <w:szCs w:val="24"/>
              </w:rPr>
            </w:pPr>
            <w:r>
              <w:rPr>
                <w:rFonts w:ascii="宋体" w:hAnsi="宋体" w:cs="宋体"/>
                <w:color w:val="auto"/>
                <w:sz w:val="24"/>
                <w:szCs w:val="24"/>
              </w:rPr>
              <w:t>c.</w:t>
            </w:r>
            <w:r>
              <w:rPr>
                <w:rFonts w:hint="eastAsia" w:ascii="宋体" w:hAnsi="宋体" w:cs="宋体"/>
                <w:color w:val="auto"/>
                <w:sz w:val="24"/>
                <w:szCs w:val="24"/>
              </w:rPr>
              <w:t>视频巡检</w:t>
            </w:r>
          </w:p>
          <w:p w14:paraId="6B6E7C5E">
            <w:pPr>
              <w:widowControl/>
              <w:jc w:val="left"/>
              <w:rPr>
                <w:rFonts w:ascii="宋体" w:hAnsi="宋体" w:cs="宋体"/>
                <w:color w:val="auto"/>
                <w:sz w:val="24"/>
                <w:szCs w:val="24"/>
              </w:rPr>
            </w:pPr>
            <w:r>
              <w:rPr>
                <w:rFonts w:ascii="宋体" w:hAnsi="宋体" w:cs="宋体"/>
                <w:color w:val="auto"/>
                <w:sz w:val="24"/>
                <w:szCs w:val="24"/>
              </w:rPr>
              <w:t>d.日管控</w:t>
            </w:r>
          </w:p>
          <w:p w14:paraId="590FE458">
            <w:pPr>
              <w:widowControl/>
              <w:numPr>
                <w:ilvl w:val="0"/>
                <w:numId w:val="34"/>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线下巡检记录</w:t>
            </w:r>
          </w:p>
          <w:p w14:paraId="643F8A7F">
            <w:pPr>
              <w:widowControl/>
              <w:numPr>
                <w:ilvl w:val="0"/>
                <w:numId w:val="36"/>
              </w:numPr>
              <w:ind w:firstLine="0"/>
              <w:jc w:val="left"/>
              <w:rPr>
                <w:rFonts w:ascii="宋体" w:hAnsi="宋体" w:cs="宋体"/>
                <w:color w:val="auto"/>
                <w:sz w:val="24"/>
                <w:szCs w:val="24"/>
              </w:rPr>
            </w:pPr>
            <w:r>
              <w:rPr>
                <w:rFonts w:hint="eastAsia" w:ascii="宋体" w:hAnsi="宋体" w:cs="宋体"/>
                <w:color w:val="auto"/>
                <w:sz w:val="24"/>
                <w:szCs w:val="24"/>
              </w:rPr>
              <w:t>展示该客户下所有的线下巡检记录，点击查看可查看详情</w:t>
            </w:r>
          </w:p>
          <w:p w14:paraId="0C7BD570">
            <w:pPr>
              <w:widowControl/>
              <w:jc w:val="left"/>
              <w:rPr>
                <w:rFonts w:ascii="宋体" w:hAnsi="宋体" w:cs="宋体"/>
                <w:color w:val="auto"/>
                <w:sz w:val="24"/>
                <w:szCs w:val="24"/>
              </w:rPr>
            </w:pPr>
            <w:r>
              <w:rPr>
                <w:rFonts w:ascii="宋体" w:hAnsi="宋体" w:cs="宋体"/>
                <w:color w:val="auto"/>
                <w:sz w:val="24"/>
                <w:szCs w:val="24"/>
              </w:rPr>
              <w:t>a.任务巡检</w:t>
            </w:r>
          </w:p>
          <w:p w14:paraId="43A7454D">
            <w:pPr>
              <w:widowControl/>
              <w:jc w:val="left"/>
              <w:rPr>
                <w:rFonts w:ascii="宋体" w:hAnsi="宋体" w:cs="宋体"/>
                <w:color w:val="auto"/>
                <w:sz w:val="24"/>
                <w:szCs w:val="24"/>
              </w:rPr>
            </w:pPr>
            <w:r>
              <w:rPr>
                <w:rFonts w:ascii="宋体" w:hAnsi="宋体" w:cs="宋体"/>
                <w:color w:val="auto"/>
                <w:sz w:val="24"/>
                <w:szCs w:val="24"/>
              </w:rPr>
              <w:t>b.</w:t>
            </w:r>
            <w:r>
              <w:rPr>
                <w:rFonts w:hint="eastAsia" w:ascii="宋体" w:hAnsi="宋体" w:cs="宋体"/>
                <w:color w:val="auto"/>
                <w:sz w:val="24"/>
                <w:szCs w:val="24"/>
              </w:rPr>
              <w:t>督查巡检</w:t>
            </w:r>
          </w:p>
          <w:p w14:paraId="178A83AA">
            <w:pPr>
              <w:widowControl/>
              <w:jc w:val="left"/>
              <w:rPr>
                <w:color w:val="auto"/>
              </w:rPr>
            </w:pPr>
            <w:r>
              <w:rPr>
                <w:rFonts w:ascii="宋体" w:hAnsi="宋体" w:cs="宋体"/>
                <w:color w:val="auto"/>
                <w:sz w:val="24"/>
                <w:szCs w:val="24"/>
              </w:rPr>
              <w:t>c.</w:t>
            </w:r>
            <w:r>
              <w:rPr>
                <w:rFonts w:hint="eastAsia" w:ascii="宋体" w:hAnsi="宋体" w:cs="宋体"/>
                <w:color w:val="auto"/>
                <w:sz w:val="24"/>
                <w:szCs w:val="24"/>
              </w:rPr>
              <w:t>食堂自检</w:t>
            </w:r>
          </w:p>
          <w:p w14:paraId="6600AF24">
            <w:pPr>
              <w:widowControl/>
              <w:numPr>
                <w:ilvl w:val="0"/>
                <w:numId w:val="34"/>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视频巡检记录</w:t>
            </w:r>
          </w:p>
          <w:p w14:paraId="5206E195">
            <w:pPr>
              <w:widowControl/>
              <w:numPr>
                <w:ilvl w:val="0"/>
                <w:numId w:val="37"/>
              </w:numPr>
              <w:ind w:firstLine="0"/>
              <w:jc w:val="left"/>
              <w:rPr>
                <w:rFonts w:ascii="宋体" w:hAnsi="宋体" w:cs="宋体"/>
                <w:color w:val="auto"/>
                <w:sz w:val="24"/>
                <w:szCs w:val="24"/>
              </w:rPr>
            </w:pPr>
            <w:r>
              <w:rPr>
                <w:rFonts w:hint="eastAsia" w:ascii="宋体" w:hAnsi="宋体" w:cs="宋体"/>
                <w:color w:val="auto"/>
                <w:sz w:val="24"/>
                <w:szCs w:val="24"/>
              </w:rPr>
              <w:t>示该客户下的所有视频巡检记录，并可进行视频巡检记录的导出，同时点击可查看详情</w:t>
            </w:r>
          </w:p>
          <w:p w14:paraId="654EA75E">
            <w:pPr>
              <w:widowControl/>
              <w:jc w:val="left"/>
              <w:rPr>
                <w:rFonts w:ascii="宋体" w:hAnsi="宋体" w:cs="宋体"/>
                <w:color w:val="auto"/>
                <w:sz w:val="24"/>
                <w:szCs w:val="24"/>
              </w:rPr>
            </w:pPr>
            <w:r>
              <w:rPr>
                <w:rFonts w:ascii="宋体" w:hAnsi="宋体" w:cs="宋体"/>
                <w:color w:val="auto"/>
                <w:sz w:val="24"/>
                <w:szCs w:val="24"/>
              </w:rPr>
              <w:t>a.视频巡检</w:t>
            </w:r>
          </w:p>
          <w:p w14:paraId="035FEF61">
            <w:pPr>
              <w:widowControl/>
              <w:jc w:val="left"/>
              <w:rPr>
                <w:color w:val="auto"/>
              </w:rPr>
            </w:pPr>
            <w:r>
              <w:rPr>
                <w:rFonts w:ascii="宋体" w:hAnsi="宋体" w:cs="宋体"/>
                <w:color w:val="auto"/>
                <w:sz w:val="24"/>
                <w:szCs w:val="24"/>
              </w:rPr>
              <w:t>b.</w:t>
            </w:r>
            <w:r>
              <w:rPr>
                <w:rFonts w:hint="eastAsia" w:ascii="宋体" w:hAnsi="宋体" w:cs="宋体"/>
                <w:color w:val="auto"/>
                <w:sz w:val="24"/>
                <w:szCs w:val="24"/>
              </w:rPr>
              <w:t>视频抽检</w:t>
            </w:r>
          </w:p>
          <w:p w14:paraId="777C12D9">
            <w:pPr>
              <w:widowControl/>
              <w:numPr>
                <w:ilvl w:val="0"/>
                <w:numId w:val="34"/>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随机抽查记录</w:t>
            </w:r>
          </w:p>
          <w:p w14:paraId="6499C99C">
            <w:pPr>
              <w:widowControl/>
              <w:jc w:val="left"/>
              <w:rPr>
                <w:rFonts w:ascii="宋体" w:hAnsi="宋体" w:cs="宋体"/>
                <w:color w:val="auto"/>
                <w:sz w:val="24"/>
                <w:szCs w:val="24"/>
              </w:rPr>
            </w:pPr>
            <w:r>
              <w:rPr>
                <w:rFonts w:hint="eastAsia" w:ascii="宋体" w:hAnsi="宋体" w:cs="宋体"/>
                <w:color w:val="auto"/>
                <w:sz w:val="24"/>
                <w:szCs w:val="24"/>
              </w:rPr>
              <w:t>随机抽查记录：展示该客户下的所有随机抽查记录，并可进行随机抽查记录的导出，同时点击详情可以查看详细的随机抽查记录详情</w:t>
            </w:r>
          </w:p>
          <w:p w14:paraId="2FCD355B">
            <w:pPr>
              <w:widowControl/>
              <w:numPr>
                <w:ilvl w:val="0"/>
                <w:numId w:val="31"/>
              </w:numPr>
              <w:ind w:left="0" w:firstLine="0"/>
              <w:jc w:val="left"/>
              <w:rPr>
                <w:rFonts w:ascii="宋体" w:hAnsi="宋体" w:cs="宋体"/>
                <w:color w:val="auto"/>
                <w:sz w:val="24"/>
                <w:szCs w:val="24"/>
              </w:rPr>
            </w:pPr>
            <w:r>
              <w:rPr>
                <w:rFonts w:hint="eastAsia" w:ascii="宋体" w:hAnsi="宋体" w:cs="宋体"/>
                <w:color w:val="auto"/>
                <w:sz w:val="24"/>
                <w:szCs w:val="24"/>
              </w:rPr>
              <w:t>巡检分析</w:t>
            </w:r>
          </w:p>
          <w:p w14:paraId="434E6B43">
            <w:pPr>
              <w:widowControl/>
              <w:numPr>
                <w:ilvl w:val="0"/>
                <w:numId w:val="38"/>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巡检报表</w:t>
            </w:r>
          </w:p>
          <w:p w14:paraId="1ACBBBC3">
            <w:pPr>
              <w:widowControl/>
              <w:jc w:val="left"/>
              <w:rPr>
                <w:rFonts w:ascii="宋体" w:hAnsi="宋体" w:cs="宋体"/>
                <w:color w:val="auto"/>
                <w:sz w:val="24"/>
                <w:szCs w:val="24"/>
              </w:rPr>
            </w:pPr>
            <w:r>
              <w:rPr>
                <w:rFonts w:hint="eastAsia" w:ascii="宋体" w:hAnsi="宋体" w:cs="宋体"/>
                <w:color w:val="auto"/>
                <w:sz w:val="24"/>
                <w:szCs w:val="24"/>
              </w:rPr>
              <w:t>可根据选择的巡检类型、巡检日期、食堂、检查表导出巡检报表，导出之后再下载列表点击详情进行查看</w:t>
            </w:r>
          </w:p>
          <w:p w14:paraId="0A4B262B">
            <w:pPr>
              <w:widowControl/>
              <w:numPr>
                <w:ilvl w:val="0"/>
                <w:numId w:val="38"/>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考评分数排名</w:t>
            </w:r>
          </w:p>
          <w:p w14:paraId="7F6BD6C5">
            <w:pPr>
              <w:widowControl/>
              <w:jc w:val="left"/>
              <w:rPr>
                <w:rFonts w:ascii="宋体" w:hAnsi="宋体" w:cs="宋体"/>
                <w:color w:val="auto"/>
                <w:sz w:val="24"/>
                <w:szCs w:val="24"/>
              </w:rPr>
            </w:pPr>
            <w:r>
              <w:rPr>
                <w:rFonts w:hint="eastAsia" w:ascii="宋体" w:hAnsi="宋体" w:cs="宋体"/>
                <w:color w:val="auto"/>
                <w:sz w:val="24"/>
                <w:szCs w:val="24"/>
              </w:rPr>
              <w:t>支持查看督查巡检、食堂自检、任务巡检的考评分数记录，点击导出可导出考评分数记录</w:t>
            </w:r>
          </w:p>
          <w:p w14:paraId="16D38007">
            <w:pPr>
              <w:widowControl/>
              <w:numPr>
                <w:ilvl w:val="0"/>
                <w:numId w:val="38"/>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巡查问题分析</w:t>
            </w:r>
          </w:p>
          <w:p w14:paraId="31E9B609">
            <w:pPr>
              <w:widowControl/>
              <w:jc w:val="left"/>
              <w:rPr>
                <w:rFonts w:ascii="宋体" w:hAnsi="宋体" w:cs="宋体"/>
                <w:color w:val="auto"/>
                <w:sz w:val="24"/>
                <w:szCs w:val="24"/>
              </w:rPr>
            </w:pPr>
            <w:r>
              <w:rPr>
                <w:rFonts w:hint="eastAsia" w:ascii="宋体" w:hAnsi="宋体" w:cs="宋体"/>
                <w:color w:val="auto"/>
                <w:sz w:val="24"/>
                <w:szCs w:val="24"/>
              </w:rPr>
              <w:t>支持查看检查项统计、检查项分类统计、检查表统计的所有巡检问题记录，点击导出可导出巡检问题分析记录</w:t>
            </w:r>
          </w:p>
          <w:p w14:paraId="693F5BFF">
            <w:pPr>
              <w:widowControl/>
              <w:numPr>
                <w:ilvl w:val="0"/>
                <w:numId w:val="38"/>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整改统计</w:t>
            </w:r>
          </w:p>
          <w:p w14:paraId="3F4C77F4">
            <w:pPr>
              <w:widowControl/>
              <w:jc w:val="left"/>
              <w:rPr>
                <w:rFonts w:ascii="宋体" w:hAnsi="宋体" w:cs="宋体"/>
                <w:color w:val="auto"/>
                <w:sz w:val="24"/>
                <w:szCs w:val="24"/>
              </w:rPr>
            </w:pPr>
            <w:r>
              <w:rPr>
                <w:rFonts w:hint="eastAsia" w:ascii="宋体" w:hAnsi="宋体" w:cs="宋体"/>
                <w:color w:val="auto"/>
                <w:sz w:val="24"/>
                <w:szCs w:val="24"/>
              </w:rPr>
              <w:t>支持查看下属食堂全部整改统计，点击导出可导出整改统计的记录</w:t>
            </w:r>
          </w:p>
          <w:p w14:paraId="4E0F6ABB">
            <w:pPr>
              <w:widowControl/>
              <w:numPr>
                <w:ilvl w:val="0"/>
                <w:numId w:val="38"/>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考勤统计</w:t>
            </w:r>
          </w:p>
          <w:p w14:paraId="4BCBB588">
            <w:pPr>
              <w:widowControl/>
              <w:jc w:val="left"/>
              <w:rPr>
                <w:rFonts w:ascii="宋体" w:hAnsi="宋体" w:cs="宋体"/>
                <w:color w:val="auto"/>
                <w:sz w:val="24"/>
                <w:szCs w:val="24"/>
              </w:rPr>
            </w:pPr>
            <w:r>
              <w:rPr>
                <w:rFonts w:hint="eastAsia" w:ascii="宋体" w:hAnsi="宋体" w:cs="宋体"/>
                <w:color w:val="auto"/>
                <w:sz w:val="24"/>
                <w:szCs w:val="24"/>
              </w:rPr>
              <w:t>支持查看巡检、自检全部考勤统计，点击查看详情可查看巡查考勤情况详情</w:t>
            </w:r>
          </w:p>
          <w:p w14:paraId="38B496DC">
            <w:pPr>
              <w:widowControl/>
              <w:numPr>
                <w:ilvl w:val="0"/>
                <w:numId w:val="38"/>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统计报表</w:t>
            </w:r>
          </w:p>
          <w:p w14:paraId="450B44E6">
            <w:pPr>
              <w:widowControl/>
              <w:jc w:val="left"/>
              <w:rPr>
                <w:rFonts w:ascii="宋体" w:hAnsi="宋体" w:cs="宋体"/>
                <w:color w:val="auto"/>
                <w:sz w:val="24"/>
                <w:szCs w:val="24"/>
              </w:rPr>
            </w:pPr>
            <w:r>
              <w:rPr>
                <w:rFonts w:hint="eastAsia" w:ascii="宋体" w:hAnsi="宋体" w:cs="宋体"/>
                <w:color w:val="auto"/>
                <w:sz w:val="24"/>
                <w:szCs w:val="24"/>
              </w:rPr>
              <w:t>可进行巡检数据统计、全国可视化情况表、全国巡检率的数据导出</w:t>
            </w:r>
          </w:p>
          <w:p w14:paraId="548CB9B3">
            <w:pPr>
              <w:widowControl/>
              <w:numPr>
                <w:ilvl w:val="0"/>
                <w:numId w:val="31"/>
              </w:numPr>
              <w:ind w:left="0" w:firstLine="0"/>
              <w:jc w:val="left"/>
              <w:rPr>
                <w:rFonts w:ascii="宋体" w:hAnsi="宋体" w:cs="宋体"/>
                <w:color w:val="auto"/>
                <w:sz w:val="24"/>
                <w:szCs w:val="24"/>
              </w:rPr>
            </w:pPr>
            <w:r>
              <w:rPr>
                <w:rFonts w:hint="eastAsia" w:ascii="宋体" w:hAnsi="宋体" w:cs="宋体"/>
                <w:color w:val="auto"/>
                <w:sz w:val="24"/>
                <w:szCs w:val="24"/>
              </w:rPr>
              <w:t>视频巡查</w:t>
            </w:r>
          </w:p>
          <w:p w14:paraId="78BB3ACC">
            <w:pPr>
              <w:widowControl/>
              <w:numPr>
                <w:ilvl w:val="0"/>
                <w:numId w:val="39"/>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视频查看</w:t>
            </w:r>
          </w:p>
          <w:p w14:paraId="3D71FFC4">
            <w:pPr>
              <w:widowControl/>
              <w:jc w:val="left"/>
              <w:rPr>
                <w:rFonts w:ascii="宋体" w:hAnsi="宋体" w:cs="宋体"/>
                <w:color w:val="auto"/>
                <w:sz w:val="24"/>
                <w:szCs w:val="24"/>
              </w:rPr>
            </w:pPr>
            <w:r>
              <w:rPr>
                <w:rFonts w:hint="eastAsia" w:ascii="宋体" w:hAnsi="宋体" w:cs="宋体"/>
                <w:color w:val="auto"/>
                <w:sz w:val="24"/>
                <w:szCs w:val="24"/>
              </w:rPr>
              <w:t>支持选择门店，查看监控视频</w:t>
            </w:r>
          </w:p>
          <w:p w14:paraId="6FC82C6D">
            <w:pPr>
              <w:widowControl/>
              <w:numPr>
                <w:ilvl w:val="0"/>
                <w:numId w:val="39"/>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视频巡检</w:t>
            </w:r>
          </w:p>
          <w:p w14:paraId="3556A56A">
            <w:pPr>
              <w:widowControl/>
              <w:jc w:val="left"/>
              <w:rPr>
                <w:rFonts w:ascii="宋体" w:hAnsi="宋体" w:cs="宋体"/>
                <w:color w:val="auto"/>
                <w:sz w:val="24"/>
                <w:szCs w:val="24"/>
              </w:rPr>
            </w:pPr>
            <w:r>
              <w:rPr>
                <w:rFonts w:hint="eastAsia" w:ascii="宋体" w:hAnsi="宋体" w:cs="宋体"/>
                <w:color w:val="auto"/>
                <w:sz w:val="24"/>
                <w:szCs w:val="24"/>
              </w:rPr>
              <w:t>支持选择门店，进行视频巡检</w:t>
            </w:r>
          </w:p>
          <w:p w14:paraId="00030AFD">
            <w:pPr>
              <w:widowControl/>
              <w:numPr>
                <w:ilvl w:val="0"/>
                <w:numId w:val="39"/>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视频抽检</w:t>
            </w:r>
          </w:p>
          <w:p w14:paraId="41992118">
            <w:pPr>
              <w:widowControl/>
              <w:jc w:val="left"/>
              <w:rPr>
                <w:rFonts w:ascii="宋体" w:hAnsi="宋体" w:cs="宋体"/>
                <w:color w:val="auto"/>
                <w:sz w:val="24"/>
                <w:szCs w:val="24"/>
              </w:rPr>
            </w:pPr>
            <w:r>
              <w:rPr>
                <w:rFonts w:hint="eastAsia" w:ascii="宋体" w:hAnsi="宋体" w:cs="宋体"/>
                <w:color w:val="auto"/>
                <w:sz w:val="24"/>
                <w:szCs w:val="24"/>
              </w:rPr>
              <w:t>支持选择门店，进行视频抽检</w:t>
            </w:r>
          </w:p>
          <w:p w14:paraId="44A2141F">
            <w:pPr>
              <w:widowControl/>
              <w:numPr>
                <w:ilvl w:val="0"/>
                <w:numId w:val="31"/>
              </w:numPr>
              <w:ind w:left="0" w:firstLine="0"/>
              <w:jc w:val="left"/>
              <w:rPr>
                <w:rFonts w:ascii="宋体" w:hAnsi="宋体" w:cs="宋体"/>
                <w:color w:val="auto"/>
                <w:sz w:val="24"/>
                <w:szCs w:val="24"/>
              </w:rPr>
            </w:pPr>
            <w:r>
              <w:rPr>
                <w:rFonts w:hint="eastAsia" w:ascii="宋体" w:hAnsi="宋体" w:cs="宋体"/>
                <w:color w:val="auto"/>
                <w:sz w:val="24"/>
                <w:szCs w:val="24"/>
              </w:rPr>
              <w:t>处理意见</w:t>
            </w:r>
          </w:p>
          <w:p w14:paraId="7DB4F6C1">
            <w:pPr>
              <w:widowControl/>
              <w:numPr>
                <w:ilvl w:val="0"/>
                <w:numId w:val="40"/>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处理记录</w:t>
            </w:r>
          </w:p>
          <w:p w14:paraId="36936574">
            <w:pPr>
              <w:widowControl/>
              <w:jc w:val="left"/>
              <w:rPr>
                <w:rFonts w:ascii="宋体" w:hAnsi="宋体" w:cs="宋体"/>
                <w:color w:val="auto"/>
                <w:sz w:val="24"/>
                <w:szCs w:val="24"/>
              </w:rPr>
            </w:pPr>
            <w:r>
              <w:rPr>
                <w:rFonts w:hint="eastAsia" w:ascii="宋体" w:hAnsi="宋体" w:cs="宋体"/>
                <w:color w:val="auto"/>
                <w:sz w:val="24"/>
                <w:szCs w:val="24"/>
              </w:rPr>
              <w:t>支持查看下属食堂巡检罚单详情</w:t>
            </w:r>
          </w:p>
          <w:p w14:paraId="287C501F">
            <w:pPr>
              <w:widowControl/>
              <w:numPr>
                <w:ilvl w:val="0"/>
                <w:numId w:val="40"/>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处理类型管理</w:t>
            </w:r>
          </w:p>
          <w:p w14:paraId="7402611F">
            <w:pPr>
              <w:widowControl/>
              <w:jc w:val="left"/>
              <w:rPr>
                <w:rFonts w:ascii="宋体" w:hAnsi="宋体" w:cs="宋体"/>
                <w:color w:val="auto"/>
                <w:sz w:val="24"/>
                <w:szCs w:val="24"/>
              </w:rPr>
            </w:pPr>
            <w:r>
              <w:rPr>
                <w:rFonts w:hint="eastAsia" w:ascii="宋体" w:hAnsi="宋体" w:cs="宋体"/>
                <w:color w:val="auto"/>
                <w:sz w:val="24"/>
                <w:szCs w:val="24"/>
              </w:rPr>
              <w:t>支持维护罚单类型，并可进行罚单类型的增删改等操作</w:t>
            </w:r>
          </w:p>
          <w:p w14:paraId="6969F9F0">
            <w:pPr>
              <w:widowControl/>
              <w:numPr>
                <w:ilvl w:val="0"/>
                <w:numId w:val="31"/>
              </w:numPr>
              <w:ind w:left="0" w:firstLine="0"/>
              <w:jc w:val="left"/>
              <w:rPr>
                <w:rFonts w:ascii="宋体" w:hAnsi="宋体" w:cs="宋体"/>
                <w:color w:val="auto"/>
                <w:sz w:val="24"/>
                <w:szCs w:val="24"/>
              </w:rPr>
            </w:pPr>
            <w:r>
              <w:rPr>
                <w:rFonts w:hint="eastAsia" w:ascii="宋体" w:hAnsi="宋体" w:cs="宋体"/>
                <w:color w:val="auto"/>
                <w:sz w:val="24"/>
                <w:szCs w:val="24"/>
              </w:rPr>
              <w:t>可对门店检查的问题进行整改；可导出巡检记录信息；可筛选巡检表类型信息；可新增检查表信息；可新增门店巡检记录信息；可关联门店的检查表信息；可查看巡检视频；可查看视频巡检记录信息。</w:t>
            </w:r>
          </w:p>
          <w:p w14:paraId="72AB0941">
            <w:pPr>
              <w:widowControl/>
              <w:numPr>
                <w:ilvl w:val="0"/>
                <w:numId w:val="31"/>
              </w:numPr>
              <w:ind w:left="0" w:firstLine="0"/>
              <w:jc w:val="left"/>
              <w:rPr>
                <w:rFonts w:ascii="宋体" w:hAnsi="宋体" w:cs="宋体"/>
                <w:color w:val="auto"/>
                <w:sz w:val="24"/>
                <w:szCs w:val="24"/>
              </w:rPr>
            </w:pPr>
            <w:r>
              <w:rPr>
                <w:rFonts w:hint="eastAsia" w:ascii="宋体" w:hAnsi="宋体" w:cs="宋体"/>
                <w:color w:val="auto"/>
                <w:sz w:val="24"/>
                <w:szCs w:val="24"/>
              </w:rPr>
              <w:t>可对预警、报警、现场抽查中发现的问题进行整改和给予处罚；可对实施过程、工作进度进行查询和管控。</w:t>
            </w:r>
          </w:p>
          <w:p w14:paraId="11FFBDF3">
            <w:pPr>
              <w:widowControl/>
              <w:numPr>
                <w:ilvl w:val="0"/>
                <w:numId w:val="31"/>
              </w:numPr>
              <w:ind w:left="0" w:firstLine="0"/>
              <w:jc w:val="left"/>
              <w:rPr>
                <w:rFonts w:ascii="宋体" w:hAnsi="宋体" w:cs="宋体"/>
                <w:color w:val="auto"/>
                <w:sz w:val="24"/>
                <w:szCs w:val="24"/>
              </w:rPr>
            </w:pPr>
            <w:r>
              <w:rPr>
                <w:rFonts w:hint="eastAsia" w:ascii="宋体" w:hAnsi="宋体" w:cs="宋体"/>
                <w:color w:val="auto"/>
                <w:sz w:val="24"/>
                <w:szCs w:val="24"/>
              </w:rPr>
              <w:t>可设置门店自检表；可设置表格内容、必填项和问题的红、黄、蓝标注；可对自检提交结果进行统计；可展示自检表下的数据统计结果；可对自检结果进行审核。</w:t>
            </w:r>
          </w:p>
          <w:p w14:paraId="1FF7D4A4">
            <w:pPr>
              <w:widowControl/>
              <w:numPr>
                <w:ilvl w:val="0"/>
                <w:numId w:val="31"/>
              </w:numPr>
              <w:ind w:left="0" w:firstLine="0"/>
              <w:jc w:val="left"/>
              <w:rPr>
                <w:rFonts w:ascii="宋体" w:hAnsi="宋体" w:cs="宋体"/>
                <w:color w:val="auto"/>
                <w:sz w:val="24"/>
                <w:szCs w:val="24"/>
              </w:rPr>
            </w:pPr>
            <w:r>
              <w:rPr>
                <w:rFonts w:hint="eastAsia" w:ascii="宋体" w:hAnsi="宋体" w:cs="宋体"/>
                <w:color w:val="auto"/>
                <w:sz w:val="24"/>
                <w:szCs w:val="24"/>
              </w:rPr>
              <w:t>可通过视频画面对门店现场情况进行考核评分；可抓拍问题图片；视频巡检检查表的检查项目可按视频区域进行切换；可切换不同区域的检查项；可提交视频检查表；可生成视频巡检记录。</w:t>
            </w:r>
          </w:p>
          <w:p w14:paraId="379FE8BA">
            <w:pPr>
              <w:widowControl/>
              <w:jc w:val="left"/>
              <w:rPr>
                <w:color w:val="auto"/>
              </w:rPr>
            </w:pPr>
            <w:r>
              <w:rPr>
                <w:rFonts w:ascii="宋体" w:hAnsi="宋体" w:cs="宋体"/>
                <w:color w:val="auto"/>
                <w:sz w:val="24"/>
                <w:szCs w:val="24"/>
              </w:rPr>
              <w:t>11.可设置任务模式下的独立检查表；可查询任务完成情况；可对任务进行派发可根据人员派发任务巡检。</w:t>
            </w:r>
          </w:p>
        </w:tc>
        <w:tc>
          <w:tcPr>
            <w:tcW w:w="557" w:type="pct"/>
            <w:vAlign w:val="center"/>
          </w:tcPr>
          <w:p w14:paraId="572C7490">
            <w:pPr>
              <w:spacing w:line="460" w:lineRule="exact"/>
              <w:jc w:val="center"/>
              <w:rPr>
                <w:rFonts w:ascii="宋体" w:hAnsi="宋体" w:cs="宋体"/>
                <w:color w:val="auto"/>
                <w:sz w:val="24"/>
                <w:szCs w:val="24"/>
              </w:rPr>
            </w:pPr>
            <w:r>
              <w:rPr>
                <w:rFonts w:hint="eastAsia" w:ascii="宋体" w:hAnsi="宋体" w:cs="宋体"/>
                <w:color w:val="auto"/>
                <w:sz w:val="24"/>
                <w:szCs w:val="24"/>
              </w:rPr>
              <w:t>项</w:t>
            </w:r>
          </w:p>
        </w:tc>
        <w:tc>
          <w:tcPr>
            <w:tcW w:w="735" w:type="pct"/>
            <w:vAlign w:val="center"/>
          </w:tcPr>
          <w:p w14:paraId="361F9A81">
            <w:pPr>
              <w:spacing w:line="460" w:lineRule="exact"/>
              <w:jc w:val="center"/>
              <w:rPr>
                <w:rFonts w:ascii="宋体" w:hAnsi="宋体" w:cs="宋体"/>
                <w:color w:val="auto"/>
                <w:sz w:val="24"/>
                <w:szCs w:val="24"/>
              </w:rPr>
            </w:pPr>
            <w:r>
              <w:rPr>
                <w:rFonts w:ascii="宋体" w:hAnsi="宋体" w:cs="宋体"/>
                <w:color w:val="auto"/>
                <w:sz w:val="24"/>
                <w:szCs w:val="24"/>
              </w:rPr>
              <w:t>1</w:t>
            </w:r>
          </w:p>
        </w:tc>
      </w:tr>
      <w:tr w14:paraId="56970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38" w:type="pct"/>
            <w:vAlign w:val="center"/>
          </w:tcPr>
          <w:p w14:paraId="51CFE794">
            <w:pPr>
              <w:jc w:val="center"/>
              <w:rPr>
                <w:rFonts w:ascii="宋体" w:hAnsi="宋体" w:cs="宋体"/>
                <w:color w:val="auto"/>
                <w:sz w:val="24"/>
                <w:szCs w:val="24"/>
              </w:rPr>
            </w:pPr>
            <w:r>
              <w:rPr>
                <w:rFonts w:hint="eastAsia" w:ascii="宋体" w:hAnsi="宋体" w:cs="宋体"/>
                <w:color w:val="auto"/>
                <w:sz w:val="24"/>
                <w:szCs w:val="24"/>
              </w:rPr>
              <w:t>后勤服务监管</w:t>
            </w:r>
          </w:p>
          <w:p w14:paraId="322873B8">
            <w:pPr>
              <w:jc w:val="center"/>
              <w:rPr>
                <w:rFonts w:ascii="宋体" w:hAnsi="宋体" w:cs="宋体"/>
                <w:color w:val="auto"/>
                <w:kern w:val="0"/>
                <w:sz w:val="24"/>
                <w:szCs w:val="24"/>
                <w:lang w:bidi="ar"/>
              </w:rPr>
            </w:pPr>
          </w:p>
        </w:tc>
        <w:tc>
          <w:tcPr>
            <w:tcW w:w="3067" w:type="pct"/>
          </w:tcPr>
          <w:p w14:paraId="24097CD6">
            <w:pPr>
              <w:widowControl/>
              <w:numPr>
                <w:ilvl w:val="0"/>
                <w:numId w:val="41"/>
              </w:numPr>
              <w:ind w:left="0" w:firstLine="0"/>
              <w:jc w:val="left"/>
              <w:rPr>
                <w:rFonts w:ascii="宋体" w:hAnsi="宋体" w:cs="宋体"/>
                <w:color w:val="auto"/>
                <w:sz w:val="24"/>
                <w:szCs w:val="24"/>
              </w:rPr>
            </w:pPr>
            <w:r>
              <w:rPr>
                <w:rFonts w:hint="eastAsia" w:ascii="宋体" w:hAnsi="宋体" w:cs="宋体"/>
                <w:color w:val="auto"/>
                <w:sz w:val="24"/>
                <w:szCs w:val="24"/>
              </w:rPr>
              <w:t>菜单菜价管控</w:t>
            </w:r>
          </w:p>
          <w:p w14:paraId="600336FD">
            <w:pPr>
              <w:widowControl/>
              <w:numPr>
                <w:ilvl w:val="0"/>
                <w:numId w:val="42"/>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菜价审核</w:t>
            </w:r>
          </w:p>
          <w:p w14:paraId="19C0BD47">
            <w:pPr>
              <w:widowControl/>
              <w:jc w:val="left"/>
              <w:rPr>
                <w:color w:val="auto"/>
              </w:rPr>
            </w:pPr>
            <w:r>
              <w:rPr>
                <w:rFonts w:hint="eastAsia" w:ascii="宋体" w:hAnsi="宋体" w:cs="宋体"/>
                <w:color w:val="auto"/>
                <w:sz w:val="24"/>
                <w:szCs w:val="24"/>
              </w:rPr>
              <w:t>可审核食堂提报的菜价信息</w:t>
            </w:r>
          </w:p>
          <w:p w14:paraId="4A996485">
            <w:pPr>
              <w:widowControl/>
              <w:numPr>
                <w:ilvl w:val="0"/>
                <w:numId w:val="42"/>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实时菜价</w:t>
            </w:r>
          </w:p>
          <w:p w14:paraId="0AF060F0">
            <w:pPr>
              <w:widowControl/>
              <w:jc w:val="left"/>
              <w:rPr>
                <w:rFonts w:ascii="宋体" w:hAnsi="宋体" w:cs="宋体"/>
                <w:color w:val="auto"/>
                <w:sz w:val="24"/>
                <w:szCs w:val="24"/>
              </w:rPr>
            </w:pPr>
            <w:r>
              <w:rPr>
                <w:rFonts w:hint="eastAsia" w:ascii="宋体" w:hAnsi="宋体" w:cs="宋体"/>
                <w:color w:val="auto"/>
                <w:sz w:val="24"/>
                <w:szCs w:val="24"/>
              </w:rPr>
              <w:t>可查看食堂所有菜品的提报记录情况</w:t>
            </w:r>
          </w:p>
          <w:p w14:paraId="1BCB5615">
            <w:pPr>
              <w:widowControl/>
              <w:numPr>
                <w:ilvl w:val="0"/>
                <w:numId w:val="41"/>
              </w:numPr>
              <w:ind w:left="0" w:firstLine="0"/>
              <w:jc w:val="left"/>
              <w:rPr>
                <w:rFonts w:ascii="宋体" w:hAnsi="宋体" w:cs="宋体"/>
                <w:color w:val="auto"/>
                <w:sz w:val="24"/>
                <w:szCs w:val="24"/>
              </w:rPr>
            </w:pPr>
            <w:r>
              <w:rPr>
                <w:rFonts w:hint="eastAsia" w:ascii="宋体" w:hAnsi="宋体" w:cs="宋体"/>
                <w:color w:val="auto"/>
                <w:sz w:val="24"/>
                <w:szCs w:val="24"/>
              </w:rPr>
              <w:t>服务管理</w:t>
            </w:r>
          </w:p>
          <w:p w14:paraId="535CB018">
            <w:pPr>
              <w:widowControl/>
              <w:numPr>
                <w:ilvl w:val="0"/>
                <w:numId w:val="43"/>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问题反馈与建议</w:t>
            </w:r>
          </w:p>
          <w:p w14:paraId="487AA5CB">
            <w:pPr>
              <w:widowControl/>
              <w:numPr>
                <w:ilvl w:val="0"/>
                <w:numId w:val="44"/>
              </w:numPr>
              <w:ind w:firstLine="0"/>
              <w:jc w:val="left"/>
              <w:rPr>
                <w:rFonts w:ascii="宋体" w:hAnsi="宋体" w:cs="宋体"/>
                <w:color w:val="auto"/>
                <w:sz w:val="24"/>
                <w:szCs w:val="24"/>
              </w:rPr>
            </w:pPr>
            <w:r>
              <w:rPr>
                <w:rFonts w:hint="eastAsia" w:ascii="宋体" w:hAnsi="宋体" w:cs="宋体"/>
                <w:color w:val="auto"/>
                <w:sz w:val="24"/>
                <w:szCs w:val="24"/>
              </w:rPr>
              <w:t>可查看用餐人员反馈的意见或留言记录</w:t>
            </w:r>
          </w:p>
          <w:p w14:paraId="24450DAA">
            <w:pPr>
              <w:widowControl/>
              <w:numPr>
                <w:ilvl w:val="0"/>
                <w:numId w:val="44"/>
              </w:numPr>
              <w:ind w:firstLine="0"/>
              <w:jc w:val="left"/>
              <w:rPr>
                <w:color w:val="auto"/>
              </w:rPr>
            </w:pPr>
            <w:r>
              <w:rPr>
                <w:rFonts w:hint="eastAsia" w:ascii="宋体" w:hAnsi="宋体" w:cs="宋体"/>
                <w:color w:val="auto"/>
                <w:sz w:val="24"/>
                <w:szCs w:val="24"/>
              </w:rPr>
              <w:t>可回复用餐人员反馈的消息或留言</w:t>
            </w:r>
          </w:p>
          <w:p w14:paraId="6D7D8EB2">
            <w:pPr>
              <w:widowControl/>
              <w:numPr>
                <w:ilvl w:val="0"/>
                <w:numId w:val="43"/>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服务配置</w:t>
            </w:r>
          </w:p>
          <w:p w14:paraId="721A8372">
            <w:pPr>
              <w:widowControl/>
              <w:numPr>
                <w:ilvl w:val="0"/>
                <w:numId w:val="45"/>
              </w:numPr>
              <w:ind w:firstLine="0"/>
              <w:jc w:val="left"/>
              <w:rPr>
                <w:rFonts w:ascii="宋体" w:hAnsi="宋体" w:cs="宋体"/>
                <w:color w:val="auto"/>
                <w:sz w:val="24"/>
                <w:szCs w:val="24"/>
              </w:rPr>
            </w:pPr>
            <w:r>
              <w:rPr>
                <w:rFonts w:hint="eastAsia" w:ascii="宋体" w:hAnsi="宋体" w:cs="宋体"/>
                <w:color w:val="auto"/>
                <w:sz w:val="24"/>
                <w:szCs w:val="24"/>
              </w:rPr>
              <w:t>支持设置下属食堂使用用餐反馈功能的规则</w:t>
            </w:r>
          </w:p>
          <w:p w14:paraId="0AC2B275">
            <w:pPr>
              <w:widowControl/>
              <w:jc w:val="left"/>
              <w:rPr>
                <w:rFonts w:ascii="宋体" w:hAnsi="宋体" w:cs="宋体"/>
                <w:color w:val="auto"/>
                <w:sz w:val="24"/>
                <w:szCs w:val="24"/>
              </w:rPr>
            </w:pPr>
            <w:r>
              <w:rPr>
                <w:rFonts w:ascii="宋体" w:hAnsi="宋体" w:cs="宋体"/>
                <w:color w:val="auto"/>
                <w:sz w:val="24"/>
                <w:szCs w:val="24"/>
              </w:rPr>
              <w:t>a.同步设置：支持开启配置功能，由学校统一定义就餐问题处理功能规则</w:t>
            </w:r>
          </w:p>
          <w:p w14:paraId="636B1F2C">
            <w:pPr>
              <w:widowControl/>
              <w:jc w:val="left"/>
              <w:rPr>
                <w:rFonts w:ascii="宋体" w:hAnsi="宋体" w:cs="宋体"/>
                <w:color w:val="auto"/>
                <w:sz w:val="24"/>
                <w:szCs w:val="24"/>
              </w:rPr>
            </w:pPr>
            <w:r>
              <w:rPr>
                <w:rFonts w:ascii="宋体" w:hAnsi="宋体" w:cs="宋体"/>
                <w:color w:val="auto"/>
                <w:sz w:val="24"/>
                <w:szCs w:val="24"/>
              </w:rPr>
              <w:t>b.反馈类型：支持配置就餐问题反馈的问题类型</w:t>
            </w:r>
          </w:p>
          <w:p w14:paraId="25336C51">
            <w:pPr>
              <w:widowControl/>
              <w:jc w:val="left"/>
              <w:rPr>
                <w:rFonts w:ascii="宋体" w:hAnsi="宋体" w:cs="宋体"/>
                <w:color w:val="auto"/>
                <w:sz w:val="24"/>
                <w:szCs w:val="24"/>
              </w:rPr>
            </w:pPr>
            <w:r>
              <w:rPr>
                <w:rFonts w:ascii="宋体" w:hAnsi="宋体" w:cs="宋体"/>
                <w:color w:val="auto"/>
                <w:sz w:val="24"/>
                <w:szCs w:val="24"/>
              </w:rPr>
              <w:t>c.</w:t>
            </w:r>
            <w:r>
              <w:rPr>
                <w:rFonts w:hint="eastAsia" w:ascii="宋体" w:hAnsi="宋体" w:cs="宋体"/>
                <w:color w:val="auto"/>
                <w:sz w:val="24"/>
                <w:szCs w:val="24"/>
              </w:rPr>
              <w:t>反馈设置：支持配置就餐问题反馈提交内容</w:t>
            </w:r>
          </w:p>
          <w:p w14:paraId="3A8C6412">
            <w:pPr>
              <w:widowControl/>
              <w:jc w:val="left"/>
              <w:rPr>
                <w:rFonts w:ascii="宋体" w:hAnsi="宋体" w:cs="宋体"/>
                <w:color w:val="auto"/>
                <w:sz w:val="24"/>
                <w:szCs w:val="24"/>
              </w:rPr>
            </w:pPr>
            <w:r>
              <w:rPr>
                <w:rFonts w:ascii="宋体" w:hAnsi="宋体" w:cs="宋体"/>
                <w:color w:val="auto"/>
                <w:sz w:val="24"/>
                <w:szCs w:val="24"/>
              </w:rPr>
              <w:t>d.</w:t>
            </w:r>
            <w:r>
              <w:rPr>
                <w:rFonts w:hint="eastAsia" w:ascii="宋体" w:hAnsi="宋体" w:cs="宋体"/>
                <w:color w:val="auto"/>
                <w:sz w:val="24"/>
                <w:szCs w:val="24"/>
              </w:rPr>
              <w:t>效率监管：支持配置就餐问题处理期限、超时预警要求</w:t>
            </w:r>
          </w:p>
          <w:p w14:paraId="15ED3B44">
            <w:pPr>
              <w:widowControl/>
              <w:jc w:val="left"/>
              <w:rPr>
                <w:color w:val="auto"/>
              </w:rPr>
            </w:pPr>
            <w:r>
              <w:rPr>
                <w:rFonts w:ascii="宋体" w:hAnsi="宋体" w:cs="宋体"/>
                <w:color w:val="auto"/>
                <w:sz w:val="24"/>
                <w:szCs w:val="24"/>
              </w:rPr>
              <w:t>e.</w:t>
            </w:r>
            <w:r>
              <w:rPr>
                <w:rFonts w:hint="eastAsia" w:ascii="宋体" w:hAnsi="宋体" w:cs="宋体"/>
                <w:color w:val="auto"/>
                <w:sz w:val="24"/>
                <w:szCs w:val="24"/>
              </w:rPr>
              <w:t>审核设置：支持开启就餐问题处理审核机制</w:t>
            </w:r>
          </w:p>
          <w:p w14:paraId="6D222416">
            <w:pPr>
              <w:widowControl/>
              <w:numPr>
                <w:ilvl w:val="0"/>
                <w:numId w:val="43"/>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反馈超时风险</w:t>
            </w:r>
          </w:p>
          <w:p w14:paraId="55902835">
            <w:pPr>
              <w:widowControl/>
              <w:jc w:val="left"/>
              <w:rPr>
                <w:rFonts w:ascii="宋体" w:hAnsi="宋体" w:cs="宋体"/>
                <w:color w:val="auto"/>
                <w:sz w:val="24"/>
                <w:szCs w:val="24"/>
              </w:rPr>
            </w:pPr>
            <w:r>
              <w:rPr>
                <w:rFonts w:hint="eastAsia" w:ascii="宋体" w:hAnsi="宋体" w:cs="宋体"/>
                <w:color w:val="auto"/>
                <w:sz w:val="24"/>
                <w:szCs w:val="24"/>
              </w:rPr>
              <w:t>可查看所有反馈消息处理超时的记录</w:t>
            </w:r>
          </w:p>
          <w:p w14:paraId="2E57CBB2">
            <w:pPr>
              <w:widowControl/>
              <w:numPr>
                <w:ilvl w:val="0"/>
                <w:numId w:val="41"/>
              </w:numPr>
              <w:ind w:left="0" w:firstLine="0"/>
              <w:jc w:val="left"/>
              <w:rPr>
                <w:rFonts w:ascii="宋体" w:hAnsi="宋体" w:cs="宋体"/>
                <w:color w:val="auto"/>
                <w:sz w:val="24"/>
                <w:szCs w:val="24"/>
              </w:rPr>
            </w:pPr>
            <w:r>
              <w:rPr>
                <w:rFonts w:hint="eastAsia" w:ascii="宋体" w:hAnsi="宋体" w:cs="宋体"/>
                <w:color w:val="auto"/>
                <w:sz w:val="24"/>
                <w:szCs w:val="24"/>
              </w:rPr>
              <w:t>满意度调研</w:t>
            </w:r>
          </w:p>
          <w:p w14:paraId="6C6D9E67">
            <w:pPr>
              <w:widowControl/>
              <w:numPr>
                <w:ilvl w:val="0"/>
                <w:numId w:val="46"/>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问卷管理</w:t>
            </w:r>
          </w:p>
          <w:p w14:paraId="430A998C">
            <w:pPr>
              <w:widowControl/>
              <w:jc w:val="left"/>
              <w:rPr>
                <w:rFonts w:ascii="宋体" w:hAnsi="宋体" w:cs="宋体"/>
                <w:color w:val="auto"/>
                <w:sz w:val="24"/>
                <w:szCs w:val="24"/>
              </w:rPr>
            </w:pPr>
            <w:r>
              <w:rPr>
                <w:rFonts w:hint="eastAsia" w:ascii="宋体" w:hAnsi="宋体" w:cs="宋体"/>
                <w:color w:val="auto"/>
                <w:sz w:val="24"/>
                <w:szCs w:val="24"/>
              </w:rPr>
              <w:t>可创建并管理问卷</w:t>
            </w:r>
          </w:p>
          <w:p w14:paraId="40A4CE0F">
            <w:pPr>
              <w:widowControl/>
              <w:numPr>
                <w:ilvl w:val="0"/>
                <w:numId w:val="46"/>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链接管理</w:t>
            </w:r>
          </w:p>
          <w:p w14:paraId="7CD097A8">
            <w:pPr>
              <w:widowControl/>
              <w:jc w:val="left"/>
              <w:rPr>
                <w:rFonts w:ascii="宋体" w:hAnsi="宋体" w:cs="宋体"/>
                <w:color w:val="auto"/>
                <w:sz w:val="24"/>
                <w:szCs w:val="24"/>
              </w:rPr>
            </w:pPr>
            <w:r>
              <w:rPr>
                <w:rFonts w:hint="eastAsia" w:ascii="宋体" w:hAnsi="宋体" w:cs="宋体"/>
                <w:color w:val="auto"/>
                <w:sz w:val="24"/>
                <w:szCs w:val="24"/>
              </w:rPr>
              <w:t>可创建并管理链接，链接可关联问卷并进行投放</w:t>
            </w:r>
          </w:p>
          <w:p w14:paraId="7AEF057A">
            <w:pPr>
              <w:widowControl/>
              <w:numPr>
                <w:ilvl w:val="0"/>
                <w:numId w:val="41"/>
              </w:numPr>
              <w:ind w:left="0" w:firstLine="0"/>
              <w:jc w:val="left"/>
              <w:rPr>
                <w:rFonts w:ascii="宋体" w:hAnsi="宋体" w:cs="宋体"/>
                <w:color w:val="auto"/>
                <w:sz w:val="24"/>
                <w:szCs w:val="24"/>
              </w:rPr>
            </w:pPr>
            <w:r>
              <w:rPr>
                <w:rFonts w:hint="eastAsia" w:ascii="宋体" w:hAnsi="宋体" w:cs="宋体"/>
                <w:color w:val="auto"/>
                <w:sz w:val="24"/>
                <w:szCs w:val="24"/>
              </w:rPr>
              <w:t>宣传管理</w:t>
            </w:r>
          </w:p>
          <w:p w14:paraId="35FB4BBB">
            <w:pPr>
              <w:widowControl/>
              <w:numPr>
                <w:ilvl w:val="0"/>
                <w:numId w:val="47"/>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宣传管理</w:t>
            </w:r>
          </w:p>
          <w:p w14:paraId="5290F172">
            <w:pPr>
              <w:widowControl/>
              <w:jc w:val="left"/>
              <w:rPr>
                <w:rFonts w:ascii="宋体" w:hAnsi="宋体" w:cs="宋体"/>
                <w:color w:val="auto"/>
                <w:sz w:val="24"/>
                <w:szCs w:val="24"/>
              </w:rPr>
            </w:pPr>
            <w:r>
              <w:rPr>
                <w:rFonts w:hint="eastAsia" w:ascii="宋体" w:hAnsi="宋体" w:cs="宋体"/>
                <w:color w:val="auto"/>
                <w:sz w:val="24"/>
                <w:szCs w:val="24"/>
              </w:rPr>
              <w:t>支持查看下属食堂前厅服务系统展示的宣传资料，并可进行修改</w:t>
            </w:r>
          </w:p>
          <w:p w14:paraId="1B22255D">
            <w:pPr>
              <w:widowControl/>
              <w:numPr>
                <w:ilvl w:val="0"/>
                <w:numId w:val="47"/>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公示台账管理</w:t>
            </w:r>
          </w:p>
          <w:p w14:paraId="39A80455">
            <w:pPr>
              <w:widowControl/>
              <w:jc w:val="left"/>
              <w:rPr>
                <w:rFonts w:ascii="宋体" w:hAnsi="宋体" w:cs="宋体"/>
                <w:color w:val="auto"/>
                <w:sz w:val="24"/>
                <w:szCs w:val="24"/>
              </w:rPr>
            </w:pPr>
            <w:r>
              <w:rPr>
                <w:rFonts w:hint="eastAsia" w:ascii="宋体" w:hAnsi="宋体" w:cs="宋体"/>
                <w:color w:val="auto"/>
                <w:sz w:val="24"/>
                <w:szCs w:val="24"/>
              </w:rPr>
              <w:t>支持查看下属食堂前厅服务系统展示的电子台账情况，并可进行修改</w:t>
            </w:r>
          </w:p>
          <w:p w14:paraId="022ED49C">
            <w:pPr>
              <w:widowControl/>
              <w:numPr>
                <w:ilvl w:val="0"/>
                <w:numId w:val="47"/>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明厨亮灶管理</w:t>
            </w:r>
          </w:p>
          <w:p w14:paraId="55D03A40">
            <w:pPr>
              <w:widowControl/>
              <w:jc w:val="left"/>
              <w:rPr>
                <w:rFonts w:ascii="宋体" w:hAnsi="宋体" w:cs="宋体"/>
                <w:color w:val="auto"/>
                <w:sz w:val="24"/>
                <w:szCs w:val="24"/>
              </w:rPr>
            </w:pPr>
            <w:r>
              <w:rPr>
                <w:rFonts w:hint="eastAsia" w:ascii="宋体" w:hAnsi="宋体" w:cs="宋体"/>
                <w:color w:val="auto"/>
                <w:sz w:val="24"/>
                <w:szCs w:val="24"/>
              </w:rPr>
              <w:t>支持查看下属食堂前厅服务系统展示的后厨明厨亮灶画面情况，并可进行修改</w:t>
            </w:r>
          </w:p>
          <w:p w14:paraId="4AFDBAF4">
            <w:pPr>
              <w:widowControl/>
              <w:numPr>
                <w:ilvl w:val="0"/>
                <w:numId w:val="41"/>
              </w:numPr>
              <w:ind w:left="0" w:firstLine="0"/>
              <w:jc w:val="left"/>
              <w:rPr>
                <w:rFonts w:ascii="宋体" w:hAnsi="宋体" w:cs="宋体"/>
                <w:color w:val="auto"/>
                <w:kern w:val="0"/>
                <w:sz w:val="24"/>
                <w:szCs w:val="24"/>
                <w:lang w:bidi="ar"/>
              </w:rPr>
            </w:pPr>
            <w:r>
              <w:rPr>
                <w:rFonts w:ascii="宋体" w:hAnsi="宋体" w:cs="宋体"/>
                <w:color w:val="auto"/>
                <w:kern w:val="0"/>
                <w:sz w:val="24"/>
                <w:szCs w:val="24"/>
                <w:lang w:bidi="ar"/>
              </w:rPr>
              <w:t>AI报警事件分析</w:t>
            </w:r>
          </w:p>
          <w:p w14:paraId="1F4567B0">
            <w:pPr>
              <w:widowControl/>
              <w:numPr>
                <w:ilvl w:val="0"/>
                <w:numId w:val="48"/>
              </w:numPr>
              <w:ind w:left="0" w:firstLine="0"/>
              <w:jc w:val="left"/>
              <w:rPr>
                <w:rFonts w:ascii="宋体" w:hAnsi="宋体" w:cs="宋体"/>
                <w:color w:val="auto"/>
                <w:sz w:val="24"/>
                <w:szCs w:val="24"/>
              </w:rPr>
            </w:pPr>
            <w:r>
              <w:rPr>
                <w:rFonts w:hint="eastAsia" w:ascii="宋体" w:hAnsi="宋体" w:cs="宋体"/>
                <w:color w:val="auto"/>
                <w:sz w:val="24"/>
                <w:szCs w:val="24"/>
              </w:rPr>
              <w:t>支持查看</w:t>
            </w:r>
            <w:r>
              <w:rPr>
                <w:rFonts w:ascii="宋体" w:hAnsi="宋体" w:cs="宋体"/>
                <w:color w:val="auto"/>
                <w:sz w:val="24"/>
                <w:szCs w:val="24"/>
              </w:rPr>
              <w:t>AI预警事件统计事件分析</w:t>
            </w:r>
          </w:p>
          <w:p w14:paraId="575B8B6C">
            <w:pPr>
              <w:widowControl/>
              <w:numPr>
                <w:ilvl w:val="0"/>
                <w:numId w:val="41"/>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报警统计明细</w:t>
            </w:r>
          </w:p>
          <w:p w14:paraId="5B412268">
            <w:pPr>
              <w:widowControl/>
              <w:numPr>
                <w:ilvl w:val="0"/>
                <w:numId w:val="49"/>
              </w:numPr>
              <w:ind w:left="0" w:firstLine="0"/>
              <w:jc w:val="left"/>
              <w:rPr>
                <w:rFonts w:ascii="宋体" w:hAnsi="宋体" w:cs="宋体"/>
                <w:color w:val="auto"/>
                <w:sz w:val="24"/>
                <w:szCs w:val="24"/>
              </w:rPr>
            </w:pPr>
            <w:r>
              <w:rPr>
                <w:rFonts w:hint="eastAsia" w:ascii="宋体" w:hAnsi="宋体" w:cs="宋体"/>
                <w:color w:val="auto"/>
                <w:sz w:val="24"/>
                <w:szCs w:val="24"/>
              </w:rPr>
              <w:t>支持查看下属各食堂不同设备类型报警统计信息</w:t>
            </w:r>
          </w:p>
          <w:p w14:paraId="1FFD9910">
            <w:pPr>
              <w:widowControl/>
              <w:numPr>
                <w:ilvl w:val="0"/>
                <w:numId w:val="41"/>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报警数据统计</w:t>
            </w:r>
          </w:p>
          <w:p w14:paraId="27A1C5A6">
            <w:pPr>
              <w:widowControl/>
              <w:numPr>
                <w:ilvl w:val="0"/>
                <w:numId w:val="50"/>
              </w:numPr>
              <w:ind w:left="0" w:firstLine="0"/>
              <w:jc w:val="left"/>
              <w:rPr>
                <w:rFonts w:ascii="宋体" w:hAnsi="宋体" w:cs="宋体"/>
                <w:color w:val="auto"/>
                <w:sz w:val="24"/>
                <w:szCs w:val="24"/>
              </w:rPr>
            </w:pPr>
            <w:r>
              <w:rPr>
                <w:rFonts w:hint="eastAsia" w:ascii="宋体" w:hAnsi="宋体" w:cs="宋体"/>
                <w:color w:val="auto"/>
                <w:sz w:val="24"/>
                <w:szCs w:val="24"/>
              </w:rPr>
              <w:t>食堂设备统计：下属食堂设备统计</w:t>
            </w:r>
          </w:p>
          <w:p w14:paraId="7045E0DE">
            <w:pPr>
              <w:widowControl/>
              <w:numPr>
                <w:ilvl w:val="0"/>
                <w:numId w:val="50"/>
              </w:numPr>
              <w:ind w:left="0" w:firstLine="0"/>
              <w:jc w:val="left"/>
              <w:rPr>
                <w:color w:val="auto"/>
              </w:rPr>
            </w:pPr>
            <w:r>
              <w:rPr>
                <w:rFonts w:hint="eastAsia" w:ascii="宋体" w:hAnsi="宋体" w:cs="宋体"/>
                <w:color w:val="auto"/>
                <w:sz w:val="24"/>
                <w:szCs w:val="24"/>
              </w:rPr>
              <w:t>数智场景统计：下属食堂场景统计</w:t>
            </w:r>
          </w:p>
          <w:p w14:paraId="785DE6E2">
            <w:pPr>
              <w:widowControl/>
              <w:jc w:val="left"/>
              <w:rPr>
                <w:color w:val="auto"/>
              </w:rPr>
            </w:pPr>
            <w:r>
              <w:rPr>
                <w:rFonts w:ascii="宋体" w:hAnsi="宋体" w:cs="宋体"/>
                <w:color w:val="auto"/>
                <w:sz w:val="24"/>
                <w:szCs w:val="24"/>
              </w:rPr>
              <w:t>8.可通过移动H5页面进行用餐评价互动；可扫码上</w:t>
            </w:r>
            <w:r>
              <w:rPr>
                <w:rFonts w:hint="eastAsia" w:ascii="宋体" w:hAnsi="宋体" w:cs="宋体"/>
                <w:color w:val="auto"/>
                <w:sz w:val="24"/>
                <w:szCs w:val="24"/>
              </w:rPr>
              <w:t>传意见反馈信息；餐厅经理可收到反馈信息；可进行建议处理和电话拨打回访。</w:t>
            </w:r>
          </w:p>
        </w:tc>
        <w:tc>
          <w:tcPr>
            <w:tcW w:w="557" w:type="pct"/>
            <w:vAlign w:val="center"/>
          </w:tcPr>
          <w:p w14:paraId="0B49F5B6">
            <w:pPr>
              <w:spacing w:line="460" w:lineRule="exact"/>
              <w:jc w:val="center"/>
              <w:rPr>
                <w:rFonts w:ascii="宋体" w:hAnsi="宋体" w:cs="宋体"/>
                <w:color w:val="auto"/>
                <w:sz w:val="24"/>
                <w:szCs w:val="24"/>
              </w:rPr>
            </w:pPr>
            <w:r>
              <w:rPr>
                <w:rFonts w:hint="eastAsia" w:ascii="宋体" w:hAnsi="宋体" w:cs="宋体"/>
                <w:color w:val="auto"/>
                <w:sz w:val="24"/>
                <w:szCs w:val="24"/>
              </w:rPr>
              <w:t>项</w:t>
            </w:r>
          </w:p>
        </w:tc>
        <w:tc>
          <w:tcPr>
            <w:tcW w:w="735" w:type="pct"/>
            <w:vAlign w:val="center"/>
          </w:tcPr>
          <w:p w14:paraId="32398F65">
            <w:pPr>
              <w:spacing w:line="460" w:lineRule="exact"/>
              <w:jc w:val="center"/>
              <w:rPr>
                <w:rFonts w:ascii="宋体" w:hAnsi="宋体" w:cs="宋体"/>
                <w:color w:val="auto"/>
                <w:sz w:val="24"/>
                <w:szCs w:val="24"/>
              </w:rPr>
            </w:pPr>
            <w:r>
              <w:rPr>
                <w:rFonts w:ascii="宋体" w:hAnsi="宋体" w:cs="宋体"/>
                <w:color w:val="auto"/>
                <w:sz w:val="24"/>
                <w:szCs w:val="24"/>
              </w:rPr>
              <w:t>1</w:t>
            </w:r>
            <w:bookmarkStart w:id="245" w:name="_GoBack"/>
            <w:bookmarkEnd w:id="245"/>
          </w:p>
        </w:tc>
      </w:tr>
      <w:tr w14:paraId="0BEE7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38" w:type="pct"/>
            <w:vAlign w:val="center"/>
          </w:tcPr>
          <w:p w14:paraId="6E3F3E87">
            <w:pPr>
              <w:jc w:val="center"/>
              <w:rPr>
                <w:rFonts w:ascii="宋体" w:hAnsi="宋体" w:cs="宋体"/>
                <w:color w:val="auto"/>
                <w:sz w:val="24"/>
                <w:szCs w:val="24"/>
              </w:rPr>
            </w:pPr>
            <w:r>
              <w:rPr>
                <w:rFonts w:hint="eastAsia" w:ascii="宋体" w:hAnsi="宋体" w:cs="宋体"/>
                <w:color w:val="auto"/>
                <w:sz w:val="24"/>
                <w:szCs w:val="24"/>
              </w:rPr>
              <w:t>溯源管理</w:t>
            </w:r>
          </w:p>
          <w:p w14:paraId="2C1A6B47">
            <w:pPr>
              <w:jc w:val="center"/>
              <w:rPr>
                <w:rFonts w:ascii="宋体" w:hAnsi="宋体" w:cs="宋体"/>
                <w:color w:val="auto"/>
                <w:kern w:val="0"/>
                <w:sz w:val="24"/>
                <w:szCs w:val="24"/>
                <w:lang w:bidi="ar"/>
              </w:rPr>
            </w:pPr>
          </w:p>
        </w:tc>
        <w:tc>
          <w:tcPr>
            <w:tcW w:w="3067" w:type="pct"/>
          </w:tcPr>
          <w:p w14:paraId="6A537870">
            <w:pPr>
              <w:widowControl/>
              <w:numPr>
                <w:ilvl w:val="0"/>
                <w:numId w:val="51"/>
              </w:numPr>
              <w:ind w:left="0" w:firstLine="0"/>
              <w:jc w:val="left"/>
              <w:rPr>
                <w:rFonts w:ascii="宋体" w:hAnsi="宋体" w:cs="宋体"/>
                <w:color w:val="auto"/>
                <w:sz w:val="24"/>
                <w:szCs w:val="24"/>
              </w:rPr>
            </w:pPr>
            <w:r>
              <w:rPr>
                <w:rFonts w:hint="eastAsia" w:ascii="宋体" w:hAnsi="宋体" w:cs="宋体"/>
                <w:color w:val="auto"/>
                <w:sz w:val="24"/>
                <w:szCs w:val="24"/>
              </w:rPr>
              <w:t>溯源管理配置</w:t>
            </w:r>
          </w:p>
          <w:p w14:paraId="26167CCE">
            <w:pPr>
              <w:widowControl/>
              <w:numPr>
                <w:ilvl w:val="0"/>
                <w:numId w:val="52"/>
              </w:numPr>
              <w:ind w:firstLine="0"/>
              <w:jc w:val="left"/>
              <w:rPr>
                <w:rFonts w:ascii="宋体" w:hAnsi="宋体" w:cs="宋体"/>
                <w:color w:val="auto"/>
                <w:sz w:val="24"/>
                <w:szCs w:val="24"/>
              </w:rPr>
            </w:pPr>
            <w:r>
              <w:rPr>
                <w:rFonts w:hint="eastAsia" w:ascii="宋体" w:hAnsi="宋体" w:cs="宋体"/>
                <w:color w:val="auto"/>
                <w:sz w:val="24"/>
                <w:szCs w:val="24"/>
              </w:rPr>
              <w:t>供货商维护设置：支持开通供货商审核功能（需审核食堂、审核人），下属食堂维护供货商时，需由指定人审核通过后，方可生效</w:t>
            </w:r>
          </w:p>
          <w:p w14:paraId="6A5E487E">
            <w:pPr>
              <w:widowControl/>
              <w:numPr>
                <w:ilvl w:val="0"/>
                <w:numId w:val="52"/>
              </w:numPr>
              <w:ind w:firstLine="0"/>
              <w:jc w:val="left"/>
              <w:rPr>
                <w:rFonts w:ascii="宋体" w:hAnsi="宋体" w:cs="宋体"/>
                <w:color w:val="auto"/>
                <w:sz w:val="24"/>
                <w:szCs w:val="24"/>
              </w:rPr>
            </w:pPr>
            <w:r>
              <w:rPr>
                <w:rFonts w:hint="eastAsia" w:ascii="宋体" w:hAnsi="宋体" w:cs="宋体"/>
                <w:color w:val="auto"/>
                <w:sz w:val="24"/>
                <w:szCs w:val="24"/>
              </w:rPr>
              <w:t>消息推送设置：入库验收统计消息推送配置（时间、推送人）</w:t>
            </w:r>
          </w:p>
          <w:p w14:paraId="425AF5FC">
            <w:pPr>
              <w:widowControl/>
              <w:numPr>
                <w:ilvl w:val="0"/>
                <w:numId w:val="52"/>
              </w:numPr>
              <w:ind w:firstLine="0"/>
              <w:jc w:val="left"/>
              <w:rPr>
                <w:color w:val="auto"/>
              </w:rPr>
            </w:pPr>
            <w:r>
              <w:rPr>
                <w:rFonts w:hint="eastAsia" w:ascii="宋体" w:hAnsi="宋体" w:cs="宋体"/>
                <w:color w:val="auto"/>
                <w:sz w:val="24"/>
                <w:szCs w:val="24"/>
              </w:rPr>
              <w:t>报单审核设置：支持开通报单审核功能（需审核食堂、审核人），下属食堂进行食材报单时，需由制定人审核通过后，方可生效，可进行采购验收</w:t>
            </w:r>
          </w:p>
          <w:p w14:paraId="2B0F6F5D">
            <w:pPr>
              <w:widowControl/>
              <w:numPr>
                <w:ilvl w:val="0"/>
                <w:numId w:val="51"/>
              </w:numPr>
              <w:ind w:left="0" w:firstLine="0"/>
              <w:jc w:val="left"/>
              <w:rPr>
                <w:rFonts w:ascii="宋体" w:hAnsi="宋体" w:cs="宋体"/>
                <w:color w:val="auto"/>
                <w:sz w:val="24"/>
                <w:szCs w:val="24"/>
              </w:rPr>
            </w:pPr>
            <w:r>
              <w:rPr>
                <w:rFonts w:hint="eastAsia" w:ascii="宋体" w:hAnsi="宋体" w:cs="宋体"/>
                <w:color w:val="auto"/>
                <w:sz w:val="24"/>
                <w:szCs w:val="24"/>
              </w:rPr>
              <w:t>原料管理</w:t>
            </w:r>
          </w:p>
          <w:p w14:paraId="027552C0">
            <w:pPr>
              <w:widowControl/>
              <w:numPr>
                <w:ilvl w:val="0"/>
                <w:numId w:val="53"/>
              </w:numPr>
              <w:ind w:firstLine="0"/>
              <w:jc w:val="left"/>
              <w:rPr>
                <w:rFonts w:ascii="宋体" w:hAnsi="宋体" w:cs="宋体"/>
                <w:color w:val="auto"/>
                <w:sz w:val="24"/>
                <w:szCs w:val="24"/>
              </w:rPr>
            </w:pPr>
            <w:r>
              <w:rPr>
                <w:rFonts w:hint="eastAsia" w:ascii="宋体" w:hAnsi="宋体" w:cs="宋体"/>
                <w:color w:val="auto"/>
                <w:sz w:val="24"/>
                <w:szCs w:val="24"/>
              </w:rPr>
              <w:t>食堂原料库：支持查看下属食堂原料库数据统计情况，同时支持详情查看</w:t>
            </w:r>
          </w:p>
          <w:p w14:paraId="7D24708E">
            <w:pPr>
              <w:widowControl/>
              <w:numPr>
                <w:ilvl w:val="0"/>
                <w:numId w:val="53"/>
              </w:numPr>
              <w:ind w:firstLine="0"/>
              <w:jc w:val="left"/>
              <w:rPr>
                <w:color w:val="auto"/>
              </w:rPr>
            </w:pPr>
            <w:r>
              <w:rPr>
                <w:rFonts w:hint="eastAsia" w:ascii="宋体" w:hAnsi="宋体" w:cs="宋体"/>
                <w:color w:val="auto"/>
                <w:sz w:val="24"/>
                <w:szCs w:val="24"/>
              </w:rPr>
              <w:t>原料库管理：支持建立统一的原料库，同步至下属食堂使用</w:t>
            </w:r>
          </w:p>
          <w:p w14:paraId="42421E67">
            <w:pPr>
              <w:widowControl/>
              <w:numPr>
                <w:ilvl w:val="0"/>
                <w:numId w:val="51"/>
              </w:numPr>
              <w:ind w:left="0" w:firstLine="0"/>
              <w:jc w:val="left"/>
              <w:rPr>
                <w:rFonts w:ascii="宋体" w:hAnsi="宋体" w:cs="宋体"/>
                <w:color w:val="auto"/>
                <w:sz w:val="24"/>
                <w:szCs w:val="24"/>
              </w:rPr>
            </w:pPr>
            <w:r>
              <w:rPr>
                <w:rFonts w:hint="eastAsia" w:ascii="宋体" w:hAnsi="宋体" w:cs="宋体"/>
                <w:color w:val="auto"/>
                <w:sz w:val="24"/>
                <w:szCs w:val="24"/>
              </w:rPr>
              <w:t>供货商管理</w:t>
            </w:r>
          </w:p>
          <w:p w14:paraId="435A3A6B">
            <w:pPr>
              <w:widowControl/>
              <w:numPr>
                <w:ilvl w:val="0"/>
                <w:numId w:val="54"/>
              </w:numPr>
              <w:ind w:firstLine="0"/>
              <w:jc w:val="left"/>
              <w:rPr>
                <w:rFonts w:ascii="宋体" w:hAnsi="宋体" w:cs="宋体"/>
                <w:color w:val="auto"/>
                <w:sz w:val="24"/>
                <w:szCs w:val="24"/>
              </w:rPr>
            </w:pPr>
            <w:r>
              <w:rPr>
                <w:rFonts w:hint="eastAsia" w:ascii="宋体" w:hAnsi="宋体" w:cs="宋体"/>
                <w:color w:val="auto"/>
                <w:sz w:val="24"/>
                <w:szCs w:val="24"/>
              </w:rPr>
              <w:t>食堂供货统计：支持查看下属食堂供货商数据统计结果，同时支持进行供货商资质信息查看</w:t>
            </w:r>
          </w:p>
          <w:p w14:paraId="1F68B28D">
            <w:pPr>
              <w:widowControl/>
              <w:numPr>
                <w:ilvl w:val="0"/>
                <w:numId w:val="54"/>
              </w:numPr>
              <w:ind w:firstLine="0"/>
              <w:jc w:val="left"/>
              <w:rPr>
                <w:rFonts w:ascii="宋体" w:hAnsi="宋体" w:cs="宋体"/>
                <w:color w:val="auto"/>
                <w:sz w:val="24"/>
                <w:szCs w:val="24"/>
              </w:rPr>
            </w:pPr>
            <w:r>
              <w:rPr>
                <w:rFonts w:hint="eastAsia" w:ascii="宋体" w:hAnsi="宋体" w:cs="宋体"/>
                <w:color w:val="auto"/>
                <w:sz w:val="24"/>
                <w:szCs w:val="24"/>
              </w:rPr>
              <w:t>供货商库管理：支持建立统一的食材供货商库，同步至下属食堂使用</w:t>
            </w:r>
          </w:p>
          <w:p w14:paraId="27D2D912">
            <w:pPr>
              <w:widowControl/>
              <w:numPr>
                <w:ilvl w:val="0"/>
                <w:numId w:val="54"/>
              </w:numPr>
              <w:ind w:firstLine="0"/>
              <w:jc w:val="left"/>
              <w:rPr>
                <w:color w:val="auto"/>
              </w:rPr>
            </w:pPr>
            <w:r>
              <w:rPr>
                <w:rFonts w:hint="eastAsia" w:ascii="宋体" w:hAnsi="宋体" w:cs="宋体"/>
                <w:color w:val="auto"/>
                <w:sz w:val="24"/>
                <w:szCs w:val="24"/>
              </w:rPr>
              <w:t>供货商审核：针对有审核权限人员，可进行下属食堂维护供货商时，进行审核操作（仅权限人员可查看该页面）</w:t>
            </w:r>
          </w:p>
          <w:p w14:paraId="004435B1">
            <w:pPr>
              <w:widowControl/>
              <w:numPr>
                <w:ilvl w:val="0"/>
                <w:numId w:val="51"/>
              </w:numPr>
              <w:ind w:left="0" w:firstLine="0"/>
              <w:jc w:val="left"/>
              <w:rPr>
                <w:rFonts w:ascii="宋体" w:hAnsi="宋体" w:cs="宋体"/>
                <w:color w:val="auto"/>
                <w:sz w:val="24"/>
                <w:szCs w:val="24"/>
              </w:rPr>
            </w:pPr>
            <w:r>
              <w:rPr>
                <w:rFonts w:hint="eastAsia" w:ascii="宋体" w:hAnsi="宋体" w:cs="宋体"/>
                <w:color w:val="auto"/>
                <w:sz w:val="24"/>
                <w:szCs w:val="24"/>
              </w:rPr>
              <w:t>报单记录</w:t>
            </w:r>
          </w:p>
          <w:p w14:paraId="7EA80978">
            <w:pPr>
              <w:widowControl/>
              <w:numPr>
                <w:ilvl w:val="0"/>
                <w:numId w:val="55"/>
              </w:numPr>
              <w:ind w:firstLine="0"/>
              <w:jc w:val="left"/>
              <w:rPr>
                <w:rFonts w:ascii="宋体" w:hAnsi="宋体" w:cs="宋体"/>
                <w:color w:val="auto"/>
                <w:sz w:val="24"/>
                <w:szCs w:val="24"/>
              </w:rPr>
            </w:pPr>
            <w:r>
              <w:rPr>
                <w:rFonts w:hint="eastAsia" w:ascii="宋体" w:hAnsi="宋体" w:cs="宋体"/>
                <w:color w:val="auto"/>
                <w:sz w:val="24"/>
                <w:szCs w:val="24"/>
              </w:rPr>
              <w:t>支持查看下属食堂所报单记录（进行中、已验收等），及查看食材明细</w:t>
            </w:r>
          </w:p>
          <w:p w14:paraId="53FFA3CC">
            <w:pPr>
              <w:widowControl/>
              <w:numPr>
                <w:ilvl w:val="0"/>
                <w:numId w:val="55"/>
              </w:numPr>
              <w:ind w:firstLine="0"/>
              <w:jc w:val="left"/>
              <w:rPr>
                <w:color w:val="auto"/>
              </w:rPr>
            </w:pPr>
            <w:r>
              <w:rPr>
                <w:rFonts w:hint="eastAsia" w:ascii="宋体" w:hAnsi="宋体" w:cs="宋体"/>
                <w:color w:val="auto"/>
                <w:sz w:val="24"/>
                <w:szCs w:val="24"/>
              </w:rPr>
              <w:t>支持有审核权限人员进行食堂提报报单记录进行审核</w:t>
            </w:r>
          </w:p>
          <w:p w14:paraId="5B486FC1">
            <w:pPr>
              <w:widowControl/>
              <w:numPr>
                <w:ilvl w:val="0"/>
                <w:numId w:val="51"/>
              </w:numPr>
              <w:ind w:left="0" w:firstLine="0"/>
              <w:jc w:val="left"/>
              <w:rPr>
                <w:rFonts w:ascii="宋体" w:hAnsi="宋体" w:cs="宋体"/>
                <w:color w:val="auto"/>
                <w:sz w:val="24"/>
                <w:szCs w:val="24"/>
              </w:rPr>
            </w:pPr>
            <w:r>
              <w:rPr>
                <w:rFonts w:hint="eastAsia" w:ascii="宋体" w:hAnsi="宋体" w:cs="宋体"/>
                <w:color w:val="auto"/>
                <w:sz w:val="24"/>
                <w:szCs w:val="24"/>
              </w:rPr>
              <w:t>验收记录</w:t>
            </w:r>
          </w:p>
          <w:p w14:paraId="6B1F5F9E">
            <w:pPr>
              <w:widowControl/>
              <w:jc w:val="left"/>
              <w:rPr>
                <w:rFonts w:ascii="宋体" w:hAnsi="宋体" w:cs="宋体"/>
                <w:color w:val="auto"/>
                <w:sz w:val="24"/>
                <w:szCs w:val="24"/>
              </w:rPr>
            </w:pPr>
            <w:r>
              <w:rPr>
                <w:rFonts w:hint="eastAsia" w:ascii="宋体" w:hAnsi="宋体" w:cs="宋体"/>
                <w:color w:val="auto"/>
                <w:sz w:val="24"/>
                <w:szCs w:val="24"/>
              </w:rPr>
              <w:t>支持查看下属食堂验收记录（进行中、已完成），及查看食材验收明细、索证索票</w:t>
            </w:r>
          </w:p>
          <w:p w14:paraId="0FB06E58">
            <w:pPr>
              <w:widowControl/>
              <w:numPr>
                <w:ilvl w:val="0"/>
                <w:numId w:val="51"/>
              </w:numPr>
              <w:ind w:left="0" w:firstLine="0"/>
              <w:jc w:val="left"/>
              <w:rPr>
                <w:rFonts w:ascii="宋体" w:hAnsi="宋体" w:cs="宋体"/>
                <w:color w:val="auto"/>
                <w:sz w:val="24"/>
                <w:szCs w:val="24"/>
              </w:rPr>
            </w:pPr>
            <w:r>
              <w:rPr>
                <w:rFonts w:hint="eastAsia" w:ascii="宋体" w:hAnsi="宋体" w:cs="宋体"/>
                <w:color w:val="auto"/>
                <w:sz w:val="24"/>
                <w:szCs w:val="24"/>
              </w:rPr>
              <w:t>异常记录</w:t>
            </w:r>
          </w:p>
          <w:p w14:paraId="3BE4DB0A">
            <w:pPr>
              <w:widowControl/>
              <w:jc w:val="left"/>
              <w:rPr>
                <w:rFonts w:ascii="宋体" w:hAnsi="宋体" w:cs="宋体"/>
                <w:color w:val="auto"/>
                <w:sz w:val="24"/>
                <w:szCs w:val="24"/>
              </w:rPr>
            </w:pPr>
            <w:r>
              <w:rPr>
                <w:rFonts w:hint="eastAsia" w:ascii="宋体" w:hAnsi="宋体" w:cs="宋体"/>
                <w:color w:val="auto"/>
                <w:sz w:val="24"/>
                <w:szCs w:val="24"/>
              </w:rPr>
              <w:t>支持查看下属食堂验收中记录的异常验收记录，及查看详细异常情况</w:t>
            </w:r>
          </w:p>
          <w:p w14:paraId="426CC2AB">
            <w:pPr>
              <w:widowControl/>
              <w:numPr>
                <w:ilvl w:val="0"/>
                <w:numId w:val="51"/>
              </w:numPr>
              <w:ind w:left="0" w:firstLine="0"/>
              <w:jc w:val="left"/>
              <w:rPr>
                <w:rFonts w:ascii="宋体" w:hAnsi="宋体" w:cs="宋体"/>
                <w:color w:val="auto"/>
                <w:sz w:val="24"/>
                <w:szCs w:val="24"/>
              </w:rPr>
            </w:pPr>
            <w:r>
              <w:rPr>
                <w:rFonts w:hint="eastAsia" w:ascii="宋体" w:hAnsi="宋体" w:cs="宋体"/>
                <w:color w:val="auto"/>
                <w:sz w:val="24"/>
                <w:szCs w:val="24"/>
              </w:rPr>
              <w:t>库存管理</w:t>
            </w:r>
          </w:p>
          <w:p w14:paraId="26678352">
            <w:pPr>
              <w:widowControl/>
              <w:numPr>
                <w:ilvl w:val="0"/>
                <w:numId w:val="56"/>
              </w:numPr>
              <w:ind w:firstLine="0"/>
              <w:jc w:val="left"/>
              <w:rPr>
                <w:rFonts w:ascii="宋体" w:hAnsi="宋体" w:cs="宋体"/>
                <w:color w:val="auto"/>
                <w:sz w:val="24"/>
                <w:szCs w:val="24"/>
              </w:rPr>
            </w:pPr>
            <w:r>
              <w:rPr>
                <w:rFonts w:hint="eastAsia" w:ascii="宋体" w:hAnsi="宋体" w:cs="宋体"/>
                <w:color w:val="auto"/>
                <w:sz w:val="24"/>
                <w:szCs w:val="24"/>
              </w:rPr>
              <w:t>支持查看下属食堂食材库存情况</w:t>
            </w:r>
          </w:p>
          <w:p w14:paraId="317932A3">
            <w:pPr>
              <w:widowControl/>
              <w:numPr>
                <w:ilvl w:val="0"/>
                <w:numId w:val="56"/>
              </w:numPr>
              <w:ind w:firstLine="0"/>
              <w:jc w:val="left"/>
              <w:rPr>
                <w:rFonts w:ascii="宋体" w:hAnsi="宋体" w:cs="宋体"/>
                <w:color w:val="auto"/>
                <w:sz w:val="24"/>
                <w:szCs w:val="24"/>
              </w:rPr>
            </w:pPr>
            <w:r>
              <w:rPr>
                <w:rFonts w:hint="eastAsia" w:ascii="宋体" w:hAnsi="宋体" w:cs="宋体"/>
                <w:color w:val="auto"/>
                <w:sz w:val="24"/>
                <w:szCs w:val="24"/>
              </w:rPr>
              <w:t>支持查看下属食堂食材入库、拆分情况</w:t>
            </w:r>
          </w:p>
          <w:p w14:paraId="79B0FE8C">
            <w:pPr>
              <w:widowControl/>
              <w:numPr>
                <w:ilvl w:val="0"/>
                <w:numId w:val="56"/>
              </w:numPr>
              <w:ind w:firstLine="0"/>
              <w:jc w:val="left"/>
              <w:rPr>
                <w:color w:val="auto"/>
              </w:rPr>
            </w:pPr>
            <w:r>
              <w:rPr>
                <w:rFonts w:hint="eastAsia" w:ascii="宋体" w:hAnsi="宋体" w:cs="宋体"/>
                <w:color w:val="auto"/>
                <w:sz w:val="24"/>
                <w:szCs w:val="24"/>
              </w:rPr>
              <w:t>支持查看下属食堂各食材仓库库存，存放食材信息</w:t>
            </w:r>
          </w:p>
          <w:p w14:paraId="6F9FEF1B">
            <w:pPr>
              <w:widowControl/>
              <w:numPr>
                <w:ilvl w:val="0"/>
                <w:numId w:val="51"/>
              </w:numPr>
              <w:ind w:left="0" w:firstLine="0"/>
              <w:jc w:val="left"/>
              <w:rPr>
                <w:rFonts w:ascii="宋体" w:hAnsi="宋体" w:cs="宋体"/>
                <w:color w:val="auto"/>
                <w:sz w:val="24"/>
                <w:szCs w:val="24"/>
              </w:rPr>
            </w:pPr>
            <w:r>
              <w:rPr>
                <w:rFonts w:hint="eastAsia" w:ascii="宋体" w:hAnsi="宋体" w:cs="宋体"/>
                <w:color w:val="auto"/>
                <w:sz w:val="24"/>
                <w:szCs w:val="24"/>
              </w:rPr>
              <w:t>出库记录</w:t>
            </w:r>
          </w:p>
          <w:p w14:paraId="3D30FDFD">
            <w:pPr>
              <w:widowControl/>
              <w:jc w:val="left"/>
              <w:rPr>
                <w:rFonts w:ascii="宋体" w:hAnsi="宋体" w:cs="宋体"/>
                <w:color w:val="auto"/>
                <w:sz w:val="24"/>
                <w:szCs w:val="24"/>
              </w:rPr>
            </w:pPr>
            <w:r>
              <w:rPr>
                <w:rFonts w:hint="eastAsia" w:ascii="宋体" w:hAnsi="宋体" w:cs="宋体"/>
                <w:color w:val="auto"/>
                <w:sz w:val="24"/>
                <w:szCs w:val="24"/>
              </w:rPr>
              <w:t>支持查看下属食堂出库记录，及查看详细档口出库、出库内容、签字图片</w:t>
            </w:r>
          </w:p>
        </w:tc>
        <w:tc>
          <w:tcPr>
            <w:tcW w:w="557" w:type="pct"/>
            <w:vAlign w:val="center"/>
          </w:tcPr>
          <w:p w14:paraId="01F4F3B9">
            <w:pPr>
              <w:spacing w:line="460" w:lineRule="exact"/>
              <w:jc w:val="center"/>
              <w:rPr>
                <w:rFonts w:ascii="宋体" w:hAnsi="宋体" w:cs="宋体"/>
                <w:color w:val="auto"/>
                <w:sz w:val="24"/>
                <w:szCs w:val="24"/>
              </w:rPr>
            </w:pPr>
            <w:r>
              <w:rPr>
                <w:rFonts w:hint="eastAsia" w:ascii="宋体" w:hAnsi="宋体" w:cs="宋体"/>
                <w:color w:val="auto"/>
                <w:sz w:val="24"/>
                <w:szCs w:val="24"/>
              </w:rPr>
              <w:t>项</w:t>
            </w:r>
          </w:p>
        </w:tc>
        <w:tc>
          <w:tcPr>
            <w:tcW w:w="735" w:type="pct"/>
            <w:vAlign w:val="center"/>
          </w:tcPr>
          <w:p w14:paraId="3C481939">
            <w:pPr>
              <w:spacing w:line="460" w:lineRule="exact"/>
              <w:jc w:val="center"/>
              <w:rPr>
                <w:rFonts w:ascii="宋体" w:hAnsi="宋体" w:cs="宋体"/>
                <w:color w:val="auto"/>
                <w:sz w:val="24"/>
                <w:szCs w:val="24"/>
              </w:rPr>
            </w:pPr>
            <w:r>
              <w:rPr>
                <w:rFonts w:ascii="宋体" w:hAnsi="宋体" w:cs="宋体"/>
                <w:color w:val="auto"/>
                <w:sz w:val="24"/>
                <w:szCs w:val="24"/>
              </w:rPr>
              <w:t>1</w:t>
            </w:r>
          </w:p>
        </w:tc>
      </w:tr>
      <w:tr w14:paraId="4D1E7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38" w:type="pct"/>
            <w:vAlign w:val="center"/>
          </w:tcPr>
          <w:p w14:paraId="63BC01F4">
            <w:pPr>
              <w:jc w:val="center"/>
              <w:rPr>
                <w:rFonts w:ascii="宋体" w:hAnsi="宋体" w:cs="宋体"/>
                <w:color w:val="auto"/>
                <w:sz w:val="24"/>
                <w:szCs w:val="24"/>
              </w:rPr>
            </w:pPr>
            <w:r>
              <w:rPr>
                <w:rFonts w:hint="eastAsia" w:ascii="宋体" w:hAnsi="宋体" w:cs="宋体"/>
                <w:color w:val="auto"/>
                <w:sz w:val="24"/>
                <w:szCs w:val="24"/>
              </w:rPr>
              <w:t>消息中心</w:t>
            </w:r>
          </w:p>
          <w:p w14:paraId="7756E6E9">
            <w:pPr>
              <w:jc w:val="center"/>
              <w:rPr>
                <w:rFonts w:ascii="宋体" w:hAnsi="宋体" w:cs="宋体"/>
                <w:color w:val="auto"/>
                <w:kern w:val="0"/>
                <w:sz w:val="24"/>
                <w:szCs w:val="24"/>
                <w:lang w:bidi="ar"/>
              </w:rPr>
            </w:pPr>
          </w:p>
        </w:tc>
        <w:tc>
          <w:tcPr>
            <w:tcW w:w="3067" w:type="pct"/>
          </w:tcPr>
          <w:p w14:paraId="2F1042BD">
            <w:pPr>
              <w:widowControl/>
              <w:numPr>
                <w:ilvl w:val="0"/>
                <w:numId w:val="57"/>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消息发布</w:t>
            </w:r>
          </w:p>
          <w:p w14:paraId="38EEC26B">
            <w:pPr>
              <w:widowControl/>
              <w:numPr>
                <w:ilvl w:val="0"/>
                <w:numId w:val="58"/>
              </w:numPr>
              <w:ind w:left="0" w:firstLine="0"/>
              <w:jc w:val="left"/>
              <w:rPr>
                <w:color w:val="auto"/>
              </w:rPr>
            </w:pPr>
            <w:r>
              <w:rPr>
                <w:rFonts w:hint="eastAsia" w:ascii="宋体" w:hAnsi="宋体" w:cs="宋体"/>
                <w:color w:val="auto"/>
                <w:sz w:val="24"/>
                <w:szCs w:val="24"/>
              </w:rPr>
              <w:t>支持用户发布消息</w:t>
            </w:r>
          </w:p>
          <w:p w14:paraId="4C1B7CD8">
            <w:pPr>
              <w:widowControl/>
              <w:numPr>
                <w:ilvl w:val="0"/>
                <w:numId w:val="57"/>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消息记录</w:t>
            </w:r>
          </w:p>
          <w:p w14:paraId="36C28659">
            <w:pPr>
              <w:widowControl/>
              <w:numPr>
                <w:ilvl w:val="0"/>
                <w:numId w:val="59"/>
              </w:numPr>
              <w:ind w:left="0" w:firstLine="0"/>
              <w:jc w:val="left"/>
              <w:rPr>
                <w:rFonts w:ascii="宋体" w:hAnsi="宋体" w:cs="宋体"/>
                <w:color w:val="auto"/>
                <w:sz w:val="24"/>
                <w:szCs w:val="24"/>
              </w:rPr>
            </w:pPr>
            <w:r>
              <w:rPr>
                <w:rFonts w:hint="eastAsia" w:ascii="宋体" w:hAnsi="宋体" w:cs="宋体"/>
                <w:color w:val="auto"/>
                <w:sz w:val="24"/>
                <w:szCs w:val="24"/>
              </w:rPr>
              <w:t>系统消息</w:t>
            </w:r>
          </w:p>
          <w:p w14:paraId="25088C48">
            <w:pPr>
              <w:widowControl/>
              <w:jc w:val="left"/>
              <w:rPr>
                <w:rFonts w:ascii="宋体" w:hAnsi="宋体" w:cs="宋体"/>
                <w:color w:val="auto"/>
                <w:sz w:val="24"/>
                <w:szCs w:val="24"/>
              </w:rPr>
            </w:pPr>
            <w:r>
              <w:rPr>
                <w:rFonts w:hint="eastAsia" w:ascii="宋体" w:hAnsi="宋体" w:cs="宋体"/>
                <w:color w:val="auto"/>
                <w:sz w:val="24"/>
                <w:szCs w:val="24"/>
              </w:rPr>
              <w:t>可指定角色发布系统消息</w:t>
            </w:r>
          </w:p>
          <w:p w14:paraId="4282F38E">
            <w:pPr>
              <w:widowControl/>
              <w:numPr>
                <w:ilvl w:val="0"/>
                <w:numId w:val="59"/>
              </w:numPr>
              <w:ind w:left="0" w:firstLine="0"/>
              <w:jc w:val="left"/>
              <w:rPr>
                <w:rFonts w:ascii="宋体" w:hAnsi="宋体" w:cs="宋体"/>
                <w:color w:val="auto"/>
                <w:sz w:val="24"/>
                <w:szCs w:val="24"/>
              </w:rPr>
            </w:pPr>
            <w:r>
              <w:rPr>
                <w:rFonts w:hint="eastAsia" w:ascii="宋体" w:hAnsi="宋体" w:cs="宋体"/>
                <w:color w:val="auto"/>
                <w:sz w:val="24"/>
                <w:szCs w:val="24"/>
              </w:rPr>
              <w:t>智能预警</w:t>
            </w:r>
          </w:p>
          <w:p w14:paraId="755C3FCA">
            <w:pPr>
              <w:widowControl/>
              <w:jc w:val="left"/>
              <w:rPr>
                <w:rFonts w:ascii="宋体" w:hAnsi="宋体" w:cs="宋体"/>
                <w:color w:val="auto"/>
                <w:sz w:val="24"/>
                <w:szCs w:val="24"/>
              </w:rPr>
            </w:pPr>
            <w:r>
              <w:rPr>
                <w:rFonts w:ascii="宋体" w:hAnsi="宋体" w:cs="宋体"/>
                <w:color w:val="auto"/>
                <w:sz w:val="24"/>
                <w:szCs w:val="24"/>
              </w:rPr>
              <w:t>AI设备报警消息接收</w:t>
            </w:r>
          </w:p>
          <w:p w14:paraId="1CA7A5A0">
            <w:pPr>
              <w:widowControl/>
              <w:numPr>
                <w:ilvl w:val="0"/>
                <w:numId w:val="59"/>
              </w:numPr>
              <w:ind w:left="0" w:firstLine="0"/>
              <w:jc w:val="left"/>
              <w:rPr>
                <w:rFonts w:ascii="宋体" w:hAnsi="宋体" w:cs="宋体"/>
                <w:color w:val="auto"/>
                <w:sz w:val="24"/>
                <w:szCs w:val="24"/>
              </w:rPr>
            </w:pPr>
            <w:r>
              <w:rPr>
                <w:rFonts w:hint="eastAsia" w:ascii="宋体" w:hAnsi="宋体" w:cs="宋体"/>
                <w:color w:val="auto"/>
                <w:sz w:val="24"/>
                <w:szCs w:val="24"/>
              </w:rPr>
              <w:t>物联预警</w:t>
            </w:r>
          </w:p>
          <w:p w14:paraId="4A3C8780">
            <w:pPr>
              <w:widowControl/>
              <w:jc w:val="left"/>
              <w:rPr>
                <w:rFonts w:ascii="宋体" w:hAnsi="宋体" w:cs="宋体"/>
                <w:color w:val="auto"/>
                <w:sz w:val="24"/>
                <w:szCs w:val="24"/>
              </w:rPr>
            </w:pPr>
            <w:r>
              <w:rPr>
                <w:rFonts w:hint="eastAsia" w:ascii="宋体" w:hAnsi="宋体" w:cs="宋体"/>
                <w:color w:val="auto"/>
                <w:sz w:val="24"/>
                <w:szCs w:val="24"/>
              </w:rPr>
              <w:t>物联传感设备的报警消息接收（包括场景的报警消息）</w:t>
            </w:r>
          </w:p>
          <w:p w14:paraId="2D6DD656">
            <w:pPr>
              <w:widowControl/>
              <w:jc w:val="left"/>
              <w:rPr>
                <w:color w:val="auto"/>
              </w:rPr>
            </w:pPr>
            <w:r>
              <w:rPr>
                <w:rFonts w:ascii="宋体" w:hAnsi="宋体" w:cs="宋体"/>
                <w:color w:val="auto"/>
                <w:sz w:val="24"/>
                <w:szCs w:val="24"/>
              </w:rPr>
              <w:t>3.可对APP端发送消息提醒；可发送消息提醒给下辖组织、角色部门和个人；负责人可收到信息通知。</w:t>
            </w:r>
          </w:p>
        </w:tc>
        <w:tc>
          <w:tcPr>
            <w:tcW w:w="557" w:type="pct"/>
            <w:vAlign w:val="center"/>
          </w:tcPr>
          <w:p w14:paraId="4F13336C">
            <w:pPr>
              <w:spacing w:line="460" w:lineRule="exact"/>
              <w:jc w:val="center"/>
              <w:rPr>
                <w:rFonts w:ascii="宋体" w:hAnsi="宋体" w:cs="宋体"/>
                <w:color w:val="auto"/>
                <w:sz w:val="24"/>
                <w:szCs w:val="24"/>
              </w:rPr>
            </w:pPr>
            <w:r>
              <w:rPr>
                <w:rFonts w:hint="eastAsia" w:ascii="宋体" w:hAnsi="宋体" w:cs="宋体"/>
                <w:color w:val="auto"/>
                <w:sz w:val="24"/>
                <w:szCs w:val="24"/>
              </w:rPr>
              <w:t>项</w:t>
            </w:r>
          </w:p>
        </w:tc>
        <w:tc>
          <w:tcPr>
            <w:tcW w:w="735" w:type="pct"/>
            <w:vAlign w:val="center"/>
          </w:tcPr>
          <w:p w14:paraId="4891BE13">
            <w:pPr>
              <w:spacing w:line="460" w:lineRule="exact"/>
              <w:jc w:val="center"/>
              <w:rPr>
                <w:rFonts w:ascii="宋体" w:hAnsi="宋体" w:cs="宋体"/>
                <w:color w:val="auto"/>
                <w:sz w:val="24"/>
                <w:szCs w:val="24"/>
              </w:rPr>
            </w:pPr>
            <w:r>
              <w:rPr>
                <w:rFonts w:ascii="宋体" w:hAnsi="宋体" w:cs="宋体"/>
                <w:color w:val="auto"/>
                <w:sz w:val="24"/>
                <w:szCs w:val="24"/>
              </w:rPr>
              <w:t>1</w:t>
            </w:r>
          </w:p>
        </w:tc>
      </w:tr>
      <w:tr w14:paraId="672AD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38" w:type="pct"/>
            <w:vAlign w:val="center"/>
          </w:tcPr>
          <w:p w14:paraId="6158D8FF">
            <w:pPr>
              <w:jc w:val="center"/>
              <w:rPr>
                <w:rFonts w:ascii="宋体" w:hAnsi="宋体" w:cs="宋体"/>
                <w:color w:val="auto"/>
                <w:sz w:val="24"/>
                <w:szCs w:val="24"/>
              </w:rPr>
            </w:pPr>
            <w:r>
              <w:rPr>
                <w:rFonts w:hint="eastAsia" w:ascii="宋体" w:hAnsi="宋体" w:cs="宋体"/>
                <w:color w:val="auto"/>
                <w:sz w:val="24"/>
                <w:szCs w:val="24"/>
              </w:rPr>
              <w:t>人事管理</w:t>
            </w:r>
          </w:p>
          <w:p w14:paraId="0F828303">
            <w:pPr>
              <w:jc w:val="center"/>
              <w:rPr>
                <w:rFonts w:ascii="宋体" w:hAnsi="宋体" w:cs="宋体"/>
                <w:color w:val="auto"/>
                <w:kern w:val="0"/>
                <w:sz w:val="24"/>
                <w:szCs w:val="24"/>
                <w:lang w:bidi="ar"/>
              </w:rPr>
            </w:pPr>
          </w:p>
        </w:tc>
        <w:tc>
          <w:tcPr>
            <w:tcW w:w="3067" w:type="pct"/>
          </w:tcPr>
          <w:p w14:paraId="646356C6">
            <w:pPr>
              <w:widowControl/>
              <w:numPr>
                <w:ilvl w:val="0"/>
                <w:numId w:val="60"/>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员工管理</w:t>
            </w:r>
          </w:p>
          <w:p w14:paraId="45F4A187">
            <w:pPr>
              <w:widowControl/>
              <w:numPr>
                <w:ilvl w:val="0"/>
                <w:numId w:val="61"/>
              </w:numPr>
              <w:ind w:left="0" w:firstLine="0"/>
              <w:jc w:val="left"/>
              <w:rPr>
                <w:rFonts w:ascii="宋体" w:hAnsi="宋体" w:cs="宋体"/>
                <w:color w:val="auto"/>
                <w:sz w:val="24"/>
                <w:szCs w:val="24"/>
              </w:rPr>
            </w:pPr>
            <w:r>
              <w:rPr>
                <w:rFonts w:hint="eastAsia" w:ascii="宋体" w:hAnsi="宋体" w:cs="宋体"/>
                <w:color w:val="auto"/>
                <w:sz w:val="24"/>
                <w:szCs w:val="24"/>
              </w:rPr>
              <w:t>学校员工</w:t>
            </w:r>
          </w:p>
          <w:p w14:paraId="5B83504A">
            <w:pPr>
              <w:widowControl/>
              <w:jc w:val="left"/>
              <w:rPr>
                <w:rFonts w:ascii="宋体" w:hAnsi="宋体" w:cs="宋体"/>
                <w:color w:val="auto"/>
                <w:sz w:val="24"/>
                <w:szCs w:val="24"/>
              </w:rPr>
            </w:pPr>
            <w:r>
              <w:rPr>
                <w:rFonts w:hint="eastAsia" w:ascii="宋体" w:hAnsi="宋体" w:cs="宋体"/>
                <w:color w:val="auto"/>
                <w:sz w:val="24"/>
                <w:szCs w:val="24"/>
              </w:rPr>
              <w:t>支持维护学校后勤部门员工信息，依据开启后厨门禁系统权限</w:t>
            </w:r>
          </w:p>
          <w:p w14:paraId="16C693FA">
            <w:pPr>
              <w:widowControl/>
              <w:numPr>
                <w:ilvl w:val="0"/>
                <w:numId w:val="61"/>
              </w:numPr>
              <w:ind w:left="0" w:firstLine="0"/>
              <w:jc w:val="left"/>
              <w:rPr>
                <w:rFonts w:ascii="宋体" w:hAnsi="宋体" w:cs="宋体"/>
                <w:color w:val="auto"/>
                <w:sz w:val="24"/>
                <w:szCs w:val="24"/>
              </w:rPr>
            </w:pPr>
            <w:r>
              <w:rPr>
                <w:rFonts w:hint="eastAsia" w:ascii="宋体" w:hAnsi="宋体" w:cs="宋体"/>
                <w:color w:val="auto"/>
                <w:sz w:val="24"/>
                <w:szCs w:val="24"/>
              </w:rPr>
              <w:t>食堂员工</w:t>
            </w:r>
          </w:p>
          <w:p w14:paraId="02AC571B">
            <w:pPr>
              <w:widowControl/>
              <w:jc w:val="left"/>
              <w:rPr>
                <w:rFonts w:ascii="宋体" w:hAnsi="宋体" w:cs="宋体"/>
                <w:color w:val="auto"/>
                <w:sz w:val="24"/>
                <w:szCs w:val="24"/>
              </w:rPr>
            </w:pPr>
            <w:r>
              <w:rPr>
                <w:rFonts w:hint="eastAsia" w:ascii="宋体" w:hAnsi="宋体" w:cs="宋体"/>
                <w:color w:val="auto"/>
                <w:sz w:val="24"/>
                <w:szCs w:val="24"/>
              </w:rPr>
              <w:t>支持查看、维护食堂员工信息</w:t>
            </w:r>
          </w:p>
          <w:p w14:paraId="03724FAB">
            <w:pPr>
              <w:widowControl/>
              <w:numPr>
                <w:ilvl w:val="0"/>
                <w:numId w:val="60"/>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食堂出勤</w:t>
            </w:r>
          </w:p>
          <w:p w14:paraId="2237173C">
            <w:pPr>
              <w:widowControl/>
              <w:numPr>
                <w:ilvl w:val="0"/>
                <w:numId w:val="62"/>
              </w:numPr>
              <w:ind w:left="0" w:firstLine="0"/>
              <w:jc w:val="left"/>
              <w:rPr>
                <w:rFonts w:ascii="宋体" w:hAnsi="宋体" w:cs="宋体"/>
                <w:color w:val="auto"/>
                <w:sz w:val="24"/>
                <w:szCs w:val="24"/>
              </w:rPr>
            </w:pPr>
            <w:r>
              <w:rPr>
                <w:rFonts w:hint="eastAsia" w:ascii="宋体" w:hAnsi="宋体" w:cs="宋体"/>
                <w:color w:val="auto"/>
                <w:sz w:val="24"/>
                <w:szCs w:val="24"/>
              </w:rPr>
              <w:t>支持查看下属各食堂员工出勤信息</w:t>
            </w:r>
          </w:p>
          <w:p w14:paraId="4D77DCFD">
            <w:pPr>
              <w:widowControl/>
              <w:numPr>
                <w:ilvl w:val="0"/>
                <w:numId w:val="60"/>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培训管理</w:t>
            </w:r>
          </w:p>
          <w:p w14:paraId="216F38B2">
            <w:pPr>
              <w:widowControl/>
              <w:numPr>
                <w:ilvl w:val="0"/>
                <w:numId w:val="63"/>
              </w:numPr>
              <w:ind w:left="0" w:firstLine="0"/>
              <w:jc w:val="left"/>
              <w:rPr>
                <w:rFonts w:ascii="宋体" w:hAnsi="宋体" w:cs="宋体"/>
                <w:color w:val="auto"/>
                <w:sz w:val="24"/>
                <w:szCs w:val="24"/>
              </w:rPr>
            </w:pPr>
            <w:r>
              <w:rPr>
                <w:rFonts w:hint="eastAsia" w:ascii="宋体" w:hAnsi="宋体" w:cs="宋体"/>
                <w:color w:val="auto"/>
                <w:sz w:val="24"/>
                <w:szCs w:val="24"/>
              </w:rPr>
              <w:t>支持上传食堂培训学习资料（文件、视频）</w:t>
            </w:r>
          </w:p>
          <w:p w14:paraId="414FC53F">
            <w:pPr>
              <w:widowControl/>
              <w:numPr>
                <w:ilvl w:val="0"/>
                <w:numId w:val="63"/>
              </w:numPr>
              <w:ind w:left="0" w:firstLine="0"/>
              <w:jc w:val="left"/>
              <w:rPr>
                <w:color w:val="auto"/>
              </w:rPr>
            </w:pPr>
            <w:r>
              <w:rPr>
                <w:rFonts w:hint="eastAsia" w:ascii="宋体" w:hAnsi="宋体" w:cs="宋体"/>
                <w:color w:val="auto"/>
                <w:sz w:val="24"/>
                <w:szCs w:val="24"/>
              </w:rPr>
              <w:t>支持查看学习记录</w:t>
            </w:r>
          </w:p>
          <w:p w14:paraId="6F0FB4EA">
            <w:pPr>
              <w:widowControl/>
              <w:numPr>
                <w:ilvl w:val="0"/>
                <w:numId w:val="60"/>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门禁权限管理</w:t>
            </w:r>
          </w:p>
          <w:p w14:paraId="35FF42CA">
            <w:pPr>
              <w:widowControl/>
              <w:numPr>
                <w:ilvl w:val="0"/>
                <w:numId w:val="64"/>
              </w:numPr>
              <w:ind w:left="0" w:firstLine="0"/>
              <w:jc w:val="left"/>
              <w:rPr>
                <w:rFonts w:ascii="宋体" w:hAnsi="宋体" w:cs="宋体"/>
                <w:color w:val="auto"/>
                <w:sz w:val="24"/>
                <w:szCs w:val="24"/>
              </w:rPr>
            </w:pPr>
            <w:r>
              <w:rPr>
                <w:rFonts w:hint="eastAsia" w:ascii="宋体" w:hAnsi="宋体" w:cs="宋体"/>
                <w:color w:val="auto"/>
                <w:sz w:val="24"/>
                <w:szCs w:val="24"/>
              </w:rPr>
              <w:t>权限组管理</w:t>
            </w:r>
          </w:p>
          <w:p w14:paraId="1EF7DE0B">
            <w:pPr>
              <w:widowControl/>
              <w:jc w:val="left"/>
              <w:rPr>
                <w:rFonts w:ascii="宋体" w:hAnsi="宋体" w:cs="宋体"/>
                <w:color w:val="auto"/>
                <w:sz w:val="24"/>
                <w:szCs w:val="24"/>
              </w:rPr>
            </w:pPr>
            <w:r>
              <w:rPr>
                <w:rFonts w:hint="eastAsia" w:ascii="宋体" w:hAnsi="宋体" w:cs="宋体"/>
                <w:color w:val="auto"/>
                <w:sz w:val="24"/>
                <w:szCs w:val="24"/>
              </w:rPr>
              <w:t>支持配置门禁权限信息（人员对于门禁出入权限）</w:t>
            </w:r>
          </w:p>
          <w:p w14:paraId="179BC2CA">
            <w:pPr>
              <w:widowControl/>
              <w:numPr>
                <w:ilvl w:val="0"/>
                <w:numId w:val="64"/>
              </w:numPr>
              <w:ind w:left="0" w:firstLine="0"/>
              <w:jc w:val="left"/>
              <w:rPr>
                <w:rFonts w:ascii="宋体" w:hAnsi="宋体" w:cs="宋体"/>
                <w:color w:val="auto"/>
                <w:sz w:val="24"/>
                <w:szCs w:val="24"/>
              </w:rPr>
            </w:pPr>
            <w:r>
              <w:rPr>
                <w:rFonts w:hint="eastAsia" w:ascii="宋体" w:hAnsi="宋体" w:cs="宋体"/>
                <w:color w:val="auto"/>
                <w:sz w:val="24"/>
                <w:szCs w:val="24"/>
              </w:rPr>
              <w:t>员工权限管理</w:t>
            </w:r>
          </w:p>
          <w:p w14:paraId="41E227ED">
            <w:pPr>
              <w:widowControl/>
              <w:jc w:val="left"/>
              <w:rPr>
                <w:rFonts w:ascii="宋体" w:hAnsi="宋体" w:cs="宋体"/>
                <w:color w:val="auto"/>
                <w:sz w:val="24"/>
                <w:szCs w:val="24"/>
              </w:rPr>
            </w:pPr>
            <w:r>
              <w:rPr>
                <w:rFonts w:hint="eastAsia" w:ascii="宋体" w:hAnsi="宋体" w:cs="宋体"/>
                <w:color w:val="auto"/>
                <w:sz w:val="24"/>
                <w:szCs w:val="24"/>
              </w:rPr>
              <w:t>支持查看员工对应有权限门禁设备信息</w:t>
            </w:r>
          </w:p>
          <w:p w14:paraId="435D6105">
            <w:pPr>
              <w:widowControl/>
              <w:numPr>
                <w:ilvl w:val="0"/>
                <w:numId w:val="64"/>
              </w:numPr>
              <w:ind w:left="0" w:firstLine="0"/>
              <w:jc w:val="left"/>
              <w:rPr>
                <w:rFonts w:ascii="宋体" w:hAnsi="宋体" w:cs="宋体"/>
                <w:color w:val="auto"/>
                <w:sz w:val="24"/>
                <w:szCs w:val="24"/>
              </w:rPr>
            </w:pPr>
            <w:r>
              <w:rPr>
                <w:rFonts w:hint="eastAsia" w:ascii="宋体" w:hAnsi="宋体" w:cs="宋体"/>
                <w:color w:val="auto"/>
                <w:sz w:val="24"/>
                <w:szCs w:val="24"/>
              </w:rPr>
              <w:t>门禁事件明细</w:t>
            </w:r>
          </w:p>
          <w:p w14:paraId="7CEF6DBF">
            <w:pPr>
              <w:widowControl/>
              <w:jc w:val="left"/>
              <w:rPr>
                <w:rFonts w:ascii="宋体" w:hAnsi="宋体" w:cs="宋体"/>
                <w:color w:val="auto"/>
                <w:sz w:val="24"/>
                <w:szCs w:val="24"/>
              </w:rPr>
            </w:pPr>
            <w:r>
              <w:rPr>
                <w:rFonts w:hint="eastAsia" w:ascii="宋体" w:hAnsi="宋体" w:cs="宋体"/>
                <w:color w:val="auto"/>
                <w:sz w:val="24"/>
                <w:szCs w:val="24"/>
              </w:rPr>
              <w:t>支持查看员工门禁出入事件明细</w:t>
            </w:r>
          </w:p>
          <w:p w14:paraId="2C75D391">
            <w:pPr>
              <w:widowControl/>
              <w:numPr>
                <w:ilvl w:val="0"/>
                <w:numId w:val="64"/>
              </w:numPr>
              <w:ind w:left="0" w:firstLine="0"/>
              <w:jc w:val="left"/>
              <w:rPr>
                <w:rFonts w:ascii="宋体" w:hAnsi="宋体" w:cs="宋体"/>
                <w:color w:val="auto"/>
                <w:sz w:val="24"/>
                <w:szCs w:val="24"/>
              </w:rPr>
            </w:pPr>
            <w:r>
              <w:rPr>
                <w:rFonts w:hint="eastAsia" w:ascii="宋体" w:hAnsi="宋体" w:cs="宋体"/>
                <w:color w:val="auto"/>
                <w:sz w:val="24"/>
                <w:szCs w:val="24"/>
              </w:rPr>
              <w:t>同步事件明细</w:t>
            </w:r>
          </w:p>
          <w:p w14:paraId="364241F0">
            <w:pPr>
              <w:widowControl/>
              <w:jc w:val="left"/>
              <w:rPr>
                <w:rFonts w:ascii="宋体" w:hAnsi="宋体" w:cs="宋体"/>
                <w:color w:val="auto"/>
                <w:sz w:val="24"/>
                <w:szCs w:val="24"/>
              </w:rPr>
            </w:pPr>
            <w:r>
              <w:rPr>
                <w:rFonts w:hint="eastAsia" w:ascii="宋体" w:hAnsi="宋体" w:cs="宋体"/>
                <w:color w:val="auto"/>
                <w:sz w:val="24"/>
                <w:szCs w:val="24"/>
              </w:rPr>
              <w:t>支持查看员工门禁权限下发同步信息</w:t>
            </w:r>
          </w:p>
          <w:p w14:paraId="04300181">
            <w:pPr>
              <w:widowControl/>
              <w:jc w:val="left"/>
              <w:rPr>
                <w:color w:val="auto"/>
              </w:rPr>
            </w:pPr>
            <w:r>
              <w:rPr>
                <w:rFonts w:ascii="宋体" w:hAnsi="宋体" w:cs="宋体"/>
                <w:color w:val="auto"/>
                <w:sz w:val="24"/>
                <w:szCs w:val="24"/>
              </w:rPr>
              <w:t>5.可对员工进行食品安全专业知识的培训和考试。</w:t>
            </w:r>
          </w:p>
        </w:tc>
        <w:tc>
          <w:tcPr>
            <w:tcW w:w="557" w:type="pct"/>
            <w:vAlign w:val="center"/>
          </w:tcPr>
          <w:p w14:paraId="6C06FAC2">
            <w:pPr>
              <w:spacing w:line="460" w:lineRule="exact"/>
              <w:jc w:val="center"/>
              <w:rPr>
                <w:rFonts w:ascii="宋体" w:hAnsi="宋体" w:cs="宋体"/>
                <w:color w:val="auto"/>
                <w:sz w:val="24"/>
                <w:szCs w:val="24"/>
              </w:rPr>
            </w:pPr>
            <w:r>
              <w:rPr>
                <w:rFonts w:hint="eastAsia" w:ascii="宋体" w:hAnsi="宋体" w:cs="宋体"/>
                <w:color w:val="auto"/>
                <w:sz w:val="24"/>
                <w:szCs w:val="24"/>
              </w:rPr>
              <w:t>项</w:t>
            </w:r>
          </w:p>
        </w:tc>
        <w:tc>
          <w:tcPr>
            <w:tcW w:w="735" w:type="pct"/>
            <w:vAlign w:val="center"/>
          </w:tcPr>
          <w:p w14:paraId="0C2887D8">
            <w:pPr>
              <w:spacing w:line="460" w:lineRule="exact"/>
              <w:jc w:val="center"/>
              <w:rPr>
                <w:rFonts w:ascii="宋体" w:hAnsi="宋体" w:cs="宋体"/>
                <w:color w:val="auto"/>
                <w:sz w:val="24"/>
                <w:szCs w:val="24"/>
              </w:rPr>
            </w:pPr>
            <w:r>
              <w:rPr>
                <w:rFonts w:ascii="宋体" w:hAnsi="宋体" w:cs="宋体"/>
                <w:color w:val="auto"/>
                <w:sz w:val="24"/>
                <w:szCs w:val="24"/>
              </w:rPr>
              <w:t>1</w:t>
            </w:r>
          </w:p>
        </w:tc>
      </w:tr>
      <w:tr w14:paraId="467CF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38" w:type="pct"/>
            <w:vAlign w:val="center"/>
          </w:tcPr>
          <w:p w14:paraId="731A701C">
            <w:pPr>
              <w:jc w:val="center"/>
              <w:rPr>
                <w:rFonts w:ascii="宋体" w:hAnsi="宋体" w:cs="宋体"/>
                <w:color w:val="auto"/>
                <w:sz w:val="24"/>
                <w:szCs w:val="24"/>
              </w:rPr>
            </w:pPr>
            <w:r>
              <w:rPr>
                <w:rFonts w:hint="eastAsia" w:ascii="宋体" w:hAnsi="宋体" w:cs="宋体"/>
                <w:color w:val="auto"/>
                <w:sz w:val="24"/>
                <w:szCs w:val="24"/>
              </w:rPr>
              <w:t>系统管理</w:t>
            </w:r>
          </w:p>
          <w:p w14:paraId="1450497C">
            <w:pPr>
              <w:jc w:val="center"/>
              <w:rPr>
                <w:rFonts w:ascii="宋体" w:hAnsi="宋体" w:cs="宋体"/>
                <w:color w:val="auto"/>
                <w:kern w:val="0"/>
                <w:sz w:val="24"/>
                <w:szCs w:val="24"/>
                <w:lang w:bidi="ar"/>
              </w:rPr>
            </w:pPr>
          </w:p>
        </w:tc>
        <w:tc>
          <w:tcPr>
            <w:tcW w:w="3067" w:type="pct"/>
          </w:tcPr>
          <w:p w14:paraId="511AD8C8">
            <w:pPr>
              <w:widowControl/>
              <w:numPr>
                <w:ilvl w:val="0"/>
                <w:numId w:val="65"/>
              </w:numPr>
              <w:ind w:left="0" w:firstLine="0"/>
              <w:jc w:val="left"/>
              <w:rPr>
                <w:rFonts w:ascii="宋体" w:hAnsi="宋体" w:cs="宋体"/>
                <w:color w:val="auto"/>
                <w:sz w:val="24"/>
                <w:szCs w:val="24"/>
              </w:rPr>
            </w:pPr>
            <w:r>
              <w:rPr>
                <w:rFonts w:hint="eastAsia" w:ascii="宋体" w:hAnsi="宋体" w:cs="宋体"/>
                <w:color w:val="auto"/>
                <w:sz w:val="24"/>
                <w:szCs w:val="24"/>
              </w:rPr>
              <w:t>用户管理</w:t>
            </w:r>
          </w:p>
          <w:p w14:paraId="7A179A28">
            <w:pPr>
              <w:widowControl/>
              <w:numPr>
                <w:ilvl w:val="0"/>
                <w:numId w:val="66"/>
              </w:numPr>
              <w:ind w:firstLine="0"/>
              <w:jc w:val="left"/>
              <w:rPr>
                <w:rFonts w:ascii="宋体" w:hAnsi="宋体" w:cs="宋体"/>
                <w:color w:val="auto"/>
                <w:sz w:val="24"/>
                <w:szCs w:val="24"/>
              </w:rPr>
            </w:pPr>
            <w:r>
              <w:rPr>
                <w:rFonts w:hint="eastAsia" w:ascii="宋体" w:hAnsi="宋体" w:cs="宋体"/>
                <w:color w:val="auto"/>
                <w:sz w:val="24"/>
                <w:szCs w:val="24"/>
              </w:rPr>
              <w:t>支持进行食安指挥系统用户权限开通</w:t>
            </w:r>
          </w:p>
          <w:p w14:paraId="2F3D99B3">
            <w:pPr>
              <w:widowControl/>
              <w:numPr>
                <w:ilvl w:val="0"/>
                <w:numId w:val="66"/>
              </w:numPr>
              <w:ind w:firstLine="0"/>
              <w:jc w:val="left"/>
              <w:rPr>
                <w:color w:val="auto"/>
              </w:rPr>
            </w:pPr>
            <w:r>
              <w:rPr>
                <w:rFonts w:hint="eastAsia" w:ascii="宋体" w:hAnsi="宋体" w:cs="宋体"/>
                <w:color w:val="auto"/>
                <w:sz w:val="24"/>
                <w:szCs w:val="24"/>
              </w:rPr>
              <w:t>支持进行数智食堂系统用户开通（店长账号）</w:t>
            </w:r>
          </w:p>
          <w:p w14:paraId="73E0A99B">
            <w:pPr>
              <w:widowControl/>
              <w:numPr>
                <w:ilvl w:val="0"/>
                <w:numId w:val="65"/>
              </w:numPr>
              <w:ind w:left="0" w:firstLine="0"/>
              <w:jc w:val="left"/>
              <w:rPr>
                <w:rFonts w:ascii="宋体" w:hAnsi="宋体" w:cs="宋体"/>
                <w:color w:val="auto"/>
                <w:sz w:val="24"/>
                <w:szCs w:val="24"/>
              </w:rPr>
            </w:pPr>
            <w:r>
              <w:rPr>
                <w:rFonts w:hint="eastAsia" w:ascii="宋体" w:hAnsi="宋体" w:cs="宋体"/>
                <w:color w:val="auto"/>
                <w:sz w:val="24"/>
                <w:szCs w:val="24"/>
              </w:rPr>
              <w:t>角色管理</w:t>
            </w:r>
          </w:p>
          <w:p w14:paraId="60FB3A7E">
            <w:pPr>
              <w:widowControl/>
              <w:numPr>
                <w:ilvl w:val="0"/>
                <w:numId w:val="67"/>
              </w:numPr>
              <w:ind w:firstLine="0"/>
              <w:jc w:val="left"/>
              <w:rPr>
                <w:rFonts w:ascii="宋体" w:hAnsi="宋体" w:cs="宋体"/>
                <w:color w:val="auto"/>
                <w:sz w:val="24"/>
                <w:szCs w:val="24"/>
              </w:rPr>
            </w:pPr>
            <w:r>
              <w:rPr>
                <w:rFonts w:hint="eastAsia" w:ascii="宋体" w:hAnsi="宋体" w:cs="宋体"/>
                <w:color w:val="auto"/>
                <w:sz w:val="24"/>
                <w:szCs w:val="24"/>
              </w:rPr>
              <w:t>部署时默认下发初始时系统角色</w:t>
            </w:r>
            <w:r>
              <w:rPr>
                <w:rFonts w:ascii="宋体" w:hAnsi="宋体" w:cs="宋体"/>
                <w:color w:val="auto"/>
                <w:sz w:val="24"/>
                <w:szCs w:val="24"/>
              </w:rPr>
              <w:t>-</w:t>
            </w:r>
            <w:r>
              <w:rPr>
                <w:rFonts w:hint="eastAsia" w:ascii="宋体" w:hAnsi="宋体" w:cs="宋体"/>
                <w:color w:val="auto"/>
                <w:sz w:val="24"/>
                <w:szCs w:val="24"/>
              </w:rPr>
              <w:t>食安指挥系统、数智食堂系统</w:t>
            </w:r>
          </w:p>
          <w:p w14:paraId="7C3A6289">
            <w:pPr>
              <w:widowControl/>
              <w:numPr>
                <w:ilvl w:val="0"/>
                <w:numId w:val="67"/>
              </w:numPr>
              <w:ind w:firstLine="0"/>
              <w:jc w:val="left"/>
              <w:rPr>
                <w:rFonts w:ascii="宋体" w:hAnsi="宋体" w:cs="宋体"/>
                <w:color w:val="auto"/>
                <w:sz w:val="24"/>
                <w:szCs w:val="24"/>
              </w:rPr>
            </w:pPr>
            <w:r>
              <w:rPr>
                <w:rFonts w:hint="eastAsia" w:ascii="宋体" w:hAnsi="宋体" w:cs="宋体"/>
                <w:color w:val="auto"/>
                <w:sz w:val="24"/>
                <w:szCs w:val="24"/>
              </w:rPr>
              <w:t>支持维护食安指挥系统角色、角色权限</w:t>
            </w:r>
          </w:p>
          <w:p w14:paraId="5F295C51">
            <w:pPr>
              <w:widowControl/>
              <w:numPr>
                <w:ilvl w:val="0"/>
                <w:numId w:val="67"/>
              </w:numPr>
              <w:ind w:firstLine="0"/>
              <w:jc w:val="left"/>
              <w:rPr>
                <w:color w:val="auto"/>
              </w:rPr>
            </w:pPr>
            <w:r>
              <w:rPr>
                <w:rFonts w:hint="eastAsia" w:ascii="宋体" w:hAnsi="宋体" w:cs="宋体"/>
                <w:color w:val="auto"/>
                <w:sz w:val="24"/>
                <w:szCs w:val="24"/>
              </w:rPr>
              <w:t>支持维护数智食堂系统角色</w:t>
            </w:r>
          </w:p>
          <w:p w14:paraId="29A0E958">
            <w:pPr>
              <w:widowControl/>
              <w:numPr>
                <w:ilvl w:val="0"/>
                <w:numId w:val="65"/>
              </w:numPr>
              <w:ind w:left="0" w:firstLine="0"/>
              <w:jc w:val="left"/>
              <w:rPr>
                <w:rFonts w:ascii="宋体" w:hAnsi="宋体" w:cs="宋体"/>
                <w:color w:val="auto"/>
                <w:sz w:val="24"/>
                <w:szCs w:val="24"/>
              </w:rPr>
            </w:pPr>
            <w:r>
              <w:rPr>
                <w:rFonts w:hint="eastAsia" w:ascii="宋体" w:hAnsi="宋体" w:cs="宋体"/>
                <w:color w:val="auto"/>
                <w:sz w:val="24"/>
                <w:szCs w:val="24"/>
              </w:rPr>
              <w:t>部门管理</w:t>
            </w:r>
          </w:p>
          <w:p w14:paraId="4038C0DA">
            <w:pPr>
              <w:widowControl/>
              <w:jc w:val="left"/>
              <w:rPr>
                <w:rFonts w:ascii="宋体" w:hAnsi="宋体" w:cs="宋体"/>
                <w:color w:val="auto"/>
                <w:sz w:val="24"/>
                <w:szCs w:val="24"/>
              </w:rPr>
            </w:pPr>
            <w:r>
              <w:rPr>
                <w:rFonts w:hint="eastAsia" w:ascii="宋体" w:hAnsi="宋体" w:cs="宋体"/>
                <w:color w:val="auto"/>
                <w:sz w:val="24"/>
                <w:szCs w:val="24"/>
              </w:rPr>
              <w:t>支持维护学校后勤部门信息，并可进行新增、删除、修改，同时可对部门进行关联食堂、关联检查表等操作</w:t>
            </w:r>
          </w:p>
          <w:p w14:paraId="78FF33D1">
            <w:pPr>
              <w:widowControl/>
              <w:numPr>
                <w:ilvl w:val="0"/>
                <w:numId w:val="65"/>
              </w:numPr>
              <w:ind w:left="0" w:firstLine="0"/>
              <w:jc w:val="left"/>
              <w:rPr>
                <w:rFonts w:ascii="宋体" w:hAnsi="宋体" w:cs="宋体"/>
                <w:color w:val="auto"/>
                <w:sz w:val="24"/>
                <w:szCs w:val="24"/>
              </w:rPr>
            </w:pPr>
            <w:r>
              <w:rPr>
                <w:rFonts w:hint="eastAsia" w:ascii="宋体" w:hAnsi="宋体" w:cs="宋体"/>
                <w:color w:val="auto"/>
                <w:sz w:val="24"/>
                <w:szCs w:val="24"/>
              </w:rPr>
              <w:t>岗位管理</w:t>
            </w:r>
          </w:p>
          <w:p w14:paraId="29351569">
            <w:pPr>
              <w:widowControl/>
              <w:jc w:val="left"/>
              <w:rPr>
                <w:rFonts w:ascii="宋体" w:hAnsi="宋体" w:cs="宋体"/>
                <w:color w:val="auto"/>
                <w:sz w:val="24"/>
                <w:szCs w:val="24"/>
              </w:rPr>
            </w:pPr>
            <w:r>
              <w:rPr>
                <w:rFonts w:hint="eastAsia" w:ascii="宋体" w:hAnsi="宋体" w:cs="宋体"/>
                <w:color w:val="auto"/>
                <w:sz w:val="24"/>
                <w:szCs w:val="24"/>
              </w:rPr>
              <w:t>支持维护学校后勤部门人员岗位，并可进行岗位的增删改导等操作</w:t>
            </w:r>
          </w:p>
          <w:p w14:paraId="1ED490D7">
            <w:pPr>
              <w:widowControl/>
              <w:numPr>
                <w:ilvl w:val="0"/>
                <w:numId w:val="65"/>
              </w:numPr>
              <w:ind w:left="0" w:firstLine="0"/>
              <w:jc w:val="left"/>
              <w:rPr>
                <w:rFonts w:ascii="宋体" w:hAnsi="宋体" w:cs="宋体"/>
                <w:color w:val="auto"/>
                <w:sz w:val="24"/>
                <w:szCs w:val="24"/>
              </w:rPr>
            </w:pPr>
            <w:r>
              <w:rPr>
                <w:rFonts w:hint="eastAsia" w:ascii="宋体" w:hAnsi="宋体" w:cs="宋体"/>
                <w:color w:val="auto"/>
                <w:sz w:val="24"/>
                <w:szCs w:val="24"/>
              </w:rPr>
              <w:t>系统信息管理</w:t>
            </w:r>
          </w:p>
          <w:p w14:paraId="697D3B62">
            <w:pPr>
              <w:widowControl/>
              <w:numPr>
                <w:ilvl w:val="0"/>
                <w:numId w:val="68"/>
              </w:numPr>
              <w:ind w:firstLine="0"/>
              <w:jc w:val="left"/>
              <w:rPr>
                <w:rFonts w:ascii="宋体" w:hAnsi="宋体" w:cs="宋体"/>
                <w:color w:val="auto"/>
                <w:sz w:val="24"/>
                <w:szCs w:val="24"/>
              </w:rPr>
            </w:pPr>
            <w:r>
              <w:rPr>
                <w:rFonts w:hint="eastAsia" w:ascii="宋体" w:hAnsi="宋体" w:cs="宋体"/>
                <w:color w:val="auto"/>
                <w:sz w:val="24"/>
                <w:szCs w:val="24"/>
              </w:rPr>
              <w:t>支持维护系统</w:t>
            </w:r>
            <w:r>
              <w:rPr>
                <w:rFonts w:ascii="宋体" w:hAnsi="宋体" w:cs="宋体"/>
                <w:color w:val="auto"/>
                <w:sz w:val="24"/>
                <w:szCs w:val="24"/>
              </w:rPr>
              <w:t>LOGO；修改替换</w:t>
            </w:r>
          </w:p>
          <w:p w14:paraId="6DA8FC77">
            <w:pPr>
              <w:widowControl/>
              <w:numPr>
                <w:ilvl w:val="0"/>
                <w:numId w:val="68"/>
              </w:numPr>
              <w:ind w:firstLine="0"/>
              <w:jc w:val="left"/>
              <w:rPr>
                <w:rFonts w:ascii="宋体" w:hAnsi="宋体" w:cs="宋体"/>
                <w:color w:val="auto"/>
                <w:sz w:val="24"/>
                <w:szCs w:val="24"/>
              </w:rPr>
            </w:pPr>
            <w:r>
              <w:rPr>
                <w:rFonts w:hint="eastAsia" w:ascii="宋体" w:hAnsi="宋体" w:cs="宋体"/>
                <w:color w:val="auto"/>
                <w:sz w:val="24"/>
                <w:szCs w:val="24"/>
              </w:rPr>
              <w:t>支持配置巡检的配置</w:t>
            </w:r>
          </w:p>
          <w:p w14:paraId="06DAA3C8">
            <w:pPr>
              <w:widowControl/>
              <w:numPr>
                <w:ilvl w:val="0"/>
                <w:numId w:val="68"/>
              </w:numPr>
              <w:ind w:firstLine="0"/>
              <w:jc w:val="left"/>
              <w:rPr>
                <w:rFonts w:ascii="宋体" w:hAnsi="宋体" w:cs="宋体"/>
                <w:color w:val="auto"/>
                <w:sz w:val="24"/>
                <w:szCs w:val="24"/>
              </w:rPr>
            </w:pPr>
            <w:r>
              <w:rPr>
                <w:rFonts w:hint="eastAsia" w:ascii="宋体" w:hAnsi="宋体" w:cs="宋体"/>
                <w:color w:val="auto"/>
                <w:sz w:val="24"/>
                <w:szCs w:val="24"/>
              </w:rPr>
              <w:t>支持食安督查</w:t>
            </w:r>
            <w:r>
              <w:rPr>
                <w:rFonts w:ascii="宋体" w:hAnsi="宋体" w:cs="宋体"/>
                <w:color w:val="auto"/>
                <w:sz w:val="24"/>
                <w:szCs w:val="24"/>
              </w:rPr>
              <w:t>APP</w:t>
            </w:r>
            <w:r>
              <w:rPr>
                <w:rFonts w:hint="eastAsia" w:ascii="宋体" w:hAnsi="宋体" w:cs="宋体"/>
                <w:color w:val="auto"/>
                <w:sz w:val="24"/>
                <w:szCs w:val="24"/>
              </w:rPr>
              <w:t>端轮播</w:t>
            </w:r>
            <w:r>
              <w:rPr>
                <w:rFonts w:ascii="宋体" w:hAnsi="宋体" w:cs="宋体"/>
                <w:color w:val="auto"/>
                <w:sz w:val="24"/>
                <w:szCs w:val="24"/>
              </w:rPr>
              <w:t>banner设置</w:t>
            </w:r>
          </w:p>
          <w:p w14:paraId="1D90CD09">
            <w:pPr>
              <w:widowControl/>
              <w:numPr>
                <w:ilvl w:val="0"/>
                <w:numId w:val="65"/>
              </w:numPr>
              <w:ind w:left="0" w:firstLine="0"/>
              <w:jc w:val="left"/>
              <w:rPr>
                <w:color w:val="auto"/>
              </w:rPr>
            </w:pPr>
            <w:r>
              <w:rPr>
                <w:rFonts w:hint="eastAsia" w:ascii="宋体" w:hAnsi="宋体" w:cs="宋体"/>
                <w:color w:val="auto"/>
                <w:sz w:val="24"/>
                <w:szCs w:val="24"/>
              </w:rPr>
              <w:t>可修改用户角色；可设置系统功能权限：可导出巡店报表；可导出页面；可查看导出示例；可按检查表、时间和门店进行筛选；可修改门店设备信息：可在门店设备页面查看</w:t>
            </w:r>
            <w:r>
              <w:rPr>
                <w:rFonts w:ascii="宋体" w:hAnsi="宋体" w:cs="宋体"/>
                <w:color w:val="auto"/>
                <w:sz w:val="24"/>
                <w:szCs w:val="24"/>
              </w:rPr>
              <w:t>AI识别摄像机、动火离人摄像机、温湿度摄像机和硬盘录像机的</w:t>
            </w:r>
            <w:r>
              <w:rPr>
                <w:rFonts w:hint="eastAsia" w:ascii="宋体" w:hAnsi="宋体" w:cs="宋体"/>
                <w:color w:val="auto"/>
                <w:sz w:val="24"/>
                <w:szCs w:val="24"/>
              </w:rPr>
              <w:t>在线率信息。</w:t>
            </w:r>
          </w:p>
        </w:tc>
        <w:tc>
          <w:tcPr>
            <w:tcW w:w="557" w:type="pct"/>
            <w:vAlign w:val="center"/>
          </w:tcPr>
          <w:p w14:paraId="242A3CDC">
            <w:pPr>
              <w:spacing w:line="460" w:lineRule="exact"/>
              <w:jc w:val="center"/>
              <w:rPr>
                <w:rFonts w:ascii="宋体" w:hAnsi="宋体" w:cs="宋体"/>
                <w:color w:val="auto"/>
                <w:sz w:val="24"/>
                <w:szCs w:val="24"/>
              </w:rPr>
            </w:pPr>
            <w:r>
              <w:rPr>
                <w:rFonts w:hint="eastAsia" w:ascii="宋体" w:hAnsi="宋体" w:cs="宋体"/>
                <w:color w:val="auto"/>
                <w:sz w:val="24"/>
                <w:szCs w:val="24"/>
              </w:rPr>
              <w:t>项</w:t>
            </w:r>
          </w:p>
        </w:tc>
        <w:tc>
          <w:tcPr>
            <w:tcW w:w="735" w:type="pct"/>
            <w:vAlign w:val="center"/>
          </w:tcPr>
          <w:p w14:paraId="0DD6DF0C">
            <w:pPr>
              <w:spacing w:line="460" w:lineRule="exact"/>
              <w:jc w:val="center"/>
              <w:rPr>
                <w:rFonts w:ascii="宋体" w:hAnsi="宋体" w:cs="宋体"/>
                <w:color w:val="auto"/>
                <w:sz w:val="24"/>
                <w:szCs w:val="24"/>
              </w:rPr>
            </w:pPr>
            <w:r>
              <w:rPr>
                <w:rFonts w:ascii="宋体" w:hAnsi="宋体" w:cs="宋体"/>
                <w:color w:val="auto"/>
                <w:sz w:val="24"/>
                <w:szCs w:val="24"/>
              </w:rPr>
              <w:t>1</w:t>
            </w:r>
          </w:p>
        </w:tc>
      </w:tr>
      <w:tr w14:paraId="7E4FF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38" w:type="pct"/>
            <w:vAlign w:val="center"/>
          </w:tcPr>
          <w:p w14:paraId="4543FE00">
            <w:pPr>
              <w:jc w:val="center"/>
              <w:rPr>
                <w:rFonts w:ascii="宋体" w:hAnsi="宋体" w:cs="宋体"/>
                <w:color w:val="auto"/>
                <w:sz w:val="24"/>
                <w:szCs w:val="24"/>
              </w:rPr>
            </w:pPr>
            <w:r>
              <w:rPr>
                <w:rFonts w:hint="eastAsia" w:ascii="宋体" w:hAnsi="宋体" w:cs="宋体"/>
                <w:color w:val="auto"/>
                <w:sz w:val="24"/>
                <w:szCs w:val="24"/>
              </w:rPr>
              <w:t>系统监控</w:t>
            </w:r>
          </w:p>
          <w:p w14:paraId="34B4228B">
            <w:pPr>
              <w:jc w:val="center"/>
              <w:rPr>
                <w:rFonts w:ascii="宋体" w:hAnsi="宋体" w:cs="宋体"/>
                <w:color w:val="auto"/>
                <w:kern w:val="0"/>
                <w:sz w:val="24"/>
                <w:szCs w:val="24"/>
                <w:lang w:bidi="ar"/>
              </w:rPr>
            </w:pPr>
          </w:p>
        </w:tc>
        <w:tc>
          <w:tcPr>
            <w:tcW w:w="3067" w:type="pct"/>
          </w:tcPr>
          <w:p w14:paraId="6140963A">
            <w:pPr>
              <w:widowControl/>
              <w:numPr>
                <w:ilvl w:val="0"/>
                <w:numId w:val="69"/>
              </w:numPr>
              <w:ind w:left="0" w:firstLine="0"/>
              <w:jc w:val="left"/>
              <w:rPr>
                <w:rFonts w:ascii="宋体" w:hAnsi="宋体" w:cs="宋体"/>
                <w:color w:val="auto"/>
                <w:sz w:val="24"/>
                <w:szCs w:val="24"/>
              </w:rPr>
            </w:pPr>
            <w:r>
              <w:rPr>
                <w:rFonts w:hint="eastAsia" w:ascii="宋体" w:hAnsi="宋体" w:cs="宋体"/>
                <w:color w:val="auto"/>
                <w:sz w:val="24"/>
                <w:szCs w:val="24"/>
              </w:rPr>
              <w:t>在线用户</w:t>
            </w:r>
          </w:p>
          <w:p w14:paraId="772EBE8B">
            <w:pPr>
              <w:widowControl/>
              <w:jc w:val="left"/>
              <w:rPr>
                <w:rFonts w:ascii="宋体" w:hAnsi="宋体" w:cs="宋体"/>
                <w:color w:val="auto"/>
                <w:sz w:val="24"/>
                <w:szCs w:val="24"/>
              </w:rPr>
            </w:pPr>
            <w:r>
              <w:rPr>
                <w:rFonts w:hint="eastAsia" w:ascii="宋体" w:hAnsi="宋体" w:cs="宋体"/>
                <w:color w:val="auto"/>
                <w:sz w:val="24"/>
                <w:szCs w:val="24"/>
              </w:rPr>
              <w:t>支持查看各系统在线用户信息（含食安监管系统、食安督查</w:t>
            </w:r>
            <w:r>
              <w:rPr>
                <w:rFonts w:ascii="宋体" w:hAnsi="宋体" w:cs="宋体"/>
                <w:color w:val="auto"/>
                <w:sz w:val="24"/>
                <w:szCs w:val="24"/>
              </w:rPr>
              <w:t>APP、</w:t>
            </w:r>
            <w:r>
              <w:rPr>
                <w:rFonts w:hint="eastAsia" w:ascii="宋体" w:hAnsi="宋体" w:cs="宋体"/>
                <w:color w:val="auto"/>
                <w:sz w:val="24"/>
                <w:szCs w:val="24"/>
              </w:rPr>
              <w:t>数智食堂系统、数智食堂</w:t>
            </w:r>
            <w:r>
              <w:rPr>
                <w:rFonts w:ascii="宋体" w:hAnsi="宋体" w:cs="宋体"/>
                <w:color w:val="auto"/>
                <w:sz w:val="24"/>
                <w:szCs w:val="24"/>
              </w:rPr>
              <w:t>APP）</w:t>
            </w:r>
          </w:p>
          <w:p w14:paraId="729043E7">
            <w:pPr>
              <w:widowControl/>
              <w:numPr>
                <w:ilvl w:val="0"/>
                <w:numId w:val="69"/>
              </w:numPr>
              <w:ind w:left="0" w:firstLine="0"/>
              <w:jc w:val="left"/>
              <w:rPr>
                <w:rFonts w:ascii="宋体" w:hAnsi="宋体" w:cs="宋体"/>
                <w:color w:val="auto"/>
                <w:sz w:val="24"/>
                <w:szCs w:val="24"/>
              </w:rPr>
            </w:pPr>
            <w:r>
              <w:rPr>
                <w:rFonts w:hint="eastAsia" w:ascii="宋体" w:hAnsi="宋体" w:cs="宋体"/>
                <w:color w:val="auto"/>
                <w:sz w:val="24"/>
                <w:szCs w:val="24"/>
              </w:rPr>
              <w:t>服务监控（存储空间管理）</w:t>
            </w:r>
          </w:p>
          <w:p w14:paraId="1B4B137F">
            <w:pPr>
              <w:widowControl/>
              <w:jc w:val="left"/>
              <w:rPr>
                <w:rFonts w:ascii="宋体" w:hAnsi="宋体" w:cs="宋体"/>
                <w:color w:val="auto"/>
                <w:sz w:val="24"/>
                <w:szCs w:val="24"/>
              </w:rPr>
            </w:pPr>
            <w:r>
              <w:rPr>
                <w:rFonts w:hint="eastAsia" w:ascii="宋体" w:hAnsi="宋体" w:cs="宋体"/>
                <w:color w:val="auto"/>
                <w:sz w:val="24"/>
                <w:szCs w:val="24"/>
              </w:rPr>
              <w:t>支持查看服务监控信息（扩充各端系统）</w:t>
            </w:r>
          </w:p>
          <w:p w14:paraId="121508B6">
            <w:pPr>
              <w:widowControl/>
              <w:numPr>
                <w:ilvl w:val="0"/>
                <w:numId w:val="69"/>
              </w:numPr>
              <w:ind w:left="0" w:firstLine="0"/>
              <w:jc w:val="left"/>
              <w:rPr>
                <w:rFonts w:ascii="宋体" w:hAnsi="宋体" w:cs="宋体"/>
                <w:color w:val="auto"/>
                <w:sz w:val="24"/>
                <w:szCs w:val="24"/>
              </w:rPr>
            </w:pPr>
            <w:r>
              <w:rPr>
                <w:rFonts w:hint="eastAsia" w:ascii="宋体" w:hAnsi="宋体" w:cs="宋体"/>
                <w:color w:val="auto"/>
                <w:sz w:val="24"/>
                <w:szCs w:val="24"/>
              </w:rPr>
              <w:t>日志管理</w:t>
            </w:r>
          </w:p>
          <w:p w14:paraId="38A63D90">
            <w:pPr>
              <w:widowControl/>
              <w:jc w:val="left"/>
              <w:rPr>
                <w:rFonts w:ascii="宋体" w:hAnsi="宋体" w:cs="宋体"/>
                <w:color w:val="auto"/>
                <w:sz w:val="24"/>
                <w:szCs w:val="24"/>
              </w:rPr>
            </w:pPr>
            <w:r>
              <w:rPr>
                <w:rFonts w:hint="eastAsia" w:ascii="宋体" w:hAnsi="宋体" w:cs="宋体"/>
                <w:color w:val="auto"/>
                <w:sz w:val="24"/>
                <w:szCs w:val="24"/>
              </w:rPr>
              <w:t>支持查看系统日志信息（扩充各端系统），以便远程排查解决问题</w:t>
            </w:r>
          </w:p>
        </w:tc>
        <w:tc>
          <w:tcPr>
            <w:tcW w:w="557" w:type="pct"/>
            <w:vAlign w:val="center"/>
          </w:tcPr>
          <w:p w14:paraId="43AC7A23">
            <w:pPr>
              <w:spacing w:line="460" w:lineRule="exact"/>
              <w:jc w:val="center"/>
              <w:rPr>
                <w:rFonts w:ascii="宋体" w:hAnsi="宋体" w:cs="宋体"/>
                <w:color w:val="auto"/>
                <w:sz w:val="24"/>
                <w:szCs w:val="24"/>
              </w:rPr>
            </w:pPr>
            <w:r>
              <w:rPr>
                <w:rFonts w:hint="eastAsia" w:ascii="宋体" w:hAnsi="宋体" w:cs="宋体"/>
                <w:color w:val="auto"/>
                <w:sz w:val="24"/>
                <w:szCs w:val="24"/>
              </w:rPr>
              <w:t>项</w:t>
            </w:r>
          </w:p>
        </w:tc>
        <w:tc>
          <w:tcPr>
            <w:tcW w:w="735" w:type="pct"/>
            <w:vAlign w:val="center"/>
          </w:tcPr>
          <w:p w14:paraId="58C8BAC3">
            <w:pPr>
              <w:spacing w:line="460" w:lineRule="exact"/>
              <w:jc w:val="center"/>
              <w:rPr>
                <w:rFonts w:ascii="宋体" w:hAnsi="宋体" w:cs="宋体"/>
                <w:color w:val="auto"/>
                <w:sz w:val="24"/>
                <w:szCs w:val="24"/>
              </w:rPr>
            </w:pPr>
            <w:r>
              <w:rPr>
                <w:rFonts w:ascii="宋体" w:hAnsi="宋体" w:cs="宋体"/>
                <w:color w:val="auto"/>
                <w:sz w:val="24"/>
                <w:szCs w:val="24"/>
              </w:rPr>
              <w:t>1</w:t>
            </w:r>
          </w:p>
        </w:tc>
      </w:tr>
      <w:tr w14:paraId="18A1C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38" w:type="pct"/>
            <w:vAlign w:val="center"/>
          </w:tcPr>
          <w:p w14:paraId="19F65747">
            <w:pPr>
              <w:jc w:val="center"/>
              <w:rPr>
                <w:rFonts w:ascii="宋体" w:hAnsi="宋体" w:cs="宋体"/>
                <w:color w:val="auto"/>
                <w:kern w:val="0"/>
                <w:sz w:val="24"/>
                <w:szCs w:val="24"/>
                <w:lang w:bidi="ar"/>
              </w:rPr>
            </w:pPr>
            <w:r>
              <w:rPr>
                <w:rFonts w:hint="eastAsia" w:ascii="宋体" w:hAnsi="宋体" w:cs="宋体"/>
                <w:color w:val="auto"/>
                <w:kern w:val="0"/>
                <w:sz w:val="24"/>
                <w:szCs w:val="24"/>
                <w:lang w:bidi="ar"/>
              </w:rPr>
              <w:t>运营管理</w:t>
            </w:r>
          </w:p>
        </w:tc>
        <w:tc>
          <w:tcPr>
            <w:tcW w:w="3067" w:type="pct"/>
          </w:tcPr>
          <w:p w14:paraId="0AA33458">
            <w:pPr>
              <w:widowControl/>
              <w:jc w:val="left"/>
              <w:rPr>
                <w:rFonts w:ascii="宋体" w:hAnsi="宋体" w:cs="宋体"/>
                <w:color w:val="auto"/>
                <w:sz w:val="24"/>
                <w:szCs w:val="24"/>
              </w:rPr>
            </w:pPr>
            <w:r>
              <w:rPr>
                <w:rFonts w:hint="eastAsia" w:ascii="宋体" w:hAnsi="宋体" w:cs="宋体"/>
                <w:color w:val="auto"/>
                <w:sz w:val="24"/>
                <w:szCs w:val="24"/>
              </w:rPr>
              <w:t>（</w:t>
            </w:r>
            <w:r>
              <w:rPr>
                <w:rFonts w:ascii="宋体" w:hAnsi="宋体" w:cs="宋体"/>
                <w:color w:val="auto"/>
                <w:sz w:val="24"/>
                <w:szCs w:val="24"/>
              </w:rPr>
              <w:t>1）档口分析：通过系统对接或</w:t>
            </w:r>
            <w:r>
              <w:rPr>
                <w:rFonts w:hint="eastAsia" w:ascii="宋体" w:hAnsi="宋体" w:cs="宋体"/>
                <w:color w:val="auto"/>
                <w:sz w:val="24"/>
                <w:szCs w:val="24"/>
              </w:rPr>
              <w:t>手动上传收集档口数据，做每日盈亏分析，对档口的营收和利润进行月度、年度趋势图分析；分析指标包含但不限于营业收入、食材成本、人工成本、其他成本、毛利率、净利率，支持指定指标做排序分析，连续指定天数不盈利档口系统会自动预警。</w:t>
            </w:r>
          </w:p>
          <w:p w14:paraId="2FBCD2BE">
            <w:pPr>
              <w:widowControl/>
              <w:jc w:val="left"/>
              <w:rPr>
                <w:rFonts w:ascii="宋体" w:hAnsi="宋体" w:cs="宋体"/>
                <w:color w:val="auto"/>
                <w:sz w:val="24"/>
                <w:szCs w:val="24"/>
              </w:rPr>
            </w:pPr>
            <w:r>
              <w:rPr>
                <w:rFonts w:hint="eastAsia" w:ascii="宋体" w:hAnsi="宋体" w:cs="宋体"/>
                <w:color w:val="auto"/>
                <w:sz w:val="24"/>
                <w:szCs w:val="24"/>
              </w:rPr>
              <w:t>（</w:t>
            </w:r>
            <w:r>
              <w:rPr>
                <w:rFonts w:ascii="宋体" w:hAnsi="宋体" w:cs="宋体"/>
                <w:color w:val="auto"/>
                <w:sz w:val="24"/>
                <w:szCs w:val="24"/>
              </w:rPr>
              <w:t>2）食堂分析：通过档口数据计算食堂盈亏情况，对食堂营收和利润数据进行日、月、年度汇总分析；对食堂的营收预算金额和去年同期营</w:t>
            </w:r>
            <w:r>
              <w:rPr>
                <w:rFonts w:hint="eastAsia" w:ascii="宋体" w:hAnsi="宋体" w:cs="宋体"/>
                <w:color w:val="auto"/>
                <w:sz w:val="24"/>
                <w:szCs w:val="24"/>
              </w:rPr>
              <w:t>收金额进行对比分析；分析指标包含但不限于营业收入、食材成本、人工成本、其他成本、毛利率、净利率、大餐占比，支持指定指标做排序分析，连续指定天数不盈利食堂系统会自动预警。</w:t>
            </w:r>
          </w:p>
        </w:tc>
        <w:tc>
          <w:tcPr>
            <w:tcW w:w="557" w:type="pct"/>
            <w:shd w:val="clear" w:color="auto" w:fill="auto"/>
            <w:vAlign w:val="center"/>
          </w:tcPr>
          <w:p w14:paraId="02336D80">
            <w:pPr>
              <w:spacing w:line="460" w:lineRule="exact"/>
              <w:jc w:val="center"/>
              <w:rPr>
                <w:rFonts w:ascii="宋体" w:hAnsi="宋体" w:cs="宋体"/>
                <w:color w:val="auto"/>
                <w:sz w:val="24"/>
                <w:szCs w:val="24"/>
              </w:rPr>
            </w:pPr>
            <w:r>
              <w:rPr>
                <w:rFonts w:hint="eastAsia" w:ascii="宋体" w:hAnsi="宋体" w:cs="宋体"/>
                <w:color w:val="auto"/>
                <w:sz w:val="24"/>
                <w:szCs w:val="24"/>
              </w:rPr>
              <w:t>项</w:t>
            </w:r>
          </w:p>
        </w:tc>
        <w:tc>
          <w:tcPr>
            <w:tcW w:w="735" w:type="pct"/>
            <w:shd w:val="clear" w:color="auto" w:fill="auto"/>
            <w:vAlign w:val="center"/>
          </w:tcPr>
          <w:p w14:paraId="6855A0AA">
            <w:pPr>
              <w:spacing w:line="460" w:lineRule="exact"/>
              <w:jc w:val="center"/>
              <w:rPr>
                <w:rFonts w:ascii="宋体" w:hAnsi="宋体" w:cs="宋体"/>
                <w:color w:val="auto"/>
                <w:sz w:val="24"/>
                <w:szCs w:val="24"/>
              </w:rPr>
            </w:pPr>
            <w:r>
              <w:rPr>
                <w:rFonts w:ascii="宋体" w:hAnsi="宋体" w:cs="宋体"/>
                <w:color w:val="auto"/>
                <w:sz w:val="24"/>
                <w:szCs w:val="24"/>
              </w:rPr>
              <w:t>1</w:t>
            </w:r>
          </w:p>
        </w:tc>
      </w:tr>
      <w:tr w14:paraId="04E0E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38" w:type="pct"/>
            <w:vAlign w:val="center"/>
          </w:tcPr>
          <w:p w14:paraId="35B07868">
            <w:pPr>
              <w:jc w:val="center"/>
              <w:rPr>
                <w:rFonts w:ascii="宋体" w:hAnsi="宋体" w:cs="宋体"/>
                <w:color w:val="auto"/>
                <w:kern w:val="0"/>
                <w:sz w:val="24"/>
                <w:szCs w:val="24"/>
                <w:lang w:bidi="ar"/>
              </w:rPr>
            </w:pPr>
            <w:r>
              <w:rPr>
                <w:rFonts w:hint="eastAsia" w:ascii="宋体" w:hAnsi="宋体" w:cs="宋体"/>
                <w:color w:val="auto"/>
                <w:kern w:val="0"/>
                <w:sz w:val="24"/>
                <w:szCs w:val="24"/>
                <w:lang w:bidi="ar"/>
              </w:rPr>
              <w:t>系统运维</w:t>
            </w:r>
          </w:p>
        </w:tc>
        <w:tc>
          <w:tcPr>
            <w:tcW w:w="3067" w:type="pct"/>
          </w:tcPr>
          <w:p w14:paraId="051D007F">
            <w:pPr>
              <w:jc w:val="left"/>
              <w:rPr>
                <w:rFonts w:ascii="宋体" w:hAnsi="宋体" w:cs="宋体"/>
                <w:color w:val="auto"/>
                <w:sz w:val="24"/>
                <w:szCs w:val="24"/>
              </w:rPr>
            </w:pPr>
            <w:r>
              <w:rPr>
                <w:rFonts w:ascii="宋体" w:hAnsi="宋体" w:cs="宋体"/>
                <w:color w:val="auto"/>
                <w:sz w:val="24"/>
                <w:szCs w:val="24"/>
              </w:rPr>
              <w:t>1.</w:t>
            </w:r>
            <w:r>
              <w:rPr>
                <w:rFonts w:hint="eastAsia" w:ascii="宋体" w:hAnsi="宋体" w:cs="宋体"/>
                <w:color w:val="auto"/>
                <w:sz w:val="24"/>
                <w:szCs w:val="24"/>
              </w:rPr>
              <w:t>服务售后运维，保障全年系统可用，提供免费上门培训。</w:t>
            </w:r>
          </w:p>
          <w:p w14:paraId="2456CE95">
            <w:pPr>
              <w:pStyle w:val="22"/>
              <w:rPr>
                <w:rFonts w:ascii="宋体" w:hAnsi="宋体" w:eastAsia="宋体" w:cs="宋体"/>
                <w:color w:val="auto"/>
                <w:sz w:val="24"/>
                <w:szCs w:val="24"/>
              </w:rPr>
            </w:pPr>
            <w:r>
              <w:rPr>
                <w:rFonts w:ascii="宋体" w:hAnsi="宋体" w:eastAsia="宋体" w:cs="宋体"/>
                <w:color w:val="auto"/>
                <w:sz w:val="24"/>
                <w:szCs w:val="24"/>
              </w:rPr>
              <w:t>2.</w:t>
            </w:r>
            <w:r>
              <w:rPr>
                <w:rFonts w:hint="eastAsia" w:ascii="宋体" w:hAnsi="宋体" w:eastAsia="宋体" w:cs="宋体"/>
                <w:color w:val="auto"/>
                <w:sz w:val="24"/>
                <w:szCs w:val="24"/>
              </w:rPr>
              <w:t>保证</w:t>
            </w:r>
            <w:r>
              <w:rPr>
                <w:rFonts w:ascii="宋体" w:hAnsi="宋体" w:eastAsia="宋体" w:cs="宋体"/>
                <w:color w:val="auto"/>
                <w:sz w:val="24"/>
                <w:szCs w:val="24"/>
              </w:rPr>
              <w:t xml:space="preserve">5年免费上门维修维护及系统升级服务。 </w:t>
            </w:r>
          </w:p>
          <w:p w14:paraId="5B8C77F3">
            <w:pPr>
              <w:widowControl/>
              <w:jc w:val="left"/>
              <w:rPr>
                <w:rFonts w:ascii="宋体" w:hAnsi="宋体" w:cs="宋体"/>
                <w:color w:val="auto"/>
                <w:sz w:val="24"/>
                <w:szCs w:val="24"/>
              </w:rPr>
            </w:pPr>
            <w:r>
              <w:rPr>
                <w:rFonts w:ascii="宋体" w:hAnsi="宋体" w:cs="宋体"/>
                <w:color w:val="auto"/>
                <w:sz w:val="24"/>
                <w:szCs w:val="24"/>
              </w:rPr>
              <w:t>3.根据采购人信息化平台建设要求，</w:t>
            </w:r>
            <w:r>
              <w:rPr>
                <w:rFonts w:hint="eastAsia" w:ascii="宋体" w:hAnsi="宋体" w:cs="宋体"/>
                <w:color w:val="auto"/>
                <w:sz w:val="24"/>
                <w:szCs w:val="24"/>
              </w:rPr>
              <w:t>数智食堂无条件接入采购人信息化平台（以采购人指定时间为准），并承担接入所需的费用。</w:t>
            </w:r>
          </w:p>
        </w:tc>
        <w:tc>
          <w:tcPr>
            <w:tcW w:w="557" w:type="pct"/>
            <w:shd w:val="clear" w:color="auto" w:fill="auto"/>
            <w:vAlign w:val="center"/>
          </w:tcPr>
          <w:p w14:paraId="3C416132">
            <w:pPr>
              <w:spacing w:line="460" w:lineRule="exact"/>
              <w:jc w:val="center"/>
              <w:rPr>
                <w:rFonts w:ascii="宋体" w:hAnsi="宋体" w:cs="宋体"/>
                <w:color w:val="auto"/>
                <w:sz w:val="24"/>
                <w:szCs w:val="24"/>
              </w:rPr>
            </w:pPr>
            <w:r>
              <w:rPr>
                <w:rFonts w:hint="eastAsia" w:ascii="宋体" w:hAnsi="宋体" w:cs="宋体"/>
                <w:color w:val="auto"/>
                <w:sz w:val="24"/>
                <w:szCs w:val="24"/>
              </w:rPr>
              <w:t>项</w:t>
            </w:r>
          </w:p>
        </w:tc>
        <w:tc>
          <w:tcPr>
            <w:tcW w:w="735" w:type="pct"/>
            <w:shd w:val="clear" w:color="auto" w:fill="auto"/>
            <w:vAlign w:val="center"/>
          </w:tcPr>
          <w:p w14:paraId="3783053F">
            <w:pPr>
              <w:spacing w:line="460" w:lineRule="exact"/>
              <w:jc w:val="center"/>
              <w:rPr>
                <w:rFonts w:ascii="宋体" w:hAnsi="宋体" w:cs="宋体"/>
                <w:color w:val="auto"/>
                <w:sz w:val="24"/>
                <w:szCs w:val="24"/>
              </w:rPr>
            </w:pPr>
            <w:r>
              <w:rPr>
                <w:rFonts w:ascii="宋体" w:hAnsi="宋体" w:cs="宋体"/>
                <w:color w:val="auto"/>
                <w:sz w:val="24"/>
                <w:szCs w:val="24"/>
              </w:rPr>
              <w:t>1</w:t>
            </w:r>
          </w:p>
        </w:tc>
      </w:tr>
      <w:tr w14:paraId="6E21F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638" w:type="pct"/>
            <w:vAlign w:val="center"/>
          </w:tcPr>
          <w:p w14:paraId="42E06CDE">
            <w:pPr>
              <w:jc w:val="center"/>
              <w:rPr>
                <w:rFonts w:ascii="宋体" w:hAnsi="宋体" w:cs="宋体"/>
                <w:color w:val="auto"/>
                <w:kern w:val="0"/>
                <w:sz w:val="24"/>
                <w:szCs w:val="24"/>
                <w:lang w:bidi="ar"/>
              </w:rPr>
            </w:pPr>
            <w:r>
              <w:rPr>
                <w:rFonts w:hint="eastAsia" w:ascii="宋体" w:hAnsi="宋体" w:cs="宋体"/>
                <w:color w:val="auto"/>
                <w:sz w:val="24"/>
                <w:szCs w:val="24"/>
              </w:rPr>
              <w:t>数智食堂监管平台设施设备</w:t>
            </w:r>
          </w:p>
        </w:tc>
        <w:tc>
          <w:tcPr>
            <w:tcW w:w="3067" w:type="pct"/>
          </w:tcPr>
          <w:p w14:paraId="589841AD">
            <w:pPr>
              <w:numPr>
                <w:ilvl w:val="0"/>
                <w:numId w:val="70"/>
              </w:numPr>
              <w:ind w:left="0" w:firstLine="0"/>
              <w:jc w:val="left"/>
              <w:rPr>
                <w:rFonts w:ascii="宋体" w:hAnsi="宋体" w:cs="宋体"/>
                <w:color w:val="auto"/>
                <w:sz w:val="24"/>
                <w:szCs w:val="24"/>
              </w:rPr>
            </w:pPr>
            <w:r>
              <w:rPr>
                <w:rFonts w:hint="eastAsia" w:ascii="宋体" w:hAnsi="宋体" w:cs="宋体"/>
                <w:color w:val="auto"/>
                <w:sz w:val="24"/>
                <w:szCs w:val="24"/>
              </w:rPr>
              <w:t>数智食堂监管平台大屏设备参数</w:t>
            </w:r>
          </w:p>
          <w:p w14:paraId="528D4D33">
            <w:pPr>
              <w:pStyle w:val="22"/>
              <w:numPr>
                <w:ilvl w:val="0"/>
                <w:numId w:val="71"/>
              </w:numPr>
              <w:ind w:left="0" w:firstLine="0"/>
              <w:rPr>
                <w:rFonts w:ascii="宋体" w:hAnsi="宋体" w:eastAsia="宋体" w:cs="宋体"/>
                <w:color w:val="auto"/>
                <w:sz w:val="24"/>
                <w:szCs w:val="24"/>
              </w:rPr>
            </w:pPr>
            <w:r>
              <w:rPr>
                <w:rFonts w:hint="eastAsia" w:ascii="宋体" w:hAnsi="宋体" w:eastAsia="宋体" w:cs="宋体"/>
                <w:color w:val="auto"/>
                <w:sz w:val="24"/>
                <w:szCs w:val="24"/>
              </w:rPr>
              <w:t>主要参数：</w:t>
            </w:r>
          </w:p>
          <w:p w14:paraId="7F360B4D">
            <w:pPr>
              <w:wordWrap w:val="0"/>
              <w:jc w:val="left"/>
              <w:rPr>
                <w:color w:val="auto"/>
              </w:rPr>
            </w:pPr>
            <w:r>
              <w:rPr>
                <w:rFonts w:hint="eastAsia" w:ascii="宋体" w:hAnsi="宋体" w:cs="宋体"/>
                <w:color w:val="auto"/>
                <w:sz w:val="24"/>
                <w:szCs w:val="24"/>
              </w:rPr>
              <w:t>会议平板一体机，系统配置不低于</w:t>
            </w:r>
            <w:r>
              <w:rPr>
                <w:rFonts w:ascii="宋体" w:hAnsi="宋体" w:cs="宋体"/>
                <w:color w:val="auto"/>
                <w:sz w:val="24"/>
                <w:szCs w:val="24"/>
              </w:rPr>
              <w:t>I7+16+512，不低于100英寸4K画质，支持触摸触控、电子白板、无线投屏，附带移动支架、OPS、翻页笔、投屏器、万向轮推车</w:t>
            </w:r>
          </w:p>
          <w:p w14:paraId="762F84A6">
            <w:pPr>
              <w:wordWrap w:val="0"/>
              <w:jc w:val="left"/>
              <w:rPr>
                <w:rFonts w:ascii="宋体" w:hAnsi="宋体" w:cs="宋体"/>
                <w:color w:val="auto"/>
                <w:sz w:val="24"/>
                <w:szCs w:val="24"/>
              </w:rPr>
            </w:pPr>
            <w:r>
              <w:rPr>
                <w:rFonts w:ascii="宋体" w:hAnsi="宋体" w:cs="宋体"/>
                <w:color w:val="auto"/>
                <w:sz w:val="24"/>
                <w:szCs w:val="24"/>
              </w:rPr>
              <w:t>2.</w:t>
            </w:r>
            <w:r>
              <w:rPr>
                <w:rFonts w:hint="eastAsia" w:ascii="宋体" w:hAnsi="宋体" w:cs="宋体"/>
                <w:color w:val="auto"/>
                <w:sz w:val="24"/>
                <w:szCs w:val="24"/>
              </w:rPr>
              <w:t>解码器设备参数</w:t>
            </w:r>
          </w:p>
          <w:p w14:paraId="6F3C4B93">
            <w:pPr>
              <w:pStyle w:val="22"/>
              <w:numPr>
                <w:ilvl w:val="0"/>
                <w:numId w:val="72"/>
              </w:numPr>
              <w:wordWrap w:val="0"/>
              <w:ind w:left="0" w:firstLine="0"/>
              <w:rPr>
                <w:rFonts w:ascii="宋体" w:hAnsi="宋体" w:eastAsia="宋体" w:cs="宋体"/>
                <w:color w:val="auto"/>
                <w:sz w:val="24"/>
                <w:szCs w:val="24"/>
              </w:rPr>
            </w:pPr>
            <w:r>
              <w:rPr>
                <w:rFonts w:hint="eastAsia" w:ascii="宋体" w:hAnsi="宋体" w:eastAsia="宋体" w:cs="宋体"/>
                <w:color w:val="auto"/>
                <w:sz w:val="24"/>
                <w:szCs w:val="24"/>
              </w:rPr>
              <w:t>主要参数：</w:t>
            </w:r>
          </w:p>
          <w:p w14:paraId="58AB2FDA">
            <w:pPr>
              <w:numPr>
                <w:ilvl w:val="0"/>
                <w:numId w:val="73"/>
              </w:numPr>
              <w:wordWrap w:val="0"/>
              <w:ind w:firstLine="0"/>
              <w:jc w:val="left"/>
              <w:rPr>
                <w:rFonts w:ascii="宋体" w:hAnsi="宋体" w:cs="宋体"/>
                <w:color w:val="auto"/>
                <w:sz w:val="24"/>
                <w:szCs w:val="24"/>
              </w:rPr>
            </w:pPr>
            <w:r>
              <w:rPr>
                <w:rFonts w:ascii="宋体" w:hAnsi="宋体" w:cs="宋体"/>
                <w:color w:val="auto"/>
                <w:sz w:val="24"/>
                <w:szCs w:val="24"/>
              </w:rPr>
              <w:t>支持9路HDMI信号输出</w:t>
            </w:r>
            <w:r>
              <w:rPr>
                <w:rFonts w:hint="eastAsia" w:ascii="宋体" w:hAnsi="宋体" w:cs="宋体"/>
                <w:color w:val="auto"/>
                <w:sz w:val="24"/>
                <w:szCs w:val="24"/>
              </w:rPr>
              <w:t>；</w:t>
            </w:r>
          </w:p>
          <w:p w14:paraId="10FBF8D1">
            <w:pPr>
              <w:numPr>
                <w:ilvl w:val="0"/>
                <w:numId w:val="73"/>
              </w:numPr>
              <w:wordWrap w:val="0"/>
              <w:ind w:firstLine="0"/>
              <w:jc w:val="left"/>
              <w:rPr>
                <w:rFonts w:ascii="宋体" w:hAnsi="宋体" w:cs="宋体"/>
                <w:color w:val="auto"/>
                <w:sz w:val="24"/>
                <w:szCs w:val="24"/>
              </w:rPr>
            </w:pPr>
            <w:r>
              <w:rPr>
                <w:rFonts w:ascii="宋体" w:hAnsi="宋体" w:cs="宋体"/>
                <w:color w:val="auto"/>
                <w:sz w:val="24"/>
                <w:szCs w:val="24"/>
              </w:rPr>
              <w:t>输出接口最大支持1920×1080@60及以下常规分辨率输出</w:t>
            </w:r>
            <w:r>
              <w:rPr>
                <w:rFonts w:hint="eastAsia" w:ascii="宋体" w:hAnsi="宋体" w:cs="宋体"/>
                <w:color w:val="auto"/>
                <w:sz w:val="24"/>
                <w:szCs w:val="24"/>
              </w:rPr>
              <w:t>；</w:t>
            </w:r>
          </w:p>
          <w:p w14:paraId="16690B02">
            <w:pPr>
              <w:numPr>
                <w:ilvl w:val="0"/>
                <w:numId w:val="73"/>
              </w:numPr>
              <w:wordWrap w:val="0"/>
              <w:ind w:firstLine="0"/>
              <w:jc w:val="left"/>
              <w:rPr>
                <w:rFonts w:ascii="宋体" w:hAnsi="宋体" w:cs="宋体"/>
                <w:color w:val="auto"/>
                <w:sz w:val="24"/>
                <w:szCs w:val="24"/>
              </w:rPr>
            </w:pPr>
            <w:r>
              <w:rPr>
                <w:rFonts w:ascii="宋体" w:hAnsi="宋体" w:cs="宋体"/>
                <w:color w:val="auto"/>
                <w:sz w:val="24"/>
                <w:szCs w:val="24"/>
              </w:rPr>
              <w:t>支持超高超宽自定义分辨率输出设置，水平分辨率最宽可达3840像素，垂直分辨率最高可达3840像素</w:t>
            </w:r>
            <w:r>
              <w:rPr>
                <w:rFonts w:hint="eastAsia" w:ascii="宋体" w:hAnsi="宋体" w:cs="宋体"/>
                <w:color w:val="auto"/>
                <w:sz w:val="24"/>
                <w:szCs w:val="24"/>
              </w:rPr>
              <w:t>；</w:t>
            </w:r>
          </w:p>
          <w:p w14:paraId="0377456C">
            <w:pPr>
              <w:numPr>
                <w:ilvl w:val="0"/>
                <w:numId w:val="73"/>
              </w:numPr>
              <w:wordWrap w:val="0"/>
              <w:ind w:firstLine="0"/>
              <w:jc w:val="left"/>
              <w:rPr>
                <w:rFonts w:ascii="宋体" w:hAnsi="宋体" w:cs="宋体"/>
                <w:color w:val="auto"/>
                <w:sz w:val="24"/>
                <w:szCs w:val="24"/>
              </w:rPr>
            </w:pPr>
            <w:r>
              <w:rPr>
                <w:rFonts w:ascii="宋体" w:hAnsi="宋体" w:cs="宋体"/>
                <w:color w:val="auto"/>
                <w:sz w:val="24"/>
                <w:szCs w:val="24"/>
              </w:rPr>
              <w:t>支持4路HDMI信号输入</w:t>
            </w:r>
            <w:r>
              <w:rPr>
                <w:rFonts w:hint="eastAsia" w:ascii="宋体" w:hAnsi="宋体" w:cs="宋体"/>
                <w:color w:val="auto"/>
                <w:sz w:val="24"/>
                <w:szCs w:val="24"/>
              </w:rPr>
              <w:t>；</w:t>
            </w:r>
          </w:p>
          <w:p w14:paraId="2DF97709">
            <w:pPr>
              <w:numPr>
                <w:ilvl w:val="0"/>
                <w:numId w:val="73"/>
              </w:numPr>
              <w:wordWrap w:val="0"/>
              <w:ind w:firstLine="0"/>
              <w:jc w:val="left"/>
              <w:rPr>
                <w:rFonts w:ascii="宋体" w:hAnsi="宋体" w:cs="宋体"/>
                <w:color w:val="auto"/>
                <w:sz w:val="24"/>
                <w:szCs w:val="24"/>
              </w:rPr>
            </w:pPr>
            <w:r>
              <w:rPr>
                <w:rFonts w:ascii="宋体" w:hAnsi="宋体" w:cs="宋体"/>
                <w:color w:val="auto"/>
                <w:sz w:val="24"/>
                <w:szCs w:val="24"/>
              </w:rPr>
              <w:t>输入接口最大支持3840×2160@60及以下常规分辨率采集</w:t>
            </w:r>
            <w:r>
              <w:rPr>
                <w:rFonts w:hint="eastAsia" w:ascii="宋体" w:hAnsi="宋体" w:cs="宋体"/>
                <w:color w:val="auto"/>
                <w:sz w:val="24"/>
                <w:szCs w:val="24"/>
              </w:rPr>
              <w:t>；</w:t>
            </w:r>
          </w:p>
          <w:p w14:paraId="0C263A4E">
            <w:pPr>
              <w:numPr>
                <w:ilvl w:val="0"/>
                <w:numId w:val="73"/>
              </w:numPr>
              <w:wordWrap w:val="0"/>
              <w:ind w:firstLine="0"/>
              <w:jc w:val="left"/>
              <w:rPr>
                <w:rFonts w:ascii="宋体" w:hAnsi="宋体" w:cs="宋体"/>
                <w:color w:val="auto"/>
                <w:sz w:val="24"/>
                <w:szCs w:val="24"/>
              </w:rPr>
            </w:pPr>
            <w:r>
              <w:rPr>
                <w:rFonts w:ascii="宋体" w:hAnsi="宋体" w:cs="宋体"/>
                <w:color w:val="auto"/>
                <w:sz w:val="24"/>
                <w:szCs w:val="24"/>
              </w:rPr>
              <w:t>具备1对语音对讲接口：1个3.5mm音频输入接口和1个3.5mm音频输出接口</w:t>
            </w:r>
            <w:r>
              <w:rPr>
                <w:rFonts w:hint="eastAsia" w:ascii="宋体" w:hAnsi="宋体" w:cs="宋体"/>
                <w:color w:val="auto"/>
                <w:sz w:val="24"/>
                <w:szCs w:val="24"/>
              </w:rPr>
              <w:t>；</w:t>
            </w:r>
          </w:p>
          <w:p w14:paraId="6A1B0A89">
            <w:pPr>
              <w:numPr>
                <w:ilvl w:val="0"/>
                <w:numId w:val="73"/>
              </w:numPr>
              <w:wordWrap w:val="0"/>
              <w:ind w:firstLine="0"/>
              <w:jc w:val="left"/>
              <w:rPr>
                <w:rFonts w:ascii="宋体" w:hAnsi="宋体" w:cs="宋体"/>
                <w:color w:val="auto"/>
                <w:sz w:val="24"/>
                <w:szCs w:val="24"/>
              </w:rPr>
            </w:pPr>
            <w:r>
              <w:rPr>
                <w:rFonts w:ascii="宋体" w:hAnsi="宋体" w:cs="宋体"/>
                <w:color w:val="auto"/>
                <w:sz w:val="24"/>
                <w:szCs w:val="24"/>
              </w:rPr>
              <w:t>整机解码H265支持3路32MP@25fps/9路12MP@25fps/14路8MP@25fps/18路6MP@25fps/24路5MP@25fps/29路4MP@25fps/37路3MP@25fps/57路1080p@25fps/192路D1@25fps（H264支持47路1080p@25fps解码能力）</w:t>
            </w:r>
            <w:r>
              <w:rPr>
                <w:rFonts w:hint="eastAsia" w:ascii="宋体" w:hAnsi="宋体" w:cs="宋体"/>
                <w:color w:val="auto"/>
                <w:sz w:val="24"/>
                <w:szCs w:val="24"/>
              </w:rPr>
              <w:t>；</w:t>
            </w:r>
          </w:p>
          <w:p w14:paraId="48104F5F">
            <w:pPr>
              <w:numPr>
                <w:ilvl w:val="0"/>
                <w:numId w:val="73"/>
              </w:numPr>
              <w:wordWrap w:val="0"/>
              <w:ind w:firstLine="0"/>
              <w:jc w:val="left"/>
              <w:rPr>
                <w:rFonts w:ascii="宋体" w:hAnsi="宋体" w:cs="宋体"/>
                <w:color w:val="auto"/>
                <w:sz w:val="24"/>
                <w:szCs w:val="24"/>
              </w:rPr>
            </w:pPr>
            <w:r>
              <w:rPr>
                <w:rFonts w:ascii="宋体" w:hAnsi="宋体" w:cs="宋体"/>
                <w:color w:val="auto"/>
                <w:sz w:val="24"/>
                <w:szCs w:val="24"/>
              </w:rPr>
              <w:t>支持MPEG2/MPEG4/H.264/H.265/SVAC/MJPEG标准网络视频流解码</w:t>
            </w:r>
            <w:r>
              <w:rPr>
                <w:rFonts w:hint="eastAsia" w:ascii="宋体" w:hAnsi="宋体" w:cs="宋体"/>
                <w:color w:val="auto"/>
                <w:sz w:val="24"/>
                <w:szCs w:val="24"/>
              </w:rPr>
              <w:t>；</w:t>
            </w:r>
          </w:p>
          <w:p w14:paraId="251345A5">
            <w:pPr>
              <w:numPr>
                <w:ilvl w:val="0"/>
                <w:numId w:val="73"/>
              </w:numPr>
              <w:wordWrap w:val="0"/>
              <w:ind w:firstLine="0"/>
              <w:jc w:val="left"/>
              <w:rPr>
                <w:rFonts w:ascii="宋体" w:hAnsi="宋体" w:cs="宋体"/>
                <w:color w:val="auto"/>
                <w:sz w:val="24"/>
                <w:szCs w:val="24"/>
              </w:rPr>
            </w:pPr>
            <w:r>
              <w:rPr>
                <w:rFonts w:ascii="宋体" w:hAnsi="宋体" w:cs="宋体"/>
                <w:color w:val="auto"/>
                <w:sz w:val="24"/>
                <w:szCs w:val="24"/>
              </w:rPr>
              <w:t>支持QCIF/CIF/2CIF/HD1/D1/960H/720p/1080p/3MP/4MP/5MP/6MP/8MP/12MP/32MP视频解码</w:t>
            </w:r>
            <w:r>
              <w:rPr>
                <w:rFonts w:hint="eastAsia" w:ascii="宋体" w:hAnsi="宋体" w:cs="宋体"/>
                <w:color w:val="auto"/>
                <w:sz w:val="24"/>
                <w:szCs w:val="24"/>
              </w:rPr>
              <w:t>；</w:t>
            </w:r>
          </w:p>
          <w:p w14:paraId="5B229120">
            <w:pPr>
              <w:numPr>
                <w:ilvl w:val="0"/>
                <w:numId w:val="73"/>
              </w:numPr>
              <w:wordWrap w:val="0"/>
              <w:ind w:firstLine="0"/>
              <w:jc w:val="left"/>
              <w:rPr>
                <w:rFonts w:ascii="宋体" w:hAnsi="宋体" w:cs="宋体"/>
                <w:color w:val="auto"/>
                <w:sz w:val="24"/>
                <w:szCs w:val="24"/>
              </w:rPr>
            </w:pPr>
            <w:r>
              <w:rPr>
                <w:rFonts w:ascii="宋体" w:hAnsi="宋体" w:cs="宋体"/>
                <w:color w:val="auto"/>
                <w:sz w:val="24"/>
                <w:szCs w:val="24"/>
              </w:rPr>
              <w:t>支持音频压缩格式：PCM/G711/AAC</w:t>
            </w:r>
            <w:r>
              <w:rPr>
                <w:rFonts w:hint="eastAsia" w:ascii="宋体" w:hAnsi="宋体" w:cs="宋体"/>
                <w:color w:val="auto"/>
                <w:sz w:val="24"/>
                <w:szCs w:val="24"/>
              </w:rPr>
              <w:t>；</w:t>
            </w:r>
          </w:p>
          <w:p w14:paraId="79DD4E4E">
            <w:pPr>
              <w:numPr>
                <w:ilvl w:val="0"/>
                <w:numId w:val="73"/>
              </w:numPr>
              <w:wordWrap w:val="0"/>
              <w:ind w:firstLine="0"/>
              <w:jc w:val="left"/>
              <w:rPr>
                <w:rFonts w:ascii="宋体" w:hAnsi="宋体" w:cs="宋体"/>
                <w:color w:val="auto"/>
                <w:sz w:val="24"/>
                <w:szCs w:val="24"/>
              </w:rPr>
            </w:pPr>
            <w:r>
              <w:rPr>
                <w:rFonts w:ascii="宋体" w:hAnsi="宋体" w:cs="宋体"/>
                <w:color w:val="auto"/>
                <w:sz w:val="24"/>
                <w:szCs w:val="24"/>
              </w:rPr>
              <w:t>支持每屏1/4/6/8/9/16/25/36分割，支持M×N自由分割</w:t>
            </w:r>
            <w:r>
              <w:rPr>
                <w:rFonts w:hint="eastAsia" w:ascii="宋体" w:hAnsi="宋体" w:cs="宋体"/>
                <w:color w:val="auto"/>
                <w:sz w:val="24"/>
                <w:szCs w:val="24"/>
              </w:rPr>
              <w:t>；</w:t>
            </w:r>
          </w:p>
          <w:p w14:paraId="7C2A9ACD">
            <w:pPr>
              <w:numPr>
                <w:ilvl w:val="0"/>
                <w:numId w:val="73"/>
              </w:numPr>
              <w:wordWrap w:val="0"/>
              <w:ind w:firstLine="0"/>
              <w:jc w:val="left"/>
              <w:rPr>
                <w:rFonts w:ascii="宋体" w:hAnsi="宋体" w:cs="宋体"/>
                <w:color w:val="auto"/>
                <w:sz w:val="24"/>
                <w:szCs w:val="24"/>
              </w:rPr>
            </w:pPr>
            <w:r>
              <w:rPr>
                <w:rFonts w:ascii="宋体" w:hAnsi="宋体" w:cs="宋体"/>
                <w:color w:val="auto"/>
                <w:sz w:val="24"/>
                <w:szCs w:val="24"/>
              </w:rPr>
              <w:t>支持任意开窗、漫游，每屏最大支持36路开窗</w:t>
            </w:r>
            <w:r>
              <w:rPr>
                <w:rFonts w:hint="eastAsia" w:ascii="宋体" w:hAnsi="宋体" w:cs="宋体"/>
                <w:color w:val="auto"/>
                <w:sz w:val="24"/>
                <w:szCs w:val="24"/>
              </w:rPr>
              <w:t>；</w:t>
            </w:r>
          </w:p>
          <w:p w14:paraId="0ACC6E79">
            <w:pPr>
              <w:numPr>
                <w:ilvl w:val="0"/>
                <w:numId w:val="73"/>
              </w:numPr>
              <w:wordWrap w:val="0"/>
              <w:ind w:firstLine="0"/>
              <w:jc w:val="left"/>
              <w:rPr>
                <w:rFonts w:ascii="宋体" w:hAnsi="宋体" w:cs="宋体"/>
                <w:color w:val="auto"/>
                <w:sz w:val="24"/>
                <w:szCs w:val="24"/>
              </w:rPr>
            </w:pPr>
            <w:r>
              <w:rPr>
                <w:rFonts w:ascii="宋体" w:hAnsi="宋体" w:cs="宋体"/>
                <w:color w:val="auto"/>
                <w:sz w:val="24"/>
                <w:szCs w:val="24"/>
              </w:rPr>
              <w:t>支持电视墙默认底色设置，支持高清底图显示</w:t>
            </w:r>
            <w:r>
              <w:rPr>
                <w:rFonts w:hint="eastAsia" w:ascii="宋体" w:hAnsi="宋体" w:cs="宋体"/>
                <w:color w:val="auto"/>
                <w:sz w:val="24"/>
                <w:szCs w:val="24"/>
              </w:rPr>
              <w:t>；</w:t>
            </w:r>
          </w:p>
          <w:p w14:paraId="794417DD">
            <w:pPr>
              <w:numPr>
                <w:ilvl w:val="0"/>
                <w:numId w:val="73"/>
              </w:numPr>
              <w:wordWrap w:val="0"/>
              <w:ind w:firstLine="0"/>
              <w:jc w:val="left"/>
              <w:rPr>
                <w:rFonts w:ascii="宋体" w:hAnsi="宋体" w:cs="宋体"/>
                <w:color w:val="auto"/>
                <w:sz w:val="24"/>
                <w:szCs w:val="24"/>
              </w:rPr>
            </w:pPr>
            <w:r>
              <w:rPr>
                <w:rFonts w:ascii="宋体" w:hAnsi="宋体" w:cs="宋体"/>
                <w:color w:val="auto"/>
                <w:sz w:val="24"/>
                <w:szCs w:val="24"/>
              </w:rPr>
              <w:t>支持预案轮巡</w:t>
            </w:r>
            <w:r>
              <w:rPr>
                <w:rFonts w:hint="eastAsia" w:ascii="宋体" w:hAnsi="宋体" w:cs="宋体"/>
                <w:color w:val="auto"/>
                <w:sz w:val="24"/>
                <w:szCs w:val="24"/>
              </w:rPr>
              <w:t>；</w:t>
            </w:r>
          </w:p>
          <w:p w14:paraId="6261B6E2">
            <w:pPr>
              <w:numPr>
                <w:ilvl w:val="0"/>
                <w:numId w:val="73"/>
              </w:numPr>
              <w:wordWrap w:val="0"/>
              <w:ind w:firstLine="0"/>
              <w:jc w:val="left"/>
              <w:rPr>
                <w:rFonts w:ascii="宋体" w:hAnsi="宋体" w:cs="宋体"/>
                <w:color w:val="auto"/>
                <w:sz w:val="24"/>
                <w:szCs w:val="24"/>
              </w:rPr>
            </w:pPr>
            <w:r>
              <w:rPr>
                <w:rFonts w:ascii="宋体" w:hAnsi="宋体" w:cs="宋体"/>
                <w:color w:val="auto"/>
                <w:sz w:val="24"/>
                <w:szCs w:val="24"/>
              </w:rPr>
              <w:t>支持多屏融合拼接，跨屏画面毫秒级完美同步</w:t>
            </w:r>
            <w:r>
              <w:rPr>
                <w:rFonts w:hint="eastAsia" w:ascii="宋体" w:hAnsi="宋体" w:cs="宋体"/>
                <w:color w:val="auto"/>
                <w:sz w:val="24"/>
                <w:szCs w:val="24"/>
              </w:rPr>
              <w:t>；</w:t>
            </w:r>
          </w:p>
          <w:p w14:paraId="7E75DD9E">
            <w:pPr>
              <w:numPr>
                <w:ilvl w:val="0"/>
                <w:numId w:val="73"/>
              </w:numPr>
              <w:wordWrap w:val="0"/>
              <w:ind w:firstLine="0"/>
              <w:jc w:val="left"/>
              <w:rPr>
                <w:rFonts w:ascii="宋体" w:hAnsi="宋体" w:cs="宋体"/>
                <w:color w:val="auto"/>
                <w:sz w:val="24"/>
                <w:szCs w:val="24"/>
              </w:rPr>
            </w:pPr>
            <w:r>
              <w:rPr>
                <w:rFonts w:ascii="宋体" w:hAnsi="宋体" w:cs="宋体"/>
                <w:color w:val="auto"/>
                <w:sz w:val="24"/>
                <w:szCs w:val="24"/>
              </w:rPr>
              <w:t>支持在大屏上叠加OSD文字信息，支持位置，字体大小等自定义设置</w:t>
            </w:r>
            <w:r>
              <w:rPr>
                <w:rFonts w:hint="eastAsia" w:ascii="宋体" w:hAnsi="宋体" w:cs="宋体"/>
                <w:color w:val="auto"/>
                <w:sz w:val="24"/>
                <w:szCs w:val="24"/>
              </w:rPr>
              <w:t>；</w:t>
            </w:r>
          </w:p>
          <w:p w14:paraId="36E64FED">
            <w:pPr>
              <w:numPr>
                <w:ilvl w:val="0"/>
                <w:numId w:val="73"/>
              </w:numPr>
              <w:wordWrap w:val="0"/>
              <w:ind w:firstLine="0"/>
              <w:jc w:val="left"/>
              <w:rPr>
                <w:color w:val="auto"/>
              </w:rPr>
            </w:pPr>
            <w:r>
              <w:rPr>
                <w:rFonts w:ascii="宋体" w:hAnsi="宋体" w:cs="宋体"/>
                <w:color w:val="auto"/>
                <w:sz w:val="24"/>
                <w:szCs w:val="24"/>
              </w:rPr>
              <w:t>支持Onvif，RTSP，GB28181协议接入，支持海康私有/大华私有协议接入</w:t>
            </w:r>
            <w:r>
              <w:rPr>
                <w:rFonts w:hint="eastAsia" w:ascii="宋体" w:hAnsi="宋体" w:cs="宋体"/>
                <w:color w:val="auto"/>
                <w:sz w:val="24"/>
                <w:szCs w:val="24"/>
              </w:rPr>
              <w:t>；</w:t>
            </w:r>
          </w:p>
          <w:p w14:paraId="2A3552A4">
            <w:pPr>
              <w:jc w:val="left"/>
              <w:rPr>
                <w:rFonts w:ascii="宋体" w:hAnsi="宋体" w:cs="宋体"/>
                <w:color w:val="auto"/>
                <w:sz w:val="24"/>
                <w:szCs w:val="24"/>
              </w:rPr>
            </w:pPr>
            <w:r>
              <w:rPr>
                <w:rFonts w:ascii="宋体" w:hAnsi="宋体" w:cs="宋体"/>
                <w:color w:val="auto"/>
                <w:sz w:val="24"/>
                <w:szCs w:val="24"/>
              </w:rPr>
              <w:t>3.</w:t>
            </w:r>
            <w:r>
              <w:rPr>
                <w:rFonts w:hint="eastAsia" w:ascii="宋体" w:hAnsi="宋体" w:cs="宋体"/>
                <w:color w:val="auto"/>
                <w:sz w:val="24"/>
                <w:szCs w:val="24"/>
              </w:rPr>
              <w:t>服务器设备参数</w:t>
            </w:r>
          </w:p>
          <w:p w14:paraId="3EF35C23">
            <w:pPr>
              <w:pStyle w:val="22"/>
              <w:rPr>
                <w:rFonts w:eastAsia="宋体"/>
                <w:color w:val="auto"/>
              </w:rPr>
            </w:pPr>
            <w:r>
              <w:rPr>
                <w:rFonts w:ascii="宋体" w:hAnsi="宋体" w:eastAsia="宋体" w:cs="宋体"/>
                <w:color w:val="auto"/>
                <w:sz w:val="24"/>
                <w:szCs w:val="24"/>
              </w:rPr>
              <w:t>(1)机架式服务器;</w:t>
            </w:r>
          </w:p>
          <w:p w14:paraId="756FE012">
            <w:pPr>
              <w:rPr>
                <w:rFonts w:ascii="宋体" w:hAnsi="宋体" w:cs="宋体"/>
                <w:color w:val="auto"/>
                <w:sz w:val="24"/>
                <w:szCs w:val="24"/>
              </w:rPr>
            </w:pPr>
            <w:r>
              <w:rPr>
                <w:rFonts w:ascii="宋体" w:hAnsi="宋体" w:cs="宋体"/>
                <w:color w:val="auto"/>
                <w:sz w:val="24"/>
                <w:szCs w:val="24"/>
              </w:rPr>
              <w:t>(2)处理器、内存和硬盘按需配置，保障系统流畅且长期可用。</w:t>
            </w:r>
          </w:p>
          <w:p w14:paraId="417CC2D6">
            <w:pPr>
              <w:jc w:val="left"/>
              <w:rPr>
                <w:rFonts w:ascii="宋体" w:hAnsi="宋体" w:cs="宋体"/>
                <w:color w:val="auto"/>
                <w:sz w:val="24"/>
                <w:szCs w:val="24"/>
              </w:rPr>
            </w:pPr>
            <w:r>
              <w:rPr>
                <w:rFonts w:ascii="宋体" w:hAnsi="宋体" w:cs="宋体"/>
                <w:color w:val="auto"/>
                <w:sz w:val="24"/>
                <w:szCs w:val="24"/>
              </w:rPr>
              <w:t>4.输出设备：具备自动双面打印、自动双面复印和自动双面扫描等功能的彩色激光多功能一体机</w:t>
            </w:r>
            <w:r>
              <w:rPr>
                <w:rFonts w:hint="eastAsia" w:ascii="宋体" w:hAnsi="宋体" w:cs="宋体"/>
                <w:color w:val="auto"/>
                <w:sz w:val="24"/>
                <w:szCs w:val="24"/>
              </w:rPr>
              <w:t>，要求打印速度不低于打印</w:t>
            </w:r>
            <w:r>
              <w:rPr>
                <w:rFonts w:ascii="宋体" w:hAnsi="宋体" w:cs="宋体"/>
                <w:color w:val="auto"/>
                <w:sz w:val="24"/>
                <w:szCs w:val="24"/>
              </w:rPr>
              <w:t>A4纸每分钟33页，支持无线网络无线打印。</w:t>
            </w:r>
          </w:p>
          <w:p w14:paraId="3315E833">
            <w:pPr>
              <w:jc w:val="left"/>
              <w:rPr>
                <w:rFonts w:ascii="宋体" w:hAnsi="宋体" w:cs="宋体"/>
                <w:color w:val="auto"/>
                <w:sz w:val="24"/>
                <w:szCs w:val="24"/>
              </w:rPr>
            </w:pPr>
            <w:r>
              <w:rPr>
                <w:rFonts w:ascii="宋体" w:hAnsi="宋体" w:cs="宋体"/>
                <w:color w:val="auto"/>
                <w:sz w:val="24"/>
                <w:szCs w:val="24"/>
              </w:rPr>
              <w:t>5.</w:t>
            </w:r>
            <w:r>
              <w:rPr>
                <w:rFonts w:hint="eastAsia" w:ascii="宋体" w:hAnsi="宋体" w:cs="宋体"/>
                <w:color w:val="auto"/>
                <w:sz w:val="24"/>
                <w:szCs w:val="24"/>
              </w:rPr>
              <w:t>管理电脑设备参数：性能不低于</w:t>
            </w:r>
            <w:r>
              <w:rPr>
                <w:rFonts w:ascii="宋体" w:hAnsi="宋体" w:cs="宋体"/>
                <w:color w:val="auto"/>
                <w:sz w:val="24"/>
                <w:szCs w:val="24"/>
              </w:rPr>
              <w:t>I9/64G/2T固态配置。</w:t>
            </w:r>
          </w:p>
        </w:tc>
        <w:tc>
          <w:tcPr>
            <w:tcW w:w="898" w:type="dxa"/>
            <w:shd w:val="clear" w:color="auto" w:fill="auto"/>
            <w:vAlign w:val="center"/>
          </w:tcPr>
          <w:p w14:paraId="38A2D5B0">
            <w:pPr>
              <w:spacing w:line="460" w:lineRule="exact"/>
              <w:jc w:val="center"/>
              <w:rPr>
                <w:rFonts w:ascii="宋体" w:hAnsi="宋体" w:cs="宋体"/>
                <w:color w:val="auto"/>
                <w:sz w:val="24"/>
                <w:szCs w:val="24"/>
              </w:rPr>
            </w:pPr>
            <w:r>
              <w:rPr>
                <w:rFonts w:hint="eastAsia" w:ascii="宋体" w:hAnsi="宋体" w:cs="宋体"/>
                <w:color w:val="auto"/>
                <w:sz w:val="24"/>
                <w:szCs w:val="24"/>
              </w:rPr>
              <w:t>项</w:t>
            </w:r>
          </w:p>
        </w:tc>
        <w:tc>
          <w:tcPr>
            <w:tcW w:w="1185" w:type="dxa"/>
            <w:shd w:val="clear" w:color="auto" w:fill="auto"/>
            <w:vAlign w:val="center"/>
          </w:tcPr>
          <w:p w14:paraId="5AB66380">
            <w:pPr>
              <w:spacing w:line="460" w:lineRule="exact"/>
              <w:jc w:val="center"/>
              <w:rPr>
                <w:rFonts w:ascii="宋体" w:hAnsi="宋体" w:cs="宋体"/>
                <w:color w:val="auto"/>
                <w:sz w:val="24"/>
                <w:szCs w:val="24"/>
              </w:rPr>
            </w:pPr>
            <w:r>
              <w:rPr>
                <w:rFonts w:ascii="宋体" w:hAnsi="宋体" w:cs="宋体"/>
                <w:color w:val="auto"/>
                <w:sz w:val="24"/>
                <w:szCs w:val="24"/>
              </w:rPr>
              <w:t>1</w:t>
            </w:r>
          </w:p>
        </w:tc>
      </w:tr>
    </w:tbl>
    <w:p w14:paraId="082304F0">
      <w:pPr>
        <w:pStyle w:val="73"/>
        <w:rPr>
          <w:color w:val="auto"/>
        </w:rPr>
      </w:pPr>
    </w:p>
    <w:tbl>
      <w:tblPr>
        <w:tblStyle w:val="59"/>
        <w:tblW w:w="9666" w:type="dxa"/>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1200"/>
        <w:gridCol w:w="6114"/>
        <w:gridCol w:w="810"/>
        <w:gridCol w:w="795"/>
      </w:tblGrid>
      <w:tr w14:paraId="0E47F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trPr>
        <w:tc>
          <w:tcPr>
            <w:tcW w:w="9666"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149C28C3">
            <w:pPr>
              <w:widowControl/>
              <w:jc w:val="center"/>
              <w:rPr>
                <w:rFonts w:ascii="宋体" w:hAnsi="宋体" w:cs="宋体"/>
                <w:color w:val="auto"/>
                <w:kern w:val="0"/>
                <w:sz w:val="24"/>
                <w:szCs w:val="24"/>
              </w:rPr>
            </w:pPr>
            <w:r>
              <w:rPr>
                <w:rFonts w:hint="eastAsia" w:cs="宋体"/>
                <w:bCs/>
                <w:color w:val="auto"/>
                <w:szCs w:val="28"/>
              </w:rPr>
              <w:t>“数智食堂”食堂数智化设备建设要求（包</w:t>
            </w:r>
            <w:r>
              <w:rPr>
                <w:rFonts w:cs="宋体"/>
                <w:bCs/>
                <w:color w:val="auto"/>
                <w:szCs w:val="28"/>
              </w:rPr>
              <w:t>1</w:t>
            </w:r>
            <w:r>
              <w:rPr>
                <w:rFonts w:hint="eastAsia" w:cs="宋体"/>
                <w:bCs/>
                <w:color w:val="auto"/>
                <w:szCs w:val="28"/>
              </w:rPr>
              <w:t>、包</w:t>
            </w:r>
            <w:r>
              <w:rPr>
                <w:rFonts w:cs="宋体"/>
                <w:bCs/>
                <w:color w:val="auto"/>
                <w:szCs w:val="28"/>
              </w:rPr>
              <w:t>2</w:t>
            </w:r>
            <w:r>
              <w:rPr>
                <w:rFonts w:hint="eastAsia" w:cs="宋体"/>
                <w:bCs/>
                <w:color w:val="auto"/>
                <w:szCs w:val="28"/>
              </w:rPr>
              <w:t>、包</w:t>
            </w:r>
            <w:r>
              <w:rPr>
                <w:rFonts w:cs="宋体"/>
                <w:bCs/>
                <w:color w:val="auto"/>
                <w:szCs w:val="28"/>
              </w:rPr>
              <w:t>3</w:t>
            </w:r>
            <w:r>
              <w:rPr>
                <w:rFonts w:hint="eastAsia" w:cs="宋体"/>
                <w:bCs/>
                <w:color w:val="auto"/>
                <w:szCs w:val="28"/>
              </w:rPr>
              <w:t>、包</w:t>
            </w:r>
            <w:r>
              <w:rPr>
                <w:rFonts w:cs="宋体"/>
                <w:bCs/>
                <w:color w:val="auto"/>
                <w:szCs w:val="28"/>
              </w:rPr>
              <w:t>4</w:t>
            </w:r>
            <w:r>
              <w:rPr>
                <w:rFonts w:hint="eastAsia" w:cs="宋体"/>
                <w:bCs/>
                <w:color w:val="auto"/>
                <w:szCs w:val="28"/>
              </w:rPr>
              <w:t>和包</w:t>
            </w:r>
            <w:r>
              <w:rPr>
                <w:rFonts w:cs="宋体"/>
                <w:bCs/>
                <w:color w:val="auto"/>
                <w:szCs w:val="28"/>
              </w:rPr>
              <w:t>5</w:t>
            </w:r>
            <w:r>
              <w:rPr>
                <w:rFonts w:hint="eastAsia" w:cs="宋体"/>
                <w:bCs/>
                <w:color w:val="auto"/>
                <w:szCs w:val="28"/>
              </w:rPr>
              <w:t>）</w:t>
            </w:r>
          </w:p>
        </w:tc>
      </w:tr>
      <w:tr w14:paraId="77261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747" w:type="dxa"/>
            <w:tcBorders>
              <w:top w:val="single" w:color="auto" w:sz="4" w:space="0"/>
              <w:left w:val="single" w:color="auto" w:sz="4" w:space="0"/>
              <w:bottom w:val="single" w:color="auto" w:sz="4" w:space="0"/>
              <w:right w:val="single" w:color="auto" w:sz="4" w:space="0"/>
            </w:tcBorders>
            <w:shd w:val="clear" w:color="auto" w:fill="FFFFFF"/>
            <w:vAlign w:val="center"/>
          </w:tcPr>
          <w:p w14:paraId="3D86F584">
            <w:pPr>
              <w:widowControl/>
              <w:jc w:val="center"/>
              <w:rPr>
                <w:rFonts w:ascii="宋体" w:hAnsi="宋体" w:cs="宋体"/>
                <w:color w:val="auto"/>
                <w:kern w:val="0"/>
                <w:sz w:val="24"/>
                <w:szCs w:val="24"/>
              </w:rPr>
            </w:pPr>
            <w:r>
              <w:rPr>
                <w:rFonts w:hint="eastAsia" w:ascii="宋体" w:hAnsi="宋体" w:cs="宋体"/>
                <w:color w:val="auto"/>
                <w:kern w:val="0"/>
                <w:sz w:val="24"/>
                <w:szCs w:val="24"/>
              </w:rPr>
              <w:t>序号</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14:paraId="78E62E15">
            <w:pPr>
              <w:widowControl/>
              <w:jc w:val="center"/>
              <w:rPr>
                <w:rFonts w:ascii="宋体" w:hAnsi="宋体" w:cs="宋体"/>
                <w:color w:val="auto"/>
                <w:kern w:val="0"/>
                <w:sz w:val="24"/>
                <w:szCs w:val="24"/>
              </w:rPr>
            </w:pPr>
            <w:r>
              <w:rPr>
                <w:rFonts w:hint="eastAsia" w:ascii="宋体" w:hAnsi="宋体" w:cs="宋体"/>
                <w:color w:val="auto"/>
                <w:kern w:val="0"/>
                <w:sz w:val="24"/>
                <w:szCs w:val="24"/>
              </w:rPr>
              <w:t>设备名称</w:t>
            </w:r>
          </w:p>
        </w:tc>
        <w:tc>
          <w:tcPr>
            <w:tcW w:w="6114" w:type="dxa"/>
            <w:tcBorders>
              <w:top w:val="single" w:color="auto" w:sz="4" w:space="0"/>
              <w:left w:val="single" w:color="auto" w:sz="4" w:space="0"/>
              <w:bottom w:val="single" w:color="auto" w:sz="4" w:space="0"/>
              <w:right w:val="single" w:color="auto" w:sz="4" w:space="0"/>
            </w:tcBorders>
            <w:shd w:val="clear" w:color="auto" w:fill="FFFFFF"/>
            <w:vAlign w:val="center"/>
          </w:tcPr>
          <w:p w14:paraId="21A4AF2E">
            <w:pPr>
              <w:widowControl/>
              <w:jc w:val="center"/>
              <w:rPr>
                <w:rFonts w:ascii="宋体" w:hAnsi="宋体" w:cs="宋体"/>
                <w:color w:val="auto"/>
                <w:kern w:val="0"/>
                <w:sz w:val="24"/>
                <w:szCs w:val="24"/>
              </w:rPr>
            </w:pPr>
            <w:r>
              <w:rPr>
                <w:rFonts w:hint="eastAsia" w:ascii="宋体" w:hAnsi="宋体" w:cs="宋体"/>
                <w:color w:val="auto"/>
                <w:kern w:val="0"/>
                <w:sz w:val="24"/>
                <w:szCs w:val="24"/>
              </w:rPr>
              <w:t>产品技术参数</w:t>
            </w:r>
          </w:p>
          <w:p w14:paraId="64742CB4">
            <w:pPr>
              <w:widowControl/>
              <w:jc w:val="center"/>
              <w:rPr>
                <w:rFonts w:ascii="宋体" w:hAnsi="宋体" w:cs="宋体"/>
                <w:color w:val="auto"/>
                <w:kern w:val="0"/>
                <w:sz w:val="24"/>
                <w:szCs w:val="24"/>
              </w:rPr>
            </w:pPr>
            <w:r>
              <w:rPr>
                <w:rFonts w:ascii="宋体" w:hAnsi="宋体" w:cs="宋体"/>
                <w:color w:val="auto"/>
                <w:kern w:val="0"/>
                <w:sz w:val="24"/>
                <w:szCs w:val="24"/>
              </w:rPr>
              <w:t>(参数配置及设施设备配置均为最低要求，如有不完备，按采购人要求实施）</w:t>
            </w:r>
          </w:p>
        </w:tc>
        <w:tc>
          <w:tcPr>
            <w:tcW w:w="810" w:type="dxa"/>
            <w:tcBorders>
              <w:top w:val="single" w:color="auto" w:sz="4" w:space="0"/>
              <w:left w:val="single" w:color="auto" w:sz="4" w:space="0"/>
              <w:bottom w:val="single" w:color="auto" w:sz="4" w:space="0"/>
              <w:right w:val="single" w:color="auto" w:sz="4" w:space="0"/>
            </w:tcBorders>
            <w:shd w:val="clear" w:color="auto" w:fill="FFFFFF"/>
            <w:vAlign w:val="center"/>
          </w:tcPr>
          <w:p w14:paraId="548AC519">
            <w:pPr>
              <w:widowControl/>
              <w:jc w:val="center"/>
              <w:rPr>
                <w:rFonts w:ascii="宋体" w:hAnsi="宋体" w:cs="宋体"/>
                <w:color w:val="auto"/>
                <w:kern w:val="0"/>
                <w:sz w:val="24"/>
                <w:szCs w:val="24"/>
              </w:rPr>
            </w:pPr>
            <w:r>
              <w:rPr>
                <w:rFonts w:hint="eastAsia" w:ascii="宋体" w:hAnsi="宋体" w:cs="宋体"/>
                <w:color w:val="auto"/>
                <w:kern w:val="0"/>
                <w:sz w:val="24"/>
                <w:szCs w:val="24"/>
              </w:rPr>
              <w:t>单位</w:t>
            </w:r>
          </w:p>
        </w:tc>
        <w:tc>
          <w:tcPr>
            <w:tcW w:w="795" w:type="dxa"/>
            <w:tcBorders>
              <w:top w:val="single" w:color="auto" w:sz="4" w:space="0"/>
              <w:left w:val="single" w:color="auto" w:sz="4" w:space="0"/>
              <w:bottom w:val="single" w:color="auto" w:sz="4" w:space="0"/>
              <w:right w:val="single" w:color="auto" w:sz="4" w:space="0"/>
            </w:tcBorders>
            <w:shd w:val="clear" w:color="auto" w:fill="FFFFFF"/>
            <w:vAlign w:val="center"/>
          </w:tcPr>
          <w:p w14:paraId="57ED1766">
            <w:pPr>
              <w:widowControl/>
              <w:jc w:val="center"/>
              <w:rPr>
                <w:rFonts w:ascii="宋体" w:hAnsi="宋体" w:cs="宋体"/>
                <w:color w:val="auto"/>
                <w:kern w:val="0"/>
                <w:sz w:val="24"/>
                <w:szCs w:val="24"/>
              </w:rPr>
            </w:pPr>
            <w:r>
              <w:rPr>
                <w:rFonts w:hint="eastAsia" w:ascii="宋体" w:hAnsi="宋体" w:cs="宋体"/>
                <w:color w:val="auto"/>
                <w:kern w:val="0"/>
                <w:sz w:val="24"/>
                <w:szCs w:val="24"/>
              </w:rPr>
              <w:t>数量</w:t>
            </w:r>
          </w:p>
        </w:tc>
      </w:tr>
      <w:tr w14:paraId="08378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4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C729757">
            <w:pPr>
              <w:widowControl/>
              <w:jc w:val="center"/>
              <w:textAlignment w:val="center"/>
              <w:rPr>
                <w:rFonts w:ascii="宋体" w:hAnsi="宋体" w:cs="宋体"/>
                <w:color w:val="auto"/>
                <w:kern w:val="0"/>
                <w:sz w:val="24"/>
                <w:szCs w:val="24"/>
              </w:rPr>
            </w:pPr>
            <w:r>
              <w:rPr>
                <w:rFonts w:ascii="宋体" w:hAnsi="宋体" w:cs="宋体"/>
                <w:color w:val="auto"/>
                <w:kern w:val="0"/>
                <w:sz w:val="24"/>
                <w:szCs w:val="24"/>
                <w:lang w:bidi="ar"/>
              </w:rPr>
              <w:t>1</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14:paraId="25261CFC">
            <w:pPr>
              <w:widowControl/>
              <w:jc w:val="center"/>
              <w:textAlignment w:val="center"/>
              <w:rPr>
                <w:rFonts w:ascii="宋体" w:hAnsi="宋体" w:cs="宋体"/>
                <w:color w:val="auto"/>
                <w:kern w:val="0"/>
                <w:sz w:val="24"/>
                <w:szCs w:val="24"/>
              </w:rPr>
            </w:pPr>
            <w:r>
              <w:rPr>
                <w:rFonts w:hint="eastAsia" w:ascii="宋体" w:hAnsi="宋体" w:cs="宋体"/>
                <w:color w:val="auto"/>
                <w:kern w:val="0"/>
                <w:sz w:val="24"/>
                <w:szCs w:val="24"/>
              </w:rPr>
              <w:t>智能人脸晨检门禁</w:t>
            </w:r>
          </w:p>
        </w:tc>
        <w:tc>
          <w:tcPr>
            <w:tcW w:w="6114"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A56C786">
            <w:pPr>
              <w:widowControl/>
              <w:numPr>
                <w:ilvl w:val="0"/>
                <w:numId w:val="74"/>
              </w:numPr>
              <w:ind w:left="0"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功能描述：</w:t>
            </w:r>
          </w:p>
          <w:p w14:paraId="73DB9C3E">
            <w:pPr>
              <w:widowControl/>
              <w:numPr>
                <w:ilvl w:val="0"/>
                <w:numId w:val="75"/>
              </w:numPr>
              <w:ind w:left="0"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实现每日自动晨检，并对晨检数据实时记录、自动存档，确保有效落实从业人员每日健康管理要求；</w:t>
            </w:r>
          </w:p>
          <w:p w14:paraId="7E9198B2">
            <w:pPr>
              <w:widowControl/>
              <w:numPr>
                <w:ilvl w:val="0"/>
                <w:numId w:val="75"/>
              </w:numPr>
              <w:ind w:left="0"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通过人体无感测温、人脸健康证比对、手部检测识别、智能语音提醒，实现每日员工测温晨检；自动生成晨检、出勤记录；同时进行员工健康证状态提醒，节省人工管理成本，降低食堂人员证照风险，同时解决员工出入管控问题；</w:t>
            </w:r>
          </w:p>
          <w:p w14:paraId="612594B6">
            <w:pPr>
              <w:widowControl/>
              <w:numPr>
                <w:ilvl w:val="0"/>
                <w:numId w:val="75"/>
              </w:numPr>
              <w:ind w:left="0"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自动生成晨检台账在手机</w:t>
            </w:r>
            <w:r>
              <w:rPr>
                <w:rFonts w:ascii="宋体" w:hAnsi="宋体" w:cs="宋体"/>
                <w:color w:val="auto"/>
                <w:kern w:val="0"/>
                <w:sz w:val="24"/>
                <w:szCs w:val="24"/>
                <w:lang w:bidi="ar"/>
              </w:rPr>
              <w:t>APP端、电脑后台端可导出记录生成表格打印纸质晨检</w:t>
            </w:r>
            <w:r>
              <w:rPr>
                <w:rFonts w:hint="eastAsia" w:ascii="宋体" w:hAnsi="宋体" w:cs="宋体"/>
                <w:color w:val="auto"/>
                <w:kern w:val="0"/>
                <w:sz w:val="24"/>
                <w:szCs w:val="24"/>
                <w:lang w:bidi="ar"/>
              </w:rPr>
              <w:t>台账并最少保存</w:t>
            </w:r>
            <w:r>
              <w:rPr>
                <w:rFonts w:ascii="宋体" w:hAnsi="宋体" w:cs="宋体"/>
                <w:color w:val="auto"/>
                <w:kern w:val="0"/>
                <w:sz w:val="24"/>
                <w:szCs w:val="24"/>
                <w:lang w:bidi="ar"/>
              </w:rPr>
              <w:t>2年数据；</w:t>
            </w:r>
          </w:p>
          <w:p w14:paraId="405E280F">
            <w:pPr>
              <w:widowControl/>
              <w:numPr>
                <w:ilvl w:val="0"/>
                <w:numId w:val="74"/>
              </w:numPr>
              <w:ind w:left="0"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设备参数：</w:t>
            </w:r>
          </w:p>
          <w:p w14:paraId="5E5268D7">
            <w:pPr>
              <w:widowControl/>
              <w:numPr>
                <w:ilvl w:val="0"/>
                <w:numId w:val="76"/>
              </w:numPr>
              <w:ind w:left="0"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显示参数：</w:t>
            </w:r>
          </w:p>
          <w:p w14:paraId="3BE480AC">
            <w:pPr>
              <w:widowControl/>
              <w:numPr>
                <w:ilvl w:val="0"/>
                <w:numId w:val="77"/>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操作系统：</w:t>
            </w:r>
            <w:r>
              <w:rPr>
                <w:rFonts w:ascii="宋体" w:hAnsi="宋体" w:cs="宋体"/>
                <w:color w:val="auto"/>
                <w:kern w:val="0"/>
                <w:sz w:val="24"/>
                <w:szCs w:val="24"/>
                <w:lang w:bidi="ar"/>
              </w:rPr>
              <w:t>Linux操作系统；</w:t>
            </w:r>
          </w:p>
          <w:p w14:paraId="78E930C4">
            <w:pPr>
              <w:widowControl/>
              <w:numPr>
                <w:ilvl w:val="0"/>
                <w:numId w:val="77"/>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处理器：不低于双核</w:t>
            </w:r>
            <w:r>
              <w:rPr>
                <w:rFonts w:ascii="宋体" w:hAnsi="宋体" w:cs="宋体"/>
                <w:color w:val="auto"/>
                <w:kern w:val="0"/>
                <w:sz w:val="24"/>
                <w:szCs w:val="24"/>
                <w:lang w:bidi="ar"/>
              </w:rPr>
              <w:t>ARMCortex-A7andRISC-VMCU的性能；</w:t>
            </w:r>
          </w:p>
          <w:p w14:paraId="2588E1AA">
            <w:pPr>
              <w:widowControl/>
              <w:numPr>
                <w:ilvl w:val="0"/>
                <w:numId w:val="77"/>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摄像头双目：</w:t>
            </w:r>
            <w:r>
              <w:rPr>
                <w:rFonts w:ascii="宋体" w:hAnsi="宋体" w:cs="宋体"/>
                <w:color w:val="auto"/>
                <w:kern w:val="0"/>
                <w:sz w:val="24"/>
                <w:szCs w:val="24"/>
                <w:lang w:bidi="ar"/>
              </w:rPr>
              <w:t>210万有效像素，1920*1080；</w:t>
            </w:r>
          </w:p>
          <w:p w14:paraId="14203E75">
            <w:pPr>
              <w:widowControl/>
              <w:numPr>
                <w:ilvl w:val="0"/>
                <w:numId w:val="77"/>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成像器件：</w:t>
            </w:r>
            <w:r>
              <w:rPr>
                <w:rFonts w:ascii="宋体" w:hAnsi="宋体" w:cs="宋体"/>
                <w:color w:val="auto"/>
                <w:kern w:val="0"/>
                <w:sz w:val="24"/>
                <w:szCs w:val="24"/>
                <w:lang w:bidi="ar"/>
              </w:rPr>
              <w:t>1/2.8"；</w:t>
            </w:r>
          </w:p>
          <w:p w14:paraId="05AB40E0">
            <w:pPr>
              <w:widowControl/>
              <w:numPr>
                <w:ilvl w:val="0"/>
                <w:numId w:val="77"/>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镜头：</w:t>
            </w:r>
            <w:r>
              <w:rPr>
                <w:rFonts w:ascii="宋体" w:hAnsi="宋体" w:cs="宋体"/>
                <w:color w:val="auto"/>
                <w:kern w:val="0"/>
                <w:sz w:val="24"/>
                <w:szCs w:val="24"/>
                <w:lang w:bidi="ar"/>
              </w:rPr>
              <w:t>4.5mm焦距；</w:t>
            </w:r>
          </w:p>
          <w:p w14:paraId="683E464A">
            <w:pPr>
              <w:widowControl/>
              <w:numPr>
                <w:ilvl w:val="0"/>
                <w:numId w:val="77"/>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扬声器：语音播放内容可定制；</w:t>
            </w:r>
          </w:p>
          <w:p w14:paraId="1E0C39AC">
            <w:pPr>
              <w:widowControl/>
              <w:numPr>
                <w:ilvl w:val="0"/>
                <w:numId w:val="77"/>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存储：</w:t>
            </w:r>
            <w:r>
              <w:rPr>
                <w:rFonts w:ascii="宋体" w:hAnsi="宋体" w:cs="宋体"/>
                <w:color w:val="auto"/>
                <w:kern w:val="0"/>
                <w:sz w:val="24"/>
                <w:szCs w:val="24"/>
                <w:lang w:bidi="ar"/>
              </w:rPr>
              <w:t>1GB内存+8GBeMMC。</w:t>
            </w:r>
          </w:p>
          <w:p w14:paraId="6440EE6A">
            <w:pPr>
              <w:widowControl/>
              <w:numPr>
                <w:ilvl w:val="0"/>
                <w:numId w:val="76"/>
              </w:numPr>
              <w:ind w:left="0"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性能参数：</w:t>
            </w:r>
          </w:p>
          <w:p w14:paraId="2E4E264F">
            <w:pPr>
              <w:widowControl/>
              <w:numPr>
                <w:ilvl w:val="0"/>
                <w:numId w:val="78"/>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识别高度：</w:t>
            </w:r>
            <w:r>
              <w:rPr>
                <w:rFonts w:ascii="宋体" w:hAnsi="宋体" w:cs="宋体"/>
                <w:color w:val="auto"/>
                <w:kern w:val="0"/>
                <w:sz w:val="24"/>
                <w:szCs w:val="24"/>
                <w:lang w:bidi="ar"/>
              </w:rPr>
              <w:t>1.2~2.3米；</w:t>
            </w:r>
          </w:p>
          <w:p w14:paraId="37546C68">
            <w:pPr>
              <w:widowControl/>
              <w:numPr>
                <w:ilvl w:val="0"/>
                <w:numId w:val="78"/>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角度可调：识别距离</w:t>
            </w:r>
            <w:r>
              <w:rPr>
                <w:rFonts w:ascii="宋体" w:hAnsi="宋体" w:cs="宋体"/>
                <w:color w:val="auto"/>
                <w:kern w:val="0"/>
                <w:sz w:val="24"/>
                <w:szCs w:val="24"/>
                <w:lang w:bidi="ar"/>
              </w:rPr>
              <w:t>0.5~1.5米，视镜头可变；</w:t>
            </w:r>
          </w:p>
          <w:p w14:paraId="692EB753">
            <w:pPr>
              <w:widowControl/>
              <w:numPr>
                <w:ilvl w:val="0"/>
                <w:numId w:val="78"/>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人脸角度：左右</w:t>
            </w:r>
            <w:r>
              <w:rPr>
                <w:rFonts w:ascii="宋体" w:hAnsi="宋体" w:cs="宋体"/>
                <w:color w:val="auto"/>
                <w:kern w:val="0"/>
                <w:sz w:val="24"/>
                <w:szCs w:val="24"/>
                <w:lang w:bidi="ar"/>
              </w:rPr>
              <w:t>30度，上下30度；</w:t>
            </w:r>
          </w:p>
          <w:p w14:paraId="5D7989B2">
            <w:pPr>
              <w:widowControl/>
              <w:numPr>
                <w:ilvl w:val="0"/>
                <w:numId w:val="78"/>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识别时间：小于</w:t>
            </w:r>
            <w:r>
              <w:rPr>
                <w:rFonts w:ascii="宋体" w:hAnsi="宋体" w:cs="宋体"/>
                <w:color w:val="auto"/>
                <w:kern w:val="0"/>
                <w:sz w:val="24"/>
                <w:szCs w:val="24"/>
                <w:lang w:bidi="ar"/>
              </w:rPr>
              <w:t>0.3秒；</w:t>
            </w:r>
          </w:p>
          <w:p w14:paraId="3F61AA56">
            <w:pPr>
              <w:widowControl/>
              <w:numPr>
                <w:ilvl w:val="0"/>
                <w:numId w:val="78"/>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识别记录容量：</w:t>
            </w:r>
            <w:r>
              <w:rPr>
                <w:rFonts w:ascii="宋体" w:hAnsi="宋体" w:cs="宋体"/>
                <w:color w:val="auto"/>
                <w:kern w:val="0"/>
                <w:sz w:val="24"/>
                <w:szCs w:val="24"/>
                <w:lang w:bidi="ar"/>
              </w:rPr>
              <w:t>69000；</w:t>
            </w:r>
          </w:p>
          <w:p w14:paraId="3A566BB2">
            <w:pPr>
              <w:widowControl/>
              <w:numPr>
                <w:ilvl w:val="0"/>
                <w:numId w:val="78"/>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人脸容量：</w:t>
            </w:r>
            <w:r>
              <w:rPr>
                <w:rFonts w:ascii="宋体" w:hAnsi="宋体" w:cs="宋体"/>
                <w:color w:val="auto"/>
                <w:kern w:val="0"/>
                <w:sz w:val="24"/>
                <w:szCs w:val="24"/>
                <w:lang w:bidi="ar"/>
              </w:rPr>
              <w:t>24000张；</w:t>
            </w:r>
          </w:p>
          <w:p w14:paraId="3A70D37D">
            <w:pPr>
              <w:widowControl/>
              <w:numPr>
                <w:ilvl w:val="0"/>
                <w:numId w:val="76"/>
              </w:numPr>
              <w:ind w:left="0"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其他参数：</w:t>
            </w:r>
          </w:p>
          <w:p w14:paraId="09BD0ECF">
            <w:pPr>
              <w:widowControl/>
              <w:numPr>
                <w:ilvl w:val="0"/>
                <w:numId w:val="79"/>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工作温度：</w:t>
            </w:r>
            <w:r>
              <w:rPr>
                <w:rFonts w:ascii="宋体" w:hAnsi="宋体" w:cs="宋体"/>
                <w:color w:val="auto"/>
                <w:kern w:val="0"/>
                <w:sz w:val="24"/>
                <w:szCs w:val="24"/>
                <w:lang w:bidi="ar"/>
              </w:rPr>
              <w:t>-20℃-60℃（测温环境温度：+16℃-+40℃）；</w:t>
            </w:r>
          </w:p>
          <w:p w14:paraId="12C342CC">
            <w:pPr>
              <w:widowControl/>
              <w:numPr>
                <w:ilvl w:val="0"/>
                <w:numId w:val="79"/>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工作湿度：</w:t>
            </w:r>
            <w:r>
              <w:rPr>
                <w:rFonts w:ascii="宋体" w:hAnsi="宋体" w:cs="宋体"/>
                <w:color w:val="auto"/>
                <w:kern w:val="0"/>
                <w:sz w:val="24"/>
                <w:szCs w:val="24"/>
                <w:lang w:bidi="ar"/>
              </w:rPr>
              <w:t>0%～90%相对湿度，无冷凝；</w:t>
            </w:r>
          </w:p>
          <w:p w14:paraId="22BDE3FC">
            <w:pPr>
              <w:widowControl/>
              <w:numPr>
                <w:ilvl w:val="0"/>
                <w:numId w:val="79"/>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设备功率：</w:t>
            </w:r>
            <w:r>
              <w:rPr>
                <w:rFonts w:ascii="宋体" w:hAnsi="宋体" w:cs="宋体"/>
                <w:color w:val="auto"/>
                <w:kern w:val="0"/>
                <w:sz w:val="24"/>
                <w:szCs w:val="24"/>
                <w:lang w:bidi="ar"/>
              </w:rPr>
              <w:t>20W(MAX)；</w:t>
            </w:r>
          </w:p>
          <w:p w14:paraId="4D5F2EC6">
            <w:pPr>
              <w:widowControl/>
              <w:numPr>
                <w:ilvl w:val="0"/>
                <w:numId w:val="79"/>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盐雾等级：</w:t>
            </w:r>
            <w:r>
              <w:rPr>
                <w:rFonts w:ascii="宋体" w:hAnsi="宋体" w:cs="宋体"/>
                <w:color w:val="auto"/>
                <w:kern w:val="0"/>
                <w:sz w:val="24"/>
                <w:szCs w:val="24"/>
                <w:lang w:bidi="ar"/>
              </w:rPr>
              <w:t>Rp6级以上；</w:t>
            </w:r>
          </w:p>
          <w:p w14:paraId="5BA9576E">
            <w:pPr>
              <w:widowControl/>
              <w:numPr>
                <w:ilvl w:val="0"/>
                <w:numId w:val="79"/>
              </w:numPr>
              <w:ind w:firstLine="0"/>
              <w:jc w:val="left"/>
              <w:textAlignment w:val="center"/>
              <w:rPr>
                <w:rFonts w:ascii="宋体" w:hAnsi="宋体" w:cs="宋体"/>
                <w:color w:val="auto"/>
                <w:kern w:val="0"/>
                <w:sz w:val="24"/>
                <w:szCs w:val="24"/>
                <w:lang w:bidi="ar"/>
              </w:rPr>
            </w:pPr>
            <w:r>
              <w:rPr>
                <w:rFonts w:ascii="宋体" w:hAnsi="宋体" w:cs="宋体"/>
                <w:color w:val="auto"/>
                <w:kern w:val="0"/>
                <w:sz w:val="24"/>
                <w:szCs w:val="24"/>
                <w:lang w:bidi="ar"/>
              </w:rPr>
              <w:t>ESD：接触±6KV，空气±8KV；</w:t>
            </w:r>
          </w:p>
          <w:p w14:paraId="0E1591DE">
            <w:pPr>
              <w:widowControl/>
              <w:numPr>
                <w:ilvl w:val="0"/>
                <w:numId w:val="79"/>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供电：</w:t>
            </w:r>
            <w:r>
              <w:rPr>
                <w:rFonts w:ascii="宋体" w:hAnsi="宋体" w:cs="宋体"/>
                <w:color w:val="auto"/>
                <w:kern w:val="0"/>
                <w:sz w:val="24"/>
                <w:szCs w:val="24"/>
                <w:lang w:bidi="ar"/>
              </w:rPr>
              <w:t>DC12V/2A；</w:t>
            </w:r>
          </w:p>
          <w:p w14:paraId="5EE6F1DE">
            <w:pPr>
              <w:widowControl/>
              <w:numPr>
                <w:ilvl w:val="0"/>
                <w:numId w:val="79"/>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防护等级：</w:t>
            </w:r>
            <w:r>
              <w:rPr>
                <w:rFonts w:ascii="宋体" w:hAnsi="宋体" w:cs="宋体"/>
                <w:color w:val="auto"/>
                <w:kern w:val="0"/>
                <w:sz w:val="24"/>
                <w:szCs w:val="24"/>
                <w:lang w:bidi="ar"/>
              </w:rPr>
              <w:t>IP42；</w:t>
            </w:r>
          </w:p>
          <w:p w14:paraId="796B3FAA">
            <w:pPr>
              <w:widowControl/>
              <w:numPr>
                <w:ilvl w:val="0"/>
                <w:numId w:val="79"/>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屏幕规格：</w:t>
            </w:r>
            <w:r>
              <w:rPr>
                <w:rFonts w:ascii="宋体" w:hAnsi="宋体" w:cs="宋体"/>
                <w:color w:val="auto"/>
                <w:kern w:val="0"/>
                <w:sz w:val="24"/>
                <w:szCs w:val="24"/>
                <w:lang w:bidi="ar"/>
              </w:rPr>
              <w:t>8寸高清IPS屏，分辨率1280*800；</w:t>
            </w:r>
          </w:p>
          <w:p w14:paraId="3BD9D20C">
            <w:pPr>
              <w:widowControl/>
              <w:numPr>
                <w:ilvl w:val="0"/>
                <w:numId w:val="79"/>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设备尺寸：不低于</w:t>
            </w:r>
            <w:r>
              <w:rPr>
                <w:rFonts w:ascii="宋体" w:hAnsi="宋体" w:cs="宋体"/>
                <w:color w:val="auto"/>
                <w:kern w:val="0"/>
                <w:sz w:val="24"/>
                <w:szCs w:val="24"/>
                <w:lang w:bidi="ar"/>
              </w:rPr>
              <w:t>261.97（长）*133（宽）*87.34（厚）mm；</w:t>
            </w:r>
          </w:p>
        </w:tc>
        <w:tc>
          <w:tcPr>
            <w:tcW w:w="81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DD95C91">
            <w:pPr>
              <w:jc w:val="center"/>
              <w:rPr>
                <w:rFonts w:ascii="宋体" w:hAnsi="宋体" w:cs="宋体"/>
                <w:color w:val="auto"/>
                <w:sz w:val="24"/>
                <w:szCs w:val="24"/>
              </w:rPr>
            </w:pPr>
            <w:r>
              <w:rPr>
                <w:rFonts w:hint="eastAsia" w:ascii="宋体" w:hAnsi="宋体" w:cs="宋体"/>
                <w:color w:val="auto"/>
                <w:sz w:val="24"/>
                <w:szCs w:val="24"/>
              </w:rPr>
              <w:t>套</w:t>
            </w:r>
          </w:p>
        </w:tc>
        <w:tc>
          <w:tcPr>
            <w:tcW w:w="79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12C725F">
            <w:pPr>
              <w:jc w:val="center"/>
              <w:rPr>
                <w:rFonts w:ascii="宋体" w:hAnsi="宋体" w:cs="宋体"/>
                <w:color w:val="auto"/>
                <w:sz w:val="24"/>
                <w:szCs w:val="24"/>
              </w:rPr>
            </w:pPr>
            <w:r>
              <w:rPr>
                <w:rFonts w:hint="eastAsia" w:ascii="宋体" w:hAnsi="宋体" w:cs="宋体"/>
                <w:color w:val="auto"/>
                <w:sz w:val="24"/>
                <w:szCs w:val="24"/>
              </w:rPr>
              <w:t>按需配置并征得采购人书面同意</w:t>
            </w:r>
          </w:p>
        </w:tc>
      </w:tr>
      <w:tr w14:paraId="61F8C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4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4FF15A7">
            <w:pPr>
              <w:widowControl/>
              <w:jc w:val="center"/>
              <w:textAlignment w:val="center"/>
              <w:rPr>
                <w:rFonts w:ascii="宋体" w:hAnsi="宋体" w:cs="宋体"/>
                <w:color w:val="auto"/>
                <w:kern w:val="0"/>
                <w:sz w:val="24"/>
                <w:szCs w:val="24"/>
              </w:rPr>
            </w:pPr>
            <w:r>
              <w:rPr>
                <w:rFonts w:ascii="宋体" w:hAnsi="宋体" w:cs="宋体"/>
                <w:color w:val="auto"/>
                <w:kern w:val="0"/>
                <w:sz w:val="24"/>
                <w:szCs w:val="24"/>
                <w:lang w:bidi="ar"/>
              </w:rPr>
              <w:t>2</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14:paraId="4E886E35">
            <w:pPr>
              <w:widowControl/>
              <w:jc w:val="center"/>
              <w:textAlignment w:val="center"/>
              <w:rPr>
                <w:rFonts w:ascii="宋体" w:hAnsi="宋体" w:cs="宋体"/>
                <w:color w:val="auto"/>
                <w:kern w:val="0"/>
                <w:sz w:val="24"/>
                <w:szCs w:val="24"/>
              </w:rPr>
            </w:pPr>
            <w:r>
              <w:rPr>
                <w:rFonts w:hint="eastAsia" w:ascii="宋体" w:hAnsi="宋体" w:cs="宋体"/>
                <w:color w:val="auto"/>
                <w:kern w:val="0"/>
                <w:sz w:val="24"/>
                <w:szCs w:val="24"/>
              </w:rPr>
              <w:t>离人监管预警</w:t>
            </w:r>
          </w:p>
        </w:tc>
        <w:tc>
          <w:tcPr>
            <w:tcW w:w="6114"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4FC1A26">
            <w:pPr>
              <w:widowControl/>
              <w:numPr>
                <w:ilvl w:val="0"/>
                <w:numId w:val="80"/>
              </w:numPr>
              <w:ind w:left="0"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功能描述：</w:t>
            </w:r>
          </w:p>
          <w:p w14:paraId="26D4F9B7">
            <w:pPr>
              <w:widowControl/>
              <w:numPr>
                <w:ilvl w:val="0"/>
                <w:numId w:val="81"/>
              </w:numPr>
              <w:ind w:left="0"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识别灶台中心温度和区域人员侦测，如灶台温度超过</w:t>
            </w:r>
            <w:r>
              <w:rPr>
                <w:rFonts w:ascii="宋体" w:hAnsi="宋体" w:cs="宋体"/>
                <w:color w:val="auto"/>
                <w:kern w:val="0"/>
                <w:sz w:val="24"/>
                <w:szCs w:val="24"/>
                <w:lang w:bidi="ar"/>
              </w:rPr>
              <w:t>150度人员离开30秒即刻现场报警，同时摄像头拍照记录现场情况并上传数据；</w:t>
            </w:r>
          </w:p>
          <w:p w14:paraId="0CE1F813">
            <w:pPr>
              <w:widowControl/>
              <w:numPr>
                <w:ilvl w:val="0"/>
                <w:numId w:val="81"/>
              </w:numPr>
              <w:ind w:left="0"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温度和人员离开时间可自定义设置；</w:t>
            </w:r>
          </w:p>
          <w:p w14:paraId="5824AD29">
            <w:pPr>
              <w:widowControl/>
              <w:numPr>
                <w:ilvl w:val="0"/>
                <w:numId w:val="81"/>
              </w:numPr>
              <w:ind w:left="0"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摄像头支持定制语音报警；</w:t>
            </w:r>
          </w:p>
          <w:p w14:paraId="17251595">
            <w:pPr>
              <w:widowControl/>
              <w:numPr>
                <w:ilvl w:val="0"/>
                <w:numId w:val="81"/>
              </w:numPr>
              <w:ind w:left="0"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摄像头支持联动声光报警装置；</w:t>
            </w:r>
          </w:p>
          <w:p w14:paraId="5D9CA246">
            <w:pPr>
              <w:widowControl/>
              <w:numPr>
                <w:ilvl w:val="0"/>
                <w:numId w:val="80"/>
              </w:numPr>
              <w:ind w:left="0"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设备参数：</w:t>
            </w:r>
          </w:p>
          <w:p w14:paraId="21812C6C">
            <w:pPr>
              <w:widowControl/>
              <w:numPr>
                <w:ilvl w:val="0"/>
                <w:numId w:val="82"/>
              </w:numPr>
              <w:ind w:left="0"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基本参数：</w:t>
            </w:r>
          </w:p>
          <w:p w14:paraId="368F7B05">
            <w:pPr>
              <w:widowControl/>
              <w:numPr>
                <w:ilvl w:val="0"/>
                <w:numId w:val="83"/>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主板：算力不低于</w:t>
            </w:r>
            <w:r>
              <w:rPr>
                <w:rFonts w:ascii="宋体" w:hAnsi="宋体" w:cs="宋体"/>
                <w:color w:val="auto"/>
                <w:kern w:val="0"/>
                <w:sz w:val="24"/>
                <w:szCs w:val="24"/>
                <w:lang w:bidi="ar"/>
              </w:rPr>
              <w:t>1.0Tops，内存不低于512MB，闪存不低于8GBEMMC；</w:t>
            </w:r>
          </w:p>
          <w:p w14:paraId="0F5D5FD2">
            <w:pPr>
              <w:widowControl/>
              <w:numPr>
                <w:ilvl w:val="0"/>
                <w:numId w:val="83"/>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探测器类型：氧化钒非制冷红外焦平面探测器；</w:t>
            </w:r>
          </w:p>
          <w:p w14:paraId="1B8E00C4">
            <w:pPr>
              <w:widowControl/>
              <w:numPr>
                <w:ilvl w:val="0"/>
                <w:numId w:val="83"/>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成像器件：</w:t>
            </w:r>
            <w:r>
              <w:rPr>
                <w:rFonts w:ascii="宋体" w:hAnsi="宋体" w:cs="宋体"/>
                <w:color w:val="auto"/>
                <w:kern w:val="0"/>
                <w:sz w:val="24"/>
                <w:szCs w:val="24"/>
                <w:lang w:bidi="ar"/>
              </w:rPr>
              <w:t>400</w:t>
            </w:r>
            <w:r>
              <w:rPr>
                <w:rFonts w:hint="eastAsia" w:ascii="宋体" w:hAnsi="宋体" w:cs="宋体"/>
                <w:color w:val="auto"/>
                <w:kern w:val="0"/>
                <w:sz w:val="24"/>
                <w:szCs w:val="24"/>
                <w:lang w:bidi="ar"/>
              </w:rPr>
              <w:t>万像素</w:t>
            </w:r>
            <w:r>
              <w:rPr>
                <w:rFonts w:ascii="宋体" w:hAnsi="宋体" w:cs="宋体"/>
                <w:color w:val="auto"/>
                <w:kern w:val="0"/>
                <w:sz w:val="24"/>
                <w:szCs w:val="24"/>
                <w:lang w:bidi="ar"/>
              </w:rPr>
              <w:t>1/3CMOS，F1.6光圈，超低照度，星光级；</w:t>
            </w:r>
          </w:p>
          <w:p w14:paraId="4A00DBEF">
            <w:pPr>
              <w:widowControl/>
              <w:numPr>
                <w:ilvl w:val="0"/>
                <w:numId w:val="83"/>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有效像素：</w:t>
            </w:r>
            <w:r>
              <w:rPr>
                <w:rFonts w:ascii="宋体" w:hAnsi="宋体" w:cs="宋体"/>
                <w:color w:val="auto"/>
                <w:kern w:val="0"/>
                <w:sz w:val="24"/>
                <w:szCs w:val="24"/>
                <w:lang w:bidi="ar"/>
              </w:rPr>
              <w:t>4MP有效像素（2560*1440）；</w:t>
            </w:r>
          </w:p>
          <w:p w14:paraId="1CCD4D29">
            <w:pPr>
              <w:widowControl/>
              <w:numPr>
                <w:ilvl w:val="0"/>
                <w:numId w:val="83"/>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镜头类型：定焦；</w:t>
            </w:r>
          </w:p>
          <w:p w14:paraId="0E19658A">
            <w:pPr>
              <w:widowControl/>
              <w:numPr>
                <w:ilvl w:val="0"/>
                <w:numId w:val="83"/>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焦距：</w:t>
            </w:r>
            <w:r>
              <w:rPr>
                <w:rFonts w:ascii="宋体" w:hAnsi="宋体" w:cs="宋体"/>
                <w:color w:val="auto"/>
                <w:kern w:val="0"/>
                <w:sz w:val="24"/>
                <w:szCs w:val="24"/>
                <w:lang w:bidi="ar"/>
              </w:rPr>
              <w:t>6mm；</w:t>
            </w:r>
          </w:p>
          <w:p w14:paraId="1D596C25">
            <w:pPr>
              <w:widowControl/>
              <w:numPr>
                <w:ilvl w:val="0"/>
                <w:numId w:val="83"/>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补光：</w:t>
            </w:r>
            <w:r>
              <w:rPr>
                <w:rFonts w:ascii="宋体" w:hAnsi="宋体" w:cs="宋体"/>
                <w:color w:val="auto"/>
                <w:kern w:val="0"/>
                <w:sz w:val="24"/>
                <w:szCs w:val="24"/>
                <w:lang w:bidi="ar"/>
              </w:rPr>
              <w:t>IR*4，白光LED*4；</w:t>
            </w:r>
          </w:p>
          <w:p w14:paraId="7201E095">
            <w:pPr>
              <w:widowControl/>
              <w:numPr>
                <w:ilvl w:val="0"/>
                <w:numId w:val="83"/>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光谱范围：</w:t>
            </w:r>
            <w:r>
              <w:rPr>
                <w:rFonts w:ascii="宋体" w:hAnsi="宋体" w:cs="宋体"/>
                <w:color w:val="auto"/>
                <w:kern w:val="0"/>
                <w:sz w:val="24"/>
                <w:szCs w:val="24"/>
                <w:lang w:bidi="ar"/>
              </w:rPr>
              <w:t>8-14μm；</w:t>
            </w:r>
          </w:p>
          <w:p w14:paraId="4C6D149E">
            <w:pPr>
              <w:widowControl/>
              <w:numPr>
                <w:ilvl w:val="0"/>
                <w:numId w:val="83"/>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原始分辨率：</w:t>
            </w:r>
            <w:r>
              <w:rPr>
                <w:rFonts w:ascii="宋体" w:hAnsi="宋体" w:cs="宋体"/>
                <w:color w:val="auto"/>
                <w:kern w:val="0"/>
                <w:sz w:val="24"/>
                <w:szCs w:val="24"/>
                <w:lang w:bidi="ar"/>
              </w:rPr>
              <w:t>256×192；</w:t>
            </w:r>
          </w:p>
          <w:p w14:paraId="5742682C">
            <w:pPr>
              <w:widowControl/>
              <w:numPr>
                <w:ilvl w:val="0"/>
                <w:numId w:val="82"/>
              </w:numPr>
              <w:ind w:left="0"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功能参数：</w:t>
            </w:r>
          </w:p>
          <w:p w14:paraId="6868529F">
            <w:pPr>
              <w:widowControl/>
              <w:numPr>
                <w:ilvl w:val="0"/>
                <w:numId w:val="84"/>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实时高温检测：实时全屏测温，最高温、最低温、平均温；</w:t>
            </w:r>
          </w:p>
          <w:p w14:paraId="46506111">
            <w:pPr>
              <w:widowControl/>
              <w:numPr>
                <w:ilvl w:val="0"/>
                <w:numId w:val="84"/>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自定义测温绘制：支持自定义</w:t>
            </w:r>
            <w:r>
              <w:rPr>
                <w:rFonts w:ascii="宋体" w:hAnsi="宋体" w:cs="宋体"/>
                <w:color w:val="auto"/>
                <w:kern w:val="0"/>
                <w:sz w:val="24"/>
                <w:szCs w:val="24"/>
                <w:lang w:bidi="ar"/>
              </w:rPr>
              <w:t>20个点、线、面和区域测温，区间测温对比；</w:t>
            </w:r>
          </w:p>
          <w:p w14:paraId="0B9DFDBB">
            <w:pPr>
              <w:widowControl/>
              <w:numPr>
                <w:ilvl w:val="0"/>
                <w:numId w:val="84"/>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高温报警：高温异常语音报警、白光灯报警；</w:t>
            </w:r>
          </w:p>
        </w:tc>
        <w:tc>
          <w:tcPr>
            <w:tcW w:w="81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BF4CE4E">
            <w:pPr>
              <w:jc w:val="center"/>
              <w:rPr>
                <w:rFonts w:ascii="宋体" w:hAnsi="宋体" w:cs="宋体"/>
                <w:color w:val="auto"/>
                <w:sz w:val="24"/>
                <w:szCs w:val="24"/>
              </w:rPr>
            </w:pPr>
            <w:r>
              <w:rPr>
                <w:rFonts w:hint="eastAsia" w:ascii="宋体" w:hAnsi="宋体" w:cs="宋体"/>
                <w:color w:val="auto"/>
                <w:sz w:val="24"/>
                <w:szCs w:val="24"/>
              </w:rPr>
              <w:t>套</w:t>
            </w:r>
          </w:p>
        </w:tc>
        <w:tc>
          <w:tcPr>
            <w:tcW w:w="79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A274006">
            <w:pPr>
              <w:jc w:val="center"/>
              <w:rPr>
                <w:rFonts w:ascii="宋体" w:hAnsi="宋体" w:cs="宋体"/>
                <w:color w:val="auto"/>
                <w:sz w:val="24"/>
                <w:szCs w:val="24"/>
              </w:rPr>
            </w:pPr>
            <w:r>
              <w:rPr>
                <w:rFonts w:hint="eastAsia" w:ascii="宋体" w:hAnsi="宋体" w:cs="宋体"/>
                <w:color w:val="auto"/>
                <w:sz w:val="24"/>
                <w:szCs w:val="24"/>
              </w:rPr>
              <w:t>按需配置并征得采购人书面同意</w:t>
            </w:r>
          </w:p>
        </w:tc>
      </w:tr>
      <w:tr w14:paraId="4951F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4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C126FBB">
            <w:pPr>
              <w:widowControl/>
              <w:jc w:val="center"/>
              <w:textAlignment w:val="center"/>
              <w:rPr>
                <w:rFonts w:ascii="宋体" w:hAnsi="宋体" w:cs="宋体"/>
                <w:color w:val="auto"/>
                <w:kern w:val="0"/>
                <w:sz w:val="24"/>
                <w:szCs w:val="24"/>
              </w:rPr>
            </w:pPr>
            <w:r>
              <w:rPr>
                <w:rFonts w:ascii="宋体" w:hAnsi="宋体" w:cs="宋体"/>
                <w:color w:val="auto"/>
                <w:kern w:val="0"/>
                <w:sz w:val="24"/>
                <w:szCs w:val="24"/>
                <w:lang w:bidi="ar"/>
              </w:rPr>
              <w:t>3</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14:paraId="2CEFEF34">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智能</w:t>
            </w:r>
            <w:r>
              <w:rPr>
                <w:rFonts w:ascii="宋体" w:hAnsi="宋体" w:cs="宋体"/>
                <w:color w:val="auto"/>
                <w:kern w:val="0"/>
                <w:sz w:val="24"/>
                <w:szCs w:val="24"/>
                <w:lang w:bidi="ar"/>
              </w:rPr>
              <w:t>AI留样秤</w:t>
            </w:r>
          </w:p>
        </w:tc>
        <w:tc>
          <w:tcPr>
            <w:tcW w:w="6114"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F388452">
            <w:pPr>
              <w:widowControl/>
              <w:numPr>
                <w:ilvl w:val="0"/>
                <w:numId w:val="85"/>
              </w:numPr>
              <w:ind w:left="0"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功能描述：</w:t>
            </w:r>
          </w:p>
          <w:p w14:paraId="250E7352">
            <w:pPr>
              <w:widowControl/>
              <w:numPr>
                <w:ilvl w:val="0"/>
                <w:numId w:val="86"/>
              </w:numPr>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实现智能</w:t>
            </w:r>
            <w:r>
              <w:rPr>
                <w:rFonts w:ascii="宋体" w:hAnsi="宋体" w:cs="宋体"/>
                <w:color w:val="auto"/>
                <w:kern w:val="0"/>
                <w:sz w:val="24"/>
                <w:szCs w:val="24"/>
                <w:lang w:bidi="ar"/>
              </w:rPr>
              <w:t>AI菜品名称自动识别功能，同时拍照系统留存保证留样真实性并称重显示克重，如克重不满足条件不允许打印标签留样；</w:t>
            </w:r>
          </w:p>
          <w:p w14:paraId="106850A0">
            <w:pPr>
              <w:widowControl/>
              <w:numPr>
                <w:ilvl w:val="0"/>
                <w:numId w:val="86"/>
              </w:numPr>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实现留样标签自动生成打印展示留样菜品名称、克重、档口名称、留样员、留样时间；</w:t>
            </w:r>
          </w:p>
          <w:p w14:paraId="29BB46DB">
            <w:pPr>
              <w:widowControl/>
              <w:numPr>
                <w:ilvl w:val="0"/>
                <w:numId w:val="86"/>
              </w:numPr>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自动生成留样台账在手机</w:t>
            </w:r>
            <w:r>
              <w:rPr>
                <w:rFonts w:ascii="宋体" w:hAnsi="宋体" w:cs="宋体"/>
                <w:color w:val="auto"/>
                <w:kern w:val="0"/>
                <w:sz w:val="24"/>
                <w:szCs w:val="24"/>
                <w:lang w:bidi="ar"/>
              </w:rPr>
              <w:t>APP端、电脑后台端可导出记录生成表格打印纸质留样</w:t>
            </w:r>
            <w:r>
              <w:rPr>
                <w:rFonts w:hint="eastAsia" w:ascii="宋体" w:hAnsi="宋体" w:cs="宋体"/>
                <w:color w:val="auto"/>
                <w:kern w:val="0"/>
                <w:sz w:val="24"/>
                <w:szCs w:val="24"/>
                <w:lang w:bidi="ar"/>
              </w:rPr>
              <w:t>台账并最少保存</w:t>
            </w:r>
            <w:r>
              <w:rPr>
                <w:rFonts w:ascii="宋体" w:hAnsi="宋体" w:cs="宋体"/>
                <w:color w:val="auto"/>
                <w:kern w:val="0"/>
                <w:sz w:val="24"/>
                <w:szCs w:val="24"/>
                <w:lang w:bidi="ar"/>
              </w:rPr>
              <w:t>2年数据；</w:t>
            </w:r>
          </w:p>
          <w:p w14:paraId="1BAD4D13">
            <w:pPr>
              <w:widowControl/>
              <w:numPr>
                <w:ilvl w:val="0"/>
                <w:numId w:val="85"/>
              </w:numPr>
              <w:ind w:left="0" w:firstLine="0"/>
              <w:jc w:val="left"/>
              <w:textAlignment w:val="center"/>
              <w:rPr>
                <w:rFonts w:eastAsia="仿宋_GB2312"/>
                <w:color w:val="auto"/>
              </w:rPr>
            </w:pPr>
            <w:r>
              <w:rPr>
                <w:rFonts w:hint="eastAsia" w:ascii="宋体" w:hAnsi="宋体" w:cs="宋体"/>
                <w:color w:val="auto"/>
                <w:kern w:val="0"/>
                <w:sz w:val="24"/>
                <w:szCs w:val="24"/>
                <w:lang w:bidi="ar"/>
              </w:rPr>
              <w:t>设备参数：</w:t>
            </w:r>
          </w:p>
          <w:p w14:paraId="4A0EFADF">
            <w:pPr>
              <w:widowControl/>
              <w:numPr>
                <w:ilvl w:val="0"/>
                <w:numId w:val="87"/>
              </w:numPr>
              <w:ind w:left="0"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基本参数：</w:t>
            </w:r>
          </w:p>
          <w:p w14:paraId="1773B26C">
            <w:pPr>
              <w:widowControl/>
              <w:numPr>
                <w:ilvl w:val="0"/>
                <w:numId w:val="88"/>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摄像头：</w:t>
            </w:r>
            <w:r>
              <w:rPr>
                <w:rFonts w:ascii="宋体" w:hAnsi="宋体" w:cs="宋体"/>
                <w:color w:val="auto"/>
                <w:kern w:val="0"/>
                <w:sz w:val="24"/>
                <w:szCs w:val="24"/>
                <w:lang w:bidi="ar"/>
              </w:rPr>
              <w:t>800万或以上摄像头带补光灯；</w:t>
            </w:r>
          </w:p>
          <w:p w14:paraId="3E12E7BA">
            <w:pPr>
              <w:widowControl/>
              <w:numPr>
                <w:ilvl w:val="0"/>
                <w:numId w:val="88"/>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摄像头像素：</w:t>
            </w:r>
            <w:r>
              <w:rPr>
                <w:rFonts w:ascii="宋体" w:hAnsi="宋体" w:cs="宋体"/>
                <w:color w:val="auto"/>
                <w:kern w:val="0"/>
                <w:sz w:val="24"/>
                <w:szCs w:val="24"/>
                <w:lang w:bidi="ar"/>
              </w:rPr>
              <w:t>800万USB摄像头，分辨率3246*2448；</w:t>
            </w:r>
          </w:p>
          <w:p w14:paraId="27DA0E61">
            <w:pPr>
              <w:widowControl/>
              <w:numPr>
                <w:ilvl w:val="0"/>
                <w:numId w:val="88"/>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主屏</w:t>
            </w:r>
            <w:r>
              <w:rPr>
                <w:rFonts w:ascii="宋体" w:hAnsi="宋体" w:cs="宋体"/>
                <w:color w:val="auto"/>
                <w:kern w:val="0"/>
                <w:sz w:val="24"/>
                <w:szCs w:val="24"/>
                <w:lang w:bidi="ar"/>
              </w:rPr>
              <w:t>15.6寸1920*1080分辨率，液晶带电容触控屏；</w:t>
            </w:r>
          </w:p>
          <w:p w14:paraId="78BBD2C3">
            <w:pPr>
              <w:widowControl/>
              <w:numPr>
                <w:ilvl w:val="0"/>
                <w:numId w:val="87"/>
              </w:numPr>
              <w:ind w:left="0"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性能参数：</w:t>
            </w:r>
          </w:p>
          <w:p w14:paraId="4A2317D4">
            <w:pPr>
              <w:widowControl/>
              <w:numPr>
                <w:ilvl w:val="0"/>
                <w:numId w:val="89"/>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主机内核：不低于四核</w:t>
            </w:r>
            <w:r>
              <w:rPr>
                <w:rFonts w:ascii="宋体" w:hAnsi="宋体" w:cs="宋体"/>
                <w:color w:val="auto"/>
                <w:kern w:val="0"/>
                <w:sz w:val="24"/>
                <w:szCs w:val="24"/>
                <w:lang w:bidi="ar"/>
              </w:rPr>
              <w:t>64位A55处理器2.0GHz、2GB内存+32GBEMMCWIFI的性能；</w:t>
            </w:r>
          </w:p>
          <w:p w14:paraId="4C4FF483">
            <w:pPr>
              <w:widowControl/>
              <w:numPr>
                <w:ilvl w:val="0"/>
                <w:numId w:val="89"/>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操作系统：</w:t>
            </w:r>
            <w:r>
              <w:rPr>
                <w:rFonts w:ascii="宋体" w:hAnsi="宋体" w:cs="宋体"/>
                <w:color w:val="auto"/>
                <w:kern w:val="0"/>
                <w:sz w:val="24"/>
                <w:szCs w:val="24"/>
                <w:lang w:bidi="ar"/>
              </w:rPr>
              <w:t>Android；</w:t>
            </w:r>
          </w:p>
          <w:p w14:paraId="074052B8">
            <w:pPr>
              <w:widowControl/>
              <w:numPr>
                <w:ilvl w:val="0"/>
                <w:numId w:val="87"/>
              </w:numPr>
              <w:ind w:left="0"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功能参数：</w:t>
            </w:r>
          </w:p>
          <w:p w14:paraId="16486626">
            <w:pPr>
              <w:widowControl/>
              <w:numPr>
                <w:ilvl w:val="0"/>
                <w:numId w:val="90"/>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最大量程：</w:t>
            </w:r>
            <w:r>
              <w:rPr>
                <w:rFonts w:ascii="宋体" w:hAnsi="宋体" w:cs="宋体"/>
                <w:color w:val="auto"/>
                <w:kern w:val="0"/>
                <w:sz w:val="24"/>
                <w:szCs w:val="24"/>
                <w:lang w:bidi="ar"/>
              </w:rPr>
              <w:t>Max=15kg；</w:t>
            </w:r>
          </w:p>
          <w:p w14:paraId="09ACAE21">
            <w:pPr>
              <w:widowControl/>
              <w:numPr>
                <w:ilvl w:val="0"/>
                <w:numId w:val="90"/>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分度数：</w:t>
            </w:r>
            <w:r>
              <w:rPr>
                <w:rFonts w:ascii="宋体" w:hAnsi="宋体" w:cs="宋体"/>
                <w:color w:val="auto"/>
                <w:kern w:val="0"/>
                <w:sz w:val="24"/>
                <w:szCs w:val="24"/>
                <w:lang w:bidi="ar"/>
              </w:rPr>
              <w:t>3000；</w:t>
            </w:r>
          </w:p>
          <w:p w14:paraId="0C223625">
            <w:pPr>
              <w:widowControl/>
              <w:numPr>
                <w:ilvl w:val="0"/>
                <w:numId w:val="90"/>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分度值：</w:t>
            </w:r>
            <w:r>
              <w:rPr>
                <w:rFonts w:ascii="宋体" w:hAnsi="宋体" w:cs="宋体"/>
                <w:color w:val="auto"/>
                <w:kern w:val="0"/>
                <w:sz w:val="24"/>
                <w:szCs w:val="24"/>
                <w:lang w:bidi="ar"/>
              </w:rPr>
              <w:t>5g；</w:t>
            </w:r>
          </w:p>
          <w:p w14:paraId="1B3BA368">
            <w:pPr>
              <w:widowControl/>
              <w:numPr>
                <w:ilvl w:val="0"/>
                <w:numId w:val="90"/>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最小称量：</w:t>
            </w:r>
            <w:r>
              <w:rPr>
                <w:rFonts w:ascii="宋体" w:hAnsi="宋体" w:cs="宋体"/>
                <w:color w:val="auto"/>
                <w:kern w:val="0"/>
                <w:sz w:val="24"/>
                <w:szCs w:val="24"/>
                <w:lang w:bidi="ar"/>
              </w:rPr>
              <w:t>100g；</w:t>
            </w:r>
          </w:p>
          <w:p w14:paraId="001AAF90">
            <w:pPr>
              <w:widowControl/>
              <w:numPr>
                <w:ilvl w:val="0"/>
                <w:numId w:val="87"/>
              </w:numPr>
              <w:ind w:left="0"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其他参数</w:t>
            </w:r>
            <w:r>
              <w:rPr>
                <w:rFonts w:ascii="宋体" w:hAnsi="宋体" w:cs="宋体"/>
                <w:color w:val="auto"/>
                <w:kern w:val="0"/>
                <w:sz w:val="24"/>
                <w:szCs w:val="24"/>
                <w:lang w:bidi="ar"/>
              </w:rPr>
              <w:t>:</w:t>
            </w:r>
          </w:p>
          <w:p w14:paraId="6AD53EBF">
            <w:pPr>
              <w:widowControl/>
              <w:numPr>
                <w:ilvl w:val="0"/>
                <w:numId w:val="91"/>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计重秤显：</w:t>
            </w:r>
            <w:r>
              <w:rPr>
                <w:rFonts w:ascii="宋体" w:hAnsi="宋体" w:cs="宋体"/>
                <w:color w:val="auto"/>
                <w:kern w:val="0"/>
                <w:sz w:val="24"/>
                <w:szCs w:val="24"/>
                <w:lang w:bidi="ar"/>
              </w:rPr>
              <w:t>62mm*8mm可视LED5位重量显示RS232串口通讯；</w:t>
            </w:r>
          </w:p>
          <w:p w14:paraId="3B68B81C">
            <w:pPr>
              <w:widowControl/>
              <w:numPr>
                <w:ilvl w:val="0"/>
                <w:numId w:val="91"/>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四按键：秤体开关、设置、置零、去皮；</w:t>
            </w:r>
          </w:p>
          <w:p w14:paraId="74DF76F1">
            <w:pPr>
              <w:widowControl/>
              <w:numPr>
                <w:ilvl w:val="0"/>
                <w:numId w:val="91"/>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内置打印机：内置</w:t>
            </w:r>
            <w:r>
              <w:rPr>
                <w:rFonts w:ascii="宋体" w:hAnsi="宋体" w:cs="宋体"/>
                <w:color w:val="auto"/>
                <w:kern w:val="0"/>
                <w:sz w:val="24"/>
                <w:szCs w:val="24"/>
                <w:lang w:bidi="ar"/>
              </w:rPr>
              <w:t>58mm以下宽度标签打印；</w:t>
            </w:r>
          </w:p>
          <w:p w14:paraId="297532DB">
            <w:pPr>
              <w:widowControl/>
              <w:numPr>
                <w:ilvl w:val="0"/>
                <w:numId w:val="91"/>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打印留样票据支持自定义格式，可更改留样票据上的各个类目；</w:t>
            </w:r>
          </w:p>
          <w:p w14:paraId="67A389C1">
            <w:pPr>
              <w:widowControl/>
              <w:numPr>
                <w:ilvl w:val="0"/>
                <w:numId w:val="91"/>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可在一个画面下</w:t>
            </w:r>
            <w:r>
              <w:rPr>
                <w:rFonts w:ascii="宋体" w:hAnsi="宋体" w:cs="宋体"/>
                <w:color w:val="auto"/>
                <w:kern w:val="0"/>
                <w:sz w:val="24"/>
                <w:szCs w:val="24"/>
                <w:lang w:bidi="ar"/>
              </w:rPr>
              <w:t>0.5秒内同时识别10个菜品目标。</w:t>
            </w:r>
          </w:p>
          <w:p w14:paraId="4A4238BD">
            <w:pPr>
              <w:widowControl/>
              <w:numPr>
                <w:ilvl w:val="0"/>
                <w:numId w:val="91"/>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支持同时检测多个样品，还具备去皮功能，能够精确计算每个菜品的净重，实现高效的重量管理和分析。</w:t>
            </w:r>
          </w:p>
          <w:p w14:paraId="34B808A8">
            <w:pPr>
              <w:widowControl/>
              <w:numPr>
                <w:ilvl w:val="0"/>
                <w:numId w:val="91"/>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单机留存菜品库标准比对图片</w:t>
            </w:r>
            <w:r>
              <w:rPr>
                <w:rFonts w:ascii="宋体" w:hAnsi="宋体" w:cs="宋体"/>
                <w:color w:val="auto"/>
                <w:kern w:val="0"/>
                <w:sz w:val="24"/>
                <w:szCs w:val="24"/>
                <w:lang w:bidi="ar"/>
              </w:rPr>
              <w:t>2000张以上。</w:t>
            </w:r>
          </w:p>
          <w:p w14:paraId="0C002516">
            <w:pPr>
              <w:widowControl/>
              <w:numPr>
                <w:ilvl w:val="0"/>
                <w:numId w:val="91"/>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打印留样票据支持自定义格式，可更改留样票据上的各个类目。</w:t>
            </w:r>
          </w:p>
          <w:p w14:paraId="4313A804">
            <w:pPr>
              <w:widowControl/>
              <w:numPr>
                <w:ilvl w:val="0"/>
                <w:numId w:val="91"/>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留样台账支持自动生成，且保持</w:t>
            </w:r>
            <w:r>
              <w:rPr>
                <w:rFonts w:ascii="宋体" w:hAnsi="宋体" w:cs="宋体"/>
                <w:color w:val="auto"/>
                <w:kern w:val="0"/>
                <w:sz w:val="24"/>
                <w:szCs w:val="24"/>
                <w:lang w:bidi="ar"/>
              </w:rPr>
              <w:t>5年以上。</w:t>
            </w:r>
          </w:p>
        </w:tc>
        <w:tc>
          <w:tcPr>
            <w:tcW w:w="81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EED7D6C">
            <w:pPr>
              <w:jc w:val="center"/>
              <w:rPr>
                <w:rFonts w:ascii="宋体" w:hAnsi="宋体" w:cs="宋体"/>
                <w:color w:val="auto"/>
                <w:sz w:val="24"/>
                <w:szCs w:val="24"/>
              </w:rPr>
            </w:pPr>
            <w:r>
              <w:rPr>
                <w:rFonts w:hint="eastAsia" w:ascii="宋体" w:hAnsi="宋体" w:cs="宋体"/>
                <w:color w:val="auto"/>
                <w:sz w:val="24"/>
                <w:szCs w:val="24"/>
              </w:rPr>
              <w:t>套</w:t>
            </w:r>
          </w:p>
        </w:tc>
        <w:tc>
          <w:tcPr>
            <w:tcW w:w="79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F27CF55">
            <w:pPr>
              <w:jc w:val="center"/>
              <w:rPr>
                <w:rFonts w:ascii="宋体" w:hAnsi="宋体" w:cs="宋体"/>
                <w:color w:val="auto"/>
                <w:sz w:val="24"/>
                <w:szCs w:val="24"/>
              </w:rPr>
            </w:pPr>
            <w:r>
              <w:rPr>
                <w:rFonts w:hint="eastAsia" w:ascii="宋体" w:hAnsi="宋体" w:cs="宋体"/>
                <w:color w:val="auto"/>
                <w:sz w:val="24"/>
                <w:szCs w:val="24"/>
              </w:rPr>
              <w:t>按需配置并征得采购人书面同意</w:t>
            </w:r>
          </w:p>
        </w:tc>
      </w:tr>
      <w:tr w14:paraId="7FC0F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4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ABC35BB">
            <w:pPr>
              <w:widowControl/>
              <w:jc w:val="center"/>
              <w:textAlignment w:val="center"/>
              <w:rPr>
                <w:rFonts w:ascii="宋体" w:hAnsi="宋体" w:cs="宋体"/>
                <w:color w:val="auto"/>
                <w:kern w:val="0"/>
                <w:sz w:val="24"/>
                <w:szCs w:val="24"/>
              </w:rPr>
            </w:pPr>
            <w:r>
              <w:rPr>
                <w:rFonts w:ascii="宋体" w:hAnsi="宋体" w:cs="宋体"/>
                <w:color w:val="auto"/>
                <w:kern w:val="0"/>
                <w:sz w:val="24"/>
                <w:szCs w:val="24"/>
                <w:lang w:bidi="ar"/>
              </w:rPr>
              <w:t>4</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14:paraId="799F8DA3">
            <w:pPr>
              <w:widowControl/>
              <w:jc w:val="center"/>
              <w:textAlignment w:val="center"/>
              <w:rPr>
                <w:rFonts w:ascii="宋体" w:hAnsi="宋体" w:cs="宋体"/>
                <w:color w:val="auto"/>
                <w:kern w:val="0"/>
                <w:sz w:val="24"/>
                <w:szCs w:val="24"/>
              </w:rPr>
            </w:pPr>
            <w:r>
              <w:rPr>
                <w:rFonts w:hint="eastAsia" w:ascii="宋体" w:hAnsi="宋体" w:cs="宋体"/>
                <w:color w:val="auto"/>
                <w:kern w:val="0"/>
                <w:sz w:val="24"/>
                <w:szCs w:val="24"/>
              </w:rPr>
              <w:t>仓库物联监管套装</w:t>
            </w:r>
          </w:p>
        </w:tc>
        <w:tc>
          <w:tcPr>
            <w:tcW w:w="6114"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D73B727">
            <w:pPr>
              <w:widowControl/>
              <w:numPr>
                <w:ilvl w:val="0"/>
                <w:numId w:val="92"/>
              </w:numPr>
              <w:ind w:left="0"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功能描述：</w:t>
            </w:r>
          </w:p>
          <w:p w14:paraId="61F4B923">
            <w:pPr>
              <w:widowControl/>
              <w:numPr>
                <w:ilvl w:val="0"/>
                <w:numId w:val="93"/>
              </w:numPr>
              <w:ind w:left="0"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挡鼠板未闭合超过预设时间可声光报警；</w:t>
            </w:r>
          </w:p>
          <w:p w14:paraId="7DD01C83">
            <w:pPr>
              <w:widowControl/>
              <w:numPr>
                <w:ilvl w:val="0"/>
                <w:numId w:val="93"/>
              </w:numPr>
              <w:ind w:left="0"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食材隔墙离地未规范达标，红外感应装置现场声光报警；</w:t>
            </w:r>
          </w:p>
          <w:p w14:paraId="76233C5B">
            <w:pPr>
              <w:widowControl/>
              <w:numPr>
                <w:ilvl w:val="0"/>
                <w:numId w:val="93"/>
              </w:numPr>
              <w:ind w:left="0"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仓库温湿度超标现场声光报警；</w:t>
            </w:r>
          </w:p>
          <w:p w14:paraId="1D0F62AA">
            <w:pPr>
              <w:widowControl/>
              <w:numPr>
                <w:ilvl w:val="0"/>
                <w:numId w:val="93"/>
              </w:numPr>
              <w:ind w:left="0"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支持后台查看仓库设备状态数据、物联预警事件数据；</w:t>
            </w:r>
          </w:p>
          <w:p w14:paraId="7FC3AFBC">
            <w:pPr>
              <w:widowControl/>
              <w:numPr>
                <w:ilvl w:val="0"/>
                <w:numId w:val="93"/>
              </w:numPr>
              <w:ind w:left="0"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各类设备状态或报警数据可在大屏端显示；</w:t>
            </w:r>
          </w:p>
          <w:p w14:paraId="60D4E37C">
            <w:pPr>
              <w:widowControl/>
              <w:numPr>
                <w:ilvl w:val="0"/>
                <w:numId w:val="92"/>
              </w:numPr>
              <w:ind w:left="0"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物联中控屏设备参数：</w:t>
            </w:r>
          </w:p>
          <w:p w14:paraId="7A39E83B">
            <w:pPr>
              <w:pStyle w:val="22"/>
              <w:numPr>
                <w:ilvl w:val="0"/>
                <w:numId w:val="94"/>
              </w:numPr>
              <w:ind w:left="0" w:firstLine="0"/>
              <w:rPr>
                <w:color w:val="auto"/>
              </w:rPr>
            </w:pPr>
            <w:r>
              <w:rPr>
                <w:rFonts w:hint="eastAsia" w:ascii="宋体" w:hAnsi="宋体" w:eastAsia="宋体" w:cs="宋体"/>
                <w:color w:val="auto"/>
                <w:sz w:val="24"/>
                <w:szCs w:val="24"/>
              </w:rPr>
              <w:t>主要参数：</w:t>
            </w:r>
          </w:p>
          <w:p w14:paraId="552237CB">
            <w:pPr>
              <w:widowControl/>
              <w:numPr>
                <w:ilvl w:val="0"/>
                <w:numId w:val="95"/>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外壳：前置钢化玻璃</w:t>
            </w:r>
            <w:r>
              <w:rPr>
                <w:rFonts w:ascii="宋体" w:hAnsi="宋体" w:cs="宋体"/>
                <w:color w:val="auto"/>
                <w:kern w:val="0"/>
                <w:sz w:val="24"/>
                <w:szCs w:val="24"/>
                <w:lang w:bidi="ar"/>
              </w:rPr>
              <w:t>+塑胶外壳；</w:t>
            </w:r>
          </w:p>
          <w:p w14:paraId="750CEF15">
            <w:pPr>
              <w:widowControl/>
              <w:numPr>
                <w:ilvl w:val="0"/>
                <w:numId w:val="95"/>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保护面板：钢化玻璃；</w:t>
            </w:r>
          </w:p>
          <w:p w14:paraId="6850C1EC">
            <w:pPr>
              <w:widowControl/>
              <w:numPr>
                <w:ilvl w:val="0"/>
                <w:numId w:val="95"/>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尺寸：不低于</w:t>
            </w:r>
            <w:r>
              <w:rPr>
                <w:rFonts w:ascii="宋体" w:hAnsi="宋体" w:cs="宋体"/>
                <w:color w:val="auto"/>
                <w:kern w:val="0"/>
                <w:sz w:val="24"/>
                <w:szCs w:val="24"/>
                <w:lang w:bidi="ar"/>
              </w:rPr>
              <w:t>10.1寸；</w:t>
            </w:r>
          </w:p>
          <w:p w14:paraId="393DC3ED">
            <w:pPr>
              <w:widowControl/>
              <w:numPr>
                <w:ilvl w:val="0"/>
                <w:numId w:val="95"/>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屏幕比例：</w:t>
            </w:r>
            <w:r>
              <w:rPr>
                <w:rFonts w:ascii="宋体" w:hAnsi="宋体" w:cs="宋体"/>
                <w:color w:val="auto"/>
                <w:kern w:val="0"/>
                <w:sz w:val="24"/>
                <w:szCs w:val="24"/>
                <w:lang w:bidi="ar"/>
              </w:rPr>
              <w:t>16:9；</w:t>
            </w:r>
          </w:p>
          <w:p w14:paraId="59AEAD78">
            <w:pPr>
              <w:widowControl/>
              <w:numPr>
                <w:ilvl w:val="0"/>
                <w:numId w:val="95"/>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摄像头像素：</w:t>
            </w:r>
            <w:r>
              <w:rPr>
                <w:rFonts w:ascii="宋体" w:hAnsi="宋体" w:cs="宋体"/>
                <w:color w:val="auto"/>
                <w:kern w:val="0"/>
                <w:sz w:val="24"/>
                <w:szCs w:val="24"/>
                <w:lang w:bidi="ar"/>
              </w:rPr>
              <w:t>100W；</w:t>
            </w:r>
          </w:p>
          <w:p w14:paraId="54D05594">
            <w:pPr>
              <w:widowControl/>
              <w:numPr>
                <w:ilvl w:val="0"/>
                <w:numId w:val="95"/>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像素间距：</w:t>
            </w:r>
            <w:r>
              <w:rPr>
                <w:rFonts w:ascii="宋体" w:hAnsi="宋体" w:cs="宋体"/>
                <w:color w:val="auto"/>
                <w:kern w:val="0"/>
                <w:sz w:val="24"/>
                <w:szCs w:val="24"/>
                <w:lang w:bidi="ar"/>
              </w:rPr>
              <w:t>0.17925×0.17925mm；</w:t>
            </w:r>
          </w:p>
          <w:p w14:paraId="5E094112">
            <w:pPr>
              <w:widowControl/>
              <w:numPr>
                <w:ilvl w:val="0"/>
                <w:numId w:val="95"/>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亮度：</w:t>
            </w:r>
            <w:r>
              <w:rPr>
                <w:rFonts w:ascii="宋体" w:hAnsi="宋体" w:cs="宋体"/>
                <w:color w:val="auto"/>
                <w:kern w:val="0"/>
                <w:sz w:val="24"/>
                <w:szCs w:val="24"/>
                <w:lang w:bidi="ar"/>
              </w:rPr>
              <w:t>350cd/m²可视角度85/85/85/85（左/右/上/下)；</w:t>
            </w:r>
          </w:p>
          <w:p w14:paraId="7EBB48FB">
            <w:pPr>
              <w:widowControl/>
              <w:numPr>
                <w:ilvl w:val="0"/>
                <w:numId w:val="95"/>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对比度：</w:t>
            </w:r>
            <w:r>
              <w:rPr>
                <w:rFonts w:ascii="宋体" w:hAnsi="宋体" w:cs="宋体"/>
                <w:color w:val="auto"/>
                <w:kern w:val="0"/>
                <w:sz w:val="24"/>
                <w:szCs w:val="24"/>
                <w:lang w:bidi="ar"/>
              </w:rPr>
              <w:t>1000:1；</w:t>
            </w:r>
          </w:p>
          <w:p w14:paraId="4EB85FD4">
            <w:pPr>
              <w:widowControl/>
              <w:numPr>
                <w:ilvl w:val="0"/>
                <w:numId w:val="95"/>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颜色数：</w:t>
            </w:r>
            <w:r>
              <w:rPr>
                <w:rFonts w:ascii="宋体" w:hAnsi="宋体" w:cs="宋体"/>
                <w:color w:val="auto"/>
                <w:kern w:val="0"/>
                <w:sz w:val="24"/>
                <w:szCs w:val="24"/>
                <w:lang w:bidi="ar"/>
              </w:rPr>
              <w:t>16.7M；</w:t>
            </w:r>
          </w:p>
          <w:p w14:paraId="5F653C34">
            <w:pPr>
              <w:widowControl/>
              <w:numPr>
                <w:ilvl w:val="0"/>
                <w:numId w:val="95"/>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灯管寿命：超过</w:t>
            </w:r>
            <w:r>
              <w:rPr>
                <w:rFonts w:ascii="宋体" w:hAnsi="宋体" w:cs="宋体"/>
                <w:color w:val="auto"/>
                <w:kern w:val="0"/>
                <w:sz w:val="24"/>
                <w:szCs w:val="24"/>
                <w:lang w:bidi="ar"/>
              </w:rPr>
              <w:t>50000小时；</w:t>
            </w:r>
          </w:p>
          <w:p w14:paraId="74159128">
            <w:pPr>
              <w:widowControl/>
              <w:numPr>
                <w:ilvl w:val="0"/>
                <w:numId w:val="95"/>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操作系统：</w:t>
            </w:r>
            <w:r>
              <w:rPr>
                <w:rFonts w:ascii="宋体" w:hAnsi="宋体" w:cs="宋体"/>
                <w:color w:val="auto"/>
                <w:kern w:val="0"/>
                <w:sz w:val="24"/>
                <w:szCs w:val="24"/>
                <w:lang w:bidi="ar"/>
              </w:rPr>
              <w:t>Android7.1.2；</w:t>
            </w:r>
          </w:p>
          <w:p w14:paraId="753F9113">
            <w:pPr>
              <w:widowControl/>
              <w:numPr>
                <w:ilvl w:val="0"/>
                <w:numId w:val="95"/>
              </w:numPr>
              <w:ind w:firstLine="0"/>
              <w:jc w:val="left"/>
              <w:textAlignment w:val="center"/>
              <w:rPr>
                <w:rFonts w:ascii="宋体" w:hAnsi="宋体" w:cs="宋体"/>
                <w:color w:val="auto"/>
                <w:kern w:val="0"/>
                <w:sz w:val="24"/>
                <w:szCs w:val="24"/>
                <w:lang w:bidi="ar"/>
              </w:rPr>
            </w:pPr>
            <w:r>
              <w:rPr>
                <w:rFonts w:ascii="宋体" w:hAnsi="宋体" w:cs="宋体"/>
                <w:color w:val="auto"/>
                <w:kern w:val="0"/>
                <w:sz w:val="24"/>
                <w:szCs w:val="24"/>
                <w:lang w:bidi="ar"/>
              </w:rPr>
              <w:t>CPU：RK3288，四核；</w:t>
            </w:r>
          </w:p>
          <w:p w14:paraId="5ADA39C2">
            <w:pPr>
              <w:widowControl/>
              <w:numPr>
                <w:ilvl w:val="0"/>
                <w:numId w:val="95"/>
              </w:numPr>
              <w:ind w:firstLine="0"/>
              <w:jc w:val="left"/>
              <w:textAlignment w:val="center"/>
              <w:rPr>
                <w:rFonts w:ascii="宋体" w:hAnsi="宋体" w:cs="宋体"/>
                <w:color w:val="auto"/>
                <w:kern w:val="0"/>
                <w:sz w:val="24"/>
                <w:szCs w:val="24"/>
                <w:lang w:bidi="ar"/>
              </w:rPr>
            </w:pPr>
            <w:r>
              <w:rPr>
                <w:rFonts w:ascii="宋体" w:hAnsi="宋体" w:cs="宋体"/>
                <w:color w:val="auto"/>
                <w:kern w:val="0"/>
                <w:sz w:val="24"/>
                <w:szCs w:val="24"/>
                <w:lang w:bidi="ar"/>
              </w:rPr>
              <w:t>CPU主频：1.8GHz；</w:t>
            </w:r>
          </w:p>
          <w:p w14:paraId="548EA343">
            <w:pPr>
              <w:widowControl/>
              <w:numPr>
                <w:ilvl w:val="0"/>
                <w:numId w:val="95"/>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内存：</w:t>
            </w:r>
            <w:r>
              <w:rPr>
                <w:rFonts w:ascii="宋体" w:hAnsi="宋体" w:cs="宋体"/>
                <w:color w:val="auto"/>
                <w:kern w:val="0"/>
                <w:sz w:val="24"/>
                <w:szCs w:val="24"/>
                <w:lang w:bidi="ar"/>
              </w:rPr>
              <w:t>DDR32G；</w:t>
            </w:r>
          </w:p>
          <w:p w14:paraId="5AE6926E">
            <w:pPr>
              <w:widowControl/>
              <w:numPr>
                <w:ilvl w:val="0"/>
                <w:numId w:val="95"/>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内置存储容量：</w:t>
            </w:r>
            <w:r>
              <w:rPr>
                <w:rFonts w:ascii="宋体" w:hAnsi="宋体" w:cs="宋体"/>
                <w:color w:val="auto"/>
                <w:kern w:val="0"/>
                <w:sz w:val="24"/>
                <w:szCs w:val="24"/>
                <w:lang w:bidi="ar"/>
              </w:rPr>
              <w:t>EMMC8G；</w:t>
            </w:r>
          </w:p>
          <w:p w14:paraId="0825DCAF">
            <w:pPr>
              <w:widowControl/>
              <w:numPr>
                <w:ilvl w:val="0"/>
                <w:numId w:val="95"/>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喇叭：</w:t>
            </w:r>
            <w:r>
              <w:rPr>
                <w:rFonts w:ascii="宋体" w:hAnsi="宋体" w:cs="宋体"/>
                <w:color w:val="auto"/>
                <w:kern w:val="0"/>
                <w:sz w:val="24"/>
                <w:szCs w:val="24"/>
                <w:lang w:bidi="ar"/>
              </w:rPr>
              <w:t>8Ω2W；</w:t>
            </w:r>
          </w:p>
          <w:p w14:paraId="6E5A0477">
            <w:pPr>
              <w:widowControl/>
              <w:numPr>
                <w:ilvl w:val="0"/>
                <w:numId w:val="95"/>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网络：支持</w:t>
            </w:r>
            <w:r>
              <w:rPr>
                <w:rFonts w:ascii="宋体" w:hAnsi="宋体" w:cs="宋体"/>
                <w:color w:val="auto"/>
                <w:kern w:val="0"/>
                <w:sz w:val="24"/>
                <w:szCs w:val="24"/>
                <w:lang w:bidi="ar"/>
              </w:rPr>
              <w:t>WiFi、BT；</w:t>
            </w:r>
          </w:p>
          <w:p w14:paraId="09306ED7">
            <w:pPr>
              <w:widowControl/>
              <w:numPr>
                <w:ilvl w:val="0"/>
                <w:numId w:val="95"/>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接口：</w:t>
            </w:r>
            <w:r>
              <w:rPr>
                <w:rFonts w:ascii="宋体" w:hAnsi="宋体" w:cs="宋体"/>
                <w:color w:val="auto"/>
                <w:kern w:val="0"/>
                <w:sz w:val="24"/>
                <w:szCs w:val="24"/>
                <w:lang w:bidi="ar"/>
              </w:rPr>
              <w:t>I/O:2*USB，可扩展2*USB；</w:t>
            </w:r>
          </w:p>
          <w:p w14:paraId="2C8E79E9">
            <w:pPr>
              <w:widowControl/>
              <w:numPr>
                <w:ilvl w:val="0"/>
                <w:numId w:val="95"/>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工作环境温度：</w:t>
            </w:r>
            <w:r>
              <w:rPr>
                <w:rFonts w:ascii="宋体" w:hAnsi="宋体" w:cs="宋体"/>
                <w:color w:val="auto"/>
                <w:kern w:val="0"/>
                <w:sz w:val="24"/>
                <w:szCs w:val="24"/>
                <w:lang w:bidi="ar"/>
              </w:rPr>
              <w:t>0～50摄氏度；</w:t>
            </w:r>
          </w:p>
          <w:p w14:paraId="192E43D7">
            <w:pPr>
              <w:widowControl/>
              <w:numPr>
                <w:ilvl w:val="0"/>
                <w:numId w:val="95"/>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触摸精度：±</w:t>
            </w:r>
            <w:r>
              <w:rPr>
                <w:rFonts w:ascii="宋体" w:hAnsi="宋体" w:cs="宋体"/>
                <w:color w:val="auto"/>
                <w:kern w:val="0"/>
                <w:sz w:val="24"/>
                <w:szCs w:val="24"/>
                <w:lang w:bidi="ar"/>
              </w:rPr>
              <w:t>2mm；</w:t>
            </w:r>
          </w:p>
          <w:p w14:paraId="5F12DF64">
            <w:pPr>
              <w:widowControl/>
              <w:numPr>
                <w:ilvl w:val="0"/>
                <w:numId w:val="95"/>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响应时间：</w:t>
            </w:r>
            <w:r>
              <w:rPr>
                <w:rFonts w:ascii="宋体" w:hAnsi="宋体" w:cs="宋体"/>
                <w:color w:val="auto"/>
                <w:kern w:val="0"/>
                <w:sz w:val="24"/>
                <w:szCs w:val="24"/>
                <w:lang w:bidi="ar"/>
              </w:rPr>
              <w:t>25ms~30ms；</w:t>
            </w:r>
          </w:p>
          <w:p w14:paraId="30AFE7D0">
            <w:pPr>
              <w:widowControl/>
              <w:numPr>
                <w:ilvl w:val="0"/>
                <w:numId w:val="95"/>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可识别物体：手指或者专用触摸笔；</w:t>
            </w:r>
          </w:p>
          <w:p w14:paraId="19BCC7F1">
            <w:pPr>
              <w:widowControl/>
              <w:numPr>
                <w:ilvl w:val="0"/>
                <w:numId w:val="95"/>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透明度：≥</w:t>
            </w:r>
            <w:r>
              <w:rPr>
                <w:rFonts w:ascii="宋体" w:hAnsi="宋体" w:cs="宋体"/>
                <w:color w:val="auto"/>
                <w:kern w:val="0"/>
                <w:sz w:val="24"/>
                <w:szCs w:val="24"/>
                <w:lang w:bidi="ar"/>
              </w:rPr>
              <w:t>85％±2％；</w:t>
            </w:r>
          </w:p>
          <w:p w14:paraId="5140E64F">
            <w:pPr>
              <w:widowControl/>
              <w:numPr>
                <w:ilvl w:val="0"/>
                <w:numId w:val="95"/>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温度范围：工作温度：</w:t>
            </w:r>
            <w:r>
              <w:rPr>
                <w:rFonts w:ascii="宋体" w:hAnsi="宋体" w:cs="宋体"/>
                <w:color w:val="auto"/>
                <w:kern w:val="0"/>
                <w:sz w:val="24"/>
                <w:szCs w:val="24"/>
                <w:lang w:bidi="ar"/>
              </w:rPr>
              <w:t>-10℃~60℃；</w:t>
            </w:r>
          </w:p>
          <w:p w14:paraId="1C7C91C9">
            <w:pPr>
              <w:widowControl/>
              <w:numPr>
                <w:ilvl w:val="0"/>
                <w:numId w:val="95"/>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供电方式：外置</w:t>
            </w:r>
            <w:r>
              <w:rPr>
                <w:rFonts w:ascii="宋体" w:hAnsi="宋体" w:cs="宋体"/>
                <w:color w:val="auto"/>
                <w:kern w:val="0"/>
                <w:sz w:val="24"/>
                <w:szCs w:val="24"/>
                <w:lang w:bidi="ar"/>
              </w:rPr>
              <w:t>12V/2A适配器；</w:t>
            </w:r>
          </w:p>
          <w:p w14:paraId="19F9DFA2">
            <w:pPr>
              <w:widowControl/>
              <w:numPr>
                <w:ilvl w:val="0"/>
                <w:numId w:val="95"/>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整机功率：</w:t>
            </w:r>
            <w:r>
              <w:rPr>
                <w:rFonts w:ascii="宋体" w:hAnsi="宋体" w:cs="宋体"/>
                <w:color w:val="auto"/>
                <w:kern w:val="0"/>
                <w:sz w:val="24"/>
                <w:szCs w:val="24"/>
                <w:lang w:bidi="ar"/>
              </w:rPr>
              <w:t>15W；</w:t>
            </w:r>
          </w:p>
          <w:p w14:paraId="699E1EE0">
            <w:pPr>
              <w:widowControl/>
              <w:numPr>
                <w:ilvl w:val="0"/>
                <w:numId w:val="95"/>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安装方式：壁挂式；</w:t>
            </w:r>
          </w:p>
          <w:p w14:paraId="565B29CB">
            <w:pPr>
              <w:widowControl/>
              <w:numPr>
                <w:ilvl w:val="0"/>
                <w:numId w:val="92"/>
              </w:numPr>
              <w:ind w:left="0" w:firstLine="0"/>
              <w:jc w:val="left"/>
              <w:textAlignment w:val="center"/>
              <w:rPr>
                <w:rFonts w:ascii="宋体" w:hAnsi="宋体" w:cs="宋体"/>
                <w:color w:val="auto"/>
                <w:kern w:val="0"/>
                <w:sz w:val="24"/>
                <w:szCs w:val="24"/>
                <w:lang w:bidi="ar"/>
              </w:rPr>
            </w:pPr>
            <w:r>
              <w:rPr>
                <w:rFonts w:ascii="宋体" w:hAnsi="宋体" w:cs="宋体"/>
                <w:color w:val="auto"/>
                <w:kern w:val="0"/>
                <w:sz w:val="24"/>
                <w:szCs w:val="24"/>
                <w:lang w:bidi="ar"/>
              </w:rPr>
              <w:t>IO通讯模块设备参数：</w:t>
            </w:r>
          </w:p>
          <w:p w14:paraId="1F109CAC">
            <w:pPr>
              <w:pStyle w:val="22"/>
              <w:numPr>
                <w:ilvl w:val="0"/>
                <w:numId w:val="96"/>
              </w:numPr>
              <w:ind w:left="0" w:firstLine="0"/>
              <w:rPr>
                <w:color w:val="auto"/>
              </w:rPr>
            </w:pPr>
            <w:r>
              <w:rPr>
                <w:rFonts w:hint="eastAsia" w:ascii="宋体" w:hAnsi="宋体" w:eastAsia="宋体" w:cs="宋体"/>
                <w:color w:val="auto"/>
                <w:sz w:val="24"/>
                <w:szCs w:val="24"/>
              </w:rPr>
              <w:t>主要参数：</w:t>
            </w:r>
          </w:p>
          <w:p w14:paraId="15633741">
            <w:pPr>
              <w:widowControl/>
              <w:numPr>
                <w:ilvl w:val="0"/>
                <w:numId w:val="97"/>
              </w:numPr>
              <w:ind w:firstLine="0"/>
              <w:jc w:val="left"/>
              <w:textAlignment w:val="center"/>
              <w:rPr>
                <w:rFonts w:ascii="宋体" w:hAnsi="宋体" w:cs="宋体"/>
                <w:color w:val="auto"/>
                <w:kern w:val="0"/>
                <w:sz w:val="24"/>
                <w:szCs w:val="24"/>
                <w:lang w:bidi="ar"/>
              </w:rPr>
            </w:pPr>
            <w:r>
              <w:rPr>
                <w:rFonts w:ascii="宋体" w:hAnsi="宋体" w:cs="宋体"/>
                <w:color w:val="auto"/>
                <w:kern w:val="0"/>
                <w:sz w:val="24"/>
                <w:szCs w:val="24"/>
                <w:lang w:bidi="ar"/>
              </w:rPr>
              <w:t>4路继电器控制输出，触点容量250VAC10A/DC30V10A；</w:t>
            </w:r>
          </w:p>
          <w:p w14:paraId="660C95D1">
            <w:pPr>
              <w:widowControl/>
              <w:numPr>
                <w:ilvl w:val="0"/>
                <w:numId w:val="97"/>
              </w:numPr>
              <w:ind w:firstLine="0"/>
              <w:jc w:val="left"/>
              <w:textAlignment w:val="center"/>
              <w:rPr>
                <w:rFonts w:ascii="宋体" w:hAnsi="宋体" w:cs="宋体"/>
                <w:color w:val="auto"/>
                <w:kern w:val="0"/>
                <w:sz w:val="24"/>
                <w:szCs w:val="24"/>
                <w:lang w:bidi="ar"/>
              </w:rPr>
            </w:pPr>
            <w:r>
              <w:rPr>
                <w:rFonts w:ascii="宋体" w:hAnsi="宋体" w:cs="宋体"/>
                <w:color w:val="auto"/>
                <w:kern w:val="0"/>
                <w:sz w:val="24"/>
                <w:szCs w:val="24"/>
                <w:lang w:bidi="ar"/>
              </w:rPr>
              <w:t>4</w:t>
            </w:r>
            <w:r>
              <w:rPr>
                <w:rFonts w:hint="eastAsia" w:ascii="宋体" w:hAnsi="宋体" w:cs="宋体"/>
                <w:color w:val="auto"/>
                <w:kern w:val="0"/>
                <w:sz w:val="24"/>
                <w:szCs w:val="24"/>
                <w:lang w:bidi="ar"/>
              </w:rPr>
              <w:t>路数字量输入，隔离输入，抗浪涌等级</w:t>
            </w:r>
            <w:r>
              <w:rPr>
                <w:rFonts w:ascii="宋体" w:hAnsi="宋体" w:cs="宋体"/>
                <w:color w:val="auto"/>
                <w:kern w:val="0"/>
                <w:sz w:val="24"/>
                <w:szCs w:val="24"/>
                <w:lang w:bidi="ar"/>
              </w:rPr>
              <w:t>1500V，有源</w:t>
            </w:r>
            <w:r>
              <w:rPr>
                <w:rFonts w:hint="eastAsia" w:ascii="宋体" w:hAnsi="宋体" w:cs="宋体"/>
                <w:color w:val="auto"/>
                <w:kern w:val="0"/>
                <w:sz w:val="24"/>
                <w:szCs w:val="24"/>
                <w:lang w:bidi="ar"/>
              </w:rPr>
              <w:t>无源均支持；</w:t>
            </w:r>
          </w:p>
          <w:p w14:paraId="29CB473E">
            <w:pPr>
              <w:widowControl/>
              <w:numPr>
                <w:ilvl w:val="0"/>
                <w:numId w:val="97"/>
              </w:numPr>
              <w:ind w:firstLine="0"/>
              <w:jc w:val="left"/>
              <w:textAlignment w:val="center"/>
              <w:rPr>
                <w:rFonts w:ascii="宋体" w:hAnsi="宋体" w:cs="宋体"/>
                <w:color w:val="auto"/>
                <w:kern w:val="0"/>
                <w:sz w:val="24"/>
                <w:szCs w:val="24"/>
                <w:lang w:bidi="ar"/>
              </w:rPr>
            </w:pPr>
            <w:r>
              <w:rPr>
                <w:rFonts w:ascii="宋体" w:hAnsi="宋体" w:cs="宋体"/>
                <w:color w:val="auto"/>
                <w:kern w:val="0"/>
                <w:sz w:val="24"/>
                <w:szCs w:val="24"/>
                <w:lang w:bidi="ar"/>
              </w:rPr>
              <w:t>1路RS485接口，支持连接485接口Modbus协议仪表或传感器；</w:t>
            </w:r>
          </w:p>
          <w:p w14:paraId="65845B3F">
            <w:pPr>
              <w:widowControl/>
              <w:numPr>
                <w:ilvl w:val="0"/>
                <w:numId w:val="97"/>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以太网通讯接口，</w:t>
            </w:r>
            <w:r>
              <w:rPr>
                <w:rFonts w:ascii="宋体" w:hAnsi="宋体" w:cs="宋体"/>
                <w:color w:val="auto"/>
                <w:kern w:val="0"/>
                <w:sz w:val="24"/>
                <w:szCs w:val="24"/>
                <w:lang w:bidi="ar"/>
              </w:rPr>
              <w:t>10/100M自适应；</w:t>
            </w:r>
          </w:p>
          <w:p w14:paraId="6779D1C0">
            <w:pPr>
              <w:widowControl/>
              <w:numPr>
                <w:ilvl w:val="0"/>
                <w:numId w:val="97"/>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支持</w:t>
            </w:r>
            <w:r>
              <w:rPr>
                <w:rFonts w:ascii="宋体" w:hAnsi="宋体" w:cs="宋体"/>
                <w:color w:val="auto"/>
                <w:kern w:val="0"/>
                <w:sz w:val="24"/>
                <w:szCs w:val="24"/>
                <w:lang w:bidi="ar"/>
              </w:rPr>
              <w:t>MQTT通讯，参数可配置；</w:t>
            </w:r>
          </w:p>
          <w:p w14:paraId="631ABE56">
            <w:pPr>
              <w:widowControl/>
              <w:numPr>
                <w:ilvl w:val="0"/>
                <w:numId w:val="97"/>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通信波特率，</w:t>
            </w:r>
            <w:r>
              <w:rPr>
                <w:rFonts w:ascii="宋体" w:hAnsi="宋体" w:cs="宋体"/>
                <w:color w:val="auto"/>
                <w:kern w:val="0"/>
                <w:sz w:val="24"/>
                <w:szCs w:val="24"/>
                <w:lang w:bidi="ar"/>
              </w:rPr>
              <w:t>bps：1200～115200bps；</w:t>
            </w:r>
          </w:p>
          <w:p w14:paraId="6A85EF8A">
            <w:pPr>
              <w:widowControl/>
              <w:numPr>
                <w:ilvl w:val="0"/>
                <w:numId w:val="97"/>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通信协议</w:t>
            </w:r>
            <w:r>
              <w:rPr>
                <w:rFonts w:ascii="宋体" w:hAnsi="宋体" w:cs="宋体"/>
                <w:color w:val="auto"/>
                <w:kern w:val="0"/>
                <w:sz w:val="24"/>
                <w:szCs w:val="24"/>
                <w:lang w:bidi="ar"/>
              </w:rPr>
              <w:t>ModbusTCP；</w:t>
            </w:r>
          </w:p>
          <w:p w14:paraId="09D95279">
            <w:pPr>
              <w:widowControl/>
              <w:numPr>
                <w:ilvl w:val="0"/>
                <w:numId w:val="97"/>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工作电压范围</w:t>
            </w:r>
            <w:r>
              <w:rPr>
                <w:rFonts w:ascii="宋体" w:hAnsi="宋体" w:cs="宋体"/>
                <w:color w:val="auto"/>
                <w:kern w:val="0"/>
                <w:sz w:val="24"/>
                <w:szCs w:val="24"/>
                <w:lang w:bidi="ar"/>
              </w:rPr>
              <w:t>DC7-40V宽压；静态工作电流≤100ma；支持定点/星期/时段控制，可设置定时规则不少于100条；</w:t>
            </w:r>
          </w:p>
          <w:p w14:paraId="645B6DCC">
            <w:pPr>
              <w:widowControl/>
              <w:numPr>
                <w:ilvl w:val="0"/>
                <w:numId w:val="97"/>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支持自定义设置四路继电器输出之间互锁联动；规则不少于</w:t>
            </w:r>
            <w:r>
              <w:rPr>
                <w:rFonts w:ascii="宋体" w:hAnsi="宋体" w:cs="宋体"/>
                <w:color w:val="auto"/>
                <w:kern w:val="0"/>
                <w:sz w:val="24"/>
                <w:szCs w:val="24"/>
                <w:lang w:bidi="ar"/>
              </w:rPr>
              <w:t>70条；</w:t>
            </w:r>
          </w:p>
          <w:p w14:paraId="616F0E1C">
            <w:pPr>
              <w:widowControl/>
              <w:numPr>
                <w:ilvl w:val="0"/>
                <w:numId w:val="97"/>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支持数字量输入联动控制输出，可一路输入联动多路输出，也可多路输入联动一路输出；规则不少于</w:t>
            </w:r>
            <w:r>
              <w:rPr>
                <w:rFonts w:ascii="宋体" w:hAnsi="宋体" w:cs="宋体"/>
                <w:color w:val="auto"/>
                <w:kern w:val="0"/>
                <w:sz w:val="24"/>
                <w:szCs w:val="24"/>
                <w:lang w:bidi="ar"/>
              </w:rPr>
              <w:t>70条；</w:t>
            </w:r>
          </w:p>
          <w:p w14:paraId="25DD7E6E">
            <w:pPr>
              <w:widowControl/>
              <w:numPr>
                <w:ilvl w:val="0"/>
                <w:numId w:val="97"/>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支持自定义传感器上下限，区间阈值联动控制一路或多路输出；规则不少于</w:t>
            </w:r>
            <w:r>
              <w:rPr>
                <w:rFonts w:ascii="宋体" w:hAnsi="宋体" w:cs="宋体"/>
                <w:color w:val="auto"/>
                <w:kern w:val="0"/>
                <w:sz w:val="24"/>
                <w:szCs w:val="24"/>
                <w:lang w:bidi="ar"/>
              </w:rPr>
              <w:t>70条；</w:t>
            </w:r>
          </w:p>
          <w:p w14:paraId="19CA4A82">
            <w:pPr>
              <w:widowControl/>
              <w:numPr>
                <w:ilvl w:val="0"/>
                <w:numId w:val="97"/>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工作环境温度</w:t>
            </w:r>
            <w:r>
              <w:rPr>
                <w:rFonts w:ascii="宋体" w:hAnsi="宋体" w:cs="宋体"/>
                <w:color w:val="auto"/>
                <w:kern w:val="0"/>
                <w:sz w:val="24"/>
                <w:szCs w:val="24"/>
                <w:lang w:bidi="ar"/>
              </w:rPr>
              <w:t>-40～80℃，环境湿度为0～95%无凝露；</w:t>
            </w:r>
          </w:p>
          <w:p w14:paraId="4270D19C">
            <w:pPr>
              <w:widowControl/>
              <w:numPr>
                <w:ilvl w:val="0"/>
                <w:numId w:val="92"/>
              </w:numPr>
              <w:ind w:left="0"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温湿度探测器（</w:t>
            </w:r>
            <w:r>
              <w:rPr>
                <w:rFonts w:ascii="宋体" w:hAnsi="宋体" w:cs="宋体"/>
                <w:color w:val="auto"/>
                <w:kern w:val="0"/>
                <w:sz w:val="24"/>
                <w:szCs w:val="24"/>
                <w:lang w:bidi="ar"/>
              </w:rPr>
              <w:t>485版）设备参数：</w:t>
            </w:r>
          </w:p>
          <w:p w14:paraId="1115CD9D">
            <w:pPr>
              <w:pStyle w:val="22"/>
              <w:numPr>
                <w:ilvl w:val="0"/>
                <w:numId w:val="98"/>
              </w:numPr>
              <w:ind w:left="0" w:firstLine="0"/>
              <w:rPr>
                <w:color w:val="auto"/>
              </w:rPr>
            </w:pPr>
            <w:r>
              <w:rPr>
                <w:rFonts w:hint="eastAsia" w:ascii="宋体" w:hAnsi="宋体" w:eastAsia="宋体" w:cs="宋体"/>
                <w:color w:val="auto"/>
                <w:sz w:val="24"/>
                <w:szCs w:val="24"/>
              </w:rPr>
              <w:t>主要参数：</w:t>
            </w:r>
          </w:p>
          <w:p w14:paraId="47C723E4">
            <w:pPr>
              <w:widowControl/>
              <w:numPr>
                <w:ilvl w:val="0"/>
                <w:numId w:val="99"/>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精度湿度：±</w:t>
            </w:r>
            <w:r>
              <w:rPr>
                <w:rFonts w:ascii="宋体" w:hAnsi="宋体" w:cs="宋体"/>
                <w:color w:val="auto"/>
                <w:kern w:val="0"/>
                <w:sz w:val="24"/>
                <w:szCs w:val="24"/>
                <w:lang w:bidi="ar"/>
              </w:rPr>
              <w:t>3%RH(60%RH，25℃)；</w:t>
            </w:r>
          </w:p>
          <w:p w14:paraId="3A9DB7D5">
            <w:pPr>
              <w:widowControl/>
              <w:numPr>
                <w:ilvl w:val="0"/>
                <w:numId w:val="99"/>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温度：±</w:t>
            </w:r>
            <w:r>
              <w:rPr>
                <w:rFonts w:ascii="宋体" w:hAnsi="宋体" w:cs="宋体"/>
                <w:color w:val="auto"/>
                <w:kern w:val="0"/>
                <w:sz w:val="24"/>
                <w:szCs w:val="24"/>
                <w:lang w:bidi="ar"/>
              </w:rPr>
              <w:t>0.5℃（25℃）；</w:t>
            </w:r>
          </w:p>
          <w:p w14:paraId="3F74DC39">
            <w:pPr>
              <w:widowControl/>
              <w:numPr>
                <w:ilvl w:val="0"/>
                <w:numId w:val="99"/>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探测器电路工作温度：</w:t>
            </w:r>
            <w:r>
              <w:rPr>
                <w:rFonts w:ascii="宋体" w:hAnsi="宋体" w:cs="宋体"/>
                <w:color w:val="auto"/>
                <w:kern w:val="0"/>
                <w:sz w:val="24"/>
                <w:szCs w:val="24"/>
                <w:lang w:bidi="ar"/>
              </w:rPr>
              <w:t>-40℃~+60℃，0%RH~80%RH；</w:t>
            </w:r>
          </w:p>
          <w:p w14:paraId="5FD8138E">
            <w:pPr>
              <w:widowControl/>
              <w:numPr>
                <w:ilvl w:val="0"/>
                <w:numId w:val="99"/>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探头工作温度：</w:t>
            </w:r>
            <w:r>
              <w:rPr>
                <w:rFonts w:ascii="宋体" w:hAnsi="宋体" w:cs="宋体"/>
                <w:color w:val="auto"/>
                <w:kern w:val="0"/>
                <w:sz w:val="24"/>
                <w:szCs w:val="24"/>
                <w:lang w:bidi="ar"/>
              </w:rPr>
              <w:t>-40℃~+120℃，默认-40℃~+80℃；</w:t>
            </w:r>
          </w:p>
          <w:p w14:paraId="2F4B2C13">
            <w:pPr>
              <w:widowControl/>
              <w:numPr>
                <w:ilvl w:val="0"/>
                <w:numId w:val="99"/>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探头工作湿度：</w:t>
            </w:r>
            <w:r>
              <w:rPr>
                <w:rFonts w:ascii="宋体" w:hAnsi="宋体" w:cs="宋体"/>
                <w:color w:val="auto"/>
                <w:kern w:val="0"/>
                <w:sz w:val="24"/>
                <w:szCs w:val="24"/>
                <w:lang w:bidi="ar"/>
              </w:rPr>
              <w:t>0%RH-100%RH；</w:t>
            </w:r>
          </w:p>
          <w:p w14:paraId="157733C9">
            <w:pPr>
              <w:widowControl/>
              <w:numPr>
                <w:ilvl w:val="0"/>
                <w:numId w:val="99"/>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温度显示分辨率：</w:t>
            </w:r>
            <w:r>
              <w:rPr>
                <w:rFonts w:ascii="宋体" w:hAnsi="宋体" w:cs="宋体"/>
                <w:color w:val="auto"/>
                <w:kern w:val="0"/>
                <w:sz w:val="24"/>
                <w:szCs w:val="24"/>
                <w:lang w:bidi="ar"/>
              </w:rPr>
              <w:t>0.1℃；</w:t>
            </w:r>
          </w:p>
          <w:p w14:paraId="4E3497BE">
            <w:pPr>
              <w:widowControl/>
              <w:numPr>
                <w:ilvl w:val="0"/>
                <w:numId w:val="99"/>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湿度显示分辨率：</w:t>
            </w:r>
            <w:r>
              <w:rPr>
                <w:rFonts w:ascii="宋体" w:hAnsi="宋体" w:cs="宋体"/>
                <w:color w:val="auto"/>
                <w:kern w:val="0"/>
                <w:sz w:val="24"/>
                <w:szCs w:val="24"/>
                <w:lang w:bidi="ar"/>
              </w:rPr>
              <w:t>0.1%RH；</w:t>
            </w:r>
          </w:p>
          <w:p w14:paraId="73E01087">
            <w:pPr>
              <w:widowControl/>
              <w:numPr>
                <w:ilvl w:val="0"/>
                <w:numId w:val="99"/>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温湿度刷新时间：</w:t>
            </w:r>
            <w:r>
              <w:rPr>
                <w:rFonts w:ascii="宋体" w:hAnsi="宋体" w:cs="宋体"/>
                <w:color w:val="auto"/>
                <w:kern w:val="0"/>
                <w:sz w:val="24"/>
                <w:szCs w:val="24"/>
                <w:lang w:bidi="ar"/>
              </w:rPr>
              <w:t>1S；</w:t>
            </w:r>
          </w:p>
          <w:p w14:paraId="5D2D6F3F">
            <w:pPr>
              <w:widowControl/>
              <w:numPr>
                <w:ilvl w:val="0"/>
                <w:numId w:val="99"/>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直流供电（默认）：</w:t>
            </w:r>
            <w:r>
              <w:rPr>
                <w:rFonts w:ascii="宋体" w:hAnsi="宋体" w:cs="宋体"/>
                <w:color w:val="auto"/>
                <w:kern w:val="0"/>
                <w:sz w:val="24"/>
                <w:szCs w:val="24"/>
                <w:lang w:bidi="ar"/>
              </w:rPr>
              <w:t>DC10-30V；</w:t>
            </w:r>
          </w:p>
          <w:p w14:paraId="2FF297A7">
            <w:pPr>
              <w:widowControl/>
              <w:numPr>
                <w:ilvl w:val="0"/>
                <w:numId w:val="99"/>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最大功耗：</w:t>
            </w:r>
            <w:r>
              <w:rPr>
                <w:rFonts w:ascii="宋体" w:hAnsi="宋体" w:cs="宋体"/>
                <w:color w:val="auto"/>
                <w:kern w:val="0"/>
                <w:sz w:val="24"/>
                <w:szCs w:val="24"/>
                <w:lang w:bidi="ar"/>
              </w:rPr>
              <w:t>0.1W；</w:t>
            </w:r>
          </w:p>
          <w:p w14:paraId="1AA13F0B">
            <w:pPr>
              <w:widowControl/>
              <w:numPr>
                <w:ilvl w:val="0"/>
                <w:numId w:val="99"/>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输出信号：</w:t>
            </w:r>
            <w:r>
              <w:rPr>
                <w:rFonts w:ascii="宋体" w:hAnsi="宋体" w:cs="宋体"/>
                <w:color w:val="auto"/>
                <w:kern w:val="0"/>
                <w:sz w:val="24"/>
                <w:szCs w:val="24"/>
                <w:lang w:bidi="ar"/>
              </w:rPr>
              <w:t>485(Modbus协议）；</w:t>
            </w:r>
          </w:p>
          <w:p w14:paraId="1B70606A">
            <w:pPr>
              <w:widowControl/>
              <w:numPr>
                <w:ilvl w:val="0"/>
                <w:numId w:val="99"/>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安装方式：壁挂式；</w:t>
            </w:r>
          </w:p>
          <w:p w14:paraId="2BB62D90">
            <w:pPr>
              <w:widowControl/>
              <w:numPr>
                <w:ilvl w:val="0"/>
                <w:numId w:val="99"/>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尺寸：不低于</w:t>
            </w:r>
            <w:r>
              <w:rPr>
                <w:rFonts w:ascii="宋体" w:hAnsi="宋体" w:cs="宋体"/>
                <w:color w:val="auto"/>
                <w:kern w:val="0"/>
                <w:sz w:val="24"/>
                <w:szCs w:val="24"/>
                <w:lang w:bidi="ar"/>
              </w:rPr>
              <w:t>110×85×44mm；</w:t>
            </w:r>
          </w:p>
          <w:p w14:paraId="285BF2F0">
            <w:pPr>
              <w:widowControl/>
              <w:numPr>
                <w:ilvl w:val="0"/>
                <w:numId w:val="92"/>
              </w:numPr>
              <w:ind w:left="0"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挡鼠板门磁设备参数：</w:t>
            </w:r>
          </w:p>
          <w:p w14:paraId="7EF10444">
            <w:pPr>
              <w:pStyle w:val="22"/>
              <w:numPr>
                <w:ilvl w:val="0"/>
                <w:numId w:val="100"/>
              </w:numPr>
              <w:ind w:left="0" w:firstLine="0"/>
              <w:rPr>
                <w:color w:val="auto"/>
              </w:rPr>
            </w:pPr>
            <w:r>
              <w:rPr>
                <w:rFonts w:hint="eastAsia" w:ascii="宋体" w:hAnsi="宋体" w:eastAsia="宋体" w:cs="宋体"/>
                <w:color w:val="auto"/>
                <w:sz w:val="24"/>
                <w:szCs w:val="24"/>
              </w:rPr>
              <w:t>主要参数：</w:t>
            </w:r>
          </w:p>
          <w:p w14:paraId="5002D797">
            <w:pPr>
              <w:widowControl/>
              <w:numPr>
                <w:ilvl w:val="0"/>
                <w:numId w:val="101"/>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感应距离：</w:t>
            </w:r>
            <w:r>
              <w:rPr>
                <w:rFonts w:ascii="宋体" w:hAnsi="宋体" w:cs="宋体"/>
                <w:color w:val="auto"/>
                <w:kern w:val="0"/>
                <w:sz w:val="24"/>
                <w:szCs w:val="24"/>
                <w:lang w:bidi="ar"/>
              </w:rPr>
              <w:t>25-35MM；</w:t>
            </w:r>
          </w:p>
          <w:p w14:paraId="4CAAAC68">
            <w:pPr>
              <w:widowControl/>
              <w:numPr>
                <w:ilvl w:val="0"/>
                <w:numId w:val="101"/>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孔距离：</w:t>
            </w:r>
            <w:r>
              <w:rPr>
                <w:rFonts w:ascii="宋体" w:hAnsi="宋体" w:cs="宋体"/>
                <w:color w:val="auto"/>
                <w:kern w:val="0"/>
                <w:sz w:val="24"/>
                <w:szCs w:val="24"/>
                <w:lang w:bidi="ar"/>
              </w:rPr>
              <w:t>33MM；</w:t>
            </w:r>
          </w:p>
          <w:p w14:paraId="3AAE6839">
            <w:pPr>
              <w:widowControl/>
              <w:numPr>
                <w:ilvl w:val="0"/>
                <w:numId w:val="101"/>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开关形式：常闭；</w:t>
            </w:r>
          </w:p>
          <w:p w14:paraId="3F5BB718">
            <w:pPr>
              <w:widowControl/>
              <w:numPr>
                <w:ilvl w:val="0"/>
                <w:numId w:val="101"/>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参数：最大功率</w:t>
            </w:r>
            <w:r>
              <w:rPr>
                <w:rFonts w:ascii="宋体" w:hAnsi="宋体" w:cs="宋体"/>
                <w:color w:val="auto"/>
                <w:kern w:val="0"/>
                <w:sz w:val="24"/>
                <w:szCs w:val="24"/>
                <w:lang w:bidi="ar"/>
              </w:rPr>
              <w:t>10W，最高电压100V，最大电流0.5A；</w:t>
            </w:r>
          </w:p>
          <w:p w14:paraId="41B26725">
            <w:pPr>
              <w:widowControl/>
              <w:numPr>
                <w:ilvl w:val="0"/>
                <w:numId w:val="101"/>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外壳材质：锌合金，银灰电镀；</w:t>
            </w:r>
          </w:p>
          <w:p w14:paraId="1FCE4E3A">
            <w:pPr>
              <w:widowControl/>
              <w:numPr>
                <w:ilvl w:val="0"/>
                <w:numId w:val="92"/>
              </w:numPr>
              <w:ind w:left="0" w:firstLine="0"/>
              <w:jc w:val="left"/>
              <w:textAlignment w:val="center"/>
              <w:rPr>
                <w:rFonts w:ascii="宋体" w:hAnsi="宋体" w:cs="宋体"/>
                <w:color w:val="auto"/>
                <w:kern w:val="0"/>
                <w:sz w:val="24"/>
                <w:szCs w:val="24"/>
              </w:rPr>
            </w:pPr>
            <w:r>
              <w:rPr>
                <w:rFonts w:hint="eastAsia" w:ascii="宋体" w:hAnsi="宋体" w:cs="宋体"/>
                <w:color w:val="auto"/>
                <w:kern w:val="0"/>
                <w:sz w:val="24"/>
                <w:szCs w:val="24"/>
              </w:rPr>
              <w:t>智能防潮光栅（</w:t>
            </w:r>
            <w:r>
              <w:rPr>
                <w:rFonts w:ascii="宋体" w:hAnsi="宋体" w:cs="宋体"/>
                <w:color w:val="auto"/>
                <w:kern w:val="0"/>
                <w:sz w:val="24"/>
                <w:szCs w:val="24"/>
              </w:rPr>
              <w:t>1M）设备参数：</w:t>
            </w:r>
          </w:p>
          <w:p w14:paraId="0A4CEF06">
            <w:pPr>
              <w:pStyle w:val="22"/>
              <w:numPr>
                <w:ilvl w:val="0"/>
                <w:numId w:val="102"/>
              </w:numPr>
              <w:ind w:left="0" w:firstLine="0"/>
              <w:rPr>
                <w:color w:val="auto"/>
              </w:rPr>
            </w:pPr>
            <w:r>
              <w:rPr>
                <w:rFonts w:hint="eastAsia" w:ascii="宋体" w:hAnsi="宋体" w:eastAsia="宋体" w:cs="宋体"/>
                <w:color w:val="auto"/>
                <w:sz w:val="24"/>
                <w:szCs w:val="24"/>
              </w:rPr>
              <w:t>主要参数：</w:t>
            </w:r>
          </w:p>
          <w:p w14:paraId="5E48F0D7">
            <w:pPr>
              <w:widowControl/>
              <w:numPr>
                <w:ilvl w:val="0"/>
                <w:numId w:val="103"/>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警戒距离：同步工作</w:t>
            </w:r>
            <w:r>
              <w:rPr>
                <w:rFonts w:ascii="宋体" w:hAnsi="宋体" w:cs="宋体"/>
                <w:color w:val="auto"/>
                <w:kern w:val="0"/>
                <w:sz w:val="24"/>
                <w:szCs w:val="24"/>
                <w:lang w:bidi="ar"/>
              </w:rPr>
              <w:t>0-100米，异步工作10-80米；</w:t>
            </w:r>
          </w:p>
          <w:p w14:paraId="2D9A0706">
            <w:pPr>
              <w:widowControl/>
              <w:numPr>
                <w:ilvl w:val="0"/>
                <w:numId w:val="103"/>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光束：</w:t>
            </w:r>
            <w:r>
              <w:rPr>
                <w:rFonts w:ascii="宋体" w:hAnsi="宋体" w:cs="宋体"/>
                <w:color w:val="auto"/>
                <w:kern w:val="0"/>
                <w:sz w:val="24"/>
                <w:szCs w:val="24"/>
                <w:lang w:bidi="ar"/>
              </w:rPr>
              <w:t>2/4/6/8/10/12光束；</w:t>
            </w:r>
          </w:p>
          <w:p w14:paraId="1BEE6D76">
            <w:pPr>
              <w:widowControl/>
              <w:numPr>
                <w:ilvl w:val="0"/>
                <w:numId w:val="103"/>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消耗电流：</w:t>
            </w:r>
            <w:r>
              <w:rPr>
                <w:rFonts w:ascii="宋体" w:hAnsi="宋体" w:cs="宋体"/>
                <w:color w:val="auto"/>
                <w:kern w:val="0"/>
                <w:sz w:val="24"/>
                <w:szCs w:val="24"/>
                <w:lang w:bidi="ar"/>
              </w:rPr>
              <w:t>50-120mA；</w:t>
            </w:r>
          </w:p>
          <w:p w14:paraId="6436AA74">
            <w:pPr>
              <w:widowControl/>
              <w:numPr>
                <w:ilvl w:val="0"/>
                <w:numId w:val="103"/>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电源电压：</w:t>
            </w:r>
            <w:r>
              <w:rPr>
                <w:rFonts w:ascii="宋体" w:hAnsi="宋体" w:cs="宋体"/>
                <w:color w:val="auto"/>
                <w:kern w:val="0"/>
                <w:sz w:val="24"/>
                <w:szCs w:val="24"/>
                <w:lang w:bidi="ar"/>
              </w:rPr>
              <w:t>DC12</w:t>
            </w:r>
            <w:r>
              <w:rPr>
                <w:rFonts w:hint="eastAsia" w:ascii="宋体" w:hAnsi="宋体" w:cs="宋体"/>
                <w:color w:val="auto"/>
                <w:kern w:val="0"/>
                <w:sz w:val="24"/>
                <w:szCs w:val="24"/>
                <w:lang w:bidi="ar"/>
              </w:rPr>
              <w:t>一</w:t>
            </w:r>
            <w:r>
              <w:rPr>
                <w:rFonts w:ascii="宋体" w:hAnsi="宋体" w:cs="宋体"/>
                <w:color w:val="auto"/>
                <w:kern w:val="0"/>
                <w:sz w:val="24"/>
                <w:szCs w:val="24"/>
                <w:lang w:bidi="ar"/>
              </w:rPr>
              <w:t>18V；</w:t>
            </w:r>
          </w:p>
          <w:p w14:paraId="046BCFD6">
            <w:pPr>
              <w:widowControl/>
              <w:numPr>
                <w:ilvl w:val="0"/>
                <w:numId w:val="103"/>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环境温度：</w:t>
            </w:r>
            <w:r>
              <w:rPr>
                <w:rFonts w:ascii="宋体" w:hAnsi="宋体" w:cs="宋体"/>
                <w:color w:val="auto"/>
                <w:kern w:val="0"/>
                <w:sz w:val="24"/>
                <w:szCs w:val="24"/>
                <w:lang w:bidi="ar"/>
              </w:rPr>
              <w:t>-30℃</w:t>
            </w:r>
            <w:r>
              <w:rPr>
                <w:rFonts w:hint="eastAsia" w:ascii="宋体" w:hAnsi="宋体" w:cs="宋体"/>
                <w:color w:val="auto"/>
                <w:kern w:val="0"/>
                <w:sz w:val="24"/>
                <w:szCs w:val="24"/>
                <w:lang w:bidi="ar"/>
              </w:rPr>
              <w:t>一</w:t>
            </w:r>
            <w:r>
              <w:rPr>
                <w:rFonts w:ascii="宋体" w:hAnsi="宋体" w:cs="宋体"/>
                <w:color w:val="auto"/>
                <w:kern w:val="0"/>
                <w:sz w:val="24"/>
                <w:szCs w:val="24"/>
                <w:lang w:bidi="ar"/>
              </w:rPr>
              <w:t>+70℃；</w:t>
            </w:r>
          </w:p>
          <w:p w14:paraId="0D0119C9">
            <w:pPr>
              <w:widowControl/>
              <w:numPr>
                <w:ilvl w:val="0"/>
                <w:numId w:val="103"/>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报警输出：常开常闭可选（出厂默认常闭）；接点容盘：</w:t>
            </w:r>
            <w:r>
              <w:rPr>
                <w:rFonts w:ascii="宋体" w:hAnsi="宋体" w:cs="宋体"/>
                <w:color w:val="auto"/>
                <w:kern w:val="0"/>
                <w:sz w:val="24"/>
                <w:szCs w:val="24"/>
                <w:lang w:bidi="ar"/>
              </w:rPr>
              <w:t>30V2A；</w:t>
            </w:r>
          </w:p>
          <w:p w14:paraId="43817152">
            <w:pPr>
              <w:widowControl/>
              <w:numPr>
                <w:ilvl w:val="0"/>
                <w:numId w:val="103"/>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反应速度：≤</w:t>
            </w:r>
            <w:r>
              <w:rPr>
                <w:rFonts w:ascii="宋体" w:hAnsi="宋体" w:cs="宋体"/>
                <w:color w:val="auto"/>
                <w:kern w:val="0"/>
                <w:sz w:val="24"/>
                <w:szCs w:val="24"/>
                <w:lang w:bidi="ar"/>
              </w:rPr>
              <w:t>40ms；</w:t>
            </w:r>
          </w:p>
          <w:p w14:paraId="206E3841">
            <w:pPr>
              <w:widowControl/>
              <w:numPr>
                <w:ilvl w:val="0"/>
                <w:numId w:val="103"/>
              </w:numPr>
              <w:ind w:firstLine="0"/>
              <w:jc w:val="left"/>
              <w:textAlignment w:val="center"/>
              <w:rPr>
                <w:rFonts w:ascii="宋体" w:hAnsi="宋体" w:cs="宋体"/>
                <w:color w:val="auto"/>
                <w:kern w:val="0"/>
                <w:sz w:val="24"/>
                <w:szCs w:val="24"/>
              </w:rPr>
            </w:pPr>
            <w:r>
              <w:rPr>
                <w:rFonts w:hint="eastAsia" w:ascii="宋体" w:hAnsi="宋体" w:cs="宋体"/>
                <w:color w:val="auto"/>
                <w:kern w:val="0"/>
                <w:sz w:val="24"/>
                <w:szCs w:val="24"/>
                <w:lang w:bidi="ar"/>
              </w:rPr>
              <w:t>报警持续时间：≥</w:t>
            </w:r>
            <w:r>
              <w:rPr>
                <w:rFonts w:ascii="宋体" w:hAnsi="宋体" w:cs="宋体"/>
                <w:color w:val="auto"/>
                <w:kern w:val="0"/>
                <w:sz w:val="24"/>
                <w:szCs w:val="24"/>
                <w:lang w:bidi="ar"/>
              </w:rPr>
              <w:t>1S；</w:t>
            </w:r>
          </w:p>
        </w:tc>
        <w:tc>
          <w:tcPr>
            <w:tcW w:w="81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C48DE4E">
            <w:pPr>
              <w:jc w:val="center"/>
              <w:rPr>
                <w:rFonts w:ascii="宋体" w:hAnsi="宋体" w:cs="宋体"/>
                <w:color w:val="auto"/>
                <w:sz w:val="24"/>
                <w:szCs w:val="24"/>
              </w:rPr>
            </w:pPr>
            <w:r>
              <w:rPr>
                <w:rFonts w:hint="eastAsia" w:ascii="宋体" w:hAnsi="宋体" w:cs="宋体"/>
                <w:color w:val="auto"/>
                <w:sz w:val="24"/>
                <w:szCs w:val="24"/>
              </w:rPr>
              <w:t>套</w:t>
            </w:r>
          </w:p>
        </w:tc>
        <w:tc>
          <w:tcPr>
            <w:tcW w:w="79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4EA9088">
            <w:pPr>
              <w:jc w:val="center"/>
              <w:rPr>
                <w:rFonts w:ascii="宋体" w:hAnsi="宋体" w:cs="宋体"/>
                <w:color w:val="auto"/>
                <w:sz w:val="24"/>
                <w:szCs w:val="24"/>
              </w:rPr>
            </w:pPr>
            <w:r>
              <w:rPr>
                <w:rFonts w:hint="eastAsia" w:ascii="宋体" w:hAnsi="宋体" w:cs="宋体"/>
                <w:color w:val="auto"/>
                <w:sz w:val="24"/>
                <w:szCs w:val="24"/>
              </w:rPr>
              <w:t>按需配置并征得采购人书面同意</w:t>
            </w:r>
          </w:p>
        </w:tc>
      </w:tr>
      <w:tr w14:paraId="243D2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4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E4A605C">
            <w:pPr>
              <w:widowControl/>
              <w:jc w:val="center"/>
              <w:textAlignment w:val="center"/>
              <w:rPr>
                <w:rFonts w:ascii="宋体" w:hAnsi="宋体" w:cs="宋体"/>
                <w:color w:val="auto"/>
                <w:kern w:val="0"/>
                <w:sz w:val="24"/>
                <w:szCs w:val="24"/>
              </w:rPr>
            </w:pPr>
            <w:r>
              <w:rPr>
                <w:rFonts w:ascii="宋体" w:hAnsi="宋体" w:cs="宋体"/>
                <w:color w:val="auto"/>
                <w:kern w:val="0"/>
                <w:sz w:val="24"/>
                <w:szCs w:val="24"/>
                <w:lang w:bidi="ar"/>
              </w:rPr>
              <w:t xml:space="preserve"> 5</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14:paraId="20EBB0F1">
            <w:pPr>
              <w:widowControl/>
              <w:jc w:val="center"/>
              <w:textAlignment w:val="center"/>
              <w:rPr>
                <w:rFonts w:ascii="宋体" w:hAnsi="宋体" w:cs="宋体"/>
                <w:color w:val="auto"/>
                <w:kern w:val="0"/>
                <w:sz w:val="24"/>
                <w:szCs w:val="24"/>
              </w:rPr>
            </w:pPr>
            <w:r>
              <w:rPr>
                <w:rFonts w:hint="eastAsia" w:ascii="宋体" w:hAnsi="宋体" w:cs="宋体"/>
                <w:color w:val="auto"/>
                <w:kern w:val="0"/>
                <w:sz w:val="24"/>
                <w:szCs w:val="24"/>
              </w:rPr>
              <w:t>备餐间消毒网关套装</w:t>
            </w:r>
          </w:p>
        </w:tc>
        <w:tc>
          <w:tcPr>
            <w:tcW w:w="6114"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9CDBE7B">
            <w:pPr>
              <w:widowControl/>
              <w:numPr>
                <w:ilvl w:val="0"/>
                <w:numId w:val="104"/>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功能描述：</w:t>
            </w:r>
          </w:p>
          <w:p w14:paraId="04BDD098">
            <w:pPr>
              <w:widowControl/>
              <w:numPr>
                <w:ilvl w:val="0"/>
                <w:numId w:val="105"/>
              </w:numPr>
              <w:jc w:val="left"/>
              <w:rPr>
                <w:rFonts w:ascii="宋体" w:hAnsi="宋体" w:cs="宋体"/>
                <w:color w:val="auto"/>
                <w:kern w:val="0"/>
                <w:sz w:val="24"/>
                <w:szCs w:val="24"/>
                <w:lang w:bidi="ar"/>
              </w:rPr>
            </w:pPr>
            <w:r>
              <w:rPr>
                <w:rFonts w:hint="eastAsia" w:ascii="宋体" w:hAnsi="宋体" w:cs="宋体"/>
                <w:color w:val="auto"/>
                <w:kern w:val="0"/>
                <w:sz w:val="24"/>
                <w:szCs w:val="24"/>
                <w:lang w:bidi="ar"/>
              </w:rPr>
              <w:t>支持设定多个规则实现定时开启、关闭紫外线灯，进行消毒操作；</w:t>
            </w:r>
          </w:p>
          <w:p w14:paraId="74C8E0FB">
            <w:pPr>
              <w:widowControl/>
              <w:numPr>
                <w:ilvl w:val="0"/>
                <w:numId w:val="105"/>
              </w:numPr>
              <w:jc w:val="left"/>
              <w:rPr>
                <w:rFonts w:ascii="宋体" w:hAnsi="宋体" w:cs="宋体"/>
                <w:color w:val="auto"/>
                <w:kern w:val="0"/>
                <w:sz w:val="24"/>
                <w:szCs w:val="24"/>
                <w:lang w:bidi="ar"/>
              </w:rPr>
            </w:pPr>
            <w:r>
              <w:rPr>
                <w:rFonts w:hint="eastAsia" w:ascii="宋体" w:hAnsi="宋体" w:cs="宋体"/>
                <w:color w:val="auto"/>
                <w:kern w:val="0"/>
                <w:sz w:val="24"/>
                <w:szCs w:val="24"/>
                <w:lang w:bidi="ar"/>
              </w:rPr>
              <w:t>支持远程控制，开启关闭紫外线灯；</w:t>
            </w:r>
          </w:p>
          <w:p w14:paraId="59180082">
            <w:pPr>
              <w:widowControl/>
              <w:numPr>
                <w:ilvl w:val="0"/>
                <w:numId w:val="105"/>
              </w:numPr>
              <w:jc w:val="left"/>
              <w:rPr>
                <w:rFonts w:ascii="宋体" w:hAnsi="宋体" w:cs="宋体"/>
                <w:color w:val="auto"/>
                <w:kern w:val="0"/>
                <w:sz w:val="24"/>
                <w:szCs w:val="24"/>
                <w:lang w:bidi="ar"/>
              </w:rPr>
            </w:pPr>
            <w:r>
              <w:rPr>
                <w:rFonts w:hint="eastAsia" w:ascii="宋体" w:hAnsi="宋体" w:cs="宋体"/>
                <w:color w:val="auto"/>
                <w:kern w:val="0"/>
                <w:sz w:val="24"/>
                <w:szCs w:val="24"/>
                <w:lang w:bidi="ar"/>
              </w:rPr>
              <w:t>支持实现自动感应人员进入并关闭紫外线灯，避免人员伤害；</w:t>
            </w:r>
          </w:p>
          <w:p w14:paraId="3B04D798">
            <w:pPr>
              <w:widowControl/>
              <w:numPr>
                <w:ilvl w:val="0"/>
                <w:numId w:val="105"/>
              </w:numPr>
              <w:jc w:val="left"/>
              <w:rPr>
                <w:rFonts w:ascii="宋体" w:hAnsi="宋体" w:cs="宋体"/>
                <w:color w:val="auto"/>
                <w:kern w:val="0"/>
                <w:sz w:val="24"/>
                <w:szCs w:val="24"/>
                <w:lang w:bidi="ar"/>
              </w:rPr>
            </w:pPr>
            <w:r>
              <w:rPr>
                <w:rFonts w:hint="eastAsia" w:ascii="宋体" w:hAnsi="宋体" w:cs="宋体"/>
                <w:color w:val="auto"/>
                <w:kern w:val="0"/>
                <w:sz w:val="24"/>
                <w:szCs w:val="24"/>
                <w:lang w:bidi="ar"/>
              </w:rPr>
              <w:t>自动生成消毒台账在手机</w:t>
            </w:r>
            <w:r>
              <w:rPr>
                <w:rFonts w:ascii="宋体" w:hAnsi="宋体" w:cs="宋体"/>
                <w:color w:val="auto"/>
                <w:kern w:val="0"/>
                <w:sz w:val="24"/>
                <w:szCs w:val="24"/>
                <w:lang w:bidi="ar"/>
              </w:rPr>
              <w:t>APP端、电脑后台端可导出记录生成表格打印纸质</w:t>
            </w:r>
            <w:r>
              <w:rPr>
                <w:rFonts w:hint="eastAsia" w:ascii="宋体" w:hAnsi="宋体" w:cs="宋体"/>
                <w:color w:val="auto"/>
                <w:kern w:val="0"/>
                <w:sz w:val="24"/>
                <w:szCs w:val="24"/>
                <w:lang w:bidi="ar"/>
              </w:rPr>
              <w:t>消毒台账并最少保存</w:t>
            </w:r>
            <w:r>
              <w:rPr>
                <w:rFonts w:ascii="宋体" w:hAnsi="宋体" w:cs="宋体"/>
                <w:color w:val="auto"/>
                <w:kern w:val="0"/>
                <w:sz w:val="24"/>
                <w:szCs w:val="24"/>
                <w:lang w:bidi="ar"/>
              </w:rPr>
              <w:t>2年数据；</w:t>
            </w:r>
          </w:p>
          <w:p w14:paraId="76969D04">
            <w:pPr>
              <w:widowControl/>
              <w:numPr>
                <w:ilvl w:val="0"/>
                <w:numId w:val="104"/>
              </w:numPr>
              <w:ind w:left="0"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物联中控屏设备参数：</w:t>
            </w:r>
          </w:p>
          <w:p w14:paraId="7CFD50FE">
            <w:pPr>
              <w:pStyle w:val="22"/>
              <w:numPr>
                <w:ilvl w:val="0"/>
                <w:numId w:val="106"/>
              </w:numPr>
              <w:ind w:left="0" w:firstLine="0"/>
              <w:rPr>
                <w:color w:val="auto"/>
              </w:rPr>
            </w:pPr>
            <w:r>
              <w:rPr>
                <w:rFonts w:hint="eastAsia" w:ascii="宋体" w:hAnsi="宋体" w:eastAsia="宋体" w:cs="宋体"/>
                <w:color w:val="auto"/>
                <w:sz w:val="24"/>
                <w:szCs w:val="24"/>
              </w:rPr>
              <w:t>主要参数：</w:t>
            </w:r>
          </w:p>
          <w:p w14:paraId="22B54074">
            <w:pPr>
              <w:widowControl/>
              <w:numPr>
                <w:ilvl w:val="0"/>
                <w:numId w:val="107"/>
              </w:numPr>
              <w:ind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外壳：前置钢化玻璃</w:t>
            </w:r>
            <w:r>
              <w:rPr>
                <w:rFonts w:ascii="宋体" w:hAnsi="宋体" w:cs="宋体"/>
                <w:color w:val="auto"/>
                <w:kern w:val="0"/>
                <w:sz w:val="24"/>
                <w:szCs w:val="24"/>
                <w:lang w:bidi="ar"/>
              </w:rPr>
              <w:t>+塑胶外壳；</w:t>
            </w:r>
          </w:p>
          <w:p w14:paraId="2D829F98">
            <w:pPr>
              <w:widowControl/>
              <w:numPr>
                <w:ilvl w:val="0"/>
                <w:numId w:val="107"/>
              </w:numPr>
              <w:ind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保护面板：钢化玻璃；</w:t>
            </w:r>
          </w:p>
          <w:p w14:paraId="0A016D54">
            <w:pPr>
              <w:widowControl/>
              <w:numPr>
                <w:ilvl w:val="0"/>
                <w:numId w:val="107"/>
              </w:numPr>
              <w:ind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尺寸：不低于</w:t>
            </w:r>
            <w:r>
              <w:rPr>
                <w:rFonts w:ascii="宋体" w:hAnsi="宋体" w:cs="宋体"/>
                <w:color w:val="auto"/>
                <w:kern w:val="0"/>
                <w:sz w:val="24"/>
                <w:szCs w:val="24"/>
                <w:lang w:bidi="ar"/>
              </w:rPr>
              <w:t>10.1寸；</w:t>
            </w:r>
          </w:p>
          <w:p w14:paraId="4D8865BD">
            <w:pPr>
              <w:widowControl/>
              <w:numPr>
                <w:ilvl w:val="0"/>
                <w:numId w:val="107"/>
              </w:numPr>
              <w:ind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屏幕比例：</w:t>
            </w:r>
            <w:r>
              <w:rPr>
                <w:rFonts w:ascii="宋体" w:hAnsi="宋体" w:cs="宋体"/>
                <w:color w:val="auto"/>
                <w:kern w:val="0"/>
                <w:sz w:val="24"/>
                <w:szCs w:val="24"/>
                <w:lang w:bidi="ar"/>
              </w:rPr>
              <w:t>16:9；</w:t>
            </w:r>
          </w:p>
          <w:p w14:paraId="480DCDDB">
            <w:pPr>
              <w:widowControl/>
              <w:numPr>
                <w:ilvl w:val="0"/>
                <w:numId w:val="107"/>
              </w:numPr>
              <w:ind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摄像头像素：</w:t>
            </w:r>
            <w:r>
              <w:rPr>
                <w:rFonts w:ascii="宋体" w:hAnsi="宋体" w:cs="宋体"/>
                <w:color w:val="auto"/>
                <w:kern w:val="0"/>
                <w:sz w:val="24"/>
                <w:szCs w:val="24"/>
                <w:lang w:bidi="ar"/>
              </w:rPr>
              <w:t>100W；</w:t>
            </w:r>
          </w:p>
          <w:p w14:paraId="556E22DA">
            <w:pPr>
              <w:widowControl/>
              <w:numPr>
                <w:ilvl w:val="0"/>
                <w:numId w:val="107"/>
              </w:numPr>
              <w:ind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像素间距：</w:t>
            </w:r>
            <w:r>
              <w:rPr>
                <w:rFonts w:ascii="宋体" w:hAnsi="宋体" w:cs="宋体"/>
                <w:color w:val="auto"/>
                <w:kern w:val="0"/>
                <w:sz w:val="24"/>
                <w:szCs w:val="24"/>
                <w:lang w:bidi="ar"/>
              </w:rPr>
              <w:t>0.17925×0.17925mm；</w:t>
            </w:r>
          </w:p>
          <w:p w14:paraId="5FB80502">
            <w:pPr>
              <w:widowControl/>
              <w:numPr>
                <w:ilvl w:val="0"/>
                <w:numId w:val="107"/>
              </w:numPr>
              <w:ind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亮度：</w:t>
            </w:r>
            <w:r>
              <w:rPr>
                <w:rFonts w:ascii="宋体" w:hAnsi="宋体" w:cs="宋体"/>
                <w:color w:val="auto"/>
                <w:kern w:val="0"/>
                <w:sz w:val="24"/>
                <w:szCs w:val="24"/>
                <w:lang w:bidi="ar"/>
              </w:rPr>
              <w:t>350cd/m²可视角度85/85/85/85（左/右/上/下）；</w:t>
            </w:r>
          </w:p>
          <w:p w14:paraId="332D73AF">
            <w:pPr>
              <w:widowControl/>
              <w:numPr>
                <w:ilvl w:val="0"/>
                <w:numId w:val="107"/>
              </w:numPr>
              <w:ind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对比度：</w:t>
            </w:r>
            <w:r>
              <w:rPr>
                <w:rFonts w:ascii="宋体" w:hAnsi="宋体" w:cs="宋体"/>
                <w:color w:val="auto"/>
                <w:kern w:val="0"/>
                <w:sz w:val="24"/>
                <w:szCs w:val="24"/>
                <w:lang w:bidi="ar"/>
              </w:rPr>
              <w:t>1000:1；</w:t>
            </w:r>
          </w:p>
          <w:p w14:paraId="7AE4F187">
            <w:pPr>
              <w:widowControl/>
              <w:numPr>
                <w:ilvl w:val="0"/>
                <w:numId w:val="107"/>
              </w:numPr>
              <w:ind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颜色数：</w:t>
            </w:r>
            <w:r>
              <w:rPr>
                <w:rFonts w:ascii="宋体" w:hAnsi="宋体" w:cs="宋体"/>
                <w:color w:val="auto"/>
                <w:kern w:val="0"/>
                <w:sz w:val="24"/>
                <w:szCs w:val="24"/>
                <w:lang w:bidi="ar"/>
              </w:rPr>
              <w:t>16.7M；</w:t>
            </w:r>
          </w:p>
          <w:p w14:paraId="7E9C5793">
            <w:pPr>
              <w:widowControl/>
              <w:numPr>
                <w:ilvl w:val="0"/>
                <w:numId w:val="107"/>
              </w:numPr>
              <w:ind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灯管寿命：超过</w:t>
            </w:r>
            <w:r>
              <w:rPr>
                <w:rFonts w:ascii="宋体" w:hAnsi="宋体" w:cs="宋体"/>
                <w:color w:val="auto"/>
                <w:kern w:val="0"/>
                <w:sz w:val="24"/>
                <w:szCs w:val="24"/>
                <w:lang w:bidi="ar"/>
              </w:rPr>
              <w:t>50000小时；</w:t>
            </w:r>
          </w:p>
          <w:p w14:paraId="4B0B35B7">
            <w:pPr>
              <w:widowControl/>
              <w:numPr>
                <w:ilvl w:val="0"/>
                <w:numId w:val="107"/>
              </w:numPr>
              <w:ind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操作系统：</w:t>
            </w:r>
            <w:r>
              <w:rPr>
                <w:rFonts w:ascii="宋体" w:hAnsi="宋体" w:cs="宋体"/>
                <w:color w:val="auto"/>
                <w:kern w:val="0"/>
                <w:sz w:val="24"/>
                <w:szCs w:val="24"/>
                <w:lang w:bidi="ar"/>
              </w:rPr>
              <w:t>Android7.1.2；</w:t>
            </w:r>
          </w:p>
          <w:p w14:paraId="3695121B">
            <w:pPr>
              <w:widowControl/>
              <w:numPr>
                <w:ilvl w:val="0"/>
                <w:numId w:val="107"/>
              </w:numPr>
              <w:ind w:firstLine="0"/>
              <w:jc w:val="left"/>
              <w:rPr>
                <w:rFonts w:ascii="宋体" w:hAnsi="宋体" w:cs="宋体"/>
                <w:color w:val="auto"/>
                <w:kern w:val="0"/>
                <w:sz w:val="24"/>
                <w:szCs w:val="24"/>
                <w:lang w:bidi="ar"/>
              </w:rPr>
            </w:pPr>
            <w:r>
              <w:rPr>
                <w:rFonts w:ascii="宋体" w:hAnsi="宋体" w:cs="宋体"/>
                <w:color w:val="auto"/>
                <w:kern w:val="0"/>
                <w:sz w:val="24"/>
                <w:szCs w:val="24"/>
                <w:lang w:bidi="ar"/>
              </w:rPr>
              <w:t>CPU：RK3288，四核；</w:t>
            </w:r>
          </w:p>
          <w:p w14:paraId="21F1019F">
            <w:pPr>
              <w:widowControl/>
              <w:numPr>
                <w:ilvl w:val="0"/>
                <w:numId w:val="107"/>
              </w:numPr>
              <w:ind w:firstLine="0"/>
              <w:jc w:val="left"/>
              <w:rPr>
                <w:rFonts w:ascii="宋体" w:hAnsi="宋体" w:cs="宋体"/>
                <w:color w:val="auto"/>
                <w:kern w:val="0"/>
                <w:sz w:val="24"/>
                <w:szCs w:val="24"/>
                <w:lang w:bidi="ar"/>
              </w:rPr>
            </w:pPr>
            <w:r>
              <w:rPr>
                <w:rFonts w:ascii="宋体" w:hAnsi="宋体" w:cs="宋体"/>
                <w:color w:val="auto"/>
                <w:kern w:val="0"/>
                <w:sz w:val="24"/>
                <w:szCs w:val="24"/>
                <w:lang w:bidi="ar"/>
              </w:rPr>
              <w:t>CPU主频：1.8GHz；</w:t>
            </w:r>
          </w:p>
          <w:p w14:paraId="38C42082">
            <w:pPr>
              <w:widowControl/>
              <w:numPr>
                <w:ilvl w:val="0"/>
                <w:numId w:val="107"/>
              </w:numPr>
              <w:ind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内存：</w:t>
            </w:r>
            <w:r>
              <w:rPr>
                <w:rFonts w:ascii="宋体" w:hAnsi="宋体" w:cs="宋体"/>
                <w:color w:val="auto"/>
                <w:kern w:val="0"/>
                <w:sz w:val="24"/>
                <w:szCs w:val="24"/>
                <w:lang w:bidi="ar"/>
              </w:rPr>
              <w:t>DDR32G；</w:t>
            </w:r>
          </w:p>
          <w:p w14:paraId="315CFEE9">
            <w:pPr>
              <w:widowControl/>
              <w:numPr>
                <w:ilvl w:val="0"/>
                <w:numId w:val="107"/>
              </w:numPr>
              <w:ind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内置存储容量：</w:t>
            </w:r>
            <w:r>
              <w:rPr>
                <w:rFonts w:ascii="宋体" w:hAnsi="宋体" w:cs="宋体"/>
                <w:color w:val="auto"/>
                <w:kern w:val="0"/>
                <w:sz w:val="24"/>
                <w:szCs w:val="24"/>
                <w:lang w:bidi="ar"/>
              </w:rPr>
              <w:t>EMMC8G；</w:t>
            </w:r>
          </w:p>
          <w:p w14:paraId="745BC003">
            <w:pPr>
              <w:widowControl/>
              <w:numPr>
                <w:ilvl w:val="0"/>
                <w:numId w:val="107"/>
              </w:numPr>
              <w:ind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喇叭：</w:t>
            </w:r>
            <w:r>
              <w:rPr>
                <w:rFonts w:ascii="宋体" w:hAnsi="宋体" w:cs="宋体"/>
                <w:color w:val="auto"/>
                <w:kern w:val="0"/>
                <w:sz w:val="24"/>
                <w:szCs w:val="24"/>
                <w:lang w:bidi="ar"/>
              </w:rPr>
              <w:t>8Ω2W；</w:t>
            </w:r>
          </w:p>
          <w:p w14:paraId="5D9CA3BF">
            <w:pPr>
              <w:widowControl/>
              <w:numPr>
                <w:ilvl w:val="0"/>
                <w:numId w:val="107"/>
              </w:numPr>
              <w:ind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网络：支持</w:t>
            </w:r>
            <w:r>
              <w:rPr>
                <w:rFonts w:ascii="宋体" w:hAnsi="宋体" w:cs="宋体"/>
                <w:color w:val="auto"/>
                <w:kern w:val="0"/>
                <w:sz w:val="24"/>
                <w:szCs w:val="24"/>
                <w:lang w:bidi="ar"/>
              </w:rPr>
              <w:t>WiFi、BT；</w:t>
            </w:r>
          </w:p>
          <w:p w14:paraId="659025E5">
            <w:pPr>
              <w:widowControl/>
              <w:numPr>
                <w:ilvl w:val="0"/>
                <w:numId w:val="107"/>
              </w:numPr>
              <w:ind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接口：</w:t>
            </w:r>
            <w:r>
              <w:rPr>
                <w:rFonts w:ascii="宋体" w:hAnsi="宋体" w:cs="宋体"/>
                <w:color w:val="auto"/>
                <w:kern w:val="0"/>
                <w:sz w:val="24"/>
                <w:szCs w:val="24"/>
                <w:lang w:bidi="ar"/>
              </w:rPr>
              <w:t>I/O:2*USB，可扩展2*USB；</w:t>
            </w:r>
          </w:p>
          <w:p w14:paraId="37E3BA94">
            <w:pPr>
              <w:widowControl/>
              <w:numPr>
                <w:ilvl w:val="0"/>
                <w:numId w:val="107"/>
              </w:numPr>
              <w:ind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工作环境温度：</w:t>
            </w:r>
            <w:r>
              <w:rPr>
                <w:rFonts w:ascii="宋体" w:hAnsi="宋体" w:cs="宋体"/>
                <w:color w:val="auto"/>
                <w:kern w:val="0"/>
                <w:sz w:val="24"/>
                <w:szCs w:val="24"/>
                <w:lang w:bidi="ar"/>
              </w:rPr>
              <w:t>0～50摄氏度；</w:t>
            </w:r>
          </w:p>
          <w:p w14:paraId="447A3FE3">
            <w:pPr>
              <w:widowControl/>
              <w:numPr>
                <w:ilvl w:val="0"/>
                <w:numId w:val="107"/>
              </w:numPr>
              <w:ind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触摸精度：±</w:t>
            </w:r>
            <w:r>
              <w:rPr>
                <w:rFonts w:ascii="宋体" w:hAnsi="宋体" w:cs="宋体"/>
                <w:color w:val="auto"/>
                <w:kern w:val="0"/>
                <w:sz w:val="24"/>
                <w:szCs w:val="24"/>
                <w:lang w:bidi="ar"/>
              </w:rPr>
              <w:t>2mm；</w:t>
            </w:r>
          </w:p>
          <w:p w14:paraId="6F078E0C">
            <w:pPr>
              <w:widowControl/>
              <w:numPr>
                <w:ilvl w:val="0"/>
                <w:numId w:val="107"/>
              </w:numPr>
              <w:ind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响应时间：</w:t>
            </w:r>
            <w:r>
              <w:rPr>
                <w:rFonts w:ascii="宋体" w:hAnsi="宋体" w:cs="宋体"/>
                <w:color w:val="auto"/>
                <w:kern w:val="0"/>
                <w:sz w:val="24"/>
                <w:szCs w:val="24"/>
                <w:lang w:bidi="ar"/>
              </w:rPr>
              <w:t>25ms~30ms；</w:t>
            </w:r>
          </w:p>
          <w:p w14:paraId="57DE03E1">
            <w:pPr>
              <w:widowControl/>
              <w:numPr>
                <w:ilvl w:val="0"/>
                <w:numId w:val="107"/>
              </w:numPr>
              <w:ind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可识别物体：手指或者专用触摸笔；</w:t>
            </w:r>
          </w:p>
          <w:p w14:paraId="7622D82A">
            <w:pPr>
              <w:widowControl/>
              <w:numPr>
                <w:ilvl w:val="0"/>
                <w:numId w:val="107"/>
              </w:numPr>
              <w:ind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透明度：≥</w:t>
            </w:r>
            <w:r>
              <w:rPr>
                <w:rFonts w:ascii="宋体" w:hAnsi="宋体" w:cs="宋体"/>
                <w:color w:val="auto"/>
                <w:kern w:val="0"/>
                <w:sz w:val="24"/>
                <w:szCs w:val="24"/>
                <w:lang w:bidi="ar"/>
              </w:rPr>
              <w:t>85％±2％；</w:t>
            </w:r>
          </w:p>
          <w:p w14:paraId="4C6F273E">
            <w:pPr>
              <w:widowControl/>
              <w:numPr>
                <w:ilvl w:val="0"/>
                <w:numId w:val="107"/>
              </w:numPr>
              <w:ind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温度范围：工作温度：</w:t>
            </w:r>
            <w:r>
              <w:rPr>
                <w:rFonts w:ascii="宋体" w:hAnsi="宋体" w:cs="宋体"/>
                <w:color w:val="auto"/>
                <w:kern w:val="0"/>
                <w:sz w:val="24"/>
                <w:szCs w:val="24"/>
                <w:lang w:bidi="ar"/>
              </w:rPr>
              <w:t>-10℃~60℃；</w:t>
            </w:r>
          </w:p>
          <w:p w14:paraId="27B3F31C">
            <w:pPr>
              <w:widowControl/>
              <w:numPr>
                <w:ilvl w:val="0"/>
                <w:numId w:val="107"/>
              </w:numPr>
              <w:ind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供电方式：外置</w:t>
            </w:r>
            <w:r>
              <w:rPr>
                <w:rFonts w:ascii="宋体" w:hAnsi="宋体" w:cs="宋体"/>
                <w:color w:val="auto"/>
                <w:kern w:val="0"/>
                <w:sz w:val="24"/>
                <w:szCs w:val="24"/>
                <w:lang w:bidi="ar"/>
              </w:rPr>
              <w:t>12V/2A适配器；</w:t>
            </w:r>
          </w:p>
          <w:p w14:paraId="6CFCCE4F">
            <w:pPr>
              <w:widowControl/>
              <w:numPr>
                <w:ilvl w:val="0"/>
                <w:numId w:val="107"/>
              </w:numPr>
              <w:ind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整机功率：</w:t>
            </w:r>
            <w:r>
              <w:rPr>
                <w:rFonts w:ascii="宋体" w:hAnsi="宋体" w:cs="宋体"/>
                <w:color w:val="auto"/>
                <w:kern w:val="0"/>
                <w:sz w:val="24"/>
                <w:szCs w:val="24"/>
                <w:lang w:bidi="ar"/>
              </w:rPr>
              <w:t>15W；</w:t>
            </w:r>
          </w:p>
          <w:p w14:paraId="588EF2AC">
            <w:pPr>
              <w:widowControl/>
              <w:numPr>
                <w:ilvl w:val="0"/>
                <w:numId w:val="107"/>
              </w:numPr>
              <w:ind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安装方式：壁挂式；</w:t>
            </w:r>
          </w:p>
          <w:p w14:paraId="69609D65">
            <w:pPr>
              <w:widowControl/>
              <w:numPr>
                <w:ilvl w:val="0"/>
                <w:numId w:val="104"/>
              </w:numPr>
              <w:ind w:left="0" w:firstLine="0"/>
              <w:jc w:val="left"/>
              <w:rPr>
                <w:rFonts w:ascii="宋体" w:hAnsi="宋体" w:cs="宋体"/>
                <w:color w:val="auto"/>
                <w:kern w:val="0"/>
                <w:sz w:val="24"/>
                <w:szCs w:val="24"/>
                <w:lang w:bidi="ar"/>
              </w:rPr>
            </w:pPr>
            <w:r>
              <w:rPr>
                <w:rFonts w:ascii="宋体" w:hAnsi="宋体" w:cs="宋体"/>
                <w:color w:val="auto"/>
                <w:kern w:val="0"/>
                <w:sz w:val="24"/>
                <w:szCs w:val="24"/>
                <w:lang w:bidi="ar"/>
              </w:rPr>
              <w:t>IO通讯模块设备参数：</w:t>
            </w:r>
          </w:p>
          <w:p w14:paraId="4AEE39B6">
            <w:pPr>
              <w:pStyle w:val="22"/>
              <w:numPr>
                <w:ilvl w:val="0"/>
                <w:numId w:val="108"/>
              </w:numPr>
              <w:ind w:left="0" w:firstLine="0"/>
              <w:rPr>
                <w:color w:val="auto"/>
              </w:rPr>
            </w:pPr>
            <w:r>
              <w:rPr>
                <w:rFonts w:hint="eastAsia" w:ascii="宋体" w:hAnsi="宋体" w:eastAsia="宋体" w:cs="宋体"/>
                <w:color w:val="auto"/>
                <w:sz w:val="24"/>
                <w:szCs w:val="24"/>
              </w:rPr>
              <w:t>主要参数：</w:t>
            </w:r>
          </w:p>
          <w:p w14:paraId="10F3604A">
            <w:pPr>
              <w:widowControl/>
              <w:numPr>
                <w:ilvl w:val="0"/>
                <w:numId w:val="109"/>
              </w:numPr>
              <w:ind w:firstLine="0"/>
              <w:jc w:val="left"/>
              <w:rPr>
                <w:rFonts w:ascii="宋体" w:hAnsi="宋体" w:cs="宋体"/>
                <w:color w:val="auto"/>
                <w:kern w:val="0"/>
                <w:sz w:val="24"/>
                <w:szCs w:val="24"/>
              </w:rPr>
            </w:pPr>
            <w:r>
              <w:rPr>
                <w:rFonts w:ascii="宋体" w:hAnsi="宋体" w:cs="宋体"/>
                <w:color w:val="auto"/>
                <w:kern w:val="0"/>
                <w:sz w:val="24"/>
                <w:szCs w:val="24"/>
              </w:rPr>
              <w:t>2路继电器控制输出，触点容250VAC10A/DC30V10A；</w:t>
            </w:r>
          </w:p>
          <w:p w14:paraId="6F4AF567">
            <w:pPr>
              <w:widowControl/>
              <w:numPr>
                <w:ilvl w:val="0"/>
                <w:numId w:val="109"/>
              </w:numPr>
              <w:ind w:firstLine="0"/>
              <w:jc w:val="left"/>
              <w:rPr>
                <w:rFonts w:ascii="宋体" w:hAnsi="宋体" w:cs="宋体"/>
                <w:color w:val="auto"/>
                <w:kern w:val="0"/>
                <w:sz w:val="24"/>
                <w:szCs w:val="24"/>
              </w:rPr>
            </w:pPr>
            <w:r>
              <w:rPr>
                <w:rFonts w:ascii="宋体" w:hAnsi="宋体" w:cs="宋体"/>
                <w:color w:val="auto"/>
                <w:kern w:val="0"/>
                <w:sz w:val="24"/>
                <w:szCs w:val="24"/>
              </w:rPr>
              <w:t>2</w:t>
            </w:r>
            <w:r>
              <w:rPr>
                <w:rFonts w:hint="eastAsia" w:ascii="宋体" w:hAnsi="宋体" w:cs="宋体"/>
                <w:color w:val="auto"/>
                <w:kern w:val="0"/>
                <w:sz w:val="24"/>
                <w:szCs w:val="24"/>
              </w:rPr>
              <w:t>路数字量输入，隔离输入，抗浪涌等级</w:t>
            </w:r>
            <w:r>
              <w:rPr>
                <w:rFonts w:ascii="宋体" w:hAnsi="宋体" w:cs="宋体"/>
                <w:color w:val="auto"/>
                <w:kern w:val="0"/>
                <w:sz w:val="24"/>
                <w:szCs w:val="24"/>
              </w:rPr>
              <w:t>1500V，有源</w:t>
            </w:r>
            <w:r>
              <w:rPr>
                <w:rFonts w:hint="eastAsia" w:ascii="宋体" w:hAnsi="宋体" w:cs="宋体"/>
                <w:color w:val="auto"/>
                <w:kern w:val="0"/>
                <w:sz w:val="24"/>
                <w:szCs w:val="24"/>
              </w:rPr>
              <w:t>无源均支持；</w:t>
            </w:r>
          </w:p>
          <w:p w14:paraId="3A9A8BC3">
            <w:pPr>
              <w:widowControl/>
              <w:numPr>
                <w:ilvl w:val="0"/>
                <w:numId w:val="109"/>
              </w:numPr>
              <w:ind w:firstLine="0"/>
              <w:jc w:val="left"/>
              <w:rPr>
                <w:rFonts w:ascii="宋体" w:hAnsi="宋体" w:cs="宋体"/>
                <w:color w:val="auto"/>
                <w:kern w:val="0"/>
                <w:sz w:val="24"/>
                <w:szCs w:val="24"/>
              </w:rPr>
            </w:pPr>
            <w:r>
              <w:rPr>
                <w:rFonts w:hint="eastAsia" w:ascii="宋体" w:hAnsi="宋体" w:cs="宋体"/>
                <w:color w:val="auto"/>
                <w:kern w:val="0"/>
                <w:sz w:val="24"/>
                <w:szCs w:val="24"/>
              </w:rPr>
              <w:t>以太网通讯接口，</w:t>
            </w:r>
            <w:r>
              <w:rPr>
                <w:rFonts w:ascii="宋体" w:hAnsi="宋体" w:cs="宋体"/>
                <w:color w:val="auto"/>
                <w:kern w:val="0"/>
                <w:sz w:val="24"/>
                <w:szCs w:val="24"/>
              </w:rPr>
              <w:t>10/100M自适应；</w:t>
            </w:r>
          </w:p>
          <w:p w14:paraId="1CB1F305">
            <w:pPr>
              <w:widowControl/>
              <w:numPr>
                <w:ilvl w:val="0"/>
                <w:numId w:val="109"/>
              </w:numPr>
              <w:ind w:firstLine="0"/>
              <w:jc w:val="left"/>
              <w:rPr>
                <w:rFonts w:ascii="宋体" w:hAnsi="宋体" w:cs="宋体"/>
                <w:color w:val="auto"/>
                <w:kern w:val="0"/>
                <w:sz w:val="24"/>
                <w:szCs w:val="24"/>
              </w:rPr>
            </w:pPr>
            <w:r>
              <w:rPr>
                <w:rFonts w:hint="eastAsia" w:ascii="宋体" w:hAnsi="宋体" w:cs="宋体"/>
                <w:color w:val="auto"/>
                <w:kern w:val="0"/>
                <w:sz w:val="24"/>
                <w:szCs w:val="24"/>
              </w:rPr>
              <w:t>支持</w:t>
            </w:r>
            <w:r>
              <w:rPr>
                <w:rFonts w:ascii="宋体" w:hAnsi="宋体" w:cs="宋体"/>
                <w:color w:val="auto"/>
                <w:kern w:val="0"/>
                <w:sz w:val="24"/>
                <w:szCs w:val="24"/>
              </w:rPr>
              <w:t>MQTT通讯，参数可配置；</w:t>
            </w:r>
          </w:p>
          <w:p w14:paraId="52DDA826">
            <w:pPr>
              <w:widowControl/>
              <w:numPr>
                <w:ilvl w:val="0"/>
                <w:numId w:val="109"/>
              </w:numPr>
              <w:ind w:firstLine="0"/>
              <w:jc w:val="left"/>
              <w:rPr>
                <w:rFonts w:ascii="宋体" w:hAnsi="宋体" w:cs="宋体"/>
                <w:color w:val="auto"/>
                <w:kern w:val="0"/>
                <w:sz w:val="24"/>
                <w:szCs w:val="24"/>
              </w:rPr>
            </w:pPr>
            <w:r>
              <w:rPr>
                <w:rFonts w:hint="eastAsia" w:ascii="宋体" w:hAnsi="宋体" w:cs="宋体"/>
                <w:color w:val="auto"/>
                <w:kern w:val="0"/>
                <w:sz w:val="24"/>
                <w:szCs w:val="24"/>
              </w:rPr>
              <w:t>通信波特率，</w:t>
            </w:r>
            <w:r>
              <w:rPr>
                <w:rFonts w:ascii="宋体" w:hAnsi="宋体" w:cs="宋体"/>
                <w:color w:val="auto"/>
                <w:kern w:val="0"/>
                <w:sz w:val="24"/>
                <w:szCs w:val="24"/>
              </w:rPr>
              <w:t>bps：1200～115200bps；</w:t>
            </w:r>
          </w:p>
          <w:p w14:paraId="112C5B4D">
            <w:pPr>
              <w:widowControl/>
              <w:numPr>
                <w:ilvl w:val="0"/>
                <w:numId w:val="109"/>
              </w:numPr>
              <w:ind w:firstLine="0"/>
              <w:jc w:val="left"/>
              <w:rPr>
                <w:rFonts w:ascii="宋体" w:hAnsi="宋体" w:cs="宋体"/>
                <w:color w:val="auto"/>
                <w:kern w:val="0"/>
                <w:sz w:val="24"/>
                <w:szCs w:val="24"/>
              </w:rPr>
            </w:pPr>
            <w:r>
              <w:rPr>
                <w:rFonts w:hint="eastAsia" w:ascii="宋体" w:hAnsi="宋体" w:cs="宋体"/>
                <w:color w:val="auto"/>
                <w:kern w:val="0"/>
                <w:sz w:val="24"/>
                <w:szCs w:val="24"/>
              </w:rPr>
              <w:t>通信协议</w:t>
            </w:r>
            <w:r>
              <w:rPr>
                <w:rFonts w:ascii="宋体" w:hAnsi="宋体" w:cs="宋体"/>
                <w:color w:val="auto"/>
                <w:kern w:val="0"/>
                <w:sz w:val="24"/>
                <w:szCs w:val="24"/>
              </w:rPr>
              <w:t>ModbusTCP；</w:t>
            </w:r>
          </w:p>
          <w:p w14:paraId="5256B733">
            <w:pPr>
              <w:widowControl/>
              <w:numPr>
                <w:ilvl w:val="0"/>
                <w:numId w:val="109"/>
              </w:numPr>
              <w:ind w:firstLine="0"/>
              <w:jc w:val="left"/>
              <w:rPr>
                <w:rFonts w:ascii="宋体" w:hAnsi="宋体" w:cs="宋体"/>
                <w:color w:val="auto"/>
                <w:kern w:val="0"/>
                <w:sz w:val="24"/>
                <w:szCs w:val="24"/>
              </w:rPr>
            </w:pPr>
            <w:r>
              <w:rPr>
                <w:rFonts w:hint="eastAsia" w:ascii="宋体" w:hAnsi="宋体" w:cs="宋体"/>
                <w:color w:val="auto"/>
                <w:kern w:val="0"/>
                <w:sz w:val="24"/>
                <w:szCs w:val="24"/>
              </w:rPr>
              <w:t>工作电压范围</w:t>
            </w:r>
            <w:r>
              <w:rPr>
                <w:rFonts w:ascii="宋体" w:hAnsi="宋体" w:cs="宋体"/>
                <w:color w:val="auto"/>
                <w:kern w:val="0"/>
                <w:sz w:val="24"/>
                <w:szCs w:val="24"/>
              </w:rPr>
              <w:t>DC7-40V宽压；静态工作电流≤100ma；</w:t>
            </w:r>
          </w:p>
          <w:p w14:paraId="6FA57C92">
            <w:pPr>
              <w:widowControl/>
              <w:numPr>
                <w:ilvl w:val="0"/>
                <w:numId w:val="104"/>
              </w:numPr>
              <w:ind w:left="0" w:firstLine="0"/>
              <w:jc w:val="left"/>
              <w:rPr>
                <w:rFonts w:ascii="宋体" w:hAnsi="宋体" w:cs="宋体"/>
                <w:color w:val="auto"/>
                <w:sz w:val="24"/>
                <w:szCs w:val="24"/>
              </w:rPr>
            </w:pPr>
            <w:r>
              <w:rPr>
                <w:rFonts w:hint="eastAsia" w:ascii="宋体" w:hAnsi="宋体" w:cs="宋体"/>
                <w:color w:val="auto"/>
                <w:sz w:val="24"/>
                <w:szCs w:val="24"/>
              </w:rPr>
              <w:t>中间继电器（</w:t>
            </w:r>
            <w:r>
              <w:rPr>
                <w:rFonts w:ascii="宋体" w:hAnsi="宋体" w:cs="宋体"/>
                <w:color w:val="auto"/>
                <w:sz w:val="24"/>
                <w:szCs w:val="24"/>
              </w:rPr>
              <w:t>220V）设备参数：</w:t>
            </w:r>
          </w:p>
          <w:p w14:paraId="11B9E277">
            <w:pPr>
              <w:pStyle w:val="22"/>
              <w:numPr>
                <w:ilvl w:val="0"/>
                <w:numId w:val="110"/>
              </w:numPr>
              <w:ind w:left="0" w:firstLine="0"/>
              <w:rPr>
                <w:color w:val="auto"/>
              </w:rPr>
            </w:pPr>
            <w:r>
              <w:rPr>
                <w:rFonts w:hint="eastAsia" w:ascii="宋体" w:hAnsi="宋体" w:eastAsia="宋体" w:cs="宋体"/>
                <w:color w:val="auto"/>
                <w:sz w:val="24"/>
                <w:szCs w:val="24"/>
              </w:rPr>
              <w:t>主要参数：</w:t>
            </w:r>
          </w:p>
          <w:p w14:paraId="0327984F">
            <w:pPr>
              <w:numPr>
                <w:ilvl w:val="0"/>
                <w:numId w:val="111"/>
              </w:numPr>
              <w:ind w:firstLine="0"/>
              <w:jc w:val="left"/>
              <w:rPr>
                <w:rFonts w:ascii="宋体" w:hAnsi="宋体" w:cs="宋体"/>
                <w:color w:val="auto"/>
                <w:sz w:val="24"/>
                <w:szCs w:val="24"/>
              </w:rPr>
            </w:pPr>
            <w:r>
              <w:rPr>
                <w:rFonts w:hint="eastAsia" w:ascii="宋体" w:hAnsi="宋体" w:cs="宋体"/>
                <w:color w:val="auto"/>
                <w:sz w:val="24"/>
                <w:szCs w:val="24"/>
              </w:rPr>
              <w:t>额定电流：</w:t>
            </w:r>
            <w:r>
              <w:rPr>
                <w:rFonts w:ascii="宋体" w:hAnsi="宋体" w:cs="宋体"/>
                <w:color w:val="auto"/>
                <w:sz w:val="24"/>
                <w:szCs w:val="24"/>
              </w:rPr>
              <w:t>5A/10A；</w:t>
            </w:r>
          </w:p>
          <w:p w14:paraId="3C3EEE88">
            <w:pPr>
              <w:numPr>
                <w:ilvl w:val="0"/>
                <w:numId w:val="111"/>
              </w:numPr>
              <w:ind w:firstLine="0"/>
              <w:jc w:val="left"/>
              <w:rPr>
                <w:rFonts w:ascii="宋体" w:hAnsi="宋体" w:cs="宋体"/>
                <w:color w:val="auto"/>
                <w:sz w:val="24"/>
                <w:szCs w:val="24"/>
              </w:rPr>
            </w:pPr>
            <w:r>
              <w:rPr>
                <w:rFonts w:hint="eastAsia" w:ascii="宋体" w:hAnsi="宋体" w:cs="宋体"/>
                <w:color w:val="auto"/>
                <w:sz w:val="24"/>
                <w:szCs w:val="24"/>
              </w:rPr>
              <w:t>额定频率：</w:t>
            </w:r>
            <w:r>
              <w:rPr>
                <w:rFonts w:ascii="宋体" w:hAnsi="宋体" w:cs="宋体"/>
                <w:color w:val="auto"/>
                <w:sz w:val="24"/>
                <w:szCs w:val="24"/>
              </w:rPr>
              <w:t>50Hz/60Hz；</w:t>
            </w:r>
          </w:p>
          <w:p w14:paraId="0E7AD17F">
            <w:pPr>
              <w:numPr>
                <w:ilvl w:val="0"/>
                <w:numId w:val="111"/>
              </w:numPr>
              <w:ind w:firstLine="0"/>
              <w:jc w:val="left"/>
              <w:rPr>
                <w:rFonts w:ascii="宋体" w:hAnsi="宋体" w:cs="宋体"/>
                <w:color w:val="auto"/>
                <w:sz w:val="24"/>
                <w:szCs w:val="24"/>
              </w:rPr>
            </w:pPr>
            <w:r>
              <w:rPr>
                <w:rFonts w:hint="eastAsia" w:ascii="宋体" w:hAnsi="宋体" w:cs="宋体"/>
                <w:color w:val="auto"/>
                <w:sz w:val="24"/>
                <w:szCs w:val="24"/>
              </w:rPr>
              <w:t>引脚：细脚、宽脚；</w:t>
            </w:r>
          </w:p>
          <w:p w14:paraId="559D7B2C">
            <w:pPr>
              <w:numPr>
                <w:ilvl w:val="0"/>
                <w:numId w:val="111"/>
              </w:numPr>
              <w:ind w:firstLine="0"/>
              <w:jc w:val="left"/>
              <w:rPr>
                <w:rFonts w:ascii="宋体" w:hAnsi="宋体" w:cs="宋体"/>
                <w:color w:val="auto"/>
                <w:sz w:val="24"/>
                <w:szCs w:val="24"/>
              </w:rPr>
            </w:pPr>
            <w:r>
              <w:rPr>
                <w:rFonts w:hint="eastAsia" w:ascii="宋体" w:hAnsi="宋体" w:cs="宋体"/>
                <w:color w:val="auto"/>
                <w:sz w:val="24"/>
                <w:szCs w:val="24"/>
              </w:rPr>
              <w:t>触点形式：二开二闭；</w:t>
            </w:r>
          </w:p>
          <w:p w14:paraId="7C3F7182">
            <w:pPr>
              <w:widowControl/>
              <w:numPr>
                <w:ilvl w:val="0"/>
                <w:numId w:val="111"/>
              </w:numPr>
              <w:ind w:firstLine="0"/>
              <w:jc w:val="left"/>
              <w:rPr>
                <w:rFonts w:ascii="宋体" w:hAnsi="宋体" w:cs="宋体"/>
                <w:color w:val="auto"/>
                <w:sz w:val="24"/>
                <w:szCs w:val="24"/>
              </w:rPr>
            </w:pPr>
            <w:r>
              <w:rPr>
                <w:rFonts w:hint="eastAsia" w:ascii="宋体" w:hAnsi="宋体" w:cs="宋体"/>
                <w:color w:val="auto"/>
                <w:sz w:val="24"/>
                <w:szCs w:val="24"/>
              </w:rPr>
              <w:t>电压规格：交流</w:t>
            </w:r>
            <w:r>
              <w:rPr>
                <w:rFonts w:ascii="宋体" w:hAnsi="宋体" w:cs="宋体"/>
                <w:color w:val="auto"/>
                <w:sz w:val="24"/>
                <w:szCs w:val="24"/>
              </w:rPr>
              <w:t>AC:12、24、36、48、110、220；</w:t>
            </w:r>
          </w:p>
          <w:p w14:paraId="50E30EC5">
            <w:pPr>
              <w:widowControl/>
              <w:numPr>
                <w:ilvl w:val="0"/>
                <w:numId w:val="104"/>
              </w:numPr>
              <w:ind w:left="0" w:firstLine="0"/>
              <w:jc w:val="left"/>
              <w:rPr>
                <w:rFonts w:ascii="宋体" w:hAnsi="宋体" w:cs="宋体"/>
                <w:color w:val="auto"/>
                <w:sz w:val="24"/>
                <w:szCs w:val="24"/>
              </w:rPr>
            </w:pPr>
            <w:r>
              <w:rPr>
                <w:rFonts w:hint="eastAsia" w:ascii="宋体" w:hAnsi="宋体" w:cs="宋体"/>
                <w:color w:val="auto"/>
                <w:sz w:val="24"/>
                <w:szCs w:val="24"/>
              </w:rPr>
              <w:t>人体感应器设备参数：</w:t>
            </w:r>
          </w:p>
          <w:p w14:paraId="283BBA86">
            <w:pPr>
              <w:pStyle w:val="22"/>
              <w:numPr>
                <w:ilvl w:val="0"/>
                <w:numId w:val="112"/>
              </w:numPr>
              <w:ind w:left="0" w:firstLine="0"/>
              <w:rPr>
                <w:color w:val="auto"/>
              </w:rPr>
            </w:pPr>
            <w:r>
              <w:rPr>
                <w:rFonts w:hint="eastAsia" w:ascii="宋体" w:hAnsi="宋体" w:eastAsia="宋体" w:cs="宋体"/>
                <w:color w:val="auto"/>
                <w:sz w:val="24"/>
                <w:szCs w:val="24"/>
              </w:rPr>
              <w:t>主要参数：</w:t>
            </w:r>
          </w:p>
          <w:p w14:paraId="23D61D8D">
            <w:pPr>
              <w:numPr>
                <w:ilvl w:val="0"/>
                <w:numId w:val="113"/>
              </w:numPr>
              <w:ind w:firstLine="0"/>
              <w:jc w:val="left"/>
              <w:rPr>
                <w:rFonts w:ascii="宋体" w:hAnsi="宋体" w:cs="宋体"/>
                <w:color w:val="auto"/>
                <w:sz w:val="24"/>
                <w:szCs w:val="24"/>
              </w:rPr>
            </w:pPr>
            <w:r>
              <w:rPr>
                <w:rFonts w:hint="eastAsia" w:ascii="宋体" w:hAnsi="宋体" w:cs="宋体"/>
                <w:color w:val="auto"/>
                <w:sz w:val="24"/>
                <w:szCs w:val="24"/>
              </w:rPr>
              <w:t>感应原理：红外线感应；</w:t>
            </w:r>
          </w:p>
          <w:p w14:paraId="1513501B">
            <w:pPr>
              <w:numPr>
                <w:ilvl w:val="0"/>
                <w:numId w:val="113"/>
              </w:numPr>
              <w:ind w:firstLine="0"/>
              <w:jc w:val="left"/>
              <w:rPr>
                <w:rFonts w:ascii="宋体" w:hAnsi="宋体" w:cs="宋体"/>
                <w:color w:val="auto"/>
                <w:sz w:val="24"/>
                <w:szCs w:val="24"/>
              </w:rPr>
            </w:pPr>
            <w:r>
              <w:rPr>
                <w:rFonts w:hint="eastAsia" w:ascii="宋体" w:hAnsi="宋体" w:cs="宋体"/>
                <w:color w:val="auto"/>
                <w:sz w:val="24"/>
                <w:szCs w:val="24"/>
              </w:rPr>
              <w:t>感应范围：</w:t>
            </w:r>
            <w:r>
              <w:rPr>
                <w:rFonts w:ascii="宋体" w:hAnsi="宋体" w:cs="宋体"/>
                <w:color w:val="auto"/>
                <w:sz w:val="24"/>
                <w:szCs w:val="24"/>
              </w:rPr>
              <w:t>3—5m；</w:t>
            </w:r>
          </w:p>
          <w:p w14:paraId="269E8A9D">
            <w:pPr>
              <w:numPr>
                <w:ilvl w:val="0"/>
                <w:numId w:val="113"/>
              </w:numPr>
              <w:ind w:firstLine="0"/>
              <w:jc w:val="left"/>
              <w:rPr>
                <w:rFonts w:ascii="宋体" w:hAnsi="宋体" w:cs="宋体"/>
                <w:color w:val="auto"/>
                <w:sz w:val="24"/>
                <w:szCs w:val="24"/>
              </w:rPr>
            </w:pPr>
            <w:r>
              <w:rPr>
                <w:rFonts w:hint="eastAsia" w:ascii="宋体" w:hAnsi="宋体" w:cs="宋体"/>
                <w:color w:val="auto"/>
                <w:sz w:val="24"/>
                <w:szCs w:val="24"/>
              </w:rPr>
              <w:t>负载功率：</w:t>
            </w:r>
            <w:r>
              <w:rPr>
                <w:rFonts w:ascii="宋体" w:hAnsi="宋体" w:cs="宋体"/>
                <w:color w:val="auto"/>
                <w:sz w:val="24"/>
                <w:szCs w:val="24"/>
              </w:rPr>
              <w:t>10W；</w:t>
            </w:r>
          </w:p>
          <w:p w14:paraId="1E317DCE">
            <w:pPr>
              <w:numPr>
                <w:ilvl w:val="0"/>
                <w:numId w:val="113"/>
              </w:numPr>
              <w:ind w:firstLine="0"/>
              <w:jc w:val="left"/>
              <w:rPr>
                <w:rFonts w:ascii="宋体" w:hAnsi="宋体" w:cs="宋体"/>
                <w:color w:val="auto"/>
                <w:sz w:val="24"/>
                <w:szCs w:val="24"/>
              </w:rPr>
            </w:pPr>
            <w:r>
              <w:rPr>
                <w:rFonts w:hint="eastAsia" w:ascii="宋体" w:hAnsi="宋体" w:cs="宋体"/>
                <w:color w:val="auto"/>
                <w:sz w:val="24"/>
                <w:szCs w:val="24"/>
              </w:rPr>
              <w:t>延时关闭时间：</w:t>
            </w:r>
            <w:r>
              <w:rPr>
                <w:rFonts w:ascii="宋体" w:hAnsi="宋体" w:cs="宋体"/>
                <w:color w:val="auto"/>
                <w:sz w:val="24"/>
                <w:szCs w:val="24"/>
              </w:rPr>
              <w:t>50±10s；</w:t>
            </w:r>
          </w:p>
          <w:p w14:paraId="1C1843A4">
            <w:pPr>
              <w:numPr>
                <w:ilvl w:val="0"/>
                <w:numId w:val="113"/>
              </w:numPr>
              <w:ind w:firstLine="0"/>
              <w:jc w:val="left"/>
              <w:rPr>
                <w:rFonts w:ascii="宋体" w:hAnsi="宋体" w:cs="宋体"/>
                <w:color w:val="auto"/>
                <w:sz w:val="24"/>
                <w:szCs w:val="24"/>
              </w:rPr>
            </w:pPr>
            <w:r>
              <w:rPr>
                <w:rFonts w:hint="eastAsia" w:ascii="宋体" w:hAnsi="宋体" w:cs="宋体"/>
                <w:color w:val="auto"/>
                <w:sz w:val="24"/>
                <w:szCs w:val="24"/>
              </w:rPr>
              <w:t>颜色：雅白色；</w:t>
            </w:r>
          </w:p>
          <w:p w14:paraId="71D86ED2">
            <w:pPr>
              <w:numPr>
                <w:ilvl w:val="0"/>
                <w:numId w:val="113"/>
              </w:numPr>
              <w:ind w:firstLine="0"/>
              <w:jc w:val="left"/>
              <w:rPr>
                <w:rFonts w:ascii="宋体" w:hAnsi="宋体" w:cs="宋体"/>
                <w:color w:val="auto"/>
                <w:sz w:val="24"/>
                <w:szCs w:val="24"/>
              </w:rPr>
            </w:pPr>
            <w:r>
              <w:rPr>
                <w:rFonts w:hint="eastAsia" w:ascii="宋体" w:hAnsi="宋体" w:cs="宋体"/>
                <w:color w:val="auto"/>
                <w:sz w:val="24"/>
                <w:szCs w:val="24"/>
              </w:rPr>
              <w:t>工作电压：</w:t>
            </w:r>
            <w:r>
              <w:rPr>
                <w:rFonts w:ascii="宋体" w:hAnsi="宋体" w:cs="宋体"/>
                <w:color w:val="auto"/>
                <w:sz w:val="24"/>
                <w:szCs w:val="24"/>
              </w:rPr>
              <w:t>220（V）；</w:t>
            </w:r>
          </w:p>
          <w:p w14:paraId="320884EA">
            <w:pPr>
              <w:numPr>
                <w:ilvl w:val="0"/>
                <w:numId w:val="113"/>
              </w:numPr>
              <w:ind w:firstLine="0"/>
              <w:jc w:val="left"/>
              <w:rPr>
                <w:rFonts w:ascii="宋体" w:hAnsi="宋体" w:cs="宋体"/>
                <w:color w:val="auto"/>
                <w:sz w:val="24"/>
                <w:szCs w:val="24"/>
              </w:rPr>
            </w:pPr>
            <w:r>
              <w:rPr>
                <w:rFonts w:ascii="宋体" w:hAnsi="宋体" w:cs="宋体"/>
                <w:color w:val="auto"/>
                <w:sz w:val="24"/>
                <w:szCs w:val="24"/>
              </w:rPr>
              <w:t>3C额定电压范围：440V以上；</w:t>
            </w:r>
          </w:p>
          <w:p w14:paraId="417A7A00">
            <w:pPr>
              <w:widowControl/>
              <w:numPr>
                <w:ilvl w:val="0"/>
                <w:numId w:val="113"/>
              </w:numPr>
              <w:ind w:firstLine="0"/>
              <w:jc w:val="left"/>
              <w:rPr>
                <w:rFonts w:ascii="宋体" w:hAnsi="宋体" w:cs="宋体"/>
                <w:color w:val="auto"/>
                <w:sz w:val="24"/>
                <w:szCs w:val="24"/>
              </w:rPr>
            </w:pPr>
            <w:r>
              <w:rPr>
                <w:rFonts w:hint="eastAsia" w:ascii="宋体" w:hAnsi="宋体" w:cs="宋体"/>
                <w:color w:val="auto"/>
                <w:sz w:val="24"/>
                <w:szCs w:val="24"/>
              </w:rPr>
              <w:t>可联动继电器检测人员经过关闭紫外线消毒灯；</w:t>
            </w:r>
          </w:p>
        </w:tc>
        <w:tc>
          <w:tcPr>
            <w:tcW w:w="81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73CC7B1">
            <w:pPr>
              <w:jc w:val="center"/>
              <w:rPr>
                <w:rFonts w:ascii="宋体" w:hAnsi="宋体" w:cs="宋体"/>
                <w:color w:val="auto"/>
                <w:sz w:val="24"/>
                <w:szCs w:val="24"/>
              </w:rPr>
            </w:pPr>
            <w:r>
              <w:rPr>
                <w:rFonts w:hint="eastAsia" w:ascii="宋体" w:hAnsi="宋体" w:cs="宋体"/>
                <w:color w:val="auto"/>
                <w:sz w:val="24"/>
                <w:szCs w:val="24"/>
              </w:rPr>
              <w:t>套</w:t>
            </w:r>
          </w:p>
        </w:tc>
        <w:tc>
          <w:tcPr>
            <w:tcW w:w="79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2029259">
            <w:pPr>
              <w:jc w:val="center"/>
              <w:rPr>
                <w:rFonts w:ascii="宋体" w:hAnsi="宋体" w:cs="宋体"/>
                <w:color w:val="auto"/>
                <w:sz w:val="24"/>
                <w:szCs w:val="24"/>
              </w:rPr>
            </w:pPr>
            <w:r>
              <w:rPr>
                <w:rFonts w:hint="eastAsia" w:ascii="宋体" w:hAnsi="宋体" w:cs="宋体"/>
                <w:color w:val="auto"/>
                <w:sz w:val="24"/>
                <w:szCs w:val="24"/>
              </w:rPr>
              <w:t>按需配置并征得采购人书面同意</w:t>
            </w:r>
          </w:p>
        </w:tc>
      </w:tr>
      <w:tr w14:paraId="4C19F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4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1D38017">
            <w:pPr>
              <w:widowControl/>
              <w:jc w:val="center"/>
              <w:textAlignment w:val="center"/>
              <w:rPr>
                <w:rFonts w:ascii="宋体" w:hAnsi="宋体" w:cs="宋体"/>
                <w:color w:val="auto"/>
                <w:sz w:val="24"/>
                <w:szCs w:val="24"/>
              </w:rPr>
            </w:pPr>
            <w:r>
              <w:rPr>
                <w:rFonts w:ascii="宋体" w:hAnsi="宋体" w:cs="宋体"/>
                <w:color w:val="auto"/>
                <w:kern w:val="0"/>
                <w:sz w:val="24"/>
                <w:szCs w:val="24"/>
                <w:lang w:bidi="ar"/>
              </w:rPr>
              <w:t>6</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14:paraId="429CE7F9">
            <w:pPr>
              <w:widowControl/>
              <w:jc w:val="center"/>
              <w:textAlignment w:val="center"/>
              <w:rPr>
                <w:rFonts w:ascii="宋体" w:hAnsi="宋体" w:cs="宋体"/>
                <w:color w:val="auto"/>
                <w:kern w:val="0"/>
                <w:sz w:val="24"/>
                <w:szCs w:val="24"/>
                <w:lang w:bidi="ar"/>
              </w:rPr>
            </w:pPr>
            <w:r>
              <w:rPr>
                <w:rFonts w:ascii="宋体" w:hAnsi="宋体" w:cs="宋体"/>
                <w:color w:val="auto"/>
                <w:kern w:val="0"/>
                <w:sz w:val="24"/>
                <w:szCs w:val="24"/>
                <w:lang w:bidi="ar"/>
              </w:rPr>
              <w:t>AI行为识别摄像机</w:t>
            </w:r>
          </w:p>
        </w:tc>
        <w:tc>
          <w:tcPr>
            <w:tcW w:w="6114"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C9C9161">
            <w:pPr>
              <w:numPr>
                <w:ilvl w:val="0"/>
                <w:numId w:val="114"/>
              </w:numPr>
              <w:ind w:left="0" w:firstLine="0"/>
              <w:jc w:val="left"/>
              <w:rPr>
                <w:rFonts w:ascii="宋体" w:hAnsi="宋体" w:cs="宋体"/>
                <w:color w:val="auto"/>
                <w:sz w:val="24"/>
                <w:szCs w:val="24"/>
              </w:rPr>
            </w:pPr>
            <w:r>
              <w:rPr>
                <w:rFonts w:hint="eastAsia" w:ascii="宋体" w:hAnsi="宋体" w:cs="宋体"/>
                <w:color w:val="auto"/>
                <w:sz w:val="24"/>
                <w:szCs w:val="24"/>
              </w:rPr>
              <w:t>功能</w:t>
            </w:r>
            <w:r>
              <w:rPr>
                <w:rFonts w:hint="eastAsia" w:ascii="宋体" w:hAnsi="宋体" w:cs="宋体"/>
                <w:color w:val="auto"/>
                <w:kern w:val="0"/>
                <w:sz w:val="24"/>
                <w:szCs w:val="24"/>
                <w:lang w:bidi="ar"/>
              </w:rPr>
              <w:t>描述：</w:t>
            </w:r>
          </w:p>
          <w:p w14:paraId="0E3843C4">
            <w:pPr>
              <w:numPr>
                <w:ilvl w:val="0"/>
                <w:numId w:val="115"/>
              </w:numPr>
              <w:jc w:val="left"/>
              <w:rPr>
                <w:rFonts w:ascii="宋体" w:hAnsi="宋体" w:cs="宋体"/>
                <w:color w:val="auto"/>
                <w:sz w:val="24"/>
                <w:szCs w:val="24"/>
              </w:rPr>
            </w:pPr>
            <w:r>
              <w:rPr>
                <w:rFonts w:hint="eastAsia" w:ascii="宋体" w:hAnsi="宋体" w:cs="宋体"/>
                <w:color w:val="auto"/>
                <w:sz w:val="24"/>
                <w:szCs w:val="24"/>
              </w:rPr>
              <w:t>支持口罩、工服、工帽三白预警抓拍并现场定制语音实施报警；</w:t>
            </w:r>
          </w:p>
          <w:p w14:paraId="175239E7">
            <w:pPr>
              <w:numPr>
                <w:ilvl w:val="0"/>
                <w:numId w:val="115"/>
              </w:numPr>
              <w:jc w:val="left"/>
              <w:rPr>
                <w:rFonts w:ascii="宋体" w:hAnsi="宋体" w:cs="宋体"/>
                <w:color w:val="auto"/>
                <w:sz w:val="24"/>
                <w:szCs w:val="24"/>
              </w:rPr>
            </w:pPr>
            <w:r>
              <w:rPr>
                <w:rFonts w:hint="eastAsia" w:ascii="宋体" w:hAnsi="宋体" w:cs="宋体"/>
                <w:color w:val="auto"/>
                <w:sz w:val="24"/>
                <w:szCs w:val="24"/>
              </w:rPr>
              <w:t>支持特定颜色工服、工帽识别预警；</w:t>
            </w:r>
          </w:p>
          <w:p w14:paraId="08D7B7A2">
            <w:pPr>
              <w:numPr>
                <w:ilvl w:val="0"/>
                <w:numId w:val="114"/>
              </w:numPr>
              <w:ind w:left="0" w:firstLine="0"/>
              <w:jc w:val="left"/>
              <w:rPr>
                <w:rFonts w:ascii="宋体" w:hAnsi="宋体" w:cs="宋体"/>
                <w:color w:val="auto"/>
                <w:sz w:val="24"/>
                <w:szCs w:val="24"/>
              </w:rPr>
            </w:pPr>
            <w:r>
              <w:rPr>
                <w:rFonts w:ascii="宋体" w:hAnsi="宋体" w:cs="宋体"/>
                <w:color w:val="auto"/>
                <w:kern w:val="0"/>
                <w:sz w:val="24"/>
                <w:szCs w:val="24"/>
                <w:lang w:bidi="ar"/>
              </w:rPr>
              <w:t>AI行为识别摄像机设备</w:t>
            </w:r>
            <w:r>
              <w:rPr>
                <w:rFonts w:hint="eastAsia" w:ascii="宋体" w:hAnsi="宋体" w:cs="宋体"/>
                <w:color w:val="auto"/>
                <w:sz w:val="24"/>
                <w:szCs w:val="24"/>
              </w:rPr>
              <w:t>参数：</w:t>
            </w:r>
          </w:p>
          <w:p w14:paraId="27BA3DFC">
            <w:pPr>
              <w:pStyle w:val="22"/>
              <w:numPr>
                <w:ilvl w:val="0"/>
                <w:numId w:val="116"/>
              </w:numPr>
              <w:ind w:left="0" w:firstLine="0"/>
              <w:rPr>
                <w:color w:val="auto"/>
              </w:rPr>
            </w:pPr>
            <w:r>
              <w:rPr>
                <w:rFonts w:hint="eastAsia" w:ascii="宋体" w:hAnsi="宋体" w:eastAsia="宋体" w:cs="宋体"/>
                <w:color w:val="auto"/>
                <w:sz w:val="24"/>
                <w:szCs w:val="24"/>
              </w:rPr>
              <w:t>主要参数：</w:t>
            </w:r>
          </w:p>
          <w:p w14:paraId="0BE7A415">
            <w:pPr>
              <w:numPr>
                <w:ilvl w:val="0"/>
                <w:numId w:val="117"/>
              </w:numPr>
              <w:ind w:firstLine="0"/>
              <w:jc w:val="left"/>
              <w:rPr>
                <w:rFonts w:ascii="宋体" w:hAnsi="宋体" w:cs="宋体"/>
                <w:color w:val="auto"/>
                <w:sz w:val="24"/>
                <w:szCs w:val="24"/>
              </w:rPr>
            </w:pPr>
            <w:r>
              <w:rPr>
                <w:rFonts w:hint="eastAsia" w:ascii="宋体" w:hAnsi="宋体" w:cs="宋体"/>
                <w:color w:val="auto"/>
                <w:sz w:val="24"/>
                <w:szCs w:val="24"/>
              </w:rPr>
              <w:t>主板性能：算力</w:t>
            </w:r>
            <w:r>
              <w:rPr>
                <w:rFonts w:ascii="宋体" w:hAnsi="宋体" w:cs="宋体"/>
                <w:color w:val="auto"/>
                <w:sz w:val="24"/>
                <w:szCs w:val="24"/>
              </w:rPr>
              <w:t>2.0Tops,内存：8Gbit,闪存：8GBEMMC；</w:t>
            </w:r>
          </w:p>
          <w:p w14:paraId="25EAE873">
            <w:pPr>
              <w:numPr>
                <w:ilvl w:val="0"/>
                <w:numId w:val="117"/>
              </w:numPr>
              <w:ind w:firstLine="0"/>
              <w:jc w:val="left"/>
              <w:rPr>
                <w:rFonts w:ascii="宋体" w:hAnsi="宋体" w:cs="宋体"/>
                <w:color w:val="auto"/>
                <w:sz w:val="24"/>
                <w:szCs w:val="24"/>
              </w:rPr>
            </w:pPr>
            <w:r>
              <w:rPr>
                <w:rFonts w:hint="eastAsia" w:ascii="宋体" w:hAnsi="宋体" w:cs="宋体"/>
                <w:color w:val="auto"/>
                <w:sz w:val="24"/>
                <w:szCs w:val="24"/>
              </w:rPr>
              <w:t>传感器类型：</w:t>
            </w:r>
            <w:r>
              <w:rPr>
                <w:rFonts w:ascii="宋体" w:hAnsi="宋体" w:cs="宋体"/>
                <w:color w:val="auto"/>
                <w:sz w:val="24"/>
                <w:szCs w:val="24"/>
              </w:rPr>
              <w:t>1/3"CMOS；</w:t>
            </w:r>
          </w:p>
          <w:p w14:paraId="4EFF1DEB">
            <w:pPr>
              <w:numPr>
                <w:ilvl w:val="0"/>
                <w:numId w:val="117"/>
              </w:numPr>
              <w:ind w:firstLine="0"/>
              <w:jc w:val="left"/>
              <w:rPr>
                <w:rFonts w:ascii="宋体" w:hAnsi="宋体" w:cs="宋体"/>
                <w:color w:val="auto"/>
                <w:sz w:val="24"/>
                <w:szCs w:val="24"/>
              </w:rPr>
            </w:pPr>
            <w:r>
              <w:rPr>
                <w:rFonts w:hint="eastAsia" w:ascii="宋体" w:hAnsi="宋体" w:cs="宋体"/>
                <w:color w:val="auto"/>
                <w:sz w:val="24"/>
                <w:szCs w:val="24"/>
              </w:rPr>
              <w:t>镜头类型：定焦；</w:t>
            </w:r>
          </w:p>
          <w:p w14:paraId="65FC42C4">
            <w:pPr>
              <w:numPr>
                <w:ilvl w:val="0"/>
                <w:numId w:val="117"/>
              </w:numPr>
              <w:ind w:firstLine="0"/>
              <w:jc w:val="left"/>
              <w:rPr>
                <w:rFonts w:ascii="宋体" w:hAnsi="宋体" w:cs="宋体"/>
                <w:color w:val="auto"/>
                <w:sz w:val="24"/>
                <w:szCs w:val="24"/>
              </w:rPr>
            </w:pPr>
            <w:r>
              <w:rPr>
                <w:rFonts w:hint="eastAsia" w:ascii="宋体" w:hAnsi="宋体" w:cs="宋体"/>
                <w:color w:val="auto"/>
                <w:sz w:val="24"/>
                <w:szCs w:val="24"/>
              </w:rPr>
              <w:t>视场角：（</w:t>
            </w:r>
            <w:r>
              <w:rPr>
                <w:rFonts w:ascii="宋体" w:hAnsi="宋体" w:cs="宋体"/>
                <w:color w:val="auto"/>
                <w:sz w:val="24"/>
                <w:szCs w:val="24"/>
              </w:rPr>
              <w:t>H）47.6°(D)59.4°；</w:t>
            </w:r>
          </w:p>
          <w:p w14:paraId="31FB5C29">
            <w:pPr>
              <w:numPr>
                <w:ilvl w:val="0"/>
                <w:numId w:val="117"/>
              </w:numPr>
              <w:ind w:firstLine="0"/>
              <w:jc w:val="left"/>
              <w:rPr>
                <w:rFonts w:ascii="宋体" w:hAnsi="宋体" w:cs="宋体"/>
                <w:color w:val="auto"/>
                <w:sz w:val="24"/>
                <w:szCs w:val="24"/>
              </w:rPr>
            </w:pPr>
            <w:r>
              <w:rPr>
                <w:rFonts w:hint="eastAsia" w:ascii="宋体" w:hAnsi="宋体" w:cs="宋体"/>
                <w:color w:val="auto"/>
                <w:sz w:val="24"/>
                <w:szCs w:val="24"/>
              </w:rPr>
              <w:t>光圈：</w:t>
            </w:r>
            <w:r>
              <w:rPr>
                <w:rFonts w:ascii="宋体" w:hAnsi="宋体" w:cs="宋体"/>
                <w:color w:val="auto"/>
                <w:sz w:val="24"/>
                <w:szCs w:val="24"/>
              </w:rPr>
              <w:t>F1.6；</w:t>
            </w:r>
          </w:p>
          <w:p w14:paraId="2C553306">
            <w:pPr>
              <w:numPr>
                <w:ilvl w:val="0"/>
                <w:numId w:val="117"/>
              </w:numPr>
              <w:ind w:firstLine="0"/>
              <w:jc w:val="left"/>
              <w:rPr>
                <w:rFonts w:ascii="宋体" w:hAnsi="宋体" w:cs="宋体"/>
                <w:color w:val="auto"/>
                <w:sz w:val="24"/>
                <w:szCs w:val="24"/>
              </w:rPr>
            </w:pPr>
            <w:r>
              <w:rPr>
                <w:rFonts w:hint="eastAsia" w:ascii="宋体" w:hAnsi="宋体" w:cs="宋体"/>
                <w:color w:val="auto"/>
                <w:sz w:val="24"/>
                <w:szCs w:val="24"/>
              </w:rPr>
              <w:t>焦距：</w:t>
            </w:r>
            <w:r>
              <w:rPr>
                <w:rFonts w:ascii="宋体" w:hAnsi="宋体" w:cs="宋体"/>
                <w:color w:val="auto"/>
                <w:sz w:val="24"/>
                <w:szCs w:val="24"/>
              </w:rPr>
              <w:t>6mm；</w:t>
            </w:r>
          </w:p>
          <w:p w14:paraId="3AEA7231">
            <w:pPr>
              <w:numPr>
                <w:ilvl w:val="0"/>
                <w:numId w:val="117"/>
              </w:numPr>
              <w:ind w:firstLine="0"/>
              <w:jc w:val="left"/>
              <w:rPr>
                <w:rFonts w:ascii="宋体" w:hAnsi="宋体" w:cs="宋体"/>
                <w:color w:val="auto"/>
                <w:sz w:val="24"/>
                <w:szCs w:val="24"/>
              </w:rPr>
            </w:pPr>
            <w:r>
              <w:rPr>
                <w:rFonts w:hint="eastAsia" w:ascii="宋体" w:hAnsi="宋体" w:cs="宋体"/>
                <w:color w:val="auto"/>
                <w:sz w:val="24"/>
                <w:szCs w:val="24"/>
              </w:rPr>
              <w:t>红外灯：最大补光距离</w:t>
            </w:r>
            <w:r>
              <w:rPr>
                <w:rFonts w:ascii="宋体" w:hAnsi="宋体" w:cs="宋体"/>
                <w:color w:val="auto"/>
                <w:sz w:val="24"/>
                <w:szCs w:val="24"/>
              </w:rPr>
              <w:t>40米；</w:t>
            </w:r>
          </w:p>
          <w:p w14:paraId="25A63968">
            <w:pPr>
              <w:numPr>
                <w:ilvl w:val="0"/>
                <w:numId w:val="117"/>
              </w:numPr>
              <w:ind w:firstLine="0"/>
              <w:jc w:val="left"/>
              <w:rPr>
                <w:rFonts w:ascii="宋体" w:hAnsi="宋体" w:cs="宋体"/>
                <w:color w:val="auto"/>
                <w:sz w:val="24"/>
                <w:szCs w:val="24"/>
              </w:rPr>
            </w:pPr>
            <w:r>
              <w:rPr>
                <w:rFonts w:hint="eastAsia" w:ascii="宋体" w:hAnsi="宋体" w:cs="宋体"/>
                <w:color w:val="auto"/>
                <w:sz w:val="24"/>
                <w:szCs w:val="24"/>
              </w:rPr>
              <w:t>白光灯：最大补光距离</w:t>
            </w:r>
            <w:r>
              <w:rPr>
                <w:rFonts w:ascii="宋体" w:hAnsi="宋体" w:cs="宋体"/>
                <w:color w:val="auto"/>
                <w:sz w:val="24"/>
                <w:szCs w:val="24"/>
              </w:rPr>
              <w:t>10米；</w:t>
            </w:r>
          </w:p>
          <w:p w14:paraId="29FD86FF">
            <w:pPr>
              <w:numPr>
                <w:ilvl w:val="0"/>
                <w:numId w:val="117"/>
              </w:numPr>
              <w:ind w:firstLine="0"/>
              <w:jc w:val="left"/>
              <w:rPr>
                <w:rFonts w:ascii="宋体" w:hAnsi="宋体" w:cs="宋体"/>
                <w:color w:val="auto"/>
                <w:sz w:val="24"/>
                <w:szCs w:val="24"/>
              </w:rPr>
            </w:pPr>
            <w:r>
              <w:rPr>
                <w:rFonts w:hint="eastAsia" w:ascii="宋体" w:hAnsi="宋体" w:cs="宋体"/>
                <w:color w:val="auto"/>
                <w:sz w:val="24"/>
                <w:szCs w:val="24"/>
              </w:rPr>
              <w:t>灯光控制：自动</w:t>
            </w:r>
            <w:r>
              <w:rPr>
                <w:rFonts w:ascii="宋体" w:hAnsi="宋体" w:cs="宋体"/>
                <w:color w:val="auto"/>
                <w:sz w:val="24"/>
                <w:szCs w:val="24"/>
              </w:rPr>
              <w:t>/手动，亮度可调；</w:t>
            </w:r>
          </w:p>
          <w:p w14:paraId="4986753A">
            <w:pPr>
              <w:numPr>
                <w:ilvl w:val="0"/>
                <w:numId w:val="117"/>
              </w:numPr>
              <w:ind w:firstLine="0"/>
              <w:jc w:val="left"/>
              <w:rPr>
                <w:rFonts w:ascii="宋体" w:hAnsi="宋体" w:cs="宋体"/>
                <w:color w:val="auto"/>
                <w:sz w:val="24"/>
                <w:szCs w:val="24"/>
              </w:rPr>
            </w:pPr>
            <w:r>
              <w:rPr>
                <w:rFonts w:hint="eastAsia" w:ascii="宋体" w:hAnsi="宋体" w:cs="宋体"/>
                <w:color w:val="auto"/>
                <w:sz w:val="24"/>
                <w:szCs w:val="24"/>
              </w:rPr>
              <w:t>图像设置：亮度、对比度、饱和度、锐度；</w:t>
            </w:r>
          </w:p>
          <w:p w14:paraId="20A74DDE">
            <w:pPr>
              <w:numPr>
                <w:ilvl w:val="0"/>
                <w:numId w:val="117"/>
              </w:numPr>
              <w:ind w:firstLine="0"/>
              <w:jc w:val="left"/>
              <w:rPr>
                <w:rFonts w:ascii="宋体" w:hAnsi="宋体" w:cs="宋体"/>
                <w:color w:val="auto"/>
                <w:sz w:val="24"/>
                <w:szCs w:val="24"/>
              </w:rPr>
            </w:pPr>
            <w:r>
              <w:rPr>
                <w:rFonts w:hint="eastAsia" w:ascii="宋体" w:hAnsi="宋体" w:cs="宋体"/>
                <w:color w:val="auto"/>
                <w:sz w:val="24"/>
                <w:szCs w:val="24"/>
              </w:rPr>
              <w:t>最低照度：</w:t>
            </w:r>
            <w:r>
              <w:rPr>
                <w:rFonts w:ascii="宋体" w:hAnsi="宋体" w:cs="宋体"/>
                <w:color w:val="auto"/>
                <w:sz w:val="24"/>
                <w:szCs w:val="24"/>
              </w:rPr>
              <w:t>0.001Lux（彩色模式）,0.001Lux（黑白模式）,0Lux（补光灯开启）；</w:t>
            </w:r>
          </w:p>
          <w:p w14:paraId="241131DF">
            <w:pPr>
              <w:numPr>
                <w:ilvl w:val="0"/>
                <w:numId w:val="117"/>
              </w:numPr>
              <w:ind w:firstLine="0"/>
              <w:jc w:val="left"/>
              <w:rPr>
                <w:rFonts w:ascii="宋体" w:hAnsi="宋体" w:cs="宋体"/>
                <w:color w:val="auto"/>
                <w:sz w:val="24"/>
                <w:szCs w:val="24"/>
              </w:rPr>
            </w:pPr>
            <w:r>
              <w:rPr>
                <w:rFonts w:hint="eastAsia" w:ascii="宋体" w:hAnsi="宋体" w:cs="宋体"/>
                <w:color w:val="auto"/>
                <w:sz w:val="24"/>
                <w:szCs w:val="24"/>
              </w:rPr>
              <w:t>白平衡：自动</w:t>
            </w:r>
            <w:r>
              <w:rPr>
                <w:rFonts w:ascii="宋体" w:hAnsi="宋体" w:cs="宋体"/>
                <w:color w:val="auto"/>
                <w:sz w:val="24"/>
                <w:szCs w:val="24"/>
              </w:rPr>
              <w:t>/手动；</w:t>
            </w:r>
          </w:p>
          <w:p w14:paraId="68A361CD">
            <w:pPr>
              <w:numPr>
                <w:ilvl w:val="0"/>
                <w:numId w:val="117"/>
              </w:numPr>
              <w:ind w:firstLine="0"/>
              <w:jc w:val="left"/>
              <w:rPr>
                <w:rFonts w:ascii="宋体" w:hAnsi="宋体" w:cs="宋体"/>
                <w:color w:val="auto"/>
                <w:sz w:val="24"/>
                <w:szCs w:val="24"/>
              </w:rPr>
            </w:pPr>
            <w:r>
              <w:rPr>
                <w:rFonts w:hint="eastAsia" w:ascii="宋体" w:hAnsi="宋体" w:cs="宋体"/>
                <w:color w:val="auto"/>
                <w:sz w:val="24"/>
                <w:szCs w:val="24"/>
              </w:rPr>
              <w:t>强光抑制：支持；</w:t>
            </w:r>
          </w:p>
          <w:p w14:paraId="3F74126E">
            <w:pPr>
              <w:numPr>
                <w:ilvl w:val="0"/>
                <w:numId w:val="117"/>
              </w:numPr>
              <w:ind w:firstLine="0"/>
              <w:jc w:val="left"/>
              <w:rPr>
                <w:rFonts w:ascii="宋体" w:hAnsi="宋体" w:cs="宋体"/>
                <w:color w:val="auto"/>
                <w:sz w:val="24"/>
                <w:szCs w:val="24"/>
              </w:rPr>
            </w:pPr>
            <w:r>
              <w:rPr>
                <w:rFonts w:hint="eastAsia" w:ascii="宋体" w:hAnsi="宋体" w:cs="宋体"/>
                <w:color w:val="auto"/>
                <w:sz w:val="24"/>
                <w:szCs w:val="24"/>
              </w:rPr>
              <w:t>背光补偿；支持；</w:t>
            </w:r>
          </w:p>
          <w:p w14:paraId="4E6C5468">
            <w:pPr>
              <w:numPr>
                <w:ilvl w:val="0"/>
                <w:numId w:val="117"/>
              </w:numPr>
              <w:ind w:firstLine="0"/>
              <w:jc w:val="left"/>
              <w:rPr>
                <w:rFonts w:ascii="宋体" w:hAnsi="宋体" w:cs="宋体"/>
                <w:color w:val="auto"/>
                <w:sz w:val="24"/>
                <w:szCs w:val="24"/>
              </w:rPr>
            </w:pPr>
            <w:r>
              <w:rPr>
                <w:rFonts w:hint="eastAsia" w:ascii="宋体" w:hAnsi="宋体" w:cs="宋体"/>
                <w:color w:val="auto"/>
                <w:sz w:val="24"/>
                <w:szCs w:val="24"/>
              </w:rPr>
              <w:t>降噪：支持</w:t>
            </w:r>
            <w:r>
              <w:rPr>
                <w:rFonts w:ascii="宋体" w:hAnsi="宋体" w:cs="宋体"/>
                <w:color w:val="auto"/>
                <w:sz w:val="24"/>
                <w:szCs w:val="24"/>
              </w:rPr>
              <w:t>2D/3D数字降噪；</w:t>
            </w:r>
          </w:p>
          <w:p w14:paraId="77BE96C2">
            <w:pPr>
              <w:numPr>
                <w:ilvl w:val="0"/>
                <w:numId w:val="117"/>
              </w:numPr>
              <w:ind w:firstLine="0"/>
              <w:jc w:val="left"/>
              <w:rPr>
                <w:rFonts w:ascii="宋体" w:hAnsi="宋体" w:cs="宋体"/>
                <w:color w:val="auto"/>
                <w:sz w:val="24"/>
                <w:szCs w:val="24"/>
              </w:rPr>
            </w:pPr>
            <w:r>
              <w:rPr>
                <w:rFonts w:hint="eastAsia" w:ascii="宋体" w:hAnsi="宋体" w:cs="宋体"/>
                <w:color w:val="auto"/>
                <w:sz w:val="24"/>
                <w:szCs w:val="24"/>
              </w:rPr>
              <w:t>宽动态：支持；</w:t>
            </w:r>
          </w:p>
          <w:p w14:paraId="0140792F">
            <w:pPr>
              <w:numPr>
                <w:ilvl w:val="0"/>
                <w:numId w:val="117"/>
              </w:numPr>
              <w:ind w:firstLine="0"/>
              <w:jc w:val="left"/>
              <w:rPr>
                <w:rFonts w:ascii="宋体" w:hAnsi="宋体" w:cs="宋体"/>
                <w:color w:val="auto"/>
                <w:sz w:val="24"/>
                <w:szCs w:val="24"/>
              </w:rPr>
            </w:pPr>
            <w:r>
              <w:rPr>
                <w:rFonts w:hint="eastAsia" w:ascii="宋体" w:hAnsi="宋体" w:cs="宋体"/>
                <w:color w:val="auto"/>
                <w:sz w:val="24"/>
                <w:szCs w:val="24"/>
              </w:rPr>
              <w:t>信噪比：≥</w:t>
            </w:r>
            <w:r>
              <w:rPr>
                <w:rFonts w:ascii="宋体" w:hAnsi="宋体" w:cs="宋体"/>
                <w:color w:val="auto"/>
                <w:sz w:val="24"/>
                <w:szCs w:val="24"/>
              </w:rPr>
              <w:t>56db；</w:t>
            </w:r>
          </w:p>
          <w:p w14:paraId="2472D888">
            <w:pPr>
              <w:numPr>
                <w:ilvl w:val="0"/>
                <w:numId w:val="117"/>
              </w:numPr>
              <w:ind w:firstLine="0"/>
              <w:jc w:val="left"/>
              <w:rPr>
                <w:rFonts w:ascii="宋体" w:hAnsi="宋体" w:cs="宋体"/>
                <w:color w:val="auto"/>
                <w:sz w:val="24"/>
                <w:szCs w:val="24"/>
              </w:rPr>
            </w:pPr>
            <w:r>
              <w:rPr>
                <w:rFonts w:hint="eastAsia" w:ascii="宋体" w:hAnsi="宋体" w:cs="宋体"/>
                <w:color w:val="auto"/>
                <w:sz w:val="24"/>
                <w:szCs w:val="24"/>
              </w:rPr>
              <w:t>增益控制：自动</w:t>
            </w:r>
            <w:r>
              <w:rPr>
                <w:rFonts w:ascii="宋体" w:hAnsi="宋体" w:cs="宋体"/>
                <w:color w:val="auto"/>
                <w:sz w:val="24"/>
                <w:szCs w:val="24"/>
              </w:rPr>
              <w:t>/快门优先/增益优先/手动；</w:t>
            </w:r>
          </w:p>
          <w:p w14:paraId="00BE7BFF">
            <w:pPr>
              <w:numPr>
                <w:ilvl w:val="0"/>
                <w:numId w:val="117"/>
              </w:numPr>
              <w:ind w:firstLine="0"/>
              <w:jc w:val="left"/>
              <w:rPr>
                <w:rFonts w:ascii="宋体" w:hAnsi="宋体" w:cs="宋体"/>
                <w:color w:val="auto"/>
                <w:sz w:val="24"/>
                <w:szCs w:val="24"/>
              </w:rPr>
            </w:pPr>
            <w:r>
              <w:rPr>
                <w:rFonts w:hint="eastAsia" w:ascii="宋体" w:hAnsi="宋体" w:cs="宋体"/>
                <w:color w:val="auto"/>
                <w:sz w:val="24"/>
                <w:szCs w:val="24"/>
              </w:rPr>
              <w:t>视频压缩标准：</w:t>
            </w:r>
            <w:r>
              <w:rPr>
                <w:rFonts w:ascii="宋体" w:hAnsi="宋体" w:cs="宋体"/>
                <w:color w:val="auto"/>
                <w:sz w:val="24"/>
                <w:szCs w:val="24"/>
              </w:rPr>
              <w:t>H.265、H.264、H.264H、H.264B、MJPEG；</w:t>
            </w:r>
          </w:p>
          <w:p w14:paraId="416354E5">
            <w:pPr>
              <w:numPr>
                <w:ilvl w:val="0"/>
                <w:numId w:val="117"/>
              </w:numPr>
              <w:ind w:firstLine="0"/>
              <w:jc w:val="left"/>
              <w:rPr>
                <w:rFonts w:ascii="宋体" w:hAnsi="宋体" w:cs="宋体"/>
                <w:color w:val="auto"/>
                <w:sz w:val="24"/>
                <w:szCs w:val="24"/>
              </w:rPr>
            </w:pPr>
            <w:r>
              <w:rPr>
                <w:rFonts w:hint="eastAsia" w:ascii="宋体" w:hAnsi="宋体" w:cs="宋体"/>
                <w:color w:val="auto"/>
                <w:sz w:val="24"/>
                <w:szCs w:val="24"/>
              </w:rPr>
              <w:t>分辨率：码流一：</w:t>
            </w:r>
            <w:r>
              <w:rPr>
                <w:rFonts w:ascii="宋体" w:hAnsi="宋体" w:cs="宋体"/>
                <w:color w:val="auto"/>
                <w:sz w:val="24"/>
                <w:szCs w:val="24"/>
              </w:rPr>
              <w:t>2560x14401920x10801280*720；码流二：1960*544704x576640*360；</w:t>
            </w:r>
          </w:p>
          <w:p w14:paraId="575BA76B">
            <w:pPr>
              <w:numPr>
                <w:ilvl w:val="0"/>
                <w:numId w:val="117"/>
              </w:numPr>
              <w:ind w:firstLine="0"/>
              <w:jc w:val="left"/>
              <w:rPr>
                <w:rFonts w:ascii="宋体" w:hAnsi="宋体" w:cs="宋体"/>
                <w:color w:val="auto"/>
                <w:sz w:val="24"/>
                <w:szCs w:val="24"/>
              </w:rPr>
            </w:pPr>
            <w:r>
              <w:rPr>
                <w:rFonts w:hint="eastAsia" w:ascii="宋体" w:hAnsi="宋体" w:cs="宋体"/>
                <w:color w:val="auto"/>
                <w:sz w:val="24"/>
                <w:szCs w:val="24"/>
              </w:rPr>
              <w:t>视频制式</w:t>
            </w:r>
            <w:r>
              <w:rPr>
                <w:rFonts w:ascii="宋体" w:hAnsi="宋体" w:cs="宋体"/>
                <w:color w:val="auto"/>
                <w:sz w:val="24"/>
                <w:szCs w:val="24"/>
              </w:rPr>
              <w:t>PAL(25fps)/NTSC(30fps)；</w:t>
            </w:r>
          </w:p>
          <w:p w14:paraId="3A79176E">
            <w:pPr>
              <w:numPr>
                <w:ilvl w:val="0"/>
                <w:numId w:val="117"/>
              </w:numPr>
              <w:ind w:firstLine="0"/>
              <w:jc w:val="left"/>
              <w:rPr>
                <w:rFonts w:ascii="宋体" w:hAnsi="宋体" w:cs="宋体"/>
                <w:color w:val="auto"/>
                <w:sz w:val="24"/>
                <w:szCs w:val="24"/>
              </w:rPr>
            </w:pPr>
            <w:r>
              <w:rPr>
                <w:rFonts w:hint="eastAsia" w:ascii="宋体" w:hAnsi="宋体" w:cs="宋体"/>
                <w:color w:val="auto"/>
                <w:sz w:val="24"/>
                <w:szCs w:val="24"/>
              </w:rPr>
              <w:t>码率控制：</w:t>
            </w:r>
            <w:r>
              <w:rPr>
                <w:rFonts w:ascii="宋体" w:hAnsi="宋体" w:cs="宋体"/>
                <w:color w:val="auto"/>
                <w:sz w:val="24"/>
                <w:szCs w:val="24"/>
              </w:rPr>
              <w:t>CBR/VBR；</w:t>
            </w:r>
          </w:p>
          <w:p w14:paraId="4B89DCB1">
            <w:pPr>
              <w:numPr>
                <w:ilvl w:val="0"/>
                <w:numId w:val="117"/>
              </w:numPr>
              <w:ind w:firstLine="0"/>
              <w:jc w:val="left"/>
              <w:rPr>
                <w:rFonts w:ascii="宋体" w:hAnsi="宋体" w:cs="宋体"/>
                <w:color w:val="auto"/>
                <w:sz w:val="24"/>
                <w:szCs w:val="24"/>
              </w:rPr>
            </w:pPr>
            <w:r>
              <w:rPr>
                <w:rFonts w:hint="eastAsia" w:ascii="宋体" w:hAnsi="宋体" w:cs="宋体"/>
                <w:color w:val="auto"/>
                <w:sz w:val="24"/>
                <w:szCs w:val="24"/>
              </w:rPr>
              <w:t>默认码流：</w:t>
            </w:r>
            <w:r>
              <w:rPr>
                <w:rFonts w:ascii="宋体" w:hAnsi="宋体" w:cs="宋体"/>
                <w:color w:val="auto"/>
                <w:sz w:val="24"/>
                <w:szCs w:val="24"/>
              </w:rPr>
              <w:t>4096kbps(2560×1440)；</w:t>
            </w:r>
          </w:p>
          <w:p w14:paraId="41B298E6">
            <w:pPr>
              <w:numPr>
                <w:ilvl w:val="0"/>
                <w:numId w:val="117"/>
              </w:numPr>
              <w:ind w:firstLine="0"/>
              <w:jc w:val="left"/>
              <w:rPr>
                <w:rFonts w:ascii="宋体" w:hAnsi="宋体" w:cs="宋体"/>
                <w:color w:val="auto"/>
                <w:sz w:val="24"/>
                <w:szCs w:val="24"/>
              </w:rPr>
            </w:pPr>
            <w:r>
              <w:rPr>
                <w:rFonts w:hint="eastAsia" w:ascii="宋体" w:hAnsi="宋体" w:cs="宋体"/>
                <w:color w:val="auto"/>
                <w:sz w:val="24"/>
                <w:szCs w:val="24"/>
              </w:rPr>
              <w:t>码率调节范围：主、辅</w:t>
            </w:r>
            <w:r>
              <w:rPr>
                <w:rFonts w:ascii="宋体" w:hAnsi="宋体" w:cs="宋体"/>
                <w:color w:val="auto"/>
                <w:sz w:val="24"/>
                <w:szCs w:val="24"/>
              </w:rPr>
              <w:t>30Kbps~16Mbps连续可调；</w:t>
            </w:r>
          </w:p>
          <w:p w14:paraId="6CCE62E3">
            <w:pPr>
              <w:numPr>
                <w:ilvl w:val="0"/>
                <w:numId w:val="117"/>
              </w:numPr>
              <w:ind w:firstLine="0"/>
              <w:jc w:val="left"/>
              <w:rPr>
                <w:rFonts w:ascii="宋体" w:hAnsi="宋体" w:cs="宋体"/>
                <w:color w:val="auto"/>
                <w:sz w:val="24"/>
                <w:szCs w:val="24"/>
              </w:rPr>
            </w:pPr>
            <w:r>
              <w:rPr>
                <w:rFonts w:hint="eastAsia" w:ascii="宋体" w:hAnsi="宋体" w:cs="宋体"/>
                <w:color w:val="auto"/>
                <w:sz w:val="24"/>
                <w:szCs w:val="24"/>
              </w:rPr>
              <w:t>音频压缩标准：</w:t>
            </w:r>
            <w:r>
              <w:rPr>
                <w:rFonts w:ascii="宋体" w:hAnsi="宋体" w:cs="宋体"/>
                <w:color w:val="auto"/>
                <w:sz w:val="24"/>
                <w:szCs w:val="24"/>
              </w:rPr>
              <w:t>G.711A,G.711U,G.726,AAC；</w:t>
            </w:r>
          </w:p>
          <w:p w14:paraId="1B64198F">
            <w:pPr>
              <w:numPr>
                <w:ilvl w:val="0"/>
                <w:numId w:val="117"/>
              </w:numPr>
              <w:ind w:firstLine="0"/>
              <w:jc w:val="left"/>
              <w:rPr>
                <w:rFonts w:ascii="宋体" w:hAnsi="宋体" w:cs="宋体"/>
                <w:color w:val="auto"/>
                <w:sz w:val="24"/>
                <w:szCs w:val="24"/>
              </w:rPr>
            </w:pPr>
            <w:r>
              <w:rPr>
                <w:rFonts w:hint="eastAsia" w:ascii="宋体" w:hAnsi="宋体" w:cs="宋体"/>
                <w:color w:val="auto"/>
                <w:sz w:val="24"/>
                <w:szCs w:val="24"/>
              </w:rPr>
              <w:t>网络协议：</w:t>
            </w:r>
            <w:r>
              <w:rPr>
                <w:rFonts w:ascii="宋体" w:hAnsi="宋体" w:cs="宋体"/>
                <w:color w:val="auto"/>
                <w:sz w:val="24"/>
                <w:szCs w:val="24"/>
              </w:rPr>
              <w:t>HTTP,TCP,RTSP,RTP,UDP,RTCP,SMTP,FTP,DHCP,DNS,DDNS,PPPoE,IPv4/v6,UPnP,NTP；</w:t>
            </w:r>
          </w:p>
          <w:p w14:paraId="1D569625">
            <w:pPr>
              <w:numPr>
                <w:ilvl w:val="0"/>
                <w:numId w:val="117"/>
              </w:numPr>
              <w:ind w:firstLine="0"/>
              <w:jc w:val="left"/>
              <w:rPr>
                <w:rFonts w:ascii="宋体" w:hAnsi="宋体" w:cs="宋体"/>
                <w:color w:val="auto"/>
                <w:sz w:val="24"/>
                <w:szCs w:val="24"/>
              </w:rPr>
            </w:pPr>
            <w:r>
              <w:rPr>
                <w:rFonts w:hint="eastAsia" w:ascii="宋体" w:hAnsi="宋体" w:cs="宋体"/>
                <w:color w:val="auto"/>
                <w:sz w:val="24"/>
                <w:szCs w:val="24"/>
              </w:rPr>
              <w:t>协议：支持</w:t>
            </w:r>
            <w:r>
              <w:rPr>
                <w:rFonts w:ascii="宋体" w:hAnsi="宋体" w:cs="宋体"/>
                <w:color w:val="auto"/>
                <w:sz w:val="24"/>
                <w:szCs w:val="24"/>
              </w:rPr>
              <w:t>Onvif,GB28181,GA/T1400,MQTT；</w:t>
            </w:r>
          </w:p>
          <w:p w14:paraId="11FB9ACA">
            <w:pPr>
              <w:numPr>
                <w:ilvl w:val="0"/>
                <w:numId w:val="117"/>
              </w:numPr>
              <w:ind w:firstLine="0"/>
              <w:jc w:val="left"/>
              <w:rPr>
                <w:rFonts w:ascii="宋体" w:hAnsi="宋体" w:cs="宋体"/>
                <w:color w:val="auto"/>
                <w:sz w:val="24"/>
                <w:szCs w:val="24"/>
              </w:rPr>
            </w:pPr>
            <w:r>
              <w:rPr>
                <w:rFonts w:ascii="宋体" w:hAnsi="宋体" w:cs="宋体"/>
                <w:color w:val="auto"/>
                <w:sz w:val="24"/>
                <w:szCs w:val="24"/>
              </w:rPr>
              <w:t>5.功能特性参数：</w:t>
            </w:r>
          </w:p>
          <w:p w14:paraId="6BAD29B5">
            <w:pPr>
              <w:numPr>
                <w:ilvl w:val="0"/>
                <w:numId w:val="117"/>
              </w:numPr>
              <w:ind w:firstLine="0"/>
              <w:jc w:val="left"/>
              <w:rPr>
                <w:rFonts w:ascii="宋体" w:hAnsi="宋体" w:cs="宋体"/>
                <w:color w:val="auto"/>
                <w:sz w:val="24"/>
                <w:szCs w:val="24"/>
              </w:rPr>
            </w:pPr>
            <w:r>
              <w:rPr>
                <w:rFonts w:hint="eastAsia" w:ascii="宋体" w:hAnsi="宋体" w:cs="宋体"/>
                <w:color w:val="auto"/>
                <w:sz w:val="24"/>
                <w:szCs w:val="24"/>
              </w:rPr>
              <w:t>通用行为分析：区域入侵</w:t>
            </w:r>
            <w:r>
              <w:rPr>
                <w:rFonts w:ascii="宋体" w:hAnsi="宋体" w:cs="宋体"/>
                <w:color w:val="auto"/>
                <w:sz w:val="24"/>
                <w:szCs w:val="24"/>
              </w:rPr>
              <w:t>,绊线入侵；</w:t>
            </w:r>
          </w:p>
          <w:p w14:paraId="0B1D0145">
            <w:pPr>
              <w:numPr>
                <w:ilvl w:val="0"/>
                <w:numId w:val="117"/>
              </w:numPr>
              <w:ind w:firstLine="0"/>
              <w:jc w:val="left"/>
              <w:rPr>
                <w:rFonts w:ascii="宋体" w:hAnsi="宋体" w:cs="宋体"/>
                <w:color w:val="auto"/>
                <w:sz w:val="24"/>
                <w:szCs w:val="24"/>
              </w:rPr>
            </w:pPr>
            <w:r>
              <w:rPr>
                <w:rFonts w:hint="eastAsia" w:ascii="宋体" w:hAnsi="宋体" w:cs="宋体"/>
                <w:color w:val="auto"/>
                <w:sz w:val="24"/>
                <w:szCs w:val="24"/>
              </w:rPr>
              <w:t>报警功能：声光报警</w:t>
            </w:r>
            <w:r>
              <w:rPr>
                <w:rFonts w:ascii="宋体" w:hAnsi="宋体" w:cs="宋体"/>
                <w:color w:val="auto"/>
                <w:sz w:val="24"/>
                <w:szCs w:val="24"/>
              </w:rPr>
              <w:t>,隐私遮挡报警,移动侦测报警,网络故障报警,语音播报；</w:t>
            </w:r>
          </w:p>
          <w:p w14:paraId="3EA776F7">
            <w:pPr>
              <w:numPr>
                <w:ilvl w:val="0"/>
                <w:numId w:val="117"/>
              </w:numPr>
              <w:ind w:firstLine="0"/>
              <w:jc w:val="left"/>
              <w:rPr>
                <w:rFonts w:ascii="宋体" w:hAnsi="宋体" w:cs="宋体"/>
                <w:color w:val="auto"/>
                <w:sz w:val="24"/>
                <w:szCs w:val="24"/>
              </w:rPr>
            </w:pPr>
            <w:r>
              <w:rPr>
                <w:rFonts w:hint="eastAsia" w:ascii="宋体" w:hAnsi="宋体" w:cs="宋体"/>
                <w:color w:val="auto"/>
                <w:sz w:val="24"/>
                <w:szCs w:val="24"/>
              </w:rPr>
              <w:t>录像模式：手动录像</w:t>
            </w:r>
            <w:r>
              <w:rPr>
                <w:rFonts w:ascii="宋体" w:hAnsi="宋体" w:cs="宋体"/>
                <w:color w:val="auto"/>
                <w:sz w:val="24"/>
                <w:szCs w:val="24"/>
              </w:rPr>
              <w:t>,视频事件检测录像,定时录像,报警录像；</w:t>
            </w:r>
          </w:p>
          <w:p w14:paraId="5A961D65">
            <w:pPr>
              <w:numPr>
                <w:ilvl w:val="0"/>
                <w:numId w:val="117"/>
              </w:numPr>
              <w:ind w:firstLine="0"/>
              <w:jc w:val="left"/>
              <w:rPr>
                <w:rFonts w:ascii="宋体" w:hAnsi="宋体" w:cs="宋体"/>
                <w:color w:val="auto"/>
                <w:sz w:val="24"/>
                <w:szCs w:val="24"/>
              </w:rPr>
            </w:pPr>
            <w:r>
              <w:rPr>
                <w:rFonts w:ascii="宋体" w:hAnsi="宋体" w:cs="宋体"/>
                <w:color w:val="auto"/>
                <w:sz w:val="24"/>
                <w:szCs w:val="24"/>
              </w:rPr>
              <w:t>OSD信息叠加时间,通道标题,设备名称,支持自定义；</w:t>
            </w:r>
          </w:p>
          <w:p w14:paraId="17C95E61">
            <w:pPr>
              <w:numPr>
                <w:ilvl w:val="0"/>
                <w:numId w:val="117"/>
              </w:numPr>
              <w:ind w:firstLine="0"/>
              <w:jc w:val="left"/>
              <w:rPr>
                <w:rFonts w:ascii="宋体" w:hAnsi="宋体" w:cs="宋体"/>
                <w:color w:val="auto"/>
                <w:sz w:val="24"/>
                <w:szCs w:val="24"/>
              </w:rPr>
            </w:pPr>
            <w:r>
              <w:rPr>
                <w:rFonts w:hint="eastAsia" w:ascii="宋体" w:hAnsi="宋体" w:cs="宋体"/>
                <w:color w:val="auto"/>
                <w:sz w:val="24"/>
                <w:szCs w:val="24"/>
              </w:rPr>
              <w:t>日夜模式：白天、夜晚</w:t>
            </w:r>
            <w:r>
              <w:rPr>
                <w:rFonts w:ascii="宋体" w:hAnsi="宋体" w:cs="宋体"/>
                <w:color w:val="auto"/>
                <w:sz w:val="24"/>
                <w:szCs w:val="24"/>
              </w:rPr>
              <w:t>,支持定时转换,手动转换,自动转换；</w:t>
            </w:r>
          </w:p>
          <w:p w14:paraId="5AE51596">
            <w:pPr>
              <w:numPr>
                <w:ilvl w:val="0"/>
                <w:numId w:val="117"/>
              </w:numPr>
              <w:ind w:firstLine="0"/>
              <w:jc w:val="left"/>
              <w:rPr>
                <w:rFonts w:ascii="宋体" w:hAnsi="宋体" w:cs="宋体"/>
                <w:color w:val="auto"/>
                <w:sz w:val="24"/>
                <w:szCs w:val="24"/>
              </w:rPr>
            </w:pPr>
            <w:r>
              <w:rPr>
                <w:rFonts w:hint="eastAsia" w:ascii="宋体" w:hAnsi="宋体" w:cs="宋体"/>
                <w:color w:val="auto"/>
                <w:sz w:val="24"/>
                <w:szCs w:val="24"/>
              </w:rPr>
              <w:t>隐私遮蔽：支持</w:t>
            </w:r>
            <w:r>
              <w:rPr>
                <w:rFonts w:ascii="宋体" w:hAnsi="宋体" w:cs="宋体"/>
                <w:color w:val="auto"/>
                <w:sz w:val="24"/>
                <w:szCs w:val="24"/>
              </w:rPr>
              <w:t>4个区域设置；</w:t>
            </w:r>
          </w:p>
          <w:p w14:paraId="79C9171C">
            <w:pPr>
              <w:numPr>
                <w:ilvl w:val="0"/>
                <w:numId w:val="117"/>
              </w:numPr>
              <w:ind w:firstLine="0"/>
              <w:jc w:val="left"/>
              <w:rPr>
                <w:rFonts w:ascii="宋体" w:hAnsi="宋体" w:cs="宋体"/>
                <w:color w:val="auto"/>
                <w:sz w:val="24"/>
                <w:szCs w:val="24"/>
              </w:rPr>
            </w:pPr>
            <w:r>
              <w:rPr>
                <w:rFonts w:hint="eastAsia" w:ascii="宋体" w:hAnsi="宋体" w:cs="宋体"/>
                <w:color w:val="auto"/>
                <w:sz w:val="24"/>
                <w:szCs w:val="24"/>
              </w:rPr>
              <w:t>镜像：支持</w:t>
            </w:r>
            <w:r>
              <w:rPr>
                <w:rFonts w:ascii="宋体" w:hAnsi="宋体" w:cs="宋体"/>
                <w:color w:val="auto"/>
                <w:sz w:val="24"/>
                <w:szCs w:val="24"/>
              </w:rPr>
              <w:t>90°/180°图像翻转；</w:t>
            </w:r>
          </w:p>
          <w:p w14:paraId="2CA6E8FF">
            <w:pPr>
              <w:numPr>
                <w:ilvl w:val="0"/>
                <w:numId w:val="117"/>
              </w:numPr>
              <w:ind w:firstLine="0"/>
              <w:jc w:val="left"/>
              <w:rPr>
                <w:rFonts w:ascii="宋体" w:hAnsi="宋体" w:cs="宋体"/>
                <w:color w:val="auto"/>
                <w:sz w:val="24"/>
                <w:szCs w:val="24"/>
              </w:rPr>
            </w:pPr>
            <w:r>
              <w:rPr>
                <w:rFonts w:ascii="宋体" w:hAnsi="宋体" w:cs="宋体"/>
                <w:color w:val="auto"/>
                <w:sz w:val="24"/>
                <w:szCs w:val="24"/>
              </w:rPr>
              <w:t>ROI：支持；</w:t>
            </w:r>
          </w:p>
          <w:p w14:paraId="284F32A7">
            <w:pPr>
              <w:numPr>
                <w:ilvl w:val="0"/>
                <w:numId w:val="117"/>
              </w:numPr>
              <w:ind w:firstLine="0"/>
              <w:jc w:val="left"/>
              <w:rPr>
                <w:rFonts w:ascii="宋体" w:hAnsi="宋体" w:cs="宋体"/>
                <w:color w:val="auto"/>
                <w:sz w:val="24"/>
                <w:szCs w:val="24"/>
              </w:rPr>
            </w:pPr>
            <w:r>
              <w:rPr>
                <w:rFonts w:hint="eastAsia" w:ascii="宋体" w:hAnsi="宋体" w:cs="宋体"/>
                <w:color w:val="auto"/>
                <w:sz w:val="24"/>
                <w:szCs w:val="24"/>
              </w:rPr>
              <w:t>检测类型：厨师帽，厨师服，猫、狗，鼠，抽烟，打电话，口罩检测；</w:t>
            </w:r>
          </w:p>
          <w:p w14:paraId="54448005">
            <w:pPr>
              <w:numPr>
                <w:ilvl w:val="0"/>
                <w:numId w:val="117"/>
              </w:numPr>
              <w:ind w:firstLine="0"/>
              <w:jc w:val="left"/>
              <w:rPr>
                <w:rFonts w:ascii="宋体" w:hAnsi="宋体" w:cs="宋体"/>
                <w:color w:val="auto"/>
                <w:sz w:val="24"/>
                <w:szCs w:val="24"/>
              </w:rPr>
            </w:pPr>
            <w:r>
              <w:rPr>
                <w:rFonts w:hint="eastAsia" w:ascii="宋体" w:hAnsi="宋体" w:cs="宋体"/>
                <w:color w:val="auto"/>
                <w:sz w:val="24"/>
                <w:szCs w:val="24"/>
              </w:rPr>
              <w:t>检测区域：支持自定义；</w:t>
            </w:r>
          </w:p>
          <w:p w14:paraId="1AFDA00C">
            <w:pPr>
              <w:numPr>
                <w:ilvl w:val="0"/>
                <w:numId w:val="117"/>
              </w:numPr>
              <w:ind w:firstLine="0"/>
              <w:jc w:val="left"/>
              <w:rPr>
                <w:rFonts w:ascii="宋体" w:hAnsi="宋体" w:cs="宋体"/>
                <w:color w:val="auto"/>
                <w:sz w:val="24"/>
                <w:szCs w:val="24"/>
              </w:rPr>
            </w:pPr>
            <w:r>
              <w:rPr>
                <w:rFonts w:hint="eastAsia" w:ascii="宋体" w:hAnsi="宋体" w:cs="宋体"/>
                <w:color w:val="auto"/>
                <w:sz w:val="24"/>
                <w:szCs w:val="24"/>
              </w:rPr>
              <w:t>抓拍模式：支持离开后抓拍、实时抓拍、间隔抓拍、实时抓拍</w:t>
            </w:r>
            <w:r>
              <w:rPr>
                <w:rFonts w:ascii="宋体" w:hAnsi="宋体" w:cs="宋体"/>
                <w:color w:val="auto"/>
                <w:sz w:val="24"/>
                <w:szCs w:val="24"/>
              </w:rPr>
              <w:t>+离开后抓拍、实时抓拍+间隔抓拍；</w:t>
            </w:r>
          </w:p>
          <w:p w14:paraId="656EE530">
            <w:pPr>
              <w:numPr>
                <w:ilvl w:val="0"/>
                <w:numId w:val="117"/>
              </w:numPr>
              <w:ind w:firstLine="0"/>
              <w:jc w:val="left"/>
              <w:rPr>
                <w:rFonts w:ascii="宋体" w:hAnsi="宋体" w:cs="宋体"/>
                <w:color w:val="auto"/>
                <w:sz w:val="24"/>
                <w:szCs w:val="24"/>
              </w:rPr>
            </w:pPr>
            <w:r>
              <w:rPr>
                <w:rFonts w:hint="eastAsia" w:ascii="宋体" w:hAnsi="宋体" w:cs="宋体"/>
                <w:color w:val="auto"/>
                <w:sz w:val="24"/>
                <w:szCs w:val="24"/>
              </w:rPr>
              <w:t>检测范围：支持最小</w:t>
            </w:r>
            <w:r>
              <w:rPr>
                <w:rFonts w:ascii="宋体" w:hAnsi="宋体" w:cs="宋体"/>
                <w:color w:val="auto"/>
                <w:sz w:val="24"/>
                <w:szCs w:val="24"/>
              </w:rPr>
              <w:t>/最大检测目标可调；</w:t>
            </w:r>
          </w:p>
          <w:p w14:paraId="7092E60D">
            <w:pPr>
              <w:numPr>
                <w:ilvl w:val="0"/>
                <w:numId w:val="117"/>
              </w:numPr>
              <w:ind w:firstLine="0"/>
              <w:jc w:val="left"/>
              <w:rPr>
                <w:rFonts w:ascii="宋体" w:hAnsi="宋体" w:cs="宋体"/>
                <w:color w:val="auto"/>
                <w:sz w:val="24"/>
                <w:szCs w:val="24"/>
              </w:rPr>
            </w:pPr>
            <w:r>
              <w:rPr>
                <w:rFonts w:hint="eastAsia" w:ascii="宋体" w:hAnsi="宋体" w:cs="宋体"/>
                <w:color w:val="auto"/>
                <w:sz w:val="24"/>
                <w:szCs w:val="24"/>
              </w:rPr>
              <w:t>图片类型：目标图</w:t>
            </w:r>
            <w:r>
              <w:rPr>
                <w:rFonts w:ascii="宋体" w:hAnsi="宋体" w:cs="宋体"/>
                <w:color w:val="auto"/>
                <w:sz w:val="24"/>
                <w:szCs w:val="24"/>
              </w:rPr>
              <w:t>,全景图；</w:t>
            </w:r>
          </w:p>
          <w:p w14:paraId="175E6BD4">
            <w:pPr>
              <w:numPr>
                <w:ilvl w:val="0"/>
                <w:numId w:val="117"/>
              </w:numPr>
              <w:ind w:firstLine="0"/>
              <w:jc w:val="left"/>
              <w:rPr>
                <w:rFonts w:ascii="宋体" w:hAnsi="宋体" w:cs="宋体"/>
                <w:color w:val="auto"/>
                <w:sz w:val="24"/>
                <w:szCs w:val="24"/>
              </w:rPr>
            </w:pPr>
            <w:r>
              <w:rPr>
                <w:rFonts w:hint="eastAsia" w:ascii="宋体" w:hAnsi="宋体" w:cs="宋体"/>
                <w:color w:val="auto"/>
                <w:sz w:val="24"/>
                <w:szCs w:val="24"/>
              </w:rPr>
              <w:t>图片格式：</w:t>
            </w:r>
            <w:r>
              <w:rPr>
                <w:rFonts w:ascii="宋体" w:hAnsi="宋体" w:cs="宋体"/>
                <w:color w:val="auto"/>
                <w:sz w:val="24"/>
                <w:szCs w:val="24"/>
              </w:rPr>
              <w:t>JPG；</w:t>
            </w:r>
          </w:p>
          <w:p w14:paraId="029A2A78">
            <w:pPr>
              <w:numPr>
                <w:ilvl w:val="0"/>
                <w:numId w:val="117"/>
              </w:numPr>
              <w:ind w:firstLine="0"/>
              <w:jc w:val="left"/>
              <w:rPr>
                <w:rFonts w:ascii="宋体" w:hAnsi="宋体" w:cs="宋体"/>
                <w:color w:val="auto"/>
                <w:sz w:val="24"/>
                <w:szCs w:val="24"/>
              </w:rPr>
            </w:pPr>
            <w:r>
              <w:rPr>
                <w:rFonts w:hint="eastAsia" w:ascii="宋体" w:hAnsi="宋体" w:cs="宋体"/>
                <w:color w:val="auto"/>
                <w:sz w:val="24"/>
                <w:szCs w:val="24"/>
              </w:rPr>
              <w:t>网络接口：</w:t>
            </w:r>
            <w:r>
              <w:rPr>
                <w:rFonts w:ascii="宋体" w:hAnsi="宋体" w:cs="宋体"/>
                <w:color w:val="auto"/>
                <w:sz w:val="24"/>
                <w:szCs w:val="24"/>
              </w:rPr>
              <w:t>1个RJ45，10/100M自适应以太网口，支持PoE供电；</w:t>
            </w:r>
          </w:p>
          <w:p w14:paraId="746A3D06">
            <w:pPr>
              <w:numPr>
                <w:ilvl w:val="0"/>
                <w:numId w:val="117"/>
              </w:numPr>
              <w:ind w:firstLine="0"/>
              <w:jc w:val="left"/>
              <w:rPr>
                <w:rFonts w:ascii="宋体" w:hAnsi="宋体" w:cs="宋体"/>
                <w:color w:val="auto"/>
                <w:sz w:val="24"/>
                <w:szCs w:val="24"/>
              </w:rPr>
            </w:pPr>
            <w:r>
              <w:rPr>
                <w:rFonts w:hint="eastAsia" w:ascii="宋体" w:hAnsi="宋体" w:cs="宋体"/>
                <w:color w:val="auto"/>
                <w:sz w:val="24"/>
                <w:szCs w:val="24"/>
              </w:rPr>
              <w:t>电源接口：</w:t>
            </w:r>
            <w:r>
              <w:rPr>
                <w:rFonts w:ascii="宋体" w:hAnsi="宋体" w:cs="宋体"/>
                <w:color w:val="auto"/>
                <w:sz w:val="24"/>
                <w:szCs w:val="24"/>
              </w:rPr>
              <w:t>DC12V(-15%~+10%)；</w:t>
            </w:r>
          </w:p>
          <w:p w14:paraId="7FC7F812">
            <w:pPr>
              <w:numPr>
                <w:ilvl w:val="0"/>
                <w:numId w:val="117"/>
              </w:numPr>
              <w:ind w:firstLine="0"/>
              <w:jc w:val="left"/>
              <w:rPr>
                <w:rFonts w:ascii="宋体" w:hAnsi="宋体" w:cs="宋体"/>
                <w:color w:val="auto"/>
                <w:sz w:val="24"/>
                <w:szCs w:val="24"/>
              </w:rPr>
            </w:pPr>
            <w:r>
              <w:rPr>
                <w:rFonts w:hint="eastAsia" w:ascii="宋体" w:hAnsi="宋体" w:cs="宋体"/>
                <w:color w:val="auto"/>
                <w:sz w:val="24"/>
                <w:szCs w:val="24"/>
              </w:rPr>
              <w:t>报警接口：</w:t>
            </w:r>
            <w:r>
              <w:rPr>
                <w:rFonts w:ascii="宋体" w:hAnsi="宋体" w:cs="宋体"/>
                <w:color w:val="auto"/>
                <w:sz w:val="24"/>
                <w:szCs w:val="24"/>
              </w:rPr>
              <w:t>1进1出；</w:t>
            </w:r>
          </w:p>
          <w:p w14:paraId="29E459C3">
            <w:pPr>
              <w:numPr>
                <w:ilvl w:val="0"/>
                <w:numId w:val="117"/>
              </w:numPr>
              <w:ind w:firstLine="0"/>
              <w:jc w:val="left"/>
              <w:rPr>
                <w:rFonts w:ascii="宋体" w:hAnsi="宋体" w:cs="宋体"/>
                <w:color w:val="auto"/>
                <w:sz w:val="24"/>
                <w:szCs w:val="24"/>
              </w:rPr>
            </w:pPr>
            <w:r>
              <w:rPr>
                <w:rFonts w:hint="eastAsia" w:ascii="宋体" w:hAnsi="宋体" w:cs="宋体"/>
                <w:color w:val="auto"/>
                <w:sz w:val="24"/>
                <w:szCs w:val="24"/>
              </w:rPr>
              <w:t>音频接口；</w:t>
            </w:r>
            <w:r>
              <w:rPr>
                <w:rFonts w:ascii="宋体" w:hAnsi="宋体" w:cs="宋体"/>
                <w:color w:val="auto"/>
                <w:sz w:val="24"/>
                <w:szCs w:val="24"/>
              </w:rPr>
              <w:t>1路音频输入/1路音频输出（RCA头），内置MIC/扬声器；</w:t>
            </w:r>
          </w:p>
          <w:p w14:paraId="18D7761C">
            <w:pPr>
              <w:numPr>
                <w:ilvl w:val="0"/>
                <w:numId w:val="117"/>
              </w:numPr>
              <w:ind w:firstLine="0"/>
              <w:jc w:val="left"/>
              <w:rPr>
                <w:rFonts w:ascii="宋体" w:hAnsi="宋体" w:cs="宋体"/>
                <w:color w:val="auto"/>
                <w:sz w:val="24"/>
                <w:szCs w:val="24"/>
              </w:rPr>
            </w:pPr>
            <w:r>
              <w:rPr>
                <w:rFonts w:ascii="宋体" w:hAnsi="宋体" w:cs="宋体"/>
                <w:color w:val="auto"/>
                <w:sz w:val="24"/>
                <w:szCs w:val="24"/>
              </w:rPr>
              <w:t>SD卡接口：最大容量256GB；</w:t>
            </w:r>
          </w:p>
          <w:p w14:paraId="5F39B28B">
            <w:pPr>
              <w:numPr>
                <w:ilvl w:val="0"/>
                <w:numId w:val="117"/>
              </w:numPr>
              <w:ind w:firstLine="0"/>
              <w:jc w:val="left"/>
              <w:rPr>
                <w:rFonts w:ascii="宋体" w:hAnsi="宋体" w:cs="宋体"/>
                <w:color w:val="auto"/>
                <w:sz w:val="24"/>
                <w:szCs w:val="24"/>
              </w:rPr>
            </w:pPr>
            <w:r>
              <w:rPr>
                <w:rFonts w:ascii="宋体" w:hAnsi="宋体" w:cs="宋体"/>
                <w:color w:val="auto"/>
                <w:sz w:val="24"/>
                <w:szCs w:val="24"/>
              </w:rPr>
              <w:t>RS485：预留；</w:t>
            </w:r>
          </w:p>
          <w:p w14:paraId="0B1D8AD5">
            <w:pPr>
              <w:numPr>
                <w:ilvl w:val="0"/>
                <w:numId w:val="117"/>
              </w:numPr>
              <w:ind w:firstLine="0"/>
              <w:jc w:val="left"/>
              <w:rPr>
                <w:rFonts w:ascii="宋体" w:hAnsi="宋体" w:cs="宋体"/>
                <w:color w:val="auto"/>
                <w:sz w:val="24"/>
                <w:szCs w:val="24"/>
              </w:rPr>
            </w:pPr>
            <w:r>
              <w:rPr>
                <w:rFonts w:hint="eastAsia" w:ascii="宋体" w:hAnsi="宋体" w:cs="宋体"/>
                <w:color w:val="auto"/>
                <w:sz w:val="24"/>
                <w:szCs w:val="24"/>
              </w:rPr>
              <w:t>复位：软件复位，硬件复位；</w:t>
            </w:r>
          </w:p>
          <w:p w14:paraId="7B5BE490">
            <w:pPr>
              <w:numPr>
                <w:ilvl w:val="0"/>
                <w:numId w:val="117"/>
              </w:numPr>
              <w:ind w:firstLine="0"/>
              <w:jc w:val="left"/>
              <w:rPr>
                <w:rFonts w:ascii="宋体" w:hAnsi="宋体" w:cs="宋体"/>
                <w:color w:val="auto"/>
                <w:sz w:val="24"/>
                <w:szCs w:val="24"/>
              </w:rPr>
            </w:pPr>
            <w:r>
              <w:rPr>
                <w:rFonts w:hint="eastAsia" w:ascii="宋体" w:hAnsi="宋体" w:cs="宋体"/>
                <w:color w:val="auto"/>
                <w:sz w:val="24"/>
                <w:szCs w:val="24"/>
              </w:rPr>
              <w:t>安装方式：壁装，吊装；</w:t>
            </w:r>
          </w:p>
          <w:p w14:paraId="26557606">
            <w:pPr>
              <w:numPr>
                <w:ilvl w:val="0"/>
                <w:numId w:val="117"/>
              </w:numPr>
              <w:ind w:firstLine="0"/>
              <w:jc w:val="left"/>
              <w:rPr>
                <w:rFonts w:ascii="宋体" w:hAnsi="宋体" w:cs="宋体"/>
                <w:color w:val="auto"/>
                <w:sz w:val="24"/>
                <w:szCs w:val="24"/>
              </w:rPr>
            </w:pPr>
            <w:r>
              <w:rPr>
                <w:rFonts w:hint="eastAsia" w:ascii="宋体" w:hAnsi="宋体" w:cs="宋体"/>
                <w:color w:val="auto"/>
                <w:sz w:val="24"/>
                <w:szCs w:val="24"/>
              </w:rPr>
              <w:t>工作电压：</w:t>
            </w:r>
            <w:r>
              <w:rPr>
                <w:rFonts w:ascii="宋体" w:hAnsi="宋体" w:cs="宋体"/>
                <w:color w:val="auto"/>
                <w:sz w:val="24"/>
                <w:szCs w:val="24"/>
              </w:rPr>
              <w:t>DC12V(-15%~+10%)/PoE(802.3af选配）；</w:t>
            </w:r>
          </w:p>
          <w:p w14:paraId="1E61B6D9">
            <w:pPr>
              <w:numPr>
                <w:ilvl w:val="0"/>
                <w:numId w:val="117"/>
              </w:numPr>
              <w:ind w:firstLine="0"/>
              <w:jc w:val="left"/>
              <w:rPr>
                <w:rFonts w:ascii="宋体" w:hAnsi="宋体" w:cs="宋体"/>
                <w:color w:val="auto"/>
                <w:sz w:val="24"/>
                <w:szCs w:val="24"/>
              </w:rPr>
            </w:pPr>
            <w:r>
              <w:rPr>
                <w:rFonts w:hint="eastAsia" w:ascii="宋体" w:hAnsi="宋体" w:cs="宋体"/>
                <w:color w:val="auto"/>
                <w:sz w:val="24"/>
                <w:szCs w:val="24"/>
              </w:rPr>
              <w:t>功耗</w:t>
            </w:r>
            <w:r>
              <w:rPr>
                <w:rFonts w:ascii="宋体" w:hAnsi="宋体" w:cs="宋体"/>
                <w:color w:val="auto"/>
                <w:sz w:val="24"/>
                <w:szCs w:val="24"/>
              </w:rPr>
              <w:t>&lt;8W；</w:t>
            </w:r>
          </w:p>
          <w:p w14:paraId="6919BEC6">
            <w:pPr>
              <w:numPr>
                <w:ilvl w:val="0"/>
                <w:numId w:val="117"/>
              </w:numPr>
              <w:ind w:firstLine="0"/>
              <w:jc w:val="left"/>
              <w:rPr>
                <w:rFonts w:ascii="宋体" w:hAnsi="宋体" w:cs="宋体"/>
                <w:color w:val="auto"/>
                <w:sz w:val="24"/>
                <w:szCs w:val="24"/>
              </w:rPr>
            </w:pPr>
            <w:r>
              <w:rPr>
                <w:rFonts w:hint="eastAsia" w:ascii="宋体" w:hAnsi="宋体" w:cs="宋体"/>
                <w:color w:val="auto"/>
                <w:sz w:val="24"/>
                <w:szCs w:val="24"/>
              </w:rPr>
              <w:t>工作温度：</w:t>
            </w:r>
            <w:r>
              <w:rPr>
                <w:rFonts w:ascii="宋体" w:hAnsi="宋体" w:cs="宋体"/>
                <w:color w:val="auto"/>
                <w:sz w:val="24"/>
                <w:szCs w:val="24"/>
              </w:rPr>
              <w:t>-30℃-+60℃；</w:t>
            </w:r>
          </w:p>
          <w:p w14:paraId="0E9CC0A8">
            <w:pPr>
              <w:numPr>
                <w:ilvl w:val="0"/>
                <w:numId w:val="117"/>
              </w:numPr>
              <w:ind w:firstLine="0"/>
              <w:jc w:val="left"/>
              <w:rPr>
                <w:rFonts w:ascii="宋体" w:hAnsi="宋体" w:cs="宋体"/>
                <w:color w:val="auto"/>
                <w:sz w:val="24"/>
                <w:szCs w:val="24"/>
              </w:rPr>
            </w:pPr>
            <w:r>
              <w:rPr>
                <w:rFonts w:hint="eastAsia" w:ascii="宋体" w:hAnsi="宋体" w:cs="宋体"/>
                <w:color w:val="auto"/>
                <w:sz w:val="24"/>
                <w:szCs w:val="24"/>
              </w:rPr>
              <w:t>工作湿度：</w:t>
            </w:r>
            <w:r>
              <w:rPr>
                <w:rFonts w:ascii="宋体" w:hAnsi="宋体" w:cs="宋体"/>
                <w:color w:val="auto"/>
                <w:sz w:val="24"/>
                <w:szCs w:val="24"/>
              </w:rPr>
              <w:t>0%~95%RH（无凝结）；</w:t>
            </w:r>
          </w:p>
          <w:p w14:paraId="6C1FD8D7">
            <w:pPr>
              <w:numPr>
                <w:ilvl w:val="0"/>
                <w:numId w:val="117"/>
              </w:numPr>
              <w:ind w:firstLine="0"/>
              <w:jc w:val="left"/>
              <w:rPr>
                <w:rFonts w:ascii="宋体" w:hAnsi="宋体" w:cs="宋体"/>
                <w:color w:val="auto"/>
                <w:sz w:val="24"/>
                <w:szCs w:val="24"/>
              </w:rPr>
            </w:pPr>
            <w:r>
              <w:rPr>
                <w:rFonts w:hint="eastAsia" w:ascii="宋体" w:hAnsi="宋体" w:cs="宋体"/>
                <w:color w:val="auto"/>
                <w:sz w:val="24"/>
                <w:szCs w:val="24"/>
              </w:rPr>
              <w:t>防护等级：</w:t>
            </w:r>
            <w:r>
              <w:rPr>
                <w:rFonts w:ascii="宋体" w:hAnsi="宋体" w:cs="宋体"/>
                <w:color w:val="auto"/>
                <w:sz w:val="24"/>
                <w:szCs w:val="24"/>
              </w:rPr>
              <w:t>IP66；</w:t>
            </w:r>
          </w:p>
          <w:p w14:paraId="79F42E45">
            <w:pPr>
              <w:numPr>
                <w:ilvl w:val="0"/>
                <w:numId w:val="114"/>
              </w:numPr>
              <w:ind w:left="0" w:firstLine="0"/>
              <w:jc w:val="left"/>
              <w:rPr>
                <w:rFonts w:ascii="宋体" w:hAnsi="宋体" w:cs="宋体"/>
                <w:color w:val="auto"/>
                <w:sz w:val="24"/>
                <w:szCs w:val="24"/>
              </w:rPr>
            </w:pPr>
            <w:r>
              <w:rPr>
                <w:rFonts w:hint="eastAsia" w:ascii="宋体" w:hAnsi="宋体" w:cs="宋体"/>
                <w:color w:val="auto"/>
                <w:sz w:val="24"/>
                <w:szCs w:val="24"/>
              </w:rPr>
              <w:t>音柱设备设备参数：</w:t>
            </w:r>
          </w:p>
          <w:p w14:paraId="6DCB0C14">
            <w:pPr>
              <w:numPr>
                <w:ilvl w:val="0"/>
                <w:numId w:val="118"/>
              </w:numPr>
              <w:ind w:left="0" w:firstLine="0"/>
              <w:jc w:val="left"/>
              <w:rPr>
                <w:rFonts w:ascii="宋体" w:hAnsi="宋体" w:cs="宋体"/>
                <w:color w:val="auto"/>
                <w:sz w:val="24"/>
                <w:szCs w:val="24"/>
              </w:rPr>
            </w:pPr>
            <w:r>
              <w:rPr>
                <w:rFonts w:hint="eastAsia" w:ascii="宋体" w:hAnsi="宋体" w:cs="宋体"/>
                <w:color w:val="auto"/>
                <w:sz w:val="24"/>
                <w:szCs w:val="24"/>
              </w:rPr>
              <w:t>主要参数：</w:t>
            </w:r>
          </w:p>
          <w:p w14:paraId="39E27050">
            <w:pPr>
              <w:numPr>
                <w:ilvl w:val="0"/>
                <w:numId w:val="119"/>
              </w:numPr>
              <w:ind w:firstLine="0"/>
              <w:jc w:val="left"/>
              <w:rPr>
                <w:rFonts w:ascii="宋体" w:hAnsi="宋体" w:cs="宋体"/>
                <w:color w:val="auto"/>
                <w:sz w:val="24"/>
                <w:szCs w:val="24"/>
              </w:rPr>
            </w:pPr>
            <w:r>
              <w:rPr>
                <w:rFonts w:ascii="宋体" w:hAnsi="宋体" w:cs="宋体"/>
                <w:color w:val="auto"/>
                <w:sz w:val="24"/>
                <w:szCs w:val="24"/>
              </w:rPr>
              <w:t>机身采用纯铝合金打造，防水性能强，可以直接在户外使用</w:t>
            </w:r>
            <w:r>
              <w:rPr>
                <w:rFonts w:hint="eastAsia" w:ascii="宋体" w:hAnsi="宋体" w:cs="宋体"/>
                <w:color w:val="auto"/>
                <w:sz w:val="24"/>
                <w:szCs w:val="24"/>
              </w:rPr>
              <w:t>；</w:t>
            </w:r>
          </w:p>
          <w:p w14:paraId="7FCC6038">
            <w:pPr>
              <w:numPr>
                <w:ilvl w:val="0"/>
                <w:numId w:val="119"/>
              </w:numPr>
              <w:ind w:firstLine="0"/>
              <w:jc w:val="left"/>
              <w:rPr>
                <w:rFonts w:ascii="宋体" w:hAnsi="宋体" w:cs="宋体"/>
                <w:color w:val="auto"/>
                <w:sz w:val="24"/>
                <w:szCs w:val="24"/>
              </w:rPr>
            </w:pPr>
            <w:r>
              <w:rPr>
                <w:rFonts w:ascii="宋体" w:hAnsi="宋体" w:cs="宋体"/>
                <w:color w:val="auto"/>
                <w:sz w:val="24"/>
                <w:szCs w:val="24"/>
              </w:rPr>
              <w:t>内置高效率全频带单元、高灵敏度、声音清晰明亮；</w:t>
            </w:r>
          </w:p>
          <w:p w14:paraId="545E2003">
            <w:pPr>
              <w:numPr>
                <w:ilvl w:val="0"/>
                <w:numId w:val="119"/>
              </w:numPr>
              <w:ind w:firstLine="0"/>
              <w:jc w:val="left"/>
              <w:rPr>
                <w:rFonts w:ascii="宋体" w:hAnsi="宋体" w:cs="宋体"/>
                <w:color w:val="auto"/>
                <w:sz w:val="24"/>
                <w:szCs w:val="24"/>
              </w:rPr>
            </w:pPr>
            <w:r>
              <w:rPr>
                <w:rFonts w:ascii="宋体" w:hAnsi="宋体" w:cs="宋体"/>
                <w:color w:val="auto"/>
                <w:sz w:val="24"/>
                <w:szCs w:val="24"/>
              </w:rPr>
              <w:t>采用进口功放电路、性能高效、低失真、低损耗；</w:t>
            </w:r>
          </w:p>
          <w:p w14:paraId="071F1CA7">
            <w:pPr>
              <w:numPr>
                <w:ilvl w:val="0"/>
                <w:numId w:val="119"/>
              </w:numPr>
              <w:ind w:firstLine="0"/>
              <w:jc w:val="left"/>
              <w:rPr>
                <w:rFonts w:ascii="宋体" w:hAnsi="宋体" w:cs="宋体"/>
                <w:color w:val="auto"/>
                <w:sz w:val="24"/>
                <w:szCs w:val="24"/>
              </w:rPr>
            </w:pPr>
            <w:r>
              <w:rPr>
                <w:rFonts w:ascii="宋体" w:hAnsi="宋体" w:cs="宋体"/>
                <w:color w:val="auto"/>
                <w:sz w:val="24"/>
                <w:szCs w:val="24"/>
              </w:rPr>
              <w:t>具有1路非平衡信号输入、插拔式端子；</w:t>
            </w:r>
          </w:p>
          <w:p w14:paraId="5A2C9121">
            <w:pPr>
              <w:numPr>
                <w:ilvl w:val="0"/>
                <w:numId w:val="119"/>
              </w:numPr>
              <w:ind w:firstLine="0"/>
              <w:jc w:val="left"/>
              <w:rPr>
                <w:rFonts w:ascii="宋体" w:hAnsi="宋体" w:cs="宋体"/>
                <w:color w:val="auto"/>
                <w:sz w:val="24"/>
                <w:szCs w:val="24"/>
              </w:rPr>
            </w:pPr>
            <w:r>
              <w:rPr>
                <w:rFonts w:ascii="宋体" w:hAnsi="宋体" w:cs="宋体"/>
                <w:color w:val="auto"/>
                <w:sz w:val="24"/>
                <w:szCs w:val="24"/>
              </w:rPr>
              <w:t>具有1组短路控制线，控制内存6首歌曲，内置16M音频存储空间，可以通过外置USB接口擦除拷贝6首音乐，通过拨码开关选择预设音乐信号，通过触发播放预设语音节目</w:t>
            </w:r>
            <w:r>
              <w:rPr>
                <w:rFonts w:hint="eastAsia" w:ascii="宋体" w:hAnsi="宋体" w:cs="宋体"/>
                <w:color w:val="auto"/>
                <w:sz w:val="24"/>
                <w:szCs w:val="24"/>
              </w:rPr>
              <w:t>；</w:t>
            </w:r>
          </w:p>
          <w:p w14:paraId="4A9FBFF0">
            <w:pPr>
              <w:numPr>
                <w:ilvl w:val="0"/>
                <w:numId w:val="119"/>
              </w:numPr>
              <w:ind w:firstLine="0"/>
              <w:jc w:val="left"/>
              <w:rPr>
                <w:rFonts w:ascii="宋体" w:hAnsi="宋体" w:cs="宋体"/>
                <w:color w:val="auto"/>
                <w:sz w:val="24"/>
                <w:szCs w:val="24"/>
              </w:rPr>
            </w:pPr>
            <w:r>
              <w:rPr>
                <w:rFonts w:ascii="宋体" w:hAnsi="宋体" w:cs="宋体"/>
                <w:color w:val="auto"/>
                <w:sz w:val="24"/>
                <w:szCs w:val="24"/>
              </w:rPr>
              <w:t>适合于室外背景音乐场所、壁挂式安装；</w:t>
            </w:r>
          </w:p>
          <w:p w14:paraId="0AA53624">
            <w:pPr>
              <w:numPr>
                <w:ilvl w:val="0"/>
                <w:numId w:val="119"/>
              </w:numPr>
              <w:ind w:firstLine="0"/>
              <w:jc w:val="left"/>
              <w:rPr>
                <w:rFonts w:ascii="宋体" w:hAnsi="宋体" w:cs="宋体"/>
                <w:color w:val="auto"/>
                <w:sz w:val="24"/>
                <w:szCs w:val="24"/>
              </w:rPr>
            </w:pPr>
            <w:r>
              <w:rPr>
                <w:rFonts w:ascii="宋体" w:hAnsi="宋体" w:cs="宋体"/>
                <w:color w:val="auto"/>
                <w:sz w:val="24"/>
                <w:szCs w:val="24"/>
              </w:rPr>
              <w:t>额定功率：20W；</w:t>
            </w:r>
          </w:p>
          <w:p w14:paraId="170D5700">
            <w:pPr>
              <w:numPr>
                <w:ilvl w:val="0"/>
                <w:numId w:val="119"/>
              </w:numPr>
              <w:ind w:firstLine="0"/>
              <w:jc w:val="left"/>
              <w:rPr>
                <w:rFonts w:ascii="宋体" w:hAnsi="宋体" w:cs="宋体"/>
                <w:color w:val="auto"/>
                <w:sz w:val="24"/>
                <w:szCs w:val="24"/>
              </w:rPr>
            </w:pPr>
            <w:r>
              <w:rPr>
                <w:rFonts w:ascii="宋体" w:hAnsi="宋体" w:cs="宋体"/>
                <w:color w:val="auto"/>
                <w:sz w:val="24"/>
                <w:szCs w:val="24"/>
              </w:rPr>
              <w:t>线路输入：10kohms(Ω)300Mv非平衡信号；</w:t>
            </w:r>
          </w:p>
          <w:p w14:paraId="3A980B88">
            <w:pPr>
              <w:numPr>
                <w:ilvl w:val="0"/>
                <w:numId w:val="119"/>
              </w:numPr>
              <w:ind w:firstLine="0"/>
              <w:jc w:val="left"/>
              <w:rPr>
                <w:rFonts w:ascii="宋体" w:hAnsi="宋体" w:cs="宋体"/>
                <w:color w:val="auto"/>
                <w:sz w:val="24"/>
                <w:szCs w:val="24"/>
              </w:rPr>
            </w:pPr>
            <w:r>
              <w:rPr>
                <w:rFonts w:ascii="宋体" w:hAnsi="宋体" w:cs="宋体"/>
                <w:color w:val="auto"/>
                <w:sz w:val="24"/>
                <w:szCs w:val="24"/>
              </w:rPr>
              <w:t>频响：100Hz-18KHz（±3dB）；</w:t>
            </w:r>
          </w:p>
          <w:p w14:paraId="01535D16">
            <w:pPr>
              <w:numPr>
                <w:ilvl w:val="0"/>
                <w:numId w:val="119"/>
              </w:numPr>
              <w:ind w:firstLine="0"/>
              <w:jc w:val="left"/>
              <w:rPr>
                <w:rFonts w:ascii="宋体" w:hAnsi="宋体" w:cs="宋体"/>
                <w:color w:val="auto"/>
                <w:sz w:val="24"/>
                <w:szCs w:val="24"/>
              </w:rPr>
            </w:pPr>
            <w:r>
              <w:rPr>
                <w:rFonts w:ascii="宋体" w:hAnsi="宋体" w:cs="宋体"/>
                <w:color w:val="auto"/>
                <w:sz w:val="24"/>
                <w:szCs w:val="24"/>
              </w:rPr>
              <w:t>非线性失真THD：&lt;1%at1kHz，1/3额定输出功率；</w:t>
            </w:r>
          </w:p>
          <w:p w14:paraId="5B69319D">
            <w:pPr>
              <w:numPr>
                <w:ilvl w:val="0"/>
                <w:numId w:val="119"/>
              </w:numPr>
              <w:ind w:firstLine="0"/>
              <w:jc w:val="left"/>
              <w:rPr>
                <w:rFonts w:ascii="宋体" w:hAnsi="宋体" w:cs="宋体"/>
                <w:color w:val="auto"/>
                <w:sz w:val="24"/>
                <w:szCs w:val="24"/>
              </w:rPr>
            </w:pPr>
            <w:r>
              <w:rPr>
                <w:rFonts w:ascii="宋体" w:hAnsi="宋体" w:cs="宋体"/>
                <w:color w:val="auto"/>
                <w:sz w:val="24"/>
                <w:szCs w:val="24"/>
              </w:rPr>
              <w:t>信噪比S/N：&gt;70dB；</w:t>
            </w:r>
          </w:p>
          <w:p w14:paraId="447306E3">
            <w:pPr>
              <w:numPr>
                <w:ilvl w:val="0"/>
                <w:numId w:val="119"/>
              </w:numPr>
              <w:ind w:firstLine="0"/>
              <w:jc w:val="left"/>
              <w:rPr>
                <w:rFonts w:ascii="宋体" w:hAnsi="宋体" w:cs="宋体"/>
                <w:color w:val="auto"/>
                <w:sz w:val="24"/>
                <w:szCs w:val="24"/>
              </w:rPr>
            </w:pPr>
            <w:r>
              <w:rPr>
                <w:rFonts w:ascii="宋体" w:hAnsi="宋体" w:cs="宋体"/>
                <w:color w:val="auto"/>
                <w:sz w:val="24"/>
                <w:szCs w:val="24"/>
              </w:rPr>
              <w:t>喇叭单元：4"防水全频单元*1；2"高音*1保护：内置贴片保险丝；</w:t>
            </w:r>
          </w:p>
          <w:p w14:paraId="75EA8C8A">
            <w:pPr>
              <w:numPr>
                <w:ilvl w:val="0"/>
                <w:numId w:val="119"/>
              </w:numPr>
              <w:ind w:firstLine="0"/>
              <w:jc w:val="left"/>
              <w:rPr>
                <w:rFonts w:ascii="宋体" w:hAnsi="宋体" w:cs="宋体"/>
                <w:color w:val="auto"/>
                <w:sz w:val="24"/>
                <w:szCs w:val="24"/>
              </w:rPr>
            </w:pPr>
            <w:r>
              <w:rPr>
                <w:rFonts w:ascii="宋体" w:hAnsi="宋体" w:cs="宋体"/>
                <w:color w:val="auto"/>
                <w:sz w:val="24"/>
                <w:szCs w:val="24"/>
              </w:rPr>
              <w:t>安装形式：支架式安装；</w:t>
            </w:r>
          </w:p>
          <w:p w14:paraId="4F3DB38A">
            <w:pPr>
              <w:numPr>
                <w:ilvl w:val="0"/>
                <w:numId w:val="119"/>
              </w:numPr>
              <w:ind w:firstLine="0"/>
              <w:jc w:val="left"/>
              <w:rPr>
                <w:rFonts w:ascii="宋体" w:hAnsi="宋体" w:cs="宋体"/>
                <w:color w:val="auto"/>
                <w:sz w:val="24"/>
                <w:szCs w:val="24"/>
              </w:rPr>
            </w:pPr>
            <w:r>
              <w:rPr>
                <w:rFonts w:ascii="宋体" w:hAnsi="宋体" w:cs="宋体"/>
                <w:color w:val="auto"/>
                <w:sz w:val="24"/>
                <w:szCs w:val="24"/>
              </w:rPr>
              <w:t>供电电压：AC220V/50Hz；</w:t>
            </w:r>
          </w:p>
          <w:p w14:paraId="5E8BB161">
            <w:pPr>
              <w:numPr>
                <w:ilvl w:val="0"/>
                <w:numId w:val="119"/>
              </w:numPr>
              <w:ind w:firstLine="0"/>
              <w:jc w:val="left"/>
              <w:rPr>
                <w:color w:val="auto"/>
              </w:rPr>
            </w:pPr>
            <w:r>
              <w:rPr>
                <w:rFonts w:ascii="宋体" w:hAnsi="宋体" w:cs="宋体"/>
                <w:color w:val="auto"/>
                <w:sz w:val="24"/>
                <w:szCs w:val="24"/>
              </w:rPr>
              <w:t>外壳尺寸：</w:t>
            </w:r>
            <w:r>
              <w:rPr>
                <w:rFonts w:hint="eastAsia" w:ascii="宋体" w:hAnsi="宋体" w:cs="宋体"/>
                <w:color w:val="auto"/>
                <w:kern w:val="0"/>
                <w:sz w:val="24"/>
                <w:szCs w:val="24"/>
                <w:lang w:bidi="ar"/>
              </w:rPr>
              <w:t>不低于</w:t>
            </w:r>
            <w:r>
              <w:rPr>
                <w:rFonts w:hint="eastAsia" w:ascii="宋体" w:hAnsi="宋体" w:cs="宋体"/>
                <w:color w:val="auto"/>
                <w:sz w:val="24"/>
                <w:szCs w:val="24"/>
              </w:rPr>
              <w:t>小于</w:t>
            </w:r>
            <w:r>
              <w:rPr>
                <w:rFonts w:ascii="宋体" w:hAnsi="宋体" w:cs="宋体"/>
                <w:color w:val="auto"/>
                <w:sz w:val="24"/>
                <w:szCs w:val="24"/>
              </w:rPr>
              <w:t>150×96×336mm</w:t>
            </w:r>
            <w:r>
              <w:rPr>
                <w:rFonts w:hint="eastAsia" w:ascii="宋体" w:hAnsi="宋体" w:cs="宋体"/>
                <w:color w:val="auto"/>
                <w:sz w:val="24"/>
                <w:szCs w:val="24"/>
              </w:rPr>
              <w:t>；</w:t>
            </w:r>
          </w:p>
        </w:tc>
        <w:tc>
          <w:tcPr>
            <w:tcW w:w="81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A8DD349">
            <w:pPr>
              <w:jc w:val="center"/>
              <w:rPr>
                <w:rFonts w:ascii="宋体" w:hAnsi="宋体" w:cs="宋体"/>
                <w:color w:val="auto"/>
                <w:sz w:val="24"/>
                <w:szCs w:val="24"/>
              </w:rPr>
            </w:pPr>
            <w:r>
              <w:rPr>
                <w:rFonts w:hint="eastAsia" w:ascii="宋体" w:hAnsi="宋体" w:cs="宋体"/>
                <w:color w:val="auto"/>
                <w:sz w:val="24"/>
                <w:szCs w:val="24"/>
              </w:rPr>
              <w:t>台</w:t>
            </w:r>
          </w:p>
        </w:tc>
        <w:tc>
          <w:tcPr>
            <w:tcW w:w="79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B3D037D">
            <w:pPr>
              <w:jc w:val="center"/>
              <w:rPr>
                <w:rFonts w:ascii="宋体" w:hAnsi="宋体" w:cs="宋体"/>
                <w:color w:val="auto"/>
                <w:sz w:val="24"/>
                <w:szCs w:val="24"/>
              </w:rPr>
            </w:pPr>
            <w:r>
              <w:rPr>
                <w:rFonts w:hint="eastAsia" w:ascii="宋体" w:hAnsi="宋体" w:cs="宋体"/>
                <w:color w:val="auto"/>
                <w:sz w:val="24"/>
                <w:szCs w:val="24"/>
              </w:rPr>
              <w:t>按需配置并征得采购人书面同意</w:t>
            </w:r>
          </w:p>
        </w:tc>
      </w:tr>
      <w:tr w14:paraId="4109D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4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04FCA0B">
            <w:pPr>
              <w:widowControl/>
              <w:jc w:val="center"/>
              <w:textAlignment w:val="center"/>
              <w:rPr>
                <w:rFonts w:ascii="宋体" w:hAnsi="宋体" w:cs="宋体"/>
                <w:color w:val="auto"/>
                <w:sz w:val="24"/>
                <w:szCs w:val="24"/>
              </w:rPr>
            </w:pPr>
            <w:r>
              <w:rPr>
                <w:rFonts w:ascii="宋体" w:hAnsi="宋体" w:cs="宋体"/>
                <w:color w:val="auto"/>
                <w:kern w:val="0"/>
                <w:sz w:val="24"/>
                <w:szCs w:val="24"/>
                <w:lang w:bidi="ar"/>
              </w:rPr>
              <w:t>7</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14:paraId="6E4CB59C">
            <w:pPr>
              <w:jc w:val="center"/>
              <w:rPr>
                <w:rFonts w:ascii="宋体" w:hAnsi="宋体" w:cs="宋体"/>
                <w:color w:val="auto"/>
                <w:sz w:val="24"/>
                <w:szCs w:val="24"/>
              </w:rPr>
            </w:pPr>
            <w:r>
              <w:rPr>
                <w:rFonts w:ascii="宋体" w:hAnsi="宋体" w:cs="宋体"/>
                <w:color w:val="auto"/>
                <w:sz w:val="24"/>
                <w:szCs w:val="24"/>
              </w:rPr>
              <w:t>AI盒子</w:t>
            </w:r>
          </w:p>
        </w:tc>
        <w:tc>
          <w:tcPr>
            <w:tcW w:w="6114"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2B0F391">
            <w:pPr>
              <w:numPr>
                <w:ilvl w:val="0"/>
                <w:numId w:val="120"/>
              </w:numPr>
              <w:ind w:left="0" w:firstLine="0"/>
              <w:jc w:val="left"/>
              <w:rPr>
                <w:rFonts w:ascii="宋体" w:hAnsi="宋体" w:cs="宋体"/>
                <w:color w:val="auto"/>
                <w:sz w:val="24"/>
                <w:szCs w:val="24"/>
              </w:rPr>
            </w:pPr>
            <w:r>
              <w:rPr>
                <w:rFonts w:hint="eastAsia" w:ascii="宋体" w:hAnsi="宋体" w:cs="宋体"/>
                <w:color w:val="auto"/>
                <w:sz w:val="24"/>
                <w:szCs w:val="24"/>
              </w:rPr>
              <w:t>功能</w:t>
            </w:r>
            <w:r>
              <w:rPr>
                <w:rFonts w:hint="eastAsia" w:ascii="宋体" w:hAnsi="宋体" w:cs="宋体"/>
                <w:color w:val="auto"/>
                <w:kern w:val="0"/>
                <w:sz w:val="24"/>
                <w:szCs w:val="24"/>
                <w:lang w:bidi="ar"/>
              </w:rPr>
              <w:t>描述：</w:t>
            </w:r>
          </w:p>
          <w:p w14:paraId="7633D2F1">
            <w:pPr>
              <w:widowControl/>
              <w:numPr>
                <w:ilvl w:val="0"/>
                <w:numId w:val="121"/>
              </w:numPr>
              <w:ind w:left="0" w:firstLine="0"/>
              <w:jc w:val="left"/>
              <w:textAlignment w:val="center"/>
              <w:rPr>
                <w:rFonts w:ascii="宋体" w:hAnsi="宋体" w:cs="宋体"/>
                <w:color w:val="auto"/>
                <w:sz w:val="24"/>
                <w:szCs w:val="24"/>
              </w:rPr>
            </w:pPr>
            <w:r>
              <w:rPr>
                <w:rFonts w:hint="eastAsia" w:ascii="宋体" w:hAnsi="宋体" w:cs="宋体"/>
                <w:color w:val="auto"/>
                <w:sz w:val="24"/>
                <w:szCs w:val="24"/>
              </w:rPr>
              <w:t>实现有害生物抓拍并上传系统预警；</w:t>
            </w:r>
          </w:p>
          <w:p w14:paraId="6A39F78A">
            <w:pPr>
              <w:widowControl/>
              <w:numPr>
                <w:ilvl w:val="0"/>
                <w:numId w:val="121"/>
              </w:numPr>
              <w:ind w:left="0" w:firstLine="0"/>
              <w:jc w:val="left"/>
              <w:textAlignment w:val="center"/>
              <w:rPr>
                <w:rFonts w:ascii="宋体" w:hAnsi="宋体" w:cs="宋体"/>
                <w:color w:val="auto"/>
                <w:sz w:val="24"/>
                <w:szCs w:val="24"/>
              </w:rPr>
            </w:pPr>
            <w:r>
              <w:rPr>
                <w:rFonts w:hint="eastAsia" w:ascii="宋体" w:hAnsi="宋体" w:cs="宋体"/>
                <w:color w:val="auto"/>
                <w:sz w:val="24"/>
                <w:szCs w:val="24"/>
              </w:rPr>
              <w:t>支持利旧普通摄像头做识别分析；</w:t>
            </w:r>
          </w:p>
          <w:p w14:paraId="008CAB04">
            <w:pPr>
              <w:widowControl/>
              <w:numPr>
                <w:ilvl w:val="0"/>
                <w:numId w:val="121"/>
              </w:numPr>
              <w:ind w:left="0" w:firstLine="0"/>
              <w:jc w:val="left"/>
              <w:textAlignment w:val="center"/>
              <w:rPr>
                <w:rFonts w:ascii="宋体" w:hAnsi="宋体" w:cs="宋体"/>
                <w:color w:val="auto"/>
                <w:sz w:val="24"/>
                <w:szCs w:val="24"/>
              </w:rPr>
            </w:pPr>
            <w:r>
              <w:rPr>
                <w:rFonts w:hint="eastAsia" w:ascii="宋体" w:hAnsi="宋体" w:cs="宋体"/>
                <w:color w:val="auto"/>
                <w:sz w:val="24"/>
                <w:szCs w:val="24"/>
              </w:rPr>
              <w:t>支持口罩、工服、工帽三白预警抓拍；</w:t>
            </w:r>
          </w:p>
          <w:p w14:paraId="6D37F6CD">
            <w:pPr>
              <w:numPr>
                <w:ilvl w:val="0"/>
                <w:numId w:val="120"/>
              </w:numPr>
              <w:ind w:left="0" w:firstLine="0"/>
              <w:jc w:val="left"/>
              <w:rPr>
                <w:rFonts w:ascii="宋体" w:hAnsi="宋体" w:cs="宋体"/>
                <w:color w:val="auto"/>
                <w:sz w:val="24"/>
                <w:szCs w:val="24"/>
              </w:rPr>
            </w:pPr>
            <w:r>
              <w:rPr>
                <w:rFonts w:hint="eastAsia" w:ascii="宋体" w:hAnsi="宋体" w:cs="宋体"/>
                <w:color w:val="auto"/>
                <w:sz w:val="24"/>
                <w:szCs w:val="24"/>
              </w:rPr>
              <w:t>设备参数：</w:t>
            </w:r>
          </w:p>
          <w:p w14:paraId="13262294">
            <w:pPr>
              <w:numPr>
                <w:ilvl w:val="0"/>
                <w:numId w:val="122"/>
              </w:numPr>
              <w:ind w:left="0" w:firstLine="0"/>
              <w:jc w:val="left"/>
              <w:rPr>
                <w:rFonts w:ascii="宋体" w:hAnsi="宋体" w:cs="宋体"/>
                <w:color w:val="auto"/>
                <w:sz w:val="24"/>
                <w:szCs w:val="24"/>
              </w:rPr>
            </w:pPr>
            <w:r>
              <w:rPr>
                <w:rFonts w:hint="eastAsia" w:ascii="宋体" w:hAnsi="宋体" w:cs="宋体"/>
                <w:color w:val="auto"/>
                <w:sz w:val="24"/>
                <w:szCs w:val="24"/>
              </w:rPr>
              <w:t>基本参数：</w:t>
            </w:r>
          </w:p>
          <w:p w14:paraId="596D0114">
            <w:pPr>
              <w:widowControl/>
              <w:numPr>
                <w:ilvl w:val="0"/>
                <w:numId w:val="123"/>
              </w:numPr>
              <w:ind w:firstLine="0"/>
              <w:jc w:val="left"/>
              <w:textAlignment w:val="center"/>
              <w:rPr>
                <w:rFonts w:ascii="宋体" w:hAnsi="宋体" w:cs="宋体"/>
                <w:color w:val="auto"/>
                <w:sz w:val="24"/>
                <w:szCs w:val="24"/>
              </w:rPr>
            </w:pPr>
            <w:r>
              <w:rPr>
                <w:rFonts w:hint="eastAsia" w:ascii="宋体" w:hAnsi="宋体" w:cs="宋体"/>
                <w:color w:val="auto"/>
                <w:sz w:val="24"/>
                <w:szCs w:val="24"/>
              </w:rPr>
              <w:t>处理器：六核处理器，双</w:t>
            </w:r>
            <w:r>
              <w:rPr>
                <w:rFonts w:ascii="宋体" w:hAnsi="宋体" w:cs="宋体"/>
                <w:color w:val="auto"/>
                <w:sz w:val="24"/>
                <w:szCs w:val="24"/>
              </w:rPr>
              <w:t>Cortex-A72+四Cortex-A53大小核CPU结构，频率不低于1.8GHz；</w:t>
            </w:r>
          </w:p>
          <w:p w14:paraId="7429D154">
            <w:pPr>
              <w:widowControl/>
              <w:numPr>
                <w:ilvl w:val="0"/>
                <w:numId w:val="123"/>
              </w:numPr>
              <w:ind w:firstLine="0"/>
              <w:jc w:val="left"/>
              <w:textAlignment w:val="center"/>
              <w:rPr>
                <w:rFonts w:ascii="宋体" w:hAnsi="宋体" w:cs="宋体"/>
                <w:color w:val="auto"/>
                <w:sz w:val="24"/>
                <w:szCs w:val="24"/>
              </w:rPr>
            </w:pPr>
            <w:r>
              <w:rPr>
                <w:rFonts w:ascii="宋体" w:hAnsi="宋体" w:cs="宋体"/>
                <w:color w:val="auto"/>
                <w:sz w:val="24"/>
                <w:szCs w:val="24"/>
              </w:rPr>
              <w:t>GPU：</w:t>
            </w:r>
            <w:r>
              <w:rPr>
                <w:rFonts w:hint="eastAsia" w:ascii="宋体" w:hAnsi="宋体" w:cs="宋体"/>
                <w:color w:val="auto"/>
                <w:sz w:val="24"/>
                <w:szCs w:val="24"/>
              </w:rPr>
              <w:t>四核</w:t>
            </w:r>
            <w:r>
              <w:rPr>
                <w:rFonts w:ascii="宋体" w:hAnsi="宋体" w:cs="宋体"/>
                <w:color w:val="auto"/>
                <w:sz w:val="24"/>
                <w:szCs w:val="24"/>
              </w:rPr>
              <w:t>GPU，支持OpenGLES1.1/2.0/3.0/3.1，OpenVG1.1，OpenCL；</w:t>
            </w:r>
          </w:p>
          <w:p w14:paraId="6D505B7B">
            <w:pPr>
              <w:numPr>
                <w:ilvl w:val="0"/>
                <w:numId w:val="122"/>
              </w:numPr>
              <w:ind w:left="0" w:firstLine="0"/>
              <w:jc w:val="left"/>
              <w:rPr>
                <w:rFonts w:ascii="宋体" w:hAnsi="宋体" w:cs="宋体"/>
                <w:color w:val="auto"/>
                <w:sz w:val="24"/>
                <w:szCs w:val="24"/>
              </w:rPr>
            </w:pPr>
            <w:r>
              <w:rPr>
                <w:rFonts w:hint="eastAsia" w:ascii="宋体" w:hAnsi="宋体" w:cs="宋体"/>
                <w:color w:val="auto"/>
                <w:sz w:val="24"/>
                <w:szCs w:val="24"/>
              </w:rPr>
              <w:t>接口参数：</w:t>
            </w:r>
          </w:p>
          <w:p w14:paraId="69A8373C">
            <w:pPr>
              <w:widowControl/>
              <w:numPr>
                <w:ilvl w:val="0"/>
                <w:numId w:val="124"/>
              </w:numPr>
              <w:ind w:firstLine="0"/>
              <w:jc w:val="left"/>
              <w:textAlignment w:val="center"/>
              <w:rPr>
                <w:rFonts w:ascii="宋体" w:hAnsi="宋体" w:cs="宋体"/>
                <w:color w:val="auto"/>
                <w:sz w:val="24"/>
                <w:szCs w:val="24"/>
              </w:rPr>
            </w:pPr>
            <w:r>
              <w:rPr>
                <w:rFonts w:ascii="宋体" w:hAnsi="宋体" w:cs="宋体"/>
                <w:color w:val="auto"/>
                <w:sz w:val="24"/>
                <w:szCs w:val="24"/>
              </w:rPr>
              <w:t>USB接口：USBx2；</w:t>
            </w:r>
          </w:p>
          <w:p w14:paraId="6636581F">
            <w:pPr>
              <w:widowControl/>
              <w:numPr>
                <w:ilvl w:val="0"/>
                <w:numId w:val="124"/>
              </w:numPr>
              <w:ind w:firstLine="0"/>
              <w:jc w:val="left"/>
              <w:textAlignment w:val="center"/>
              <w:rPr>
                <w:rFonts w:ascii="宋体" w:hAnsi="宋体" w:cs="宋体"/>
                <w:color w:val="auto"/>
                <w:sz w:val="24"/>
                <w:szCs w:val="24"/>
              </w:rPr>
            </w:pPr>
            <w:r>
              <w:rPr>
                <w:rFonts w:hint="eastAsia" w:ascii="宋体" w:hAnsi="宋体" w:cs="宋体"/>
                <w:color w:val="auto"/>
                <w:sz w:val="24"/>
                <w:szCs w:val="24"/>
              </w:rPr>
              <w:t>物联网接口：支持</w:t>
            </w:r>
            <w:r>
              <w:rPr>
                <w:rFonts w:ascii="宋体" w:hAnsi="宋体" w:cs="宋体"/>
                <w:color w:val="auto"/>
                <w:sz w:val="24"/>
                <w:szCs w:val="24"/>
              </w:rPr>
              <w:t>1个RS485；</w:t>
            </w:r>
          </w:p>
          <w:p w14:paraId="5AF436EC">
            <w:pPr>
              <w:numPr>
                <w:ilvl w:val="0"/>
                <w:numId w:val="122"/>
              </w:numPr>
              <w:ind w:left="0" w:firstLine="0"/>
              <w:jc w:val="left"/>
              <w:rPr>
                <w:rFonts w:ascii="宋体" w:hAnsi="宋体" w:cs="宋体"/>
                <w:color w:val="auto"/>
                <w:sz w:val="24"/>
                <w:szCs w:val="24"/>
              </w:rPr>
            </w:pPr>
            <w:r>
              <w:rPr>
                <w:rFonts w:hint="eastAsia" w:ascii="宋体" w:hAnsi="宋体" w:cs="宋体"/>
                <w:color w:val="auto"/>
                <w:sz w:val="24"/>
                <w:szCs w:val="24"/>
              </w:rPr>
              <w:t>其他参数：</w:t>
            </w:r>
          </w:p>
          <w:p w14:paraId="64C64A40">
            <w:pPr>
              <w:widowControl/>
              <w:numPr>
                <w:ilvl w:val="0"/>
                <w:numId w:val="125"/>
              </w:numPr>
              <w:ind w:firstLine="0"/>
              <w:jc w:val="left"/>
              <w:textAlignment w:val="center"/>
              <w:rPr>
                <w:rFonts w:ascii="宋体" w:hAnsi="宋体" w:cs="宋体"/>
                <w:color w:val="auto"/>
                <w:sz w:val="24"/>
                <w:szCs w:val="24"/>
              </w:rPr>
            </w:pPr>
            <w:r>
              <w:rPr>
                <w:rFonts w:ascii="宋体" w:hAnsi="宋体" w:cs="宋体"/>
                <w:color w:val="auto"/>
                <w:sz w:val="24"/>
                <w:szCs w:val="24"/>
              </w:rPr>
              <w:t>DX11，支持AFBC（帧缓冲压缩）；</w:t>
            </w:r>
          </w:p>
          <w:p w14:paraId="63D03227">
            <w:pPr>
              <w:widowControl/>
              <w:numPr>
                <w:ilvl w:val="0"/>
                <w:numId w:val="125"/>
              </w:numPr>
              <w:ind w:firstLine="0"/>
              <w:jc w:val="left"/>
              <w:textAlignment w:val="center"/>
              <w:rPr>
                <w:rFonts w:ascii="宋体" w:hAnsi="宋体" w:cs="宋体"/>
                <w:color w:val="auto"/>
                <w:sz w:val="24"/>
                <w:szCs w:val="24"/>
              </w:rPr>
            </w:pPr>
            <w:r>
              <w:rPr>
                <w:rFonts w:hint="eastAsia" w:ascii="宋体" w:hAnsi="宋体" w:cs="宋体"/>
                <w:color w:val="auto"/>
                <w:sz w:val="24"/>
                <w:szCs w:val="24"/>
              </w:rPr>
              <w:t>内存与</w:t>
            </w:r>
            <w:r>
              <w:rPr>
                <w:rFonts w:ascii="宋体" w:hAnsi="宋体" w:cs="宋体"/>
                <w:color w:val="auto"/>
                <w:sz w:val="24"/>
                <w:szCs w:val="24"/>
              </w:rPr>
              <w:t>flash：4G内存、64G芯片存储；</w:t>
            </w:r>
          </w:p>
          <w:p w14:paraId="283C6E17">
            <w:pPr>
              <w:widowControl/>
              <w:numPr>
                <w:ilvl w:val="0"/>
                <w:numId w:val="125"/>
              </w:numPr>
              <w:ind w:firstLine="0"/>
              <w:jc w:val="left"/>
              <w:textAlignment w:val="center"/>
              <w:rPr>
                <w:rFonts w:ascii="宋体" w:hAnsi="宋体" w:cs="宋体"/>
                <w:color w:val="auto"/>
                <w:sz w:val="24"/>
                <w:szCs w:val="24"/>
              </w:rPr>
            </w:pPr>
            <w:r>
              <w:rPr>
                <w:rFonts w:hint="eastAsia" w:ascii="宋体" w:hAnsi="宋体" w:cs="宋体"/>
                <w:color w:val="auto"/>
                <w:sz w:val="24"/>
                <w:szCs w:val="24"/>
              </w:rPr>
              <w:t>存储：内置监控级硬盘，最大支持</w:t>
            </w:r>
            <w:r>
              <w:rPr>
                <w:rFonts w:ascii="宋体" w:hAnsi="宋体" w:cs="宋体"/>
                <w:color w:val="auto"/>
                <w:sz w:val="24"/>
                <w:szCs w:val="24"/>
              </w:rPr>
              <w:t>16TB；</w:t>
            </w:r>
          </w:p>
          <w:p w14:paraId="2057A2E5">
            <w:pPr>
              <w:widowControl/>
              <w:numPr>
                <w:ilvl w:val="0"/>
                <w:numId w:val="125"/>
              </w:numPr>
              <w:ind w:firstLine="0"/>
              <w:jc w:val="left"/>
              <w:textAlignment w:val="center"/>
              <w:rPr>
                <w:rFonts w:ascii="宋体" w:hAnsi="宋体" w:cs="宋体"/>
                <w:color w:val="auto"/>
                <w:sz w:val="24"/>
                <w:szCs w:val="24"/>
              </w:rPr>
            </w:pPr>
            <w:r>
              <w:rPr>
                <w:rFonts w:hint="eastAsia" w:ascii="宋体" w:hAnsi="宋体" w:cs="宋体"/>
                <w:color w:val="auto"/>
                <w:sz w:val="24"/>
                <w:szCs w:val="24"/>
              </w:rPr>
              <w:t>报警输入输出：</w:t>
            </w:r>
            <w:r>
              <w:rPr>
                <w:rFonts w:ascii="宋体" w:hAnsi="宋体" w:cs="宋体"/>
                <w:color w:val="auto"/>
                <w:sz w:val="24"/>
                <w:szCs w:val="24"/>
              </w:rPr>
              <w:t>GPIO口：2进1出，可接开关量报警探头和联动输出电路控制设备；</w:t>
            </w:r>
          </w:p>
          <w:p w14:paraId="030EBC78">
            <w:pPr>
              <w:widowControl/>
              <w:numPr>
                <w:ilvl w:val="0"/>
                <w:numId w:val="125"/>
              </w:numPr>
              <w:ind w:firstLine="0"/>
              <w:jc w:val="left"/>
              <w:textAlignment w:val="center"/>
              <w:rPr>
                <w:rFonts w:ascii="宋体" w:hAnsi="宋体" w:cs="宋体"/>
                <w:color w:val="auto"/>
                <w:sz w:val="24"/>
                <w:szCs w:val="24"/>
              </w:rPr>
            </w:pPr>
            <w:r>
              <w:rPr>
                <w:rFonts w:hint="eastAsia" w:ascii="宋体" w:hAnsi="宋体" w:cs="宋体"/>
                <w:color w:val="auto"/>
                <w:sz w:val="24"/>
                <w:szCs w:val="24"/>
              </w:rPr>
              <w:t>音频输入输出：</w:t>
            </w:r>
            <w:r>
              <w:rPr>
                <w:rFonts w:ascii="宋体" w:hAnsi="宋体" w:cs="宋体"/>
                <w:color w:val="auto"/>
                <w:sz w:val="24"/>
                <w:szCs w:val="24"/>
              </w:rPr>
              <w:t>RCA接口1进1出，外部MIC插孔（3.5MM）1个；</w:t>
            </w:r>
          </w:p>
          <w:p w14:paraId="69F12EBF">
            <w:pPr>
              <w:widowControl/>
              <w:numPr>
                <w:ilvl w:val="0"/>
                <w:numId w:val="125"/>
              </w:numPr>
              <w:ind w:firstLine="0"/>
              <w:jc w:val="left"/>
              <w:textAlignment w:val="center"/>
              <w:rPr>
                <w:rFonts w:ascii="宋体" w:hAnsi="宋体" w:cs="宋体"/>
                <w:color w:val="auto"/>
                <w:sz w:val="24"/>
                <w:szCs w:val="24"/>
              </w:rPr>
            </w:pPr>
            <w:r>
              <w:rPr>
                <w:rFonts w:hint="eastAsia" w:ascii="宋体" w:hAnsi="宋体" w:cs="宋体"/>
                <w:color w:val="auto"/>
                <w:sz w:val="24"/>
                <w:szCs w:val="24"/>
              </w:rPr>
              <w:t>视频输出：</w:t>
            </w:r>
            <w:r>
              <w:rPr>
                <w:rFonts w:ascii="宋体" w:hAnsi="宋体" w:cs="宋体"/>
                <w:color w:val="auto"/>
                <w:sz w:val="24"/>
                <w:szCs w:val="24"/>
              </w:rPr>
              <w:t>HDMIx1；</w:t>
            </w:r>
          </w:p>
          <w:p w14:paraId="0645815E">
            <w:pPr>
              <w:widowControl/>
              <w:numPr>
                <w:ilvl w:val="0"/>
                <w:numId w:val="125"/>
              </w:numPr>
              <w:ind w:firstLine="0"/>
              <w:jc w:val="left"/>
              <w:textAlignment w:val="center"/>
              <w:rPr>
                <w:rFonts w:ascii="宋体" w:hAnsi="宋体" w:cs="宋体"/>
                <w:color w:val="auto"/>
                <w:sz w:val="24"/>
                <w:szCs w:val="24"/>
              </w:rPr>
            </w:pPr>
            <w:r>
              <w:rPr>
                <w:rFonts w:ascii="宋体" w:hAnsi="宋体" w:cs="宋体"/>
                <w:color w:val="auto"/>
                <w:sz w:val="24"/>
                <w:szCs w:val="24"/>
              </w:rPr>
              <w:t>WiFi/4G/5G:WiFi/4G/5G；</w:t>
            </w:r>
          </w:p>
          <w:p w14:paraId="65E9E85B">
            <w:pPr>
              <w:widowControl/>
              <w:numPr>
                <w:ilvl w:val="0"/>
                <w:numId w:val="125"/>
              </w:numPr>
              <w:ind w:firstLine="0"/>
              <w:jc w:val="left"/>
              <w:textAlignment w:val="center"/>
              <w:rPr>
                <w:rFonts w:ascii="宋体" w:hAnsi="宋体" w:cs="宋体"/>
                <w:color w:val="auto"/>
                <w:sz w:val="24"/>
                <w:szCs w:val="24"/>
              </w:rPr>
            </w:pPr>
            <w:r>
              <w:rPr>
                <w:rFonts w:hint="eastAsia" w:ascii="宋体" w:hAnsi="宋体" w:cs="宋体"/>
                <w:color w:val="auto"/>
                <w:sz w:val="24"/>
                <w:szCs w:val="24"/>
              </w:rPr>
              <w:t>工作湿度：≤</w:t>
            </w:r>
            <w:r>
              <w:rPr>
                <w:rFonts w:ascii="宋体" w:hAnsi="宋体" w:cs="宋体"/>
                <w:color w:val="auto"/>
                <w:sz w:val="24"/>
                <w:szCs w:val="24"/>
              </w:rPr>
              <w:t>90%；</w:t>
            </w:r>
          </w:p>
          <w:p w14:paraId="728DFF39">
            <w:pPr>
              <w:widowControl/>
              <w:numPr>
                <w:ilvl w:val="0"/>
                <w:numId w:val="125"/>
              </w:numPr>
              <w:ind w:firstLine="0"/>
              <w:jc w:val="left"/>
              <w:textAlignment w:val="center"/>
              <w:rPr>
                <w:rFonts w:ascii="宋体" w:hAnsi="宋体" w:cs="宋体"/>
                <w:color w:val="auto"/>
                <w:sz w:val="24"/>
                <w:szCs w:val="24"/>
              </w:rPr>
            </w:pPr>
            <w:r>
              <w:rPr>
                <w:rFonts w:hint="eastAsia" w:ascii="宋体" w:hAnsi="宋体" w:cs="宋体"/>
                <w:color w:val="auto"/>
                <w:sz w:val="24"/>
                <w:szCs w:val="24"/>
              </w:rPr>
              <w:t>工作温度：</w:t>
            </w:r>
            <w:r>
              <w:rPr>
                <w:rFonts w:ascii="宋体" w:hAnsi="宋体" w:cs="宋体"/>
                <w:color w:val="auto"/>
                <w:sz w:val="24"/>
                <w:szCs w:val="24"/>
              </w:rPr>
              <w:t>-10℃~+50℃；</w:t>
            </w:r>
          </w:p>
          <w:p w14:paraId="0CF2CB55">
            <w:pPr>
              <w:widowControl/>
              <w:numPr>
                <w:ilvl w:val="0"/>
                <w:numId w:val="125"/>
              </w:numPr>
              <w:ind w:firstLine="0"/>
              <w:jc w:val="left"/>
              <w:textAlignment w:val="center"/>
              <w:rPr>
                <w:rFonts w:ascii="宋体" w:hAnsi="宋体" w:cs="宋体"/>
                <w:color w:val="auto"/>
                <w:sz w:val="24"/>
                <w:szCs w:val="24"/>
              </w:rPr>
            </w:pPr>
            <w:r>
              <w:rPr>
                <w:rFonts w:hint="eastAsia" w:ascii="宋体" w:hAnsi="宋体" w:cs="宋体"/>
                <w:color w:val="auto"/>
                <w:sz w:val="24"/>
                <w:szCs w:val="24"/>
              </w:rPr>
              <w:t>电源：</w:t>
            </w:r>
            <w:r>
              <w:rPr>
                <w:rFonts w:ascii="宋体" w:hAnsi="宋体" w:cs="宋体"/>
                <w:color w:val="auto"/>
                <w:sz w:val="24"/>
                <w:szCs w:val="24"/>
              </w:rPr>
              <w:t>DC12V5A；</w:t>
            </w:r>
          </w:p>
          <w:p w14:paraId="2934B16D">
            <w:pPr>
              <w:widowControl/>
              <w:numPr>
                <w:ilvl w:val="0"/>
                <w:numId w:val="125"/>
              </w:numPr>
              <w:ind w:firstLine="0"/>
              <w:jc w:val="left"/>
              <w:textAlignment w:val="center"/>
              <w:rPr>
                <w:rFonts w:ascii="宋体" w:hAnsi="宋体" w:cs="宋体"/>
                <w:color w:val="auto"/>
                <w:sz w:val="24"/>
                <w:szCs w:val="24"/>
              </w:rPr>
            </w:pPr>
            <w:r>
              <w:rPr>
                <w:rFonts w:hint="eastAsia" w:ascii="宋体" w:hAnsi="宋体" w:cs="宋体"/>
                <w:color w:val="auto"/>
                <w:sz w:val="24"/>
                <w:szCs w:val="24"/>
              </w:rPr>
              <w:t>尺寸：</w:t>
            </w:r>
            <w:r>
              <w:rPr>
                <w:rFonts w:hint="eastAsia" w:ascii="宋体" w:hAnsi="宋体" w:cs="宋体"/>
                <w:color w:val="auto"/>
                <w:kern w:val="0"/>
                <w:sz w:val="24"/>
                <w:szCs w:val="24"/>
                <w:lang w:bidi="ar"/>
              </w:rPr>
              <w:t>不低于</w:t>
            </w:r>
            <w:r>
              <w:rPr>
                <w:rFonts w:ascii="宋体" w:hAnsi="宋体" w:cs="宋体"/>
                <w:color w:val="auto"/>
                <w:sz w:val="24"/>
                <w:szCs w:val="24"/>
              </w:rPr>
              <w:t>320mm×214mm×40mm（长宽高）；</w:t>
            </w:r>
          </w:p>
        </w:tc>
        <w:tc>
          <w:tcPr>
            <w:tcW w:w="81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73B74A6">
            <w:pPr>
              <w:jc w:val="center"/>
              <w:rPr>
                <w:rFonts w:ascii="宋体" w:hAnsi="宋体" w:cs="宋体"/>
                <w:color w:val="auto"/>
                <w:sz w:val="24"/>
                <w:szCs w:val="24"/>
              </w:rPr>
            </w:pPr>
            <w:r>
              <w:rPr>
                <w:rFonts w:hint="eastAsia" w:ascii="宋体" w:hAnsi="宋体" w:cs="宋体"/>
                <w:color w:val="auto"/>
                <w:sz w:val="24"/>
                <w:szCs w:val="24"/>
              </w:rPr>
              <w:t>台</w:t>
            </w:r>
          </w:p>
        </w:tc>
        <w:tc>
          <w:tcPr>
            <w:tcW w:w="79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CEA8EE3">
            <w:pPr>
              <w:jc w:val="center"/>
              <w:rPr>
                <w:rFonts w:ascii="宋体" w:hAnsi="宋体" w:cs="宋体"/>
                <w:color w:val="auto"/>
                <w:sz w:val="24"/>
                <w:szCs w:val="24"/>
              </w:rPr>
            </w:pPr>
            <w:r>
              <w:rPr>
                <w:rFonts w:hint="eastAsia" w:ascii="宋体" w:hAnsi="宋体" w:cs="宋体"/>
                <w:color w:val="auto"/>
                <w:sz w:val="24"/>
                <w:szCs w:val="24"/>
              </w:rPr>
              <w:t>按需配置并征得采购人书面同意</w:t>
            </w:r>
          </w:p>
        </w:tc>
      </w:tr>
      <w:tr w14:paraId="2ADDF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47" w:type="dxa"/>
            <w:tcBorders>
              <w:top w:val="single" w:color="auto" w:sz="4" w:space="0"/>
              <w:left w:val="single" w:color="auto" w:sz="4" w:space="0"/>
              <w:bottom w:val="single" w:color="auto" w:sz="4" w:space="0"/>
              <w:right w:val="single" w:color="auto" w:sz="4" w:space="0"/>
            </w:tcBorders>
            <w:shd w:val="clear" w:color="auto" w:fill="FFFFFF"/>
            <w:vAlign w:val="center"/>
          </w:tcPr>
          <w:p w14:paraId="6E009717">
            <w:pPr>
              <w:widowControl/>
              <w:jc w:val="center"/>
              <w:textAlignment w:val="center"/>
              <w:rPr>
                <w:rFonts w:ascii="宋体" w:hAnsi="宋体" w:cs="宋体"/>
                <w:color w:val="auto"/>
                <w:sz w:val="24"/>
                <w:szCs w:val="24"/>
              </w:rPr>
            </w:pPr>
            <w:r>
              <w:rPr>
                <w:rFonts w:ascii="宋体" w:hAnsi="宋体" w:cs="宋体"/>
                <w:color w:val="auto"/>
                <w:kern w:val="0"/>
                <w:sz w:val="24"/>
                <w:szCs w:val="24"/>
                <w:lang w:bidi="ar"/>
              </w:rPr>
              <w:t>8</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14:paraId="05AD2D0C">
            <w:pPr>
              <w:jc w:val="center"/>
              <w:rPr>
                <w:rFonts w:ascii="宋体" w:hAnsi="宋体" w:cs="宋体"/>
                <w:color w:val="auto"/>
                <w:sz w:val="24"/>
                <w:szCs w:val="24"/>
              </w:rPr>
            </w:pPr>
            <w:r>
              <w:rPr>
                <w:rFonts w:hint="eastAsia" w:ascii="宋体" w:hAnsi="宋体" w:cs="宋体"/>
                <w:color w:val="auto"/>
                <w:sz w:val="24"/>
                <w:szCs w:val="24"/>
              </w:rPr>
              <w:t>数据驾驶舱</w:t>
            </w:r>
          </w:p>
        </w:tc>
        <w:tc>
          <w:tcPr>
            <w:tcW w:w="6114" w:type="dxa"/>
            <w:tcBorders>
              <w:top w:val="single" w:color="auto" w:sz="4" w:space="0"/>
              <w:left w:val="single" w:color="auto" w:sz="4" w:space="0"/>
              <w:bottom w:val="single" w:color="auto" w:sz="4" w:space="0"/>
              <w:right w:val="single" w:color="auto" w:sz="4" w:space="0"/>
            </w:tcBorders>
            <w:shd w:val="clear" w:color="auto" w:fill="FFFFFF"/>
            <w:vAlign w:val="center"/>
          </w:tcPr>
          <w:p w14:paraId="34FFAB80">
            <w:pPr>
              <w:numPr>
                <w:ilvl w:val="0"/>
                <w:numId w:val="126"/>
              </w:numPr>
              <w:ind w:left="0" w:firstLine="0"/>
              <w:jc w:val="left"/>
              <w:rPr>
                <w:rFonts w:ascii="宋体" w:hAnsi="宋体" w:cs="宋体"/>
                <w:color w:val="auto"/>
                <w:sz w:val="24"/>
                <w:szCs w:val="24"/>
              </w:rPr>
            </w:pPr>
            <w:r>
              <w:rPr>
                <w:rFonts w:hint="eastAsia" w:ascii="宋体" w:hAnsi="宋体" w:cs="宋体"/>
                <w:color w:val="auto"/>
                <w:sz w:val="24"/>
                <w:szCs w:val="24"/>
              </w:rPr>
              <w:t>功能</w:t>
            </w:r>
            <w:r>
              <w:rPr>
                <w:rFonts w:hint="eastAsia" w:ascii="宋体" w:hAnsi="宋体" w:cs="宋体"/>
                <w:color w:val="auto"/>
                <w:kern w:val="0"/>
                <w:sz w:val="24"/>
                <w:szCs w:val="24"/>
                <w:lang w:bidi="ar"/>
              </w:rPr>
              <w:t>描述：</w:t>
            </w:r>
          </w:p>
          <w:p w14:paraId="2642AB63">
            <w:pPr>
              <w:numPr>
                <w:ilvl w:val="0"/>
                <w:numId w:val="127"/>
              </w:numPr>
              <w:jc w:val="left"/>
              <w:rPr>
                <w:rFonts w:ascii="宋体" w:hAnsi="宋体" w:cs="宋体"/>
                <w:color w:val="auto"/>
                <w:sz w:val="24"/>
                <w:szCs w:val="24"/>
              </w:rPr>
            </w:pPr>
            <w:r>
              <w:rPr>
                <w:rFonts w:hint="eastAsia" w:ascii="宋体" w:hAnsi="宋体" w:cs="宋体"/>
                <w:color w:val="auto"/>
                <w:sz w:val="24"/>
                <w:szCs w:val="24"/>
              </w:rPr>
              <w:t>食堂信息公示：食堂证件、经营范围；</w:t>
            </w:r>
          </w:p>
          <w:p w14:paraId="4B47C1BD">
            <w:pPr>
              <w:numPr>
                <w:ilvl w:val="0"/>
                <w:numId w:val="127"/>
              </w:numPr>
              <w:jc w:val="left"/>
              <w:rPr>
                <w:rFonts w:ascii="宋体" w:hAnsi="宋体" w:cs="宋体"/>
                <w:color w:val="auto"/>
                <w:sz w:val="24"/>
                <w:szCs w:val="24"/>
              </w:rPr>
            </w:pPr>
            <w:r>
              <w:rPr>
                <w:rFonts w:hint="eastAsia" w:ascii="宋体" w:hAnsi="宋体" w:cs="宋体"/>
                <w:color w:val="auto"/>
                <w:sz w:val="24"/>
                <w:szCs w:val="24"/>
              </w:rPr>
              <w:t>人员健康安全：食堂人员安全：食堂基础信息、出勤晨检、着装行为监管、人员健康安全、烹饪行为监管、意见与反馈等六个维护公示；</w:t>
            </w:r>
          </w:p>
          <w:p w14:paraId="4125FFDA">
            <w:pPr>
              <w:numPr>
                <w:ilvl w:val="0"/>
                <w:numId w:val="127"/>
              </w:numPr>
              <w:jc w:val="left"/>
              <w:rPr>
                <w:rFonts w:ascii="宋体" w:hAnsi="宋体" w:cs="宋体"/>
                <w:color w:val="auto"/>
                <w:sz w:val="24"/>
                <w:szCs w:val="24"/>
              </w:rPr>
            </w:pPr>
            <w:r>
              <w:rPr>
                <w:rFonts w:hint="eastAsia" w:ascii="宋体" w:hAnsi="宋体" w:cs="宋体"/>
                <w:color w:val="auto"/>
                <w:sz w:val="24"/>
                <w:szCs w:val="24"/>
              </w:rPr>
              <w:t>菜品、存储环境、添加剂、供货商、农残、留样等六个维度公示；</w:t>
            </w:r>
          </w:p>
          <w:p w14:paraId="33C31996">
            <w:pPr>
              <w:numPr>
                <w:ilvl w:val="0"/>
                <w:numId w:val="127"/>
              </w:numPr>
              <w:jc w:val="left"/>
              <w:rPr>
                <w:rFonts w:ascii="宋体" w:hAnsi="宋体" w:cs="宋体"/>
                <w:color w:val="auto"/>
                <w:sz w:val="24"/>
                <w:szCs w:val="24"/>
              </w:rPr>
            </w:pPr>
            <w:r>
              <w:rPr>
                <w:rFonts w:hint="eastAsia" w:ascii="宋体" w:hAnsi="宋体" w:cs="宋体"/>
                <w:color w:val="auto"/>
                <w:sz w:val="24"/>
                <w:szCs w:val="24"/>
              </w:rPr>
              <w:t>智能监管状态公示：设备状态公示；</w:t>
            </w:r>
          </w:p>
          <w:p w14:paraId="37AC3901">
            <w:pPr>
              <w:numPr>
                <w:ilvl w:val="0"/>
                <w:numId w:val="127"/>
              </w:numPr>
              <w:jc w:val="left"/>
              <w:rPr>
                <w:rFonts w:ascii="宋体" w:hAnsi="宋体" w:cs="宋体"/>
                <w:color w:val="auto"/>
                <w:sz w:val="24"/>
                <w:szCs w:val="24"/>
              </w:rPr>
            </w:pPr>
            <w:r>
              <w:rPr>
                <w:rFonts w:hint="eastAsia" w:ascii="宋体" w:hAnsi="宋体" w:cs="宋体"/>
                <w:color w:val="auto"/>
                <w:sz w:val="24"/>
                <w:szCs w:val="24"/>
              </w:rPr>
              <w:t>食堂日管控执行进度公示；</w:t>
            </w:r>
          </w:p>
          <w:p w14:paraId="0F785211">
            <w:pPr>
              <w:numPr>
                <w:ilvl w:val="0"/>
                <w:numId w:val="127"/>
              </w:numPr>
              <w:jc w:val="left"/>
              <w:rPr>
                <w:rFonts w:ascii="宋体" w:hAnsi="宋体" w:cs="宋体"/>
                <w:color w:val="auto"/>
                <w:sz w:val="24"/>
                <w:szCs w:val="24"/>
              </w:rPr>
            </w:pPr>
            <w:r>
              <w:rPr>
                <w:rFonts w:hint="eastAsia" w:ascii="宋体" w:hAnsi="宋体" w:cs="宋体"/>
                <w:color w:val="auto"/>
                <w:sz w:val="24"/>
                <w:szCs w:val="24"/>
              </w:rPr>
              <w:t>食堂留样公示：留样记录、图片、冰箱状态；</w:t>
            </w:r>
          </w:p>
          <w:p w14:paraId="01A28453">
            <w:pPr>
              <w:numPr>
                <w:ilvl w:val="0"/>
                <w:numId w:val="127"/>
              </w:numPr>
              <w:jc w:val="left"/>
              <w:rPr>
                <w:rFonts w:ascii="宋体" w:hAnsi="宋体" w:cs="宋体"/>
                <w:color w:val="auto"/>
                <w:sz w:val="24"/>
                <w:szCs w:val="24"/>
              </w:rPr>
            </w:pPr>
            <w:r>
              <w:rPr>
                <w:rFonts w:hint="eastAsia" w:ascii="宋体" w:hAnsi="宋体" w:cs="宋体"/>
                <w:color w:val="auto"/>
                <w:sz w:val="24"/>
                <w:szCs w:val="24"/>
              </w:rPr>
              <w:t>后厨食安监管：数智场景数据公示；</w:t>
            </w:r>
          </w:p>
          <w:p w14:paraId="22074CA3">
            <w:pPr>
              <w:numPr>
                <w:ilvl w:val="0"/>
                <w:numId w:val="127"/>
              </w:numPr>
              <w:jc w:val="left"/>
              <w:rPr>
                <w:rFonts w:ascii="宋体" w:hAnsi="宋体" w:cs="宋体"/>
                <w:color w:val="auto"/>
                <w:sz w:val="24"/>
                <w:szCs w:val="24"/>
              </w:rPr>
            </w:pPr>
            <w:r>
              <w:rPr>
                <w:rFonts w:hint="eastAsia" w:ascii="宋体" w:hAnsi="宋体" w:cs="宋体"/>
                <w:color w:val="auto"/>
                <w:sz w:val="24"/>
                <w:szCs w:val="24"/>
              </w:rPr>
              <w:t>消毒台账公示：环境消毒、餐饮具消毒台账公示；</w:t>
            </w:r>
          </w:p>
          <w:p w14:paraId="026EAFE5">
            <w:pPr>
              <w:numPr>
                <w:ilvl w:val="0"/>
                <w:numId w:val="127"/>
              </w:numPr>
              <w:jc w:val="left"/>
              <w:rPr>
                <w:rFonts w:ascii="宋体" w:hAnsi="宋体" w:cs="宋体"/>
                <w:color w:val="auto"/>
                <w:sz w:val="24"/>
                <w:szCs w:val="24"/>
              </w:rPr>
            </w:pPr>
            <w:r>
              <w:rPr>
                <w:rFonts w:hint="eastAsia" w:ascii="宋体" w:hAnsi="宋体" w:cs="宋体"/>
                <w:color w:val="auto"/>
                <w:sz w:val="24"/>
                <w:szCs w:val="24"/>
              </w:rPr>
              <w:t>意见与反馈公示：负责人联系方式公示</w:t>
            </w:r>
          </w:p>
          <w:p w14:paraId="08B6CF5B">
            <w:pPr>
              <w:numPr>
                <w:ilvl w:val="0"/>
                <w:numId w:val="126"/>
              </w:numPr>
              <w:ind w:left="0" w:firstLine="0"/>
              <w:jc w:val="left"/>
              <w:rPr>
                <w:rFonts w:ascii="宋体" w:hAnsi="宋体" w:cs="宋体"/>
                <w:color w:val="auto"/>
                <w:sz w:val="24"/>
                <w:szCs w:val="24"/>
              </w:rPr>
            </w:pPr>
            <w:r>
              <w:rPr>
                <w:rFonts w:hint="eastAsia" w:ascii="宋体" w:hAnsi="宋体" w:cs="宋体"/>
                <w:color w:val="auto"/>
                <w:sz w:val="24"/>
                <w:szCs w:val="24"/>
              </w:rPr>
              <w:t>数据驾驶舱方案：</w:t>
            </w:r>
          </w:p>
          <w:p w14:paraId="4ACFAFEF">
            <w:pPr>
              <w:numPr>
                <w:ilvl w:val="0"/>
                <w:numId w:val="128"/>
              </w:numPr>
              <w:jc w:val="left"/>
              <w:rPr>
                <w:rFonts w:ascii="宋体" w:hAnsi="宋体" w:cs="宋体"/>
                <w:color w:val="auto"/>
                <w:sz w:val="24"/>
                <w:szCs w:val="24"/>
              </w:rPr>
            </w:pPr>
            <w:r>
              <w:rPr>
                <w:rFonts w:hint="eastAsia" w:ascii="宋体" w:hAnsi="宋体" w:cs="宋体"/>
                <w:color w:val="auto"/>
                <w:sz w:val="24"/>
                <w:szCs w:val="24"/>
              </w:rPr>
              <w:t>支持显示出勤信息公示：出勤统计，测温统计，出勤明细，测温明细；</w:t>
            </w:r>
          </w:p>
          <w:p w14:paraId="64502EB5">
            <w:pPr>
              <w:numPr>
                <w:ilvl w:val="0"/>
                <w:numId w:val="128"/>
              </w:numPr>
              <w:jc w:val="left"/>
              <w:rPr>
                <w:rFonts w:ascii="宋体" w:hAnsi="宋体" w:cs="宋体"/>
                <w:color w:val="auto"/>
                <w:sz w:val="24"/>
                <w:szCs w:val="24"/>
              </w:rPr>
            </w:pPr>
            <w:r>
              <w:rPr>
                <w:rFonts w:hint="eastAsia" w:ascii="宋体" w:hAnsi="宋体" w:cs="宋体"/>
                <w:color w:val="auto"/>
                <w:sz w:val="24"/>
                <w:szCs w:val="24"/>
              </w:rPr>
              <w:t>支持显示食堂证照信息公示：食堂评分，服务许可证，员工健康证；</w:t>
            </w:r>
          </w:p>
          <w:p w14:paraId="38CE56A6">
            <w:pPr>
              <w:numPr>
                <w:ilvl w:val="0"/>
                <w:numId w:val="128"/>
              </w:numPr>
              <w:jc w:val="left"/>
              <w:rPr>
                <w:rFonts w:ascii="宋体" w:hAnsi="宋体" w:cs="宋体"/>
                <w:color w:val="auto"/>
                <w:sz w:val="24"/>
                <w:szCs w:val="24"/>
              </w:rPr>
            </w:pPr>
            <w:r>
              <w:rPr>
                <w:rFonts w:hint="eastAsia" w:ascii="宋体" w:hAnsi="宋体" w:cs="宋体"/>
                <w:color w:val="auto"/>
                <w:sz w:val="24"/>
                <w:szCs w:val="24"/>
              </w:rPr>
              <w:t>支持显示数智管控公示：备餐间空气紫外线消毒状态，餐饮具消毒状态，刀具砧板消毒状态，仓库挡鼠板、红外光栅工作状态，自动灭火工作状态，后厨人员行为管控状态；</w:t>
            </w:r>
          </w:p>
          <w:p w14:paraId="55EBAB29">
            <w:pPr>
              <w:numPr>
                <w:ilvl w:val="0"/>
                <w:numId w:val="128"/>
              </w:numPr>
              <w:jc w:val="left"/>
              <w:rPr>
                <w:rFonts w:ascii="宋体" w:hAnsi="宋体" w:cs="宋体"/>
                <w:color w:val="auto"/>
                <w:sz w:val="24"/>
                <w:szCs w:val="24"/>
              </w:rPr>
            </w:pPr>
            <w:r>
              <w:rPr>
                <w:rFonts w:hint="eastAsia" w:ascii="宋体" w:hAnsi="宋体" w:cs="宋体"/>
                <w:color w:val="auto"/>
                <w:sz w:val="24"/>
                <w:szCs w:val="24"/>
              </w:rPr>
              <w:t>支持显示食堂留样公示：食堂留样信息；</w:t>
            </w:r>
          </w:p>
          <w:p w14:paraId="1CCCD148">
            <w:pPr>
              <w:numPr>
                <w:ilvl w:val="0"/>
                <w:numId w:val="128"/>
              </w:numPr>
              <w:jc w:val="left"/>
              <w:rPr>
                <w:rFonts w:ascii="宋体" w:hAnsi="宋体" w:cs="宋体"/>
                <w:color w:val="auto"/>
                <w:sz w:val="24"/>
                <w:szCs w:val="24"/>
              </w:rPr>
            </w:pPr>
            <w:r>
              <w:rPr>
                <w:rFonts w:hint="eastAsia" w:ascii="宋体" w:hAnsi="宋体" w:cs="宋体"/>
                <w:color w:val="auto"/>
                <w:sz w:val="24"/>
                <w:szCs w:val="24"/>
              </w:rPr>
              <w:t>支持显示食堂交流公示：食客建议信息，食堂服务提升回复信息，营业时间，食堂负责人信息；</w:t>
            </w:r>
          </w:p>
          <w:p w14:paraId="30E7A817">
            <w:pPr>
              <w:numPr>
                <w:ilvl w:val="0"/>
                <w:numId w:val="128"/>
              </w:numPr>
              <w:jc w:val="left"/>
              <w:rPr>
                <w:rFonts w:ascii="宋体" w:hAnsi="宋体" w:cs="宋体"/>
                <w:color w:val="auto"/>
                <w:sz w:val="24"/>
                <w:szCs w:val="24"/>
              </w:rPr>
            </w:pPr>
            <w:r>
              <w:rPr>
                <w:rFonts w:hint="eastAsia" w:ascii="宋体" w:hAnsi="宋体" w:cs="宋体"/>
                <w:color w:val="auto"/>
                <w:sz w:val="24"/>
                <w:szCs w:val="24"/>
              </w:rPr>
              <w:t>支持显示食堂检测公示：农药残留检测信息，添加剂使用检测信息；</w:t>
            </w:r>
          </w:p>
          <w:p w14:paraId="51EF05CB">
            <w:pPr>
              <w:numPr>
                <w:ilvl w:val="0"/>
                <w:numId w:val="128"/>
              </w:numPr>
              <w:jc w:val="left"/>
              <w:rPr>
                <w:rFonts w:ascii="宋体" w:hAnsi="宋体" w:cs="宋体"/>
                <w:color w:val="auto"/>
                <w:sz w:val="24"/>
                <w:szCs w:val="24"/>
              </w:rPr>
            </w:pPr>
            <w:r>
              <w:rPr>
                <w:rFonts w:hint="eastAsia" w:ascii="宋体" w:hAnsi="宋体" w:cs="宋体"/>
                <w:color w:val="auto"/>
                <w:sz w:val="24"/>
                <w:szCs w:val="24"/>
              </w:rPr>
              <w:t>支持显示环境公示：用餐大厅温湿度，主食</w:t>
            </w:r>
            <w:r>
              <w:rPr>
                <w:rFonts w:ascii="宋体" w:hAnsi="宋体" w:cs="宋体"/>
                <w:color w:val="auto"/>
                <w:sz w:val="24"/>
                <w:szCs w:val="24"/>
              </w:rPr>
              <w:t>/副食仓库温湿度，备餐间温湿度，食堂主要区域视频播放（明厨亮灶）；</w:t>
            </w:r>
          </w:p>
          <w:p w14:paraId="7894042E">
            <w:pPr>
              <w:numPr>
                <w:ilvl w:val="0"/>
                <w:numId w:val="126"/>
              </w:numPr>
              <w:ind w:left="0" w:firstLine="0"/>
              <w:jc w:val="left"/>
              <w:rPr>
                <w:rFonts w:ascii="宋体" w:hAnsi="宋体" w:cs="宋体"/>
                <w:color w:val="auto"/>
                <w:sz w:val="24"/>
                <w:szCs w:val="24"/>
              </w:rPr>
            </w:pPr>
            <w:r>
              <w:rPr>
                <w:rFonts w:ascii="宋体" w:hAnsi="宋体" w:cs="宋体"/>
                <w:color w:val="auto"/>
                <w:sz w:val="24"/>
                <w:szCs w:val="24"/>
              </w:rPr>
              <w:t>75寸屏幕设备参数：</w:t>
            </w:r>
          </w:p>
          <w:p w14:paraId="3E98F768">
            <w:pPr>
              <w:pStyle w:val="22"/>
              <w:numPr>
                <w:ilvl w:val="0"/>
                <w:numId w:val="116"/>
              </w:numPr>
              <w:ind w:left="0" w:firstLine="0"/>
              <w:rPr>
                <w:color w:val="auto"/>
              </w:rPr>
            </w:pPr>
            <w:r>
              <w:rPr>
                <w:rFonts w:hint="eastAsia" w:ascii="宋体" w:hAnsi="宋体" w:eastAsia="宋体" w:cs="宋体"/>
                <w:color w:val="auto"/>
                <w:sz w:val="24"/>
                <w:szCs w:val="24"/>
              </w:rPr>
              <w:t>主要参数：</w:t>
            </w:r>
          </w:p>
          <w:p w14:paraId="349FC436">
            <w:pPr>
              <w:numPr>
                <w:ilvl w:val="0"/>
                <w:numId w:val="129"/>
              </w:numPr>
              <w:ind w:firstLine="0"/>
              <w:jc w:val="left"/>
              <w:rPr>
                <w:rFonts w:ascii="宋体" w:hAnsi="宋体" w:cs="宋体"/>
                <w:color w:val="auto"/>
                <w:sz w:val="24"/>
                <w:szCs w:val="24"/>
              </w:rPr>
            </w:pPr>
            <w:r>
              <w:rPr>
                <w:rFonts w:hint="eastAsia" w:ascii="宋体" w:hAnsi="宋体" w:cs="宋体"/>
                <w:color w:val="auto"/>
                <w:sz w:val="24"/>
                <w:szCs w:val="24"/>
              </w:rPr>
              <w:t>背光类型：</w:t>
            </w:r>
            <w:r>
              <w:rPr>
                <w:rFonts w:ascii="宋体" w:hAnsi="宋体" w:cs="宋体"/>
                <w:color w:val="auto"/>
                <w:sz w:val="24"/>
                <w:szCs w:val="24"/>
              </w:rPr>
              <w:t>LED；</w:t>
            </w:r>
          </w:p>
          <w:p w14:paraId="00C37891">
            <w:pPr>
              <w:numPr>
                <w:ilvl w:val="0"/>
                <w:numId w:val="129"/>
              </w:numPr>
              <w:ind w:firstLine="0"/>
              <w:jc w:val="left"/>
              <w:rPr>
                <w:rFonts w:ascii="宋体" w:hAnsi="宋体" w:cs="宋体"/>
                <w:color w:val="auto"/>
                <w:sz w:val="24"/>
                <w:szCs w:val="24"/>
              </w:rPr>
            </w:pPr>
            <w:r>
              <w:rPr>
                <w:rFonts w:hint="eastAsia" w:ascii="宋体" w:hAnsi="宋体" w:cs="宋体"/>
                <w:color w:val="auto"/>
                <w:sz w:val="24"/>
                <w:szCs w:val="24"/>
              </w:rPr>
              <w:t>屏幕分辨率：</w:t>
            </w:r>
            <w:r>
              <w:rPr>
                <w:rFonts w:ascii="宋体" w:hAnsi="宋体" w:cs="宋体"/>
                <w:color w:val="auto"/>
                <w:sz w:val="24"/>
                <w:szCs w:val="24"/>
              </w:rPr>
              <w:t>3840（H）*2160（V）；</w:t>
            </w:r>
          </w:p>
          <w:p w14:paraId="64D9B6A0">
            <w:pPr>
              <w:numPr>
                <w:ilvl w:val="0"/>
                <w:numId w:val="129"/>
              </w:numPr>
              <w:ind w:firstLine="0"/>
              <w:jc w:val="left"/>
              <w:rPr>
                <w:rFonts w:ascii="宋体" w:hAnsi="宋体" w:cs="宋体"/>
                <w:color w:val="auto"/>
                <w:sz w:val="24"/>
                <w:szCs w:val="24"/>
              </w:rPr>
            </w:pPr>
            <w:r>
              <w:rPr>
                <w:rFonts w:hint="eastAsia" w:ascii="宋体" w:hAnsi="宋体" w:cs="宋体"/>
                <w:color w:val="auto"/>
                <w:sz w:val="24"/>
                <w:szCs w:val="24"/>
              </w:rPr>
              <w:t>视角：</w:t>
            </w:r>
            <w:r>
              <w:rPr>
                <w:rFonts w:ascii="宋体" w:hAnsi="宋体" w:cs="宋体"/>
                <w:color w:val="auto"/>
                <w:sz w:val="24"/>
                <w:szCs w:val="24"/>
              </w:rPr>
              <w:t>178°；</w:t>
            </w:r>
          </w:p>
          <w:p w14:paraId="66313012">
            <w:pPr>
              <w:numPr>
                <w:ilvl w:val="0"/>
                <w:numId w:val="129"/>
              </w:numPr>
              <w:ind w:firstLine="0"/>
              <w:jc w:val="left"/>
              <w:rPr>
                <w:rFonts w:ascii="宋体" w:hAnsi="宋体" w:cs="宋体"/>
                <w:color w:val="auto"/>
                <w:sz w:val="24"/>
                <w:szCs w:val="24"/>
              </w:rPr>
            </w:pPr>
            <w:r>
              <w:rPr>
                <w:rFonts w:hint="eastAsia" w:ascii="宋体" w:hAnsi="宋体" w:cs="宋体"/>
                <w:color w:val="auto"/>
                <w:sz w:val="24"/>
                <w:szCs w:val="24"/>
              </w:rPr>
              <w:t>颜色：</w:t>
            </w:r>
            <w:r>
              <w:rPr>
                <w:rFonts w:ascii="宋体" w:hAnsi="宋体" w:cs="宋体"/>
                <w:color w:val="auto"/>
                <w:sz w:val="24"/>
                <w:szCs w:val="24"/>
              </w:rPr>
              <w:t>66.8m；</w:t>
            </w:r>
          </w:p>
          <w:p w14:paraId="72BE6959">
            <w:pPr>
              <w:numPr>
                <w:ilvl w:val="0"/>
                <w:numId w:val="129"/>
              </w:numPr>
              <w:ind w:firstLine="0"/>
              <w:jc w:val="left"/>
              <w:rPr>
                <w:rFonts w:ascii="宋体" w:hAnsi="宋体" w:cs="宋体"/>
                <w:color w:val="auto"/>
                <w:sz w:val="24"/>
                <w:szCs w:val="24"/>
              </w:rPr>
            </w:pPr>
            <w:r>
              <w:rPr>
                <w:rFonts w:hint="eastAsia" w:ascii="宋体" w:hAnsi="宋体" w:cs="宋体"/>
                <w:color w:val="auto"/>
                <w:sz w:val="24"/>
                <w:szCs w:val="24"/>
              </w:rPr>
              <w:t>亮度：</w:t>
            </w:r>
            <w:r>
              <w:rPr>
                <w:rFonts w:ascii="宋体" w:hAnsi="宋体" w:cs="宋体"/>
                <w:color w:val="auto"/>
                <w:sz w:val="24"/>
                <w:szCs w:val="24"/>
              </w:rPr>
              <w:t>350（cd/m2）10±；</w:t>
            </w:r>
          </w:p>
          <w:p w14:paraId="235B044D">
            <w:pPr>
              <w:numPr>
                <w:ilvl w:val="0"/>
                <w:numId w:val="129"/>
              </w:numPr>
              <w:ind w:firstLine="0"/>
              <w:jc w:val="left"/>
              <w:rPr>
                <w:rFonts w:ascii="宋体" w:hAnsi="宋体" w:cs="宋体"/>
                <w:color w:val="auto"/>
                <w:sz w:val="24"/>
                <w:szCs w:val="24"/>
              </w:rPr>
            </w:pPr>
            <w:r>
              <w:rPr>
                <w:rFonts w:hint="eastAsia" w:ascii="宋体" w:hAnsi="宋体" w:cs="宋体"/>
                <w:color w:val="auto"/>
                <w:sz w:val="24"/>
                <w:szCs w:val="24"/>
              </w:rPr>
              <w:t>对比度：</w:t>
            </w:r>
            <w:r>
              <w:rPr>
                <w:rFonts w:ascii="宋体" w:hAnsi="宋体" w:cs="宋体"/>
                <w:color w:val="auto"/>
                <w:sz w:val="24"/>
                <w:szCs w:val="24"/>
              </w:rPr>
              <w:t>4000:1；</w:t>
            </w:r>
          </w:p>
          <w:p w14:paraId="1C98A216">
            <w:pPr>
              <w:numPr>
                <w:ilvl w:val="0"/>
                <w:numId w:val="129"/>
              </w:numPr>
              <w:ind w:firstLine="0"/>
              <w:jc w:val="left"/>
              <w:rPr>
                <w:rFonts w:ascii="宋体" w:hAnsi="宋体" w:cs="宋体"/>
                <w:color w:val="auto"/>
                <w:sz w:val="24"/>
                <w:szCs w:val="24"/>
              </w:rPr>
            </w:pPr>
            <w:r>
              <w:rPr>
                <w:rFonts w:hint="eastAsia" w:ascii="宋体" w:hAnsi="宋体" w:cs="宋体"/>
                <w:color w:val="auto"/>
                <w:sz w:val="24"/>
                <w:szCs w:val="24"/>
              </w:rPr>
              <w:t>响应时间：</w:t>
            </w:r>
            <w:r>
              <w:rPr>
                <w:rFonts w:ascii="宋体" w:hAnsi="宋体" w:cs="宋体"/>
                <w:color w:val="auto"/>
                <w:sz w:val="24"/>
                <w:szCs w:val="24"/>
              </w:rPr>
              <w:t>6ms；</w:t>
            </w:r>
          </w:p>
          <w:p w14:paraId="733BCB41">
            <w:pPr>
              <w:numPr>
                <w:ilvl w:val="0"/>
                <w:numId w:val="129"/>
              </w:numPr>
              <w:ind w:firstLine="0"/>
              <w:jc w:val="left"/>
              <w:rPr>
                <w:rFonts w:ascii="宋体" w:hAnsi="宋体" w:cs="宋体"/>
                <w:color w:val="auto"/>
                <w:sz w:val="24"/>
                <w:szCs w:val="24"/>
              </w:rPr>
            </w:pPr>
            <w:r>
              <w:rPr>
                <w:rFonts w:hint="eastAsia" w:ascii="宋体" w:hAnsi="宋体" w:cs="宋体"/>
                <w:color w:val="auto"/>
                <w:sz w:val="24"/>
                <w:szCs w:val="24"/>
              </w:rPr>
              <w:t>高清视频输入（</w:t>
            </w:r>
            <w:r>
              <w:rPr>
                <w:rFonts w:ascii="宋体" w:hAnsi="宋体" w:cs="宋体"/>
                <w:color w:val="auto"/>
                <w:sz w:val="24"/>
                <w:szCs w:val="24"/>
              </w:rPr>
              <w:t>HDMI）端口：二组；</w:t>
            </w:r>
          </w:p>
          <w:p w14:paraId="76AA1650">
            <w:pPr>
              <w:numPr>
                <w:ilvl w:val="0"/>
                <w:numId w:val="129"/>
              </w:numPr>
              <w:ind w:firstLine="0"/>
              <w:jc w:val="left"/>
              <w:rPr>
                <w:rFonts w:ascii="宋体" w:hAnsi="宋体" w:cs="宋体"/>
                <w:color w:val="auto"/>
                <w:sz w:val="24"/>
                <w:szCs w:val="24"/>
              </w:rPr>
            </w:pPr>
            <w:r>
              <w:rPr>
                <w:rFonts w:hint="eastAsia" w:ascii="宋体" w:hAnsi="宋体" w:cs="宋体"/>
                <w:color w:val="auto"/>
                <w:sz w:val="24"/>
                <w:szCs w:val="24"/>
              </w:rPr>
              <w:t>模拟信号输入（</w:t>
            </w:r>
            <w:r>
              <w:rPr>
                <w:rFonts w:ascii="宋体" w:hAnsi="宋体" w:cs="宋体"/>
                <w:color w:val="auto"/>
                <w:sz w:val="24"/>
                <w:szCs w:val="24"/>
              </w:rPr>
              <w:t>RF）端口：一组；</w:t>
            </w:r>
          </w:p>
          <w:p w14:paraId="2D1E856B">
            <w:pPr>
              <w:numPr>
                <w:ilvl w:val="0"/>
                <w:numId w:val="129"/>
              </w:numPr>
              <w:ind w:firstLine="0"/>
              <w:jc w:val="left"/>
              <w:rPr>
                <w:rFonts w:ascii="宋体" w:hAnsi="宋体" w:cs="宋体"/>
                <w:color w:val="auto"/>
                <w:sz w:val="24"/>
                <w:szCs w:val="24"/>
              </w:rPr>
            </w:pPr>
            <w:r>
              <w:rPr>
                <w:rFonts w:hint="eastAsia" w:ascii="宋体" w:hAnsi="宋体" w:cs="宋体"/>
                <w:color w:val="auto"/>
                <w:sz w:val="24"/>
                <w:szCs w:val="24"/>
              </w:rPr>
              <w:t>标准视频输入（</w:t>
            </w:r>
            <w:r>
              <w:rPr>
                <w:rFonts w:ascii="宋体" w:hAnsi="宋体" w:cs="宋体"/>
                <w:color w:val="auto"/>
                <w:sz w:val="24"/>
                <w:szCs w:val="24"/>
              </w:rPr>
              <w:t>AV）端口：二组；</w:t>
            </w:r>
          </w:p>
          <w:p w14:paraId="26B62B85">
            <w:pPr>
              <w:numPr>
                <w:ilvl w:val="0"/>
                <w:numId w:val="129"/>
              </w:numPr>
              <w:ind w:firstLine="0"/>
              <w:jc w:val="left"/>
              <w:rPr>
                <w:rFonts w:ascii="宋体" w:hAnsi="宋体" w:cs="宋体"/>
                <w:color w:val="auto"/>
                <w:sz w:val="24"/>
                <w:szCs w:val="24"/>
              </w:rPr>
            </w:pPr>
            <w:r>
              <w:rPr>
                <w:rFonts w:hint="eastAsia" w:ascii="宋体" w:hAnsi="宋体" w:cs="宋体"/>
                <w:color w:val="auto"/>
                <w:sz w:val="24"/>
                <w:szCs w:val="24"/>
              </w:rPr>
              <w:t>音频输出（</w:t>
            </w:r>
            <w:r>
              <w:rPr>
                <w:rFonts w:ascii="宋体" w:hAnsi="宋体" w:cs="宋体"/>
                <w:color w:val="auto"/>
                <w:sz w:val="24"/>
                <w:szCs w:val="24"/>
              </w:rPr>
              <w:t>EARPHONE　OUT）端口：一组；</w:t>
            </w:r>
          </w:p>
          <w:p w14:paraId="4CCD3592">
            <w:pPr>
              <w:numPr>
                <w:ilvl w:val="0"/>
                <w:numId w:val="129"/>
              </w:numPr>
              <w:ind w:firstLine="0"/>
              <w:jc w:val="left"/>
              <w:rPr>
                <w:rFonts w:ascii="宋体" w:hAnsi="宋体" w:cs="宋体"/>
                <w:color w:val="auto"/>
                <w:sz w:val="24"/>
                <w:szCs w:val="24"/>
              </w:rPr>
            </w:pPr>
            <w:r>
              <w:rPr>
                <w:rFonts w:hint="eastAsia" w:ascii="宋体" w:hAnsi="宋体" w:cs="宋体"/>
                <w:color w:val="auto"/>
                <w:sz w:val="24"/>
                <w:szCs w:val="24"/>
              </w:rPr>
              <w:t>运行内存：</w:t>
            </w:r>
            <w:r>
              <w:rPr>
                <w:rFonts w:ascii="宋体" w:hAnsi="宋体" w:cs="宋体"/>
                <w:color w:val="auto"/>
                <w:sz w:val="24"/>
                <w:szCs w:val="24"/>
              </w:rPr>
              <w:t>1G，机身内存8G；</w:t>
            </w:r>
          </w:p>
          <w:p w14:paraId="4906ACC7">
            <w:pPr>
              <w:numPr>
                <w:ilvl w:val="0"/>
                <w:numId w:val="129"/>
              </w:numPr>
              <w:ind w:firstLine="0"/>
              <w:jc w:val="left"/>
              <w:rPr>
                <w:rFonts w:ascii="宋体" w:hAnsi="宋体" w:cs="宋体"/>
                <w:color w:val="auto"/>
                <w:sz w:val="24"/>
                <w:szCs w:val="24"/>
              </w:rPr>
            </w:pPr>
            <w:r>
              <w:rPr>
                <w:rFonts w:hint="eastAsia" w:ascii="宋体" w:hAnsi="宋体" w:cs="宋体"/>
                <w:color w:val="auto"/>
                <w:sz w:val="24"/>
                <w:szCs w:val="24"/>
              </w:rPr>
              <w:t>多媒体（</w:t>
            </w:r>
            <w:r>
              <w:rPr>
                <w:rFonts w:ascii="宋体" w:hAnsi="宋体" w:cs="宋体"/>
                <w:color w:val="auto"/>
                <w:sz w:val="24"/>
                <w:szCs w:val="24"/>
              </w:rPr>
              <w:t>USB3.0）端口：一组；</w:t>
            </w:r>
          </w:p>
          <w:p w14:paraId="1F137133">
            <w:pPr>
              <w:numPr>
                <w:ilvl w:val="0"/>
                <w:numId w:val="129"/>
              </w:numPr>
              <w:ind w:firstLine="0"/>
              <w:jc w:val="left"/>
              <w:rPr>
                <w:rFonts w:ascii="宋体" w:hAnsi="宋体" w:cs="宋体"/>
                <w:color w:val="auto"/>
                <w:sz w:val="24"/>
                <w:szCs w:val="24"/>
              </w:rPr>
            </w:pPr>
            <w:r>
              <w:rPr>
                <w:rFonts w:hint="eastAsia" w:ascii="宋体" w:hAnsi="宋体" w:cs="宋体"/>
                <w:color w:val="auto"/>
                <w:sz w:val="24"/>
                <w:szCs w:val="24"/>
              </w:rPr>
              <w:t>电视系统：安卓系统</w:t>
            </w:r>
            <w:r>
              <w:rPr>
                <w:rFonts w:ascii="宋体" w:hAnsi="宋体" w:cs="宋体"/>
                <w:color w:val="auto"/>
                <w:sz w:val="24"/>
                <w:szCs w:val="24"/>
              </w:rPr>
              <w:tab/>
            </w:r>
            <w:r>
              <w:rPr>
                <w:rFonts w:ascii="宋体" w:hAnsi="宋体" w:cs="宋体"/>
                <w:color w:val="auto"/>
                <w:sz w:val="24"/>
                <w:szCs w:val="24"/>
              </w:rPr>
              <w:t>9；</w:t>
            </w:r>
          </w:p>
          <w:p w14:paraId="6AFC11FF">
            <w:pPr>
              <w:numPr>
                <w:ilvl w:val="0"/>
                <w:numId w:val="129"/>
              </w:numPr>
              <w:ind w:firstLine="0"/>
              <w:jc w:val="left"/>
              <w:rPr>
                <w:rFonts w:ascii="宋体" w:hAnsi="宋体" w:cs="宋体"/>
                <w:color w:val="auto"/>
                <w:sz w:val="24"/>
                <w:szCs w:val="24"/>
              </w:rPr>
            </w:pPr>
            <w:r>
              <w:rPr>
                <w:rFonts w:hint="eastAsia" w:ascii="宋体" w:hAnsi="宋体" w:cs="宋体"/>
                <w:color w:val="auto"/>
                <w:sz w:val="24"/>
                <w:szCs w:val="24"/>
              </w:rPr>
              <w:t>图像制式：</w:t>
            </w:r>
            <w:r>
              <w:rPr>
                <w:rFonts w:ascii="宋体" w:hAnsi="宋体" w:cs="宋体"/>
                <w:color w:val="auto"/>
                <w:sz w:val="24"/>
                <w:szCs w:val="24"/>
              </w:rPr>
              <w:t>PAL/NTSC/SECAM；</w:t>
            </w:r>
          </w:p>
          <w:p w14:paraId="1A1FC2CF">
            <w:pPr>
              <w:numPr>
                <w:ilvl w:val="0"/>
                <w:numId w:val="129"/>
              </w:numPr>
              <w:ind w:firstLine="0"/>
              <w:jc w:val="left"/>
              <w:rPr>
                <w:rFonts w:ascii="宋体" w:hAnsi="宋体" w:cs="宋体"/>
                <w:color w:val="auto"/>
                <w:sz w:val="24"/>
                <w:szCs w:val="24"/>
              </w:rPr>
            </w:pPr>
            <w:r>
              <w:rPr>
                <w:rFonts w:hint="eastAsia" w:ascii="宋体" w:hAnsi="宋体" w:cs="宋体"/>
                <w:color w:val="auto"/>
                <w:sz w:val="24"/>
                <w:szCs w:val="24"/>
              </w:rPr>
              <w:t>声音制式：</w:t>
            </w:r>
            <w:r>
              <w:rPr>
                <w:rFonts w:ascii="宋体" w:hAnsi="宋体" w:cs="宋体"/>
                <w:color w:val="auto"/>
                <w:sz w:val="24"/>
                <w:szCs w:val="24"/>
              </w:rPr>
              <w:t>DK/I/BG；</w:t>
            </w:r>
          </w:p>
          <w:p w14:paraId="152E53D5">
            <w:pPr>
              <w:numPr>
                <w:ilvl w:val="0"/>
                <w:numId w:val="129"/>
              </w:numPr>
              <w:ind w:firstLine="0"/>
              <w:jc w:val="left"/>
              <w:rPr>
                <w:rFonts w:ascii="宋体" w:hAnsi="宋体" w:cs="宋体"/>
                <w:color w:val="auto"/>
                <w:sz w:val="24"/>
                <w:szCs w:val="24"/>
              </w:rPr>
            </w:pPr>
            <w:r>
              <w:rPr>
                <w:rFonts w:hint="eastAsia" w:ascii="宋体" w:hAnsi="宋体" w:cs="宋体"/>
                <w:color w:val="auto"/>
                <w:sz w:val="24"/>
                <w:szCs w:val="24"/>
              </w:rPr>
              <w:t>喇叭类型：内置喇叭高低音；</w:t>
            </w:r>
          </w:p>
          <w:p w14:paraId="1D2BA67E">
            <w:pPr>
              <w:numPr>
                <w:ilvl w:val="0"/>
                <w:numId w:val="129"/>
              </w:numPr>
              <w:ind w:firstLine="0"/>
              <w:jc w:val="left"/>
              <w:rPr>
                <w:rFonts w:ascii="宋体" w:hAnsi="宋体" w:cs="宋体"/>
                <w:color w:val="auto"/>
                <w:sz w:val="24"/>
                <w:szCs w:val="24"/>
              </w:rPr>
            </w:pPr>
            <w:r>
              <w:rPr>
                <w:rFonts w:hint="eastAsia" w:ascii="宋体" w:hAnsi="宋体" w:cs="宋体"/>
                <w:color w:val="auto"/>
                <w:sz w:val="24"/>
                <w:szCs w:val="24"/>
              </w:rPr>
              <w:t>喇叭功率：</w:t>
            </w:r>
            <w:r>
              <w:rPr>
                <w:rFonts w:ascii="宋体" w:hAnsi="宋体" w:cs="宋体"/>
                <w:color w:val="auto"/>
                <w:sz w:val="24"/>
                <w:szCs w:val="24"/>
              </w:rPr>
              <w:t>8Ω10W；</w:t>
            </w:r>
          </w:p>
          <w:p w14:paraId="67D098C5">
            <w:pPr>
              <w:numPr>
                <w:ilvl w:val="0"/>
                <w:numId w:val="129"/>
              </w:numPr>
              <w:ind w:firstLine="0"/>
              <w:jc w:val="left"/>
              <w:rPr>
                <w:rFonts w:ascii="宋体" w:hAnsi="宋体" w:cs="宋体"/>
                <w:color w:val="auto"/>
                <w:sz w:val="24"/>
                <w:szCs w:val="24"/>
              </w:rPr>
            </w:pPr>
            <w:r>
              <w:rPr>
                <w:rFonts w:hint="eastAsia" w:ascii="宋体" w:hAnsi="宋体" w:cs="宋体"/>
                <w:color w:val="auto"/>
                <w:sz w:val="24"/>
                <w:szCs w:val="24"/>
              </w:rPr>
              <w:t>相对湿度：≤</w:t>
            </w:r>
            <w:r>
              <w:rPr>
                <w:rFonts w:ascii="宋体" w:hAnsi="宋体" w:cs="宋体"/>
                <w:color w:val="auto"/>
                <w:sz w:val="24"/>
                <w:szCs w:val="24"/>
              </w:rPr>
              <w:t>80%；</w:t>
            </w:r>
          </w:p>
          <w:p w14:paraId="23A7AEE3">
            <w:pPr>
              <w:numPr>
                <w:ilvl w:val="0"/>
                <w:numId w:val="129"/>
              </w:numPr>
              <w:ind w:firstLine="0"/>
              <w:jc w:val="left"/>
              <w:rPr>
                <w:rFonts w:ascii="宋体" w:hAnsi="宋体" w:cs="宋体"/>
                <w:color w:val="auto"/>
                <w:sz w:val="24"/>
                <w:szCs w:val="24"/>
              </w:rPr>
            </w:pPr>
            <w:r>
              <w:rPr>
                <w:rFonts w:hint="eastAsia" w:ascii="宋体" w:hAnsi="宋体" w:cs="宋体"/>
                <w:color w:val="auto"/>
                <w:sz w:val="24"/>
                <w:szCs w:val="24"/>
              </w:rPr>
              <w:t>存储湿度：</w:t>
            </w:r>
            <w:r>
              <w:rPr>
                <w:rFonts w:ascii="宋体" w:hAnsi="宋体" w:cs="宋体"/>
                <w:color w:val="auto"/>
                <w:sz w:val="24"/>
                <w:szCs w:val="24"/>
              </w:rPr>
              <w:t>-10～60℃；</w:t>
            </w:r>
          </w:p>
          <w:p w14:paraId="09609038">
            <w:pPr>
              <w:numPr>
                <w:ilvl w:val="0"/>
                <w:numId w:val="129"/>
              </w:numPr>
              <w:ind w:firstLine="0"/>
              <w:jc w:val="left"/>
              <w:rPr>
                <w:rFonts w:ascii="宋体" w:hAnsi="宋体" w:cs="宋体"/>
                <w:color w:val="auto"/>
                <w:sz w:val="24"/>
                <w:szCs w:val="24"/>
              </w:rPr>
            </w:pPr>
            <w:r>
              <w:rPr>
                <w:rFonts w:hint="eastAsia" w:ascii="宋体" w:hAnsi="宋体" w:cs="宋体"/>
                <w:color w:val="auto"/>
                <w:sz w:val="24"/>
                <w:szCs w:val="24"/>
              </w:rPr>
              <w:t>使用湿度：</w:t>
            </w:r>
            <w:r>
              <w:rPr>
                <w:rFonts w:ascii="宋体" w:hAnsi="宋体" w:cs="宋体"/>
                <w:color w:val="auto"/>
                <w:sz w:val="24"/>
                <w:szCs w:val="24"/>
              </w:rPr>
              <w:t>0～40℃；</w:t>
            </w:r>
          </w:p>
          <w:p w14:paraId="612481E7">
            <w:pPr>
              <w:numPr>
                <w:ilvl w:val="0"/>
                <w:numId w:val="129"/>
              </w:numPr>
              <w:ind w:firstLine="0"/>
              <w:jc w:val="left"/>
              <w:rPr>
                <w:rFonts w:ascii="宋体" w:hAnsi="宋体" w:cs="宋体"/>
                <w:color w:val="auto"/>
                <w:sz w:val="24"/>
                <w:szCs w:val="24"/>
              </w:rPr>
            </w:pPr>
            <w:r>
              <w:rPr>
                <w:rFonts w:hint="eastAsia" w:ascii="宋体" w:hAnsi="宋体" w:cs="宋体"/>
                <w:color w:val="auto"/>
                <w:sz w:val="24"/>
                <w:szCs w:val="24"/>
              </w:rPr>
              <w:t>输入电压：交流电</w:t>
            </w:r>
            <w:r>
              <w:rPr>
                <w:rFonts w:ascii="宋体" w:hAnsi="宋体" w:cs="宋体"/>
                <w:color w:val="auto"/>
                <w:sz w:val="24"/>
                <w:szCs w:val="24"/>
              </w:rPr>
              <w:t>110～240V50/60Hz；</w:t>
            </w:r>
          </w:p>
          <w:p w14:paraId="363B86B9">
            <w:pPr>
              <w:numPr>
                <w:ilvl w:val="0"/>
                <w:numId w:val="129"/>
              </w:numPr>
              <w:ind w:firstLine="0"/>
              <w:jc w:val="left"/>
              <w:rPr>
                <w:rFonts w:ascii="宋体" w:hAnsi="宋体" w:cs="宋体"/>
                <w:color w:val="auto"/>
                <w:sz w:val="24"/>
                <w:szCs w:val="24"/>
              </w:rPr>
            </w:pPr>
            <w:r>
              <w:rPr>
                <w:rFonts w:hint="eastAsia" w:ascii="宋体" w:hAnsi="宋体" w:cs="宋体"/>
                <w:color w:val="auto"/>
                <w:sz w:val="24"/>
                <w:szCs w:val="24"/>
              </w:rPr>
              <w:t>功耗：</w:t>
            </w:r>
            <w:r>
              <w:rPr>
                <w:rFonts w:ascii="宋体" w:hAnsi="宋体" w:cs="宋体"/>
                <w:color w:val="auto"/>
                <w:sz w:val="24"/>
                <w:szCs w:val="24"/>
              </w:rPr>
              <w:t>280W；</w:t>
            </w:r>
          </w:p>
          <w:p w14:paraId="1E8A9863">
            <w:pPr>
              <w:numPr>
                <w:ilvl w:val="0"/>
                <w:numId w:val="129"/>
              </w:numPr>
              <w:ind w:firstLine="0"/>
              <w:jc w:val="left"/>
              <w:rPr>
                <w:rFonts w:ascii="宋体" w:hAnsi="宋体" w:cs="宋体"/>
                <w:color w:val="auto"/>
                <w:sz w:val="24"/>
                <w:szCs w:val="24"/>
              </w:rPr>
            </w:pPr>
            <w:r>
              <w:rPr>
                <w:rFonts w:hint="eastAsia" w:ascii="宋体" w:hAnsi="宋体" w:cs="宋体"/>
                <w:color w:val="auto"/>
                <w:sz w:val="24"/>
                <w:szCs w:val="24"/>
              </w:rPr>
              <w:t>中国能效标识等级：</w:t>
            </w:r>
            <w:r>
              <w:rPr>
                <w:rFonts w:ascii="宋体" w:hAnsi="宋体" w:cs="宋体"/>
                <w:color w:val="auto"/>
                <w:sz w:val="24"/>
                <w:szCs w:val="24"/>
              </w:rPr>
              <w:t>3级；</w:t>
            </w:r>
          </w:p>
          <w:p w14:paraId="0C803A35">
            <w:pPr>
              <w:numPr>
                <w:ilvl w:val="0"/>
                <w:numId w:val="129"/>
              </w:numPr>
              <w:ind w:firstLine="0"/>
              <w:jc w:val="left"/>
              <w:rPr>
                <w:rFonts w:ascii="宋体" w:hAnsi="宋体" w:cs="宋体"/>
                <w:color w:val="auto"/>
                <w:sz w:val="24"/>
                <w:szCs w:val="24"/>
              </w:rPr>
            </w:pPr>
            <w:r>
              <w:rPr>
                <w:rFonts w:hint="eastAsia" w:ascii="宋体" w:hAnsi="宋体" w:cs="宋体"/>
                <w:color w:val="auto"/>
                <w:sz w:val="24"/>
                <w:szCs w:val="24"/>
              </w:rPr>
              <w:t>电源规格：三合一电源（主板</w:t>
            </w:r>
            <w:r>
              <w:rPr>
                <w:rFonts w:ascii="宋体" w:hAnsi="宋体" w:cs="宋体"/>
                <w:color w:val="auto"/>
                <w:sz w:val="24"/>
                <w:szCs w:val="24"/>
              </w:rPr>
              <w:t>+背光+电源）；</w:t>
            </w:r>
          </w:p>
          <w:p w14:paraId="519CD18D">
            <w:pPr>
              <w:numPr>
                <w:ilvl w:val="0"/>
                <w:numId w:val="129"/>
              </w:numPr>
              <w:ind w:firstLine="0"/>
              <w:jc w:val="left"/>
              <w:rPr>
                <w:rFonts w:ascii="宋体" w:hAnsi="宋体" w:cs="宋体"/>
                <w:color w:val="auto"/>
                <w:sz w:val="24"/>
                <w:szCs w:val="24"/>
              </w:rPr>
            </w:pPr>
            <w:r>
              <w:rPr>
                <w:rFonts w:hint="eastAsia" w:ascii="宋体" w:hAnsi="宋体" w:cs="宋体"/>
                <w:color w:val="auto"/>
                <w:sz w:val="24"/>
                <w:szCs w:val="24"/>
              </w:rPr>
              <w:t>待机功率：＜</w:t>
            </w:r>
            <w:r>
              <w:rPr>
                <w:rFonts w:ascii="宋体" w:hAnsi="宋体" w:cs="宋体"/>
                <w:color w:val="auto"/>
                <w:sz w:val="24"/>
                <w:szCs w:val="24"/>
              </w:rPr>
              <w:t>0.5W；</w:t>
            </w:r>
          </w:p>
        </w:tc>
        <w:tc>
          <w:tcPr>
            <w:tcW w:w="810" w:type="dxa"/>
            <w:tcBorders>
              <w:top w:val="single" w:color="auto" w:sz="4" w:space="0"/>
              <w:left w:val="single" w:color="auto" w:sz="4" w:space="0"/>
              <w:bottom w:val="single" w:color="auto" w:sz="4" w:space="0"/>
              <w:right w:val="single" w:color="auto" w:sz="4" w:space="0"/>
            </w:tcBorders>
            <w:shd w:val="clear" w:color="auto" w:fill="FFFFFF"/>
            <w:vAlign w:val="center"/>
          </w:tcPr>
          <w:p w14:paraId="2F938355">
            <w:pPr>
              <w:jc w:val="center"/>
              <w:rPr>
                <w:rFonts w:ascii="宋体" w:hAnsi="宋体" w:cs="宋体"/>
                <w:color w:val="auto"/>
                <w:sz w:val="24"/>
                <w:szCs w:val="24"/>
              </w:rPr>
            </w:pPr>
            <w:r>
              <w:rPr>
                <w:rFonts w:hint="eastAsia" w:ascii="宋体" w:hAnsi="宋体" w:cs="宋体"/>
                <w:color w:val="auto"/>
                <w:sz w:val="24"/>
                <w:szCs w:val="24"/>
              </w:rPr>
              <w:t>套</w:t>
            </w:r>
          </w:p>
        </w:tc>
        <w:tc>
          <w:tcPr>
            <w:tcW w:w="795" w:type="dxa"/>
            <w:tcBorders>
              <w:top w:val="single" w:color="auto" w:sz="4" w:space="0"/>
              <w:left w:val="single" w:color="auto" w:sz="4" w:space="0"/>
              <w:bottom w:val="single" w:color="auto" w:sz="4" w:space="0"/>
              <w:right w:val="single" w:color="auto" w:sz="4" w:space="0"/>
            </w:tcBorders>
            <w:shd w:val="clear" w:color="auto" w:fill="FFFFFF"/>
            <w:vAlign w:val="center"/>
          </w:tcPr>
          <w:p w14:paraId="725FBD32">
            <w:pPr>
              <w:jc w:val="center"/>
              <w:rPr>
                <w:rFonts w:ascii="宋体" w:hAnsi="宋体" w:cs="宋体"/>
                <w:color w:val="auto"/>
                <w:sz w:val="24"/>
                <w:szCs w:val="24"/>
              </w:rPr>
            </w:pPr>
            <w:r>
              <w:rPr>
                <w:rFonts w:hint="eastAsia" w:ascii="宋体" w:hAnsi="宋体" w:cs="宋体"/>
                <w:color w:val="auto"/>
                <w:sz w:val="24"/>
                <w:szCs w:val="24"/>
              </w:rPr>
              <w:t>按需配置并征得采购人书面同意</w:t>
            </w:r>
          </w:p>
        </w:tc>
      </w:tr>
      <w:tr w14:paraId="25B52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47" w:type="dxa"/>
            <w:tcBorders>
              <w:top w:val="single" w:color="auto" w:sz="4" w:space="0"/>
              <w:left w:val="single" w:color="auto" w:sz="4" w:space="0"/>
              <w:bottom w:val="single" w:color="auto" w:sz="4" w:space="0"/>
              <w:right w:val="single" w:color="auto" w:sz="4" w:space="0"/>
            </w:tcBorders>
            <w:shd w:val="clear" w:color="auto" w:fill="FFFFFF"/>
            <w:vAlign w:val="center"/>
          </w:tcPr>
          <w:p w14:paraId="43176394">
            <w:pPr>
              <w:widowControl/>
              <w:jc w:val="center"/>
              <w:textAlignment w:val="center"/>
              <w:rPr>
                <w:rFonts w:ascii="宋体" w:hAnsi="宋体" w:cs="宋体"/>
                <w:color w:val="auto"/>
                <w:kern w:val="0"/>
                <w:sz w:val="24"/>
                <w:szCs w:val="24"/>
                <w:lang w:bidi="ar"/>
              </w:rPr>
            </w:pPr>
            <w:r>
              <w:rPr>
                <w:rFonts w:ascii="宋体" w:hAnsi="宋体" w:cs="宋体"/>
                <w:color w:val="auto"/>
                <w:kern w:val="0"/>
                <w:sz w:val="24"/>
                <w:szCs w:val="24"/>
                <w:lang w:bidi="ar"/>
              </w:rPr>
              <w:t>9</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14:paraId="6C2EB214">
            <w:pPr>
              <w:jc w:val="center"/>
              <w:rPr>
                <w:rFonts w:ascii="宋体" w:hAnsi="宋体" w:cs="宋体"/>
                <w:color w:val="auto"/>
                <w:sz w:val="24"/>
                <w:szCs w:val="24"/>
              </w:rPr>
            </w:pPr>
            <w:r>
              <w:rPr>
                <w:rFonts w:hint="eastAsia" w:ascii="宋体" w:hAnsi="宋体" w:cs="宋体"/>
                <w:color w:val="auto"/>
                <w:sz w:val="24"/>
                <w:szCs w:val="24"/>
              </w:rPr>
              <w:t>食安服务终端</w:t>
            </w:r>
          </w:p>
        </w:tc>
        <w:tc>
          <w:tcPr>
            <w:tcW w:w="6114" w:type="dxa"/>
            <w:tcBorders>
              <w:top w:val="single" w:color="auto" w:sz="4" w:space="0"/>
              <w:left w:val="single" w:color="auto" w:sz="4" w:space="0"/>
              <w:bottom w:val="single" w:color="auto" w:sz="4" w:space="0"/>
              <w:right w:val="single" w:color="auto" w:sz="4" w:space="0"/>
            </w:tcBorders>
            <w:shd w:val="clear" w:color="auto" w:fill="FFFFFF"/>
            <w:vAlign w:val="center"/>
          </w:tcPr>
          <w:p w14:paraId="771C448A">
            <w:pPr>
              <w:numPr>
                <w:ilvl w:val="0"/>
                <w:numId w:val="130"/>
              </w:numPr>
              <w:ind w:left="0" w:firstLine="0"/>
              <w:jc w:val="left"/>
              <w:rPr>
                <w:rFonts w:ascii="宋体" w:hAnsi="宋体" w:cs="宋体"/>
                <w:color w:val="auto"/>
                <w:sz w:val="24"/>
                <w:szCs w:val="24"/>
              </w:rPr>
            </w:pPr>
            <w:r>
              <w:rPr>
                <w:rFonts w:hint="eastAsia" w:ascii="宋体" w:hAnsi="宋体" w:cs="宋体"/>
                <w:color w:val="auto"/>
                <w:sz w:val="24"/>
                <w:szCs w:val="24"/>
              </w:rPr>
              <w:t>功能</w:t>
            </w:r>
            <w:r>
              <w:rPr>
                <w:rFonts w:hint="eastAsia" w:ascii="宋体" w:hAnsi="宋体" w:cs="宋体"/>
                <w:color w:val="auto"/>
                <w:kern w:val="0"/>
                <w:sz w:val="24"/>
                <w:szCs w:val="24"/>
                <w:lang w:bidi="ar"/>
              </w:rPr>
              <w:t>描述：</w:t>
            </w:r>
          </w:p>
          <w:p w14:paraId="5AE66A96">
            <w:pPr>
              <w:numPr>
                <w:ilvl w:val="0"/>
                <w:numId w:val="131"/>
              </w:numPr>
              <w:ind w:left="0" w:firstLine="0"/>
              <w:jc w:val="left"/>
              <w:rPr>
                <w:rFonts w:ascii="宋体" w:hAnsi="宋体" w:cs="宋体"/>
                <w:color w:val="auto"/>
                <w:sz w:val="24"/>
                <w:szCs w:val="24"/>
              </w:rPr>
            </w:pPr>
            <w:r>
              <w:rPr>
                <w:rFonts w:hint="eastAsia" w:ascii="宋体" w:hAnsi="宋体" w:cs="宋体"/>
                <w:color w:val="auto"/>
                <w:sz w:val="24"/>
                <w:szCs w:val="24"/>
              </w:rPr>
              <w:t>可进行食堂菜品宣传、电子台账、明厨亮灶视频展示，可进行评价点评；</w:t>
            </w:r>
          </w:p>
          <w:p w14:paraId="0E63662F">
            <w:pPr>
              <w:numPr>
                <w:ilvl w:val="0"/>
                <w:numId w:val="131"/>
              </w:numPr>
              <w:ind w:left="0" w:firstLine="0"/>
              <w:jc w:val="left"/>
              <w:rPr>
                <w:rFonts w:ascii="宋体" w:hAnsi="宋体" w:cs="宋体"/>
                <w:color w:val="auto"/>
                <w:sz w:val="24"/>
                <w:szCs w:val="24"/>
              </w:rPr>
            </w:pPr>
            <w:r>
              <w:rPr>
                <w:rFonts w:hint="eastAsia" w:ascii="宋体" w:hAnsi="宋体" w:cs="宋体"/>
                <w:color w:val="auto"/>
                <w:sz w:val="24"/>
                <w:szCs w:val="24"/>
              </w:rPr>
              <w:t>用餐人员用餐反馈意见收集，统一渠道收集</w:t>
            </w:r>
            <w:r>
              <w:rPr>
                <w:rFonts w:ascii="宋体" w:hAnsi="宋体" w:cs="宋体"/>
                <w:color w:val="auto"/>
                <w:sz w:val="24"/>
                <w:szCs w:val="24"/>
              </w:rPr>
              <w:t>/答复食堂信息；</w:t>
            </w:r>
          </w:p>
          <w:p w14:paraId="3DECE875">
            <w:pPr>
              <w:numPr>
                <w:ilvl w:val="0"/>
                <w:numId w:val="130"/>
              </w:numPr>
              <w:ind w:left="0" w:firstLine="0"/>
              <w:jc w:val="left"/>
              <w:rPr>
                <w:rFonts w:ascii="宋体" w:hAnsi="宋体" w:cs="宋体"/>
                <w:color w:val="auto"/>
                <w:sz w:val="24"/>
                <w:szCs w:val="24"/>
              </w:rPr>
            </w:pPr>
            <w:r>
              <w:rPr>
                <w:rFonts w:hint="eastAsia" w:ascii="宋体" w:hAnsi="宋体" w:cs="宋体"/>
                <w:color w:val="auto"/>
                <w:sz w:val="24"/>
                <w:szCs w:val="24"/>
              </w:rPr>
              <w:t>设备参数</w:t>
            </w:r>
          </w:p>
          <w:p w14:paraId="37232777">
            <w:pPr>
              <w:pStyle w:val="22"/>
              <w:numPr>
                <w:ilvl w:val="0"/>
                <w:numId w:val="132"/>
              </w:numPr>
              <w:ind w:left="0" w:firstLine="0"/>
              <w:rPr>
                <w:rFonts w:ascii="宋体" w:hAnsi="宋体" w:cs="宋体"/>
                <w:color w:val="auto"/>
                <w:sz w:val="24"/>
                <w:szCs w:val="24"/>
              </w:rPr>
            </w:pPr>
            <w:r>
              <w:rPr>
                <w:rFonts w:hint="eastAsia" w:ascii="宋体" w:hAnsi="宋体" w:eastAsia="宋体" w:cs="宋体"/>
                <w:color w:val="auto"/>
                <w:sz w:val="24"/>
                <w:szCs w:val="24"/>
              </w:rPr>
              <w:t>显示</w:t>
            </w:r>
            <w:r>
              <w:rPr>
                <w:rFonts w:ascii="宋体" w:hAnsi="宋体" w:eastAsia="宋体" w:cs="宋体"/>
                <w:color w:val="auto"/>
                <w:sz w:val="24"/>
                <w:szCs w:val="24"/>
              </w:rPr>
              <w:t>/触摸参数：</w:t>
            </w:r>
          </w:p>
          <w:p w14:paraId="2A3F4E23">
            <w:pPr>
              <w:numPr>
                <w:ilvl w:val="0"/>
                <w:numId w:val="133"/>
              </w:numPr>
              <w:ind w:firstLine="0"/>
              <w:jc w:val="left"/>
              <w:rPr>
                <w:rFonts w:ascii="宋体" w:hAnsi="宋体" w:cs="宋体"/>
                <w:color w:val="auto"/>
                <w:sz w:val="24"/>
                <w:szCs w:val="24"/>
              </w:rPr>
            </w:pPr>
            <w:r>
              <w:rPr>
                <w:rFonts w:hint="eastAsia" w:ascii="宋体" w:hAnsi="宋体" w:cs="宋体"/>
                <w:color w:val="auto"/>
                <w:sz w:val="24"/>
                <w:szCs w:val="24"/>
              </w:rPr>
              <w:t>液晶等级：全新</w:t>
            </w:r>
            <w:r>
              <w:rPr>
                <w:rFonts w:ascii="宋体" w:hAnsi="宋体" w:cs="宋体"/>
                <w:color w:val="auto"/>
                <w:sz w:val="24"/>
                <w:szCs w:val="24"/>
              </w:rPr>
              <w:t>A+品牌液晶面板</w:t>
            </w:r>
          </w:p>
          <w:p w14:paraId="242EBCF7">
            <w:pPr>
              <w:numPr>
                <w:ilvl w:val="0"/>
                <w:numId w:val="133"/>
              </w:numPr>
              <w:ind w:firstLine="0"/>
              <w:jc w:val="left"/>
              <w:rPr>
                <w:rFonts w:ascii="宋体" w:hAnsi="宋体" w:cs="宋体"/>
                <w:color w:val="auto"/>
                <w:sz w:val="24"/>
                <w:szCs w:val="24"/>
              </w:rPr>
            </w:pPr>
            <w:r>
              <w:rPr>
                <w:rFonts w:hint="eastAsia" w:ascii="宋体" w:hAnsi="宋体" w:cs="宋体"/>
                <w:color w:val="auto"/>
                <w:sz w:val="24"/>
                <w:szCs w:val="24"/>
              </w:rPr>
              <w:t>液晶尺寸：不小于</w:t>
            </w:r>
            <w:r>
              <w:rPr>
                <w:rFonts w:ascii="宋体" w:hAnsi="宋体" w:cs="宋体"/>
                <w:color w:val="auto"/>
                <w:sz w:val="24"/>
                <w:szCs w:val="24"/>
              </w:rPr>
              <w:t>43英寸；</w:t>
            </w:r>
          </w:p>
          <w:p w14:paraId="1654E7A0">
            <w:pPr>
              <w:numPr>
                <w:ilvl w:val="0"/>
                <w:numId w:val="133"/>
              </w:numPr>
              <w:ind w:firstLine="0"/>
              <w:jc w:val="left"/>
              <w:rPr>
                <w:rFonts w:ascii="宋体" w:hAnsi="宋体" w:cs="宋体"/>
                <w:color w:val="auto"/>
                <w:sz w:val="24"/>
                <w:szCs w:val="24"/>
              </w:rPr>
            </w:pPr>
            <w:r>
              <w:rPr>
                <w:rFonts w:hint="eastAsia" w:ascii="宋体" w:hAnsi="宋体" w:cs="宋体"/>
                <w:color w:val="auto"/>
                <w:sz w:val="24"/>
                <w:szCs w:val="24"/>
              </w:rPr>
              <w:t>背光类型：</w:t>
            </w:r>
            <w:r>
              <w:rPr>
                <w:rFonts w:ascii="宋体" w:hAnsi="宋体" w:cs="宋体"/>
                <w:color w:val="auto"/>
                <w:sz w:val="24"/>
                <w:szCs w:val="24"/>
              </w:rPr>
              <w:t>E-LED；</w:t>
            </w:r>
          </w:p>
          <w:p w14:paraId="732DE6E6">
            <w:pPr>
              <w:numPr>
                <w:ilvl w:val="0"/>
                <w:numId w:val="133"/>
              </w:numPr>
              <w:ind w:firstLine="0"/>
              <w:jc w:val="left"/>
              <w:rPr>
                <w:rFonts w:ascii="宋体" w:hAnsi="宋体" w:cs="宋体"/>
                <w:color w:val="auto"/>
                <w:sz w:val="24"/>
                <w:szCs w:val="24"/>
              </w:rPr>
            </w:pPr>
            <w:r>
              <w:rPr>
                <w:rFonts w:hint="eastAsia" w:ascii="宋体" w:hAnsi="宋体" w:cs="宋体"/>
                <w:color w:val="auto"/>
                <w:sz w:val="24"/>
                <w:szCs w:val="24"/>
              </w:rPr>
              <w:t>分辨率：</w:t>
            </w:r>
            <w:r>
              <w:rPr>
                <w:rFonts w:ascii="宋体" w:hAnsi="宋体" w:cs="宋体"/>
                <w:color w:val="auto"/>
                <w:sz w:val="24"/>
                <w:szCs w:val="24"/>
              </w:rPr>
              <w:t>1920*1080；</w:t>
            </w:r>
          </w:p>
          <w:p w14:paraId="6591824A">
            <w:pPr>
              <w:numPr>
                <w:ilvl w:val="0"/>
                <w:numId w:val="133"/>
              </w:numPr>
              <w:ind w:firstLine="0"/>
              <w:jc w:val="left"/>
              <w:rPr>
                <w:rFonts w:ascii="宋体" w:hAnsi="宋体" w:cs="宋体"/>
                <w:color w:val="auto"/>
                <w:sz w:val="24"/>
                <w:szCs w:val="24"/>
              </w:rPr>
            </w:pPr>
            <w:r>
              <w:rPr>
                <w:rFonts w:hint="eastAsia" w:ascii="宋体" w:hAnsi="宋体" w:cs="宋体"/>
                <w:color w:val="auto"/>
                <w:sz w:val="24"/>
                <w:szCs w:val="24"/>
              </w:rPr>
              <w:t>显示亮度：≥</w:t>
            </w:r>
            <w:r>
              <w:rPr>
                <w:rFonts w:ascii="宋体" w:hAnsi="宋体" w:cs="宋体"/>
                <w:color w:val="auto"/>
                <w:sz w:val="24"/>
                <w:szCs w:val="24"/>
              </w:rPr>
              <w:t>350cd；</w:t>
            </w:r>
          </w:p>
          <w:p w14:paraId="19075CAC">
            <w:pPr>
              <w:numPr>
                <w:ilvl w:val="0"/>
                <w:numId w:val="133"/>
              </w:numPr>
              <w:ind w:firstLine="0"/>
              <w:jc w:val="left"/>
              <w:rPr>
                <w:rFonts w:ascii="宋体" w:hAnsi="宋体" w:cs="宋体"/>
                <w:color w:val="auto"/>
                <w:sz w:val="24"/>
                <w:szCs w:val="24"/>
              </w:rPr>
            </w:pPr>
            <w:r>
              <w:rPr>
                <w:rFonts w:hint="eastAsia" w:ascii="宋体" w:hAnsi="宋体" w:cs="宋体"/>
                <w:color w:val="auto"/>
                <w:sz w:val="24"/>
                <w:szCs w:val="24"/>
              </w:rPr>
              <w:t>触摸方案：电容</w:t>
            </w:r>
            <w:r>
              <w:rPr>
                <w:rFonts w:ascii="宋体" w:hAnsi="宋体" w:cs="宋体"/>
                <w:color w:val="auto"/>
                <w:sz w:val="24"/>
                <w:szCs w:val="24"/>
              </w:rPr>
              <w:t>G+G；</w:t>
            </w:r>
          </w:p>
          <w:p w14:paraId="7D76F197">
            <w:pPr>
              <w:pStyle w:val="22"/>
              <w:numPr>
                <w:ilvl w:val="0"/>
                <w:numId w:val="132"/>
              </w:numPr>
              <w:ind w:left="0" w:firstLine="0"/>
              <w:rPr>
                <w:rFonts w:ascii="宋体" w:hAnsi="宋体" w:eastAsia="宋体" w:cs="宋体"/>
                <w:color w:val="auto"/>
                <w:sz w:val="24"/>
                <w:szCs w:val="24"/>
              </w:rPr>
            </w:pPr>
            <w:r>
              <w:rPr>
                <w:rFonts w:hint="eastAsia" w:ascii="宋体" w:hAnsi="宋体" w:eastAsia="宋体" w:cs="宋体"/>
                <w:color w:val="auto"/>
                <w:sz w:val="24"/>
                <w:szCs w:val="24"/>
              </w:rPr>
              <w:t>系统参数：</w:t>
            </w:r>
          </w:p>
          <w:p w14:paraId="29F6C591">
            <w:pPr>
              <w:numPr>
                <w:ilvl w:val="0"/>
                <w:numId w:val="134"/>
              </w:numPr>
              <w:ind w:firstLine="0"/>
              <w:jc w:val="left"/>
              <w:rPr>
                <w:rFonts w:ascii="宋体" w:hAnsi="宋体" w:cs="宋体"/>
                <w:color w:val="auto"/>
                <w:sz w:val="24"/>
                <w:szCs w:val="24"/>
              </w:rPr>
            </w:pPr>
            <w:r>
              <w:rPr>
                <w:rFonts w:ascii="宋体" w:hAnsi="宋体" w:cs="宋体"/>
                <w:color w:val="auto"/>
                <w:sz w:val="24"/>
                <w:szCs w:val="24"/>
              </w:rPr>
              <w:t>CPU：四核，主频不低于2.0GHz；</w:t>
            </w:r>
          </w:p>
          <w:p w14:paraId="1F07FC75">
            <w:pPr>
              <w:numPr>
                <w:ilvl w:val="0"/>
                <w:numId w:val="134"/>
              </w:numPr>
              <w:ind w:firstLine="0"/>
              <w:jc w:val="left"/>
              <w:rPr>
                <w:rFonts w:ascii="宋体" w:hAnsi="宋体" w:cs="宋体"/>
                <w:color w:val="auto"/>
                <w:sz w:val="24"/>
                <w:szCs w:val="24"/>
              </w:rPr>
            </w:pPr>
            <w:r>
              <w:rPr>
                <w:rFonts w:hint="eastAsia" w:ascii="宋体" w:hAnsi="宋体" w:cs="宋体"/>
                <w:color w:val="auto"/>
                <w:sz w:val="24"/>
                <w:szCs w:val="24"/>
              </w:rPr>
              <w:t>内存：</w:t>
            </w:r>
            <w:r>
              <w:rPr>
                <w:rFonts w:ascii="宋体" w:hAnsi="宋体" w:cs="宋体"/>
                <w:color w:val="auto"/>
                <w:sz w:val="24"/>
                <w:szCs w:val="24"/>
              </w:rPr>
              <w:t>2+16GB；</w:t>
            </w:r>
          </w:p>
          <w:p w14:paraId="26E0D8FD">
            <w:pPr>
              <w:numPr>
                <w:ilvl w:val="0"/>
                <w:numId w:val="134"/>
              </w:numPr>
              <w:ind w:firstLine="0"/>
              <w:jc w:val="left"/>
              <w:rPr>
                <w:rFonts w:ascii="宋体" w:hAnsi="宋体" w:cs="宋体"/>
                <w:color w:val="auto"/>
                <w:sz w:val="24"/>
                <w:szCs w:val="24"/>
              </w:rPr>
            </w:pPr>
            <w:r>
              <w:rPr>
                <w:rFonts w:ascii="宋体" w:hAnsi="宋体" w:cs="宋体"/>
                <w:color w:val="auto"/>
                <w:sz w:val="24"/>
                <w:szCs w:val="24"/>
              </w:rPr>
              <w:t>NPU：支持1Tops算力；</w:t>
            </w:r>
          </w:p>
          <w:p w14:paraId="3AD44891">
            <w:pPr>
              <w:numPr>
                <w:ilvl w:val="0"/>
                <w:numId w:val="134"/>
              </w:numPr>
              <w:ind w:firstLine="0"/>
              <w:jc w:val="left"/>
              <w:rPr>
                <w:rFonts w:ascii="宋体" w:hAnsi="宋体" w:cs="宋体"/>
                <w:color w:val="auto"/>
                <w:sz w:val="24"/>
                <w:szCs w:val="24"/>
              </w:rPr>
            </w:pPr>
            <w:r>
              <w:rPr>
                <w:rFonts w:hint="eastAsia" w:ascii="宋体" w:hAnsi="宋体" w:cs="宋体"/>
                <w:color w:val="auto"/>
                <w:sz w:val="24"/>
                <w:szCs w:val="24"/>
              </w:rPr>
              <w:t>操作系统：安卓</w:t>
            </w:r>
            <w:r>
              <w:rPr>
                <w:rFonts w:ascii="宋体" w:hAnsi="宋体" w:cs="宋体"/>
                <w:color w:val="auto"/>
                <w:sz w:val="24"/>
                <w:szCs w:val="24"/>
              </w:rPr>
              <w:t>11；</w:t>
            </w:r>
          </w:p>
          <w:p w14:paraId="31C048E9">
            <w:pPr>
              <w:numPr>
                <w:ilvl w:val="0"/>
                <w:numId w:val="134"/>
              </w:numPr>
              <w:ind w:firstLine="0"/>
              <w:jc w:val="left"/>
              <w:rPr>
                <w:rFonts w:ascii="宋体" w:hAnsi="宋体" w:cs="宋体"/>
                <w:color w:val="auto"/>
                <w:sz w:val="24"/>
                <w:szCs w:val="24"/>
              </w:rPr>
            </w:pPr>
            <w:r>
              <w:rPr>
                <w:rFonts w:hint="eastAsia" w:ascii="宋体" w:hAnsi="宋体" w:cs="宋体"/>
                <w:color w:val="auto"/>
                <w:sz w:val="24"/>
                <w:szCs w:val="24"/>
              </w:rPr>
              <w:t>网络通讯：以太网</w:t>
            </w:r>
            <w:r>
              <w:rPr>
                <w:rFonts w:ascii="宋体" w:hAnsi="宋体" w:cs="宋体"/>
                <w:color w:val="auto"/>
                <w:sz w:val="24"/>
                <w:szCs w:val="24"/>
              </w:rPr>
              <w:t>+WiFi；</w:t>
            </w:r>
          </w:p>
          <w:p w14:paraId="67B53BB1">
            <w:pPr>
              <w:numPr>
                <w:ilvl w:val="0"/>
                <w:numId w:val="134"/>
              </w:numPr>
              <w:ind w:firstLine="0"/>
              <w:jc w:val="left"/>
              <w:rPr>
                <w:rFonts w:ascii="宋体" w:hAnsi="宋体" w:cs="宋体"/>
                <w:color w:val="auto"/>
                <w:sz w:val="24"/>
                <w:szCs w:val="24"/>
              </w:rPr>
            </w:pPr>
            <w:r>
              <w:rPr>
                <w:rFonts w:hint="eastAsia" w:ascii="宋体" w:hAnsi="宋体" w:cs="宋体"/>
                <w:color w:val="auto"/>
                <w:sz w:val="24"/>
                <w:szCs w:val="24"/>
              </w:rPr>
              <w:t>音频功放：内置</w:t>
            </w:r>
            <w:r>
              <w:rPr>
                <w:rFonts w:ascii="宋体" w:hAnsi="宋体" w:cs="宋体"/>
                <w:color w:val="auto"/>
                <w:sz w:val="24"/>
                <w:szCs w:val="24"/>
              </w:rPr>
              <w:t>2路8欧5瓦优质喇叭；</w:t>
            </w:r>
          </w:p>
          <w:p w14:paraId="7D66D7D6">
            <w:pPr>
              <w:numPr>
                <w:ilvl w:val="0"/>
                <w:numId w:val="134"/>
              </w:numPr>
              <w:ind w:firstLine="0"/>
              <w:jc w:val="left"/>
              <w:rPr>
                <w:rFonts w:ascii="宋体" w:hAnsi="宋体" w:cs="宋体"/>
                <w:color w:val="auto"/>
                <w:sz w:val="24"/>
                <w:szCs w:val="24"/>
              </w:rPr>
            </w:pPr>
            <w:r>
              <w:rPr>
                <w:rFonts w:hint="eastAsia" w:ascii="宋体" w:hAnsi="宋体" w:cs="宋体"/>
                <w:color w:val="auto"/>
                <w:sz w:val="24"/>
                <w:szCs w:val="24"/>
              </w:rPr>
              <w:t>开关设备：支持定时开关、遥控开关、通电自启等方式开关机；</w:t>
            </w:r>
          </w:p>
          <w:p w14:paraId="52DFAC56">
            <w:pPr>
              <w:pStyle w:val="22"/>
              <w:numPr>
                <w:ilvl w:val="0"/>
                <w:numId w:val="132"/>
              </w:numPr>
              <w:ind w:left="0" w:firstLine="0"/>
              <w:rPr>
                <w:rFonts w:ascii="宋体" w:hAnsi="宋体" w:eastAsia="宋体" w:cs="宋体"/>
                <w:color w:val="auto"/>
                <w:sz w:val="24"/>
                <w:szCs w:val="24"/>
              </w:rPr>
            </w:pPr>
            <w:r>
              <w:rPr>
                <w:rFonts w:hint="eastAsia" w:ascii="宋体" w:hAnsi="宋体" w:eastAsia="宋体" w:cs="宋体"/>
                <w:color w:val="auto"/>
                <w:sz w:val="24"/>
                <w:szCs w:val="24"/>
              </w:rPr>
              <w:t>机身参数：</w:t>
            </w:r>
          </w:p>
          <w:p w14:paraId="60657AC8">
            <w:pPr>
              <w:numPr>
                <w:ilvl w:val="0"/>
                <w:numId w:val="135"/>
              </w:numPr>
              <w:ind w:firstLine="0"/>
              <w:jc w:val="left"/>
              <w:rPr>
                <w:rFonts w:ascii="宋体" w:hAnsi="宋体" w:cs="宋体"/>
                <w:color w:val="auto"/>
                <w:sz w:val="24"/>
                <w:szCs w:val="24"/>
              </w:rPr>
            </w:pPr>
            <w:r>
              <w:rPr>
                <w:rFonts w:hint="eastAsia" w:ascii="宋体" w:hAnsi="宋体" w:cs="宋体"/>
                <w:color w:val="auto"/>
                <w:sz w:val="24"/>
                <w:szCs w:val="24"/>
              </w:rPr>
              <w:t>边框材质：铝型材（氧化拉丝工艺）；</w:t>
            </w:r>
          </w:p>
          <w:p w14:paraId="59900F64">
            <w:pPr>
              <w:numPr>
                <w:ilvl w:val="0"/>
                <w:numId w:val="135"/>
              </w:numPr>
              <w:ind w:firstLine="0"/>
              <w:jc w:val="left"/>
              <w:rPr>
                <w:rFonts w:ascii="宋体" w:hAnsi="宋体" w:cs="宋体"/>
                <w:color w:val="auto"/>
                <w:sz w:val="24"/>
                <w:szCs w:val="24"/>
              </w:rPr>
            </w:pPr>
            <w:r>
              <w:rPr>
                <w:rFonts w:hint="eastAsia" w:ascii="宋体" w:hAnsi="宋体" w:cs="宋体"/>
                <w:color w:val="auto"/>
                <w:sz w:val="24"/>
                <w:szCs w:val="24"/>
              </w:rPr>
              <w:t>机身材质：镀锌板（金属喷涂工艺）；</w:t>
            </w:r>
          </w:p>
          <w:p w14:paraId="5B80E9D4">
            <w:pPr>
              <w:numPr>
                <w:ilvl w:val="0"/>
                <w:numId w:val="135"/>
              </w:numPr>
              <w:ind w:firstLine="0"/>
              <w:jc w:val="left"/>
              <w:rPr>
                <w:rFonts w:ascii="宋体" w:hAnsi="宋体" w:cs="宋体"/>
                <w:color w:val="auto"/>
                <w:sz w:val="24"/>
                <w:szCs w:val="24"/>
              </w:rPr>
            </w:pPr>
            <w:r>
              <w:rPr>
                <w:rFonts w:hint="eastAsia" w:ascii="宋体" w:hAnsi="宋体" w:cs="宋体"/>
                <w:color w:val="auto"/>
                <w:sz w:val="24"/>
                <w:szCs w:val="24"/>
              </w:rPr>
              <w:t>表面材质：钢化玻璃（物理钢化工艺）；</w:t>
            </w:r>
          </w:p>
          <w:p w14:paraId="79B53034">
            <w:pPr>
              <w:numPr>
                <w:ilvl w:val="0"/>
                <w:numId w:val="135"/>
              </w:numPr>
              <w:ind w:firstLine="0"/>
              <w:jc w:val="left"/>
              <w:rPr>
                <w:rFonts w:ascii="宋体" w:hAnsi="宋体" w:cs="宋体"/>
                <w:color w:val="auto"/>
                <w:sz w:val="24"/>
                <w:szCs w:val="24"/>
              </w:rPr>
            </w:pPr>
            <w:r>
              <w:rPr>
                <w:rFonts w:hint="eastAsia" w:ascii="宋体" w:hAnsi="宋体" w:cs="宋体"/>
                <w:color w:val="auto"/>
                <w:sz w:val="24"/>
                <w:szCs w:val="24"/>
              </w:rPr>
              <w:t>机身尺寸：不大于</w:t>
            </w:r>
            <w:r>
              <w:rPr>
                <w:rFonts w:ascii="宋体" w:hAnsi="宋体" w:cs="宋体"/>
                <w:color w:val="auto"/>
                <w:sz w:val="24"/>
                <w:szCs w:val="24"/>
              </w:rPr>
              <w:t>981.6*569.6*64mm；</w:t>
            </w:r>
          </w:p>
          <w:p w14:paraId="4D1A5C69">
            <w:pPr>
              <w:pStyle w:val="22"/>
              <w:numPr>
                <w:ilvl w:val="0"/>
                <w:numId w:val="132"/>
              </w:numPr>
              <w:ind w:left="0" w:firstLine="0"/>
              <w:rPr>
                <w:rFonts w:ascii="宋体" w:hAnsi="宋体" w:eastAsia="宋体" w:cs="宋体"/>
                <w:color w:val="auto"/>
                <w:sz w:val="24"/>
                <w:szCs w:val="24"/>
              </w:rPr>
            </w:pPr>
            <w:r>
              <w:rPr>
                <w:rFonts w:hint="eastAsia" w:ascii="宋体" w:hAnsi="宋体" w:eastAsia="宋体" w:cs="宋体"/>
                <w:color w:val="auto"/>
                <w:sz w:val="24"/>
                <w:szCs w:val="24"/>
              </w:rPr>
              <w:t>底座参数：</w:t>
            </w:r>
          </w:p>
          <w:p w14:paraId="08F2964B">
            <w:pPr>
              <w:numPr>
                <w:ilvl w:val="0"/>
                <w:numId w:val="136"/>
              </w:numPr>
              <w:ind w:firstLine="0"/>
              <w:jc w:val="left"/>
              <w:rPr>
                <w:rFonts w:ascii="宋体" w:hAnsi="宋体" w:cs="宋体"/>
                <w:color w:val="auto"/>
                <w:sz w:val="24"/>
                <w:szCs w:val="24"/>
              </w:rPr>
            </w:pPr>
            <w:r>
              <w:rPr>
                <w:rFonts w:hint="eastAsia" w:ascii="宋体" w:hAnsi="宋体" w:cs="宋体"/>
                <w:color w:val="auto"/>
                <w:sz w:val="24"/>
                <w:szCs w:val="24"/>
              </w:rPr>
              <w:t>材质：镀锌板；</w:t>
            </w:r>
          </w:p>
          <w:p w14:paraId="70BE3933">
            <w:pPr>
              <w:numPr>
                <w:ilvl w:val="0"/>
                <w:numId w:val="136"/>
              </w:numPr>
              <w:ind w:firstLine="0"/>
              <w:jc w:val="left"/>
              <w:rPr>
                <w:rFonts w:ascii="宋体" w:hAnsi="宋体" w:cs="宋体"/>
                <w:color w:val="auto"/>
                <w:sz w:val="24"/>
                <w:szCs w:val="24"/>
              </w:rPr>
            </w:pPr>
            <w:r>
              <w:rPr>
                <w:rFonts w:hint="eastAsia" w:ascii="宋体" w:hAnsi="宋体" w:cs="宋体"/>
                <w:color w:val="auto"/>
                <w:sz w:val="24"/>
                <w:szCs w:val="24"/>
              </w:rPr>
              <w:t>安装孔位：</w:t>
            </w:r>
            <w:r>
              <w:rPr>
                <w:rFonts w:ascii="宋体" w:hAnsi="宋体" w:cs="宋体"/>
                <w:color w:val="auto"/>
                <w:sz w:val="24"/>
                <w:szCs w:val="24"/>
              </w:rPr>
              <w:t>400*200mm；</w:t>
            </w:r>
          </w:p>
          <w:p w14:paraId="293D81A0">
            <w:pPr>
              <w:numPr>
                <w:ilvl w:val="0"/>
                <w:numId w:val="136"/>
              </w:numPr>
              <w:ind w:firstLine="0"/>
              <w:jc w:val="left"/>
              <w:rPr>
                <w:rFonts w:ascii="宋体" w:hAnsi="宋体" w:cs="宋体"/>
                <w:color w:val="auto"/>
                <w:sz w:val="24"/>
                <w:szCs w:val="24"/>
              </w:rPr>
            </w:pPr>
            <w:r>
              <w:rPr>
                <w:rFonts w:hint="eastAsia" w:ascii="宋体" w:hAnsi="宋体" w:cs="宋体"/>
                <w:color w:val="auto"/>
                <w:sz w:val="24"/>
                <w:szCs w:val="24"/>
              </w:rPr>
              <w:t>底座重量：</w:t>
            </w:r>
            <w:r>
              <w:rPr>
                <w:rFonts w:ascii="宋体" w:hAnsi="宋体" w:cs="宋体"/>
                <w:color w:val="auto"/>
                <w:sz w:val="24"/>
                <w:szCs w:val="24"/>
              </w:rPr>
              <w:t>8KG；</w:t>
            </w:r>
          </w:p>
          <w:p w14:paraId="6C36659A">
            <w:pPr>
              <w:numPr>
                <w:ilvl w:val="0"/>
                <w:numId w:val="136"/>
              </w:numPr>
              <w:ind w:firstLine="0"/>
              <w:jc w:val="left"/>
              <w:rPr>
                <w:rFonts w:ascii="宋体" w:hAnsi="宋体" w:cs="宋体"/>
                <w:color w:val="auto"/>
                <w:sz w:val="24"/>
                <w:szCs w:val="24"/>
              </w:rPr>
            </w:pPr>
            <w:r>
              <w:rPr>
                <w:rFonts w:hint="eastAsia" w:ascii="宋体" w:hAnsi="宋体" w:cs="宋体"/>
                <w:color w:val="auto"/>
                <w:sz w:val="24"/>
                <w:szCs w:val="24"/>
              </w:rPr>
              <w:t>配件：调节脚杯</w:t>
            </w:r>
            <w:r>
              <w:rPr>
                <w:rFonts w:ascii="宋体" w:hAnsi="宋体" w:cs="宋体"/>
                <w:color w:val="auto"/>
                <w:sz w:val="24"/>
                <w:szCs w:val="24"/>
              </w:rPr>
              <w:t>*4个；</w:t>
            </w:r>
          </w:p>
          <w:p w14:paraId="7421F9FD">
            <w:pPr>
              <w:numPr>
                <w:ilvl w:val="0"/>
                <w:numId w:val="136"/>
              </w:numPr>
              <w:ind w:firstLine="0"/>
              <w:jc w:val="left"/>
              <w:rPr>
                <w:rFonts w:ascii="宋体" w:hAnsi="宋体" w:cs="宋体"/>
                <w:color w:val="auto"/>
                <w:sz w:val="24"/>
                <w:szCs w:val="24"/>
              </w:rPr>
            </w:pPr>
            <w:r>
              <w:rPr>
                <w:rFonts w:ascii="宋体" w:hAnsi="宋体" w:cs="宋体"/>
                <w:color w:val="auto"/>
                <w:sz w:val="24"/>
                <w:szCs w:val="24"/>
              </w:rPr>
              <w:t>M8螺丝*4颗；</w:t>
            </w:r>
          </w:p>
          <w:p w14:paraId="159FC71D">
            <w:pPr>
              <w:pStyle w:val="22"/>
              <w:numPr>
                <w:ilvl w:val="0"/>
                <w:numId w:val="132"/>
              </w:numPr>
              <w:ind w:left="0" w:firstLine="0"/>
              <w:rPr>
                <w:rFonts w:ascii="宋体" w:hAnsi="宋体" w:eastAsia="宋体" w:cs="宋体"/>
                <w:color w:val="auto"/>
                <w:sz w:val="24"/>
                <w:szCs w:val="24"/>
              </w:rPr>
            </w:pPr>
            <w:r>
              <w:rPr>
                <w:rFonts w:hint="eastAsia" w:ascii="宋体" w:hAnsi="宋体" w:eastAsia="宋体" w:cs="宋体"/>
                <w:color w:val="auto"/>
                <w:sz w:val="24"/>
                <w:szCs w:val="24"/>
              </w:rPr>
              <w:t>电气性能：</w:t>
            </w:r>
          </w:p>
          <w:p w14:paraId="40935C44">
            <w:pPr>
              <w:numPr>
                <w:ilvl w:val="0"/>
                <w:numId w:val="137"/>
              </w:numPr>
              <w:ind w:firstLine="0"/>
              <w:jc w:val="left"/>
              <w:rPr>
                <w:rFonts w:ascii="宋体" w:hAnsi="宋体" w:cs="宋体"/>
                <w:color w:val="auto"/>
                <w:sz w:val="24"/>
                <w:szCs w:val="24"/>
              </w:rPr>
            </w:pPr>
            <w:r>
              <w:rPr>
                <w:rFonts w:hint="eastAsia" w:ascii="宋体" w:hAnsi="宋体" w:cs="宋体"/>
                <w:color w:val="auto"/>
                <w:sz w:val="24"/>
                <w:szCs w:val="24"/>
              </w:rPr>
              <w:t>输入电压：</w:t>
            </w:r>
            <w:r>
              <w:rPr>
                <w:rFonts w:ascii="宋体" w:hAnsi="宋体" w:cs="宋体"/>
                <w:color w:val="auto"/>
                <w:sz w:val="24"/>
                <w:szCs w:val="24"/>
              </w:rPr>
              <w:t>AC110-220V；</w:t>
            </w:r>
          </w:p>
          <w:p w14:paraId="017E5F6F">
            <w:pPr>
              <w:numPr>
                <w:ilvl w:val="0"/>
                <w:numId w:val="137"/>
              </w:numPr>
              <w:ind w:firstLine="0"/>
              <w:jc w:val="left"/>
              <w:rPr>
                <w:rFonts w:ascii="宋体" w:hAnsi="宋体" w:cs="宋体"/>
                <w:color w:val="auto"/>
                <w:sz w:val="24"/>
                <w:szCs w:val="24"/>
              </w:rPr>
            </w:pPr>
            <w:r>
              <w:rPr>
                <w:rFonts w:hint="eastAsia" w:ascii="宋体" w:hAnsi="宋体" w:cs="宋体"/>
                <w:color w:val="auto"/>
                <w:sz w:val="24"/>
                <w:szCs w:val="24"/>
              </w:rPr>
              <w:t>待机功率：≦</w:t>
            </w:r>
            <w:r>
              <w:rPr>
                <w:rFonts w:ascii="宋体" w:hAnsi="宋体" w:cs="宋体"/>
                <w:color w:val="auto"/>
                <w:sz w:val="24"/>
                <w:szCs w:val="24"/>
              </w:rPr>
              <w:t>1W；</w:t>
            </w:r>
          </w:p>
          <w:p w14:paraId="758DC1C8">
            <w:pPr>
              <w:numPr>
                <w:ilvl w:val="0"/>
                <w:numId w:val="137"/>
              </w:numPr>
              <w:ind w:firstLine="0"/>
              <w:jc w:val="left"/>
              <w:rPr>
                <w:rFonts w:ascii="宋体" w:hAnsi="宋体" w:cs="宋体"/>
                <w:color w:val="auto"/>
                <w:sz w:val="24"/>
                <w:szCs w:val="24"/>
              </w:rPr>
            </w:pPr>
            <w:r>
              <w:rPr>
                <w:rFonts w:hint="eastAsia" w:ascii="宋体" w:hAnsi="宋体" w:cs="宋体"/>
                <w:color w:val="auto"/>
                <w:sz w:val="24"/>
                <w:szCs w:val="24"/>
              </w:rPr>
              <w:t>额定功率：≦</w:t>
            </w:r>
            <w:r>
              <w:rPr>
                <w:rFonts w:ascii="宋体" w:hAnsi="宋体" w:cs="宋体"/>
                <w:color w:val="auto"/>
                <w:sz w:val="24"/>
                <w:szCs w:val="24"/>
              </w:rPr>
              <w:t>55W；</w:t>
            </w:r>
          </w:p>
          <w:p w14:paraId="6FF95239">
            <w:pPr>
              <w:numPr>
                <w:ilvl w:val="0"/>
                <w:numId w:val="137"/>
              </w:numPr>
              <w:ind w:firstLine="0"/>
              <w:jc w:val="left"/>
              <w:rPr>
                <w:rFonts w:ascii="宋体" w:hAnsi="宋体" w:cs="宋体"/>
                <w:color w:val="auto"/>
                <w:sz w:val="24"/>
                <w:szCs w:val="24"/>
              </w:rPr>
            </w:pPr>
            <w:r>
              <w:rPr>
                <w:rFonts w:hint="eastAsia" w:ascii="宋体" w:hAnsi="宋体" w:cs="宋体"/>
                <w:color w:val="auto"/>
                <w:sz w:val="24"/>
                <w:szCs w:val="24"/>
              </w:rPr>
              <w:t>存储环境：温度‐</w:t>
            </w:r>
            <w:r>
              <w:rPr>
                <w:rFonts w:ascii="宋体" w:hAnsi="宋体" w:cs="宋体"/>
                <w:color w:val="auto"/>
                <w:sz w:val="24"/>
                <w:szCs w:val="24"/>
              </w:rPr>
              <w:t>5℃~60℃/湿度10%RH~90%RH；</w:t>
            </w:r>
          </w:p>
          <w:p w14:paraId="1259366E">
            <w:pPr>
              <w:numPr>
                <w:ilvl w:val="0"/>
                <w:numId w:val="137"/>
              </w:numPr>
              <w:ind w:firstLine="0"/>
              <w:jc w:val="left"/>
              <w:rPr>
                <w:rFonts w:ascii="宋体" w:hAnsi="宋体" w:cs="宋体"/>
                <w:color w:val="auto"/>
                <w:sz w:val="24"/>
                <w:szCs w:val="24"/>
              </w:rPr>
            </w:pPr>
            <w:r>
              <w:rPr>
                <w:rFonts w:hint="eastAsia" w:ascii="宋体" w:hAnsi="宋体" w:cs="宋体"/>
                <w:color w:val="auto"/>
                <w:sz w:val="24"/>
                <w:szCs w:val="24"/>
              </w:rPr>
              <w:t>工作环境：温度‐</w:t>
            </w:r>
            <w:r>
              <w:rPr>
                <w:rFonts w:ascii="宋体" w:hAnsi="宋体" w:cs="宋体"/>
                <w:color w:val="auto"/>
                <w:sz w:val="24"/>
                <w:szCs w:val="24"/>
              </w:rPr>
              <w:t>0℃~55℃/湿度10%RH~90%RH；</w:t>
            </w:r>
          </w:p>
        </w:tc>
        <w:tc>
          <w:tcPr>
            <w:tcW w:w="810" w:type="dxa"/>
            <w:tcBorders>
              <w:top w:val="single" w:color="auto" w:sz="4" w:space="0"/>
              <w:left w:val="single" w:color="auto" w:sz="4" w:space="0"/>
              <w:bottom w:val="single" w:color="auto" w:sz="4" w:space="0"/>
              <w:right w:val="single" w:color="auto" w:sz="4" w:space="0"/>
            </w:tcBorders>
            <w:shd w:val="clear" w:color="auto" w:fill="FFFFFF"/>
            <w:vAlign w:val="center"/>
          </w:tcPr>
          <w:p w14:paraId="69EA2705">
            <w:pPr>
              <w:jc w:val="center"/>
              <w:rPr>
                <w:rFonts w:ascii="宋体" w:hAnsi="宋体" w:cs="宋体"/>
                <w:color w:val="auto"/>
                <w:sz w:val="24"/>
                <w:szCs w:val="24"/>
              </w:rPr>
            </w:pPr>
            <w:r>
              <w:rPr>
                <w:rFonts w:hint="eastAsia" w:ascii="宋体" w:hAnsi="宋体" w:cs="宋体"/>
                <w:color w:val="auto"/>
                <w:sz w:val="24"/>
                <w:szCs w:val="24"/>
              </w:rPr>
              <w:t>台</w:t>
            </w:r>
          </w:p>
        </w:tc>
        <w:tc>
          <w:tcPr>
            <w:tcW w:w="795" w:type="dxa"/>
            <w:tcBorders>
              <w:top w:val="single" w:color="auto" w:sz="4" w:space="0"/>
              <w:left w:val="single" w:color="auto" w:sz="4" w:space="0"/>
              <w:bottom w:val="single" w:color="auto" w:sz="4" w:space="0"/>
              <w:right w:val="single" w:color="auto" w:sz="4" w:space="0"/>
            </w:tcBorders>
            <w:shd w:val="clear" w:color="auto" w:fill="FFFFFF"/>
            <w:vAlign w:val="center"/>
          </w:tcPr>
          <w:p w14:paraId="6A6E0133">
            <w:pPr>
              <w:jc w:val="center"/>
              <w:rPr>
                <w:rFonts w:ascii="宋体" w:hAnsi="宋体" w:cs="宋体"/>
                <w:color w:val="auto"/>
                <w:sz w:val="24"/>
                <w:szCs w:val="24"/>
              </w:rPr>
            </w:pPr>
            <w:r>
              <w:rPr>
                <w:rFonts w:hint="eastAsia" w:ascii="宋体" w:hAnsi="宋体" w:cs="宋体"/>
                <w:color w:val="auto"/>
                <w:sz w:val="24"/>
                <w:szCs w:val="24"/>
              </w:rPr>
              <w:t>按需配置并征得采购人书面同意</w:t>
            </w:r>
          </w:p>
        </w:tc>
      </w:tr>
      <w:tr w14:paraId="5E480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47" w:type="dxa"/>
            <w:tcBorders>
              <w:top w:val="single" w:color="auto" w:sz="4" w:space="0"/>
              <w:left w:val="single" w:color="auto" w:sz="4" w:space="0"/>
              <w:bottom w:val="single" w:color="auto" w:sz="4" w:space="0"/>
              <w:right w:val="single" w:color="auto" w:sz="4" w:space="0"/>
            </w:tcBorders>
            <w:shd w:val="clear" w:color="auto" w:fill="FFFFFF"/>
            <w:vAlign w:val="center"/>
          </w:tcPr>
          <w:p w14:paraId="51D9A771">
            <w:pPr>
              <w:widowControl/>
              <w:jc w:val="center"/>
              <w:textAlignment w:val="center"/>
              <w:rPr>
                <w:rFonts w:ascii="宋体" w:hAnsi="宋体" w:cs="宋体"/>
                <w:color w:val="auto"/>
                <w:kern w:val="0"/>
                <w:sz w:val="24"/>
                <w:szCs w:val="24"/>
                <w:lang w:bidi="ar"/>
              </w:rPr>
            </w:pPr>
            <w:r>
              <w:rPr>
                <w:rFonts w:ascii="宋体" w:hAnsi="宋体" w:cs="宋体"/>
                <w:color w:val="auto"/>
                <w:kern w:val="0"/>
                <w:sz w:val="24"/>
                <w:szCs w:val="24"/>
                <w:lang w:bidi="ar"/>
              </w:rPr>
              <w:t>10</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14:paraId="418056F9">
            <w:pPr>
              <w:jc w:val="center"/>
              <w:rPr>
                <w:rFonts w:ascii="宋体" w:hAnsi="宋体" w:cs="宋体"/>
                <w:color w:val="auto"/>
                <w:sz w:val="24"/>
                <w:szCs w:val="24"/>
              </w:rPr>
            </w:pPr>
            <w:r>
              <w:rPr>
                <w:rFonts w:hint="eastAsia" w:ascii="宋体" w:hAnsi="宋体" w:cs="宋体"/>
                <w:color w:val="auto"/>
                <w:sz w:val="24"/>
                <w:szCs w:val="24"/>
              </w:rPr>
              <w:t>智能溯源收货秤</w:t>
            </w:r>
          </w:p>
        </w:tc>
        <w:tc>
          <w:tcPr>
            <w:tcW w:w="6114" w:type="dxa"/>
            <w:tcBorders>
              <w:top w:val="single" w:color="auto" w:sz="4" w:space="0"/>
              <w:left w:val="single" w:color="auto" w:sz="4" w:space="0"/>
              <w:bottom w:val="single" w:color="auto" w:sz="4" w:space="0"/>
              <w:right w:val="single" w:color="auto" w:sz="4" w:space="0"/>
            </w:tcBorders>
            <w:shd w:val="clear" w:color="auto" w:fill="FFFFFF"/>
            <w:vAlign w:val="center"/>
          </w:tcPr>
          <w:p w14:paraId="189D33BD">
            <w:pPr>
              <w:numPr>
                <w:ilvl w:val="0"/>
                <w:numId w:val="138"/>
              </w:numPr>
              <w:ind w:left="0" w:firstLine="0"/>
              <w:jc w:val="left"/>
              <w:rPr>
                <w:rFonts w:ascii="宋体" w:hAnsi="宋体" w:cs="宋体"/>
                <w:color w:val="auto"/>
                <w:sz w:val="24"/>
                <w:szCs w:val="24"/>
              </w:rPr>
            </w:pPr>
            <w:r>
              <w:rPr>
                <w:rFonts w:hint="eastAsia" w:ascii="宋体" w:hAnsi="宋体" w:cs="宋体"/>
                <w:color w:val="auto"/>
                <w:sz w:val="24"/>
                <w:szCs w:val="24"/>
              </w:rPr>
              <w:t>功能</w:t>
            </w:r>
            <w:r>
              <w:rPr>
                <w:rFonts w:hint="eastAsia" w:ascii="宋体" w:hAnsi="宋体" w:cs="宋体"/>
                <w:color w:val="auto"/>
                <w:kern w:val="0"/>
                <w:sz w:val="24"/>
                <w:szCs w:val="24"/>
                <w:lang w:bidi="ar"/>
              </w:rPr>
              <w:t>描述：</w:t>
            </w:r>
          </w:p>
          <w:p w14:paraId="691B1CD1">
            <w:pPr>
              <w:numPr>
                <w:ilvl w:val="0"/>
                <w:numId w:val="139"/>
              </w:numPr>
              <w:ind w:left="0" w:firstLine="0"/>
              <w:jc w:val="left"/>
              <w:rPr>
                <w:rFonts w:ascii="宋体" w:hAnsi="宋体" w:cs="宋体"/>
                <w:color w:val="auto"/>
                <w:sz w:val="24"/>
                <w:szCs w:val="24"/>
              </w:rPr>
            </w:pPr>
            <w:r>
              <w:rPr>
                <w:rFonts w:ascii="宋体" w:hAnsi="宋体" w:cs="宋体"/>
                <w:color w:val="auto"/>
                <w:sz w:val="24"/>
                <w:szCs w:val="24"/>
              </w:rPr>
              <w:t>快速验货登记、票证拍照、快捷验收，生成台账</w:t>
            </w:r>
            <w:r>
              <w:rPr>
                <w:rFonts w:hint="eastAsia" w:ascii="宋体" w:hAnsi="宋体" w:cs="宋体"/>
                <w:color w:val="auto"/>
                <w:sz w:val="24"/>
                <w:szCs w:val="24"/>
              </w:rPr>
              <w:t>；</w:t>
            </w:r>
          </w:p>
          <w:p w14:paraId="059C4DCE">
            <w:pPr>
              <w:numPr>
                <w:ilvl w:val="0"/>
                <w:numId w:val="139"/>
              </w:numPr>
              <w:ind w:left="0" w:firstLine="0"/>
              <w:jc w:val="left"/>
              <w:rPr>
                <w:rFonts w:ascii="宋体" w:hAnsi="宋体" w:cs="宋体"/>
                <w:color w:val="auto"/>
                <w:sz w:val="24"/>
                <w:szCs w:val="24"/>
              </w:rPr>
            </w:pPr>
            <w:r>
              <w:rPr>
                <w:rFonts w:ascii="宋体" w:hAnsi="宋体" w:cs="宋体"/>
                <w:color w:val="auto"/>
                <w:sz w:val="24"/>
                <w:szCs w:val="24"/>
              </w:rPr>
              <w:t>快速出库登记、领料，并自动生成台账</w:t>
            </w:r>
            <w:r>
              <w:rPr>
                <w:rFonts w:hint="eastAsia" w:ascii="宋体" w:hAnsi="宋体" w:cs="宋体"/>
                <w:color w:val="auto"/>
                <w:sz w:val="24"/>
                <w:szCs w:val="24"/>
              </w:rPr>
              <w:t>；</w:t>
            </w:r>
          </w:p>
          <w:p w14:paraId="695C639F">
            <w:pPr>
              <w:numPr>
                <w:ilvl w:val="0"/>
                <w:numId w:val="139"/>
              </w:numPr>
              <w:ind w:left="0" w:firstLine="0"/>
              <w:jc w:val="left"/>
              <w:rPr>
                <w:rFonts w:ascii="宋体" w:hAnsi="宋体" w:cs="宋体"/>
                <w:color w:val="auto"/>
                <w:sz w:val="24"/>
                <w:szCs w:val="24"/>
              </w:rPr>
            </w:pPr>
            <w:r>
              <w:rPr>
                <w:rFonts w:ascii="宋体" w:hAnsi="宋体" w:cs="宋体"/>
                <w:color w:val="auto"/>
                <w:sz w:val="24"/>
                <w:szCs w:val="24"/>
              </w:rPr>
              <w:t>进行现有库存明细查询</w:t>
            </w:r>
            <w:r>
              <w:rPr>
                <w:rFonts w:hint="eastAsia" w:ascii="宋体" w:hAnsi="宋体" w:cs="宋体"/>
                <w:color w:val="auto"/>
                <w:sz w:val="24"/>
                <w:szCs w:val="24"/>
              </w:rPr>
              <w:t>；</w:t>
            </w:r>
          </w:p>
          <w:p w14:paraId="3CFAD210">
            <w:pPr>
              <w:numPr>
                <w:ilvl w:val="0"/>
                <w:numId w:val="138"/>
              </w:numPr>
              <w:ind w:left="0" w:firstLine="0"/>
              <w:jc w:val="left"/>
              <w:rPr>
                <w:color w:val="auto"/>
              </w:rPr>
            </w:pPr>
            <w:r>
              <w:rPr>
                <w:rFonts w:hint="eastAsia" w:ascii="宋体" w:hAnsi="宋体" w:cs="宋体"/>
                <w:color w:val="auto"/>
                <w:sz w:val="24"/>
                <w:szCs w:val="24"/>
              </w:rPr>
              <w:t>设备参数：</w:t>
            </w:r>
          </w:p>
          <w:p w14:paraId="7CA9FEB7">
            <w:pPr>
              <w:pStyle w:val="22"/>
              <w:numPr>
                <w:ilvl w:val="0"/>
                <w:numId w:val="140"/>
              </w:numPr>
              <w:ind w:left="0" w:firstLine="0"/>
              <w:rPr>
                <w:color w:val="auto"/>
              </w:rPr>
            </w:pPr>
            <w:r>
              <w:rPr>
                <w:rFonts w:hint="eastAsia" w:ascii="宋体" w:hAnsi="宋体" w:eastAsia="宋体" w:cs="宋体"/>
                <w:color w:val="auto"/>
                <w:sz w:val="24"/>
                <w:szCs w:val="24"/>
              </w:rPr>
              <w:t>主要参数</w:t>
            </w:r>
          </w:p>
          <w:p w14:paraId="3440EA79">
            <w:pPr>
              <w:numPr>
                <w:ilvl w:val="0"/>
                <w:numId w:val="141"/>
              </w:numPr>
              <w:ind w:firstLine="0"/>
              <w:jc w:val="left"/>
              <w:rPr>
                <w:rFonts w:ascii="宋体" w:hAnsi="宋体" w:cs="宋体"/>
                <w:color w:val="auto"/>
                <w:sz w:val="24"/>
                <w:szCs w:val="24"/>
              </w:rPr>
            </w:pPr>
            <w:r>
              <w:rPr>
                <w:rFonts w:hint="eastAsia" w:ascii="宋体" w:hAnsi="宋体" w:cs="宋体"/>
                <w:color w:val="auto"/>
                <w:sz w:val="24"/>
                <w:szCs w:val="24"/>
              </w:rPr>
              <w:t>主板：不低于</w:t>
            </w:r>
            <w:r>
              <w:rPr>
                <w:rFonts w:ascii="宋体" w:hAnsi="宋体" w:cs="宋体"/>
                <w:color w:val="auto"/>
                <w:sz w:val="24"/>
                <w:szCs w:val="24"/>
              </w:rPr>
              <w:t>armrk3568的性能；</w:t>
            </w:r>
          </w:p>
          <w:p w14:paraId="7BDF822B">
            <w:pPr>
              <w:numPr>
                <w:ilvl w:val="0"/>
                <w:numId w:val="141"/>
              </w:numPr>
              <w:ind w:firstLine="0"/>
              <w:jc w:val="left"/>
              <w:rPr>
                <w:rFonts w:ascii="宋体" w:hAnsi="宋体" w:cs="宋体"/>
                <w:color w:val="auto"/>
                <w:sz w:val="24"/>
                <w:szCs w:val="24"/>
              </w:rPr>
            </w:pPr>
            <w:r>
              <w:rPr>
                <w:rFonts w:hint="eastAsia" w:ascii="宋体" w:hAnsi="宋体" w:cs="宋体"/>
                <w:color w:val="auto"/>
                <w:sz w:val="24"/>
                <w:szCs w:val="24"/>
              </w:rPr>
              <w:t>操作系统：安卓；</w:t>
            </w:r>
          </w:p>
          <w:p w14:paraId="7B0892EF">
            <w:pPr>
              <w:numPr>
                <w:ilvl w:val="0"/>
                <w:numId w:val="141"/>
              </w:numPr>
              <w:ind w:firstLine="0"/>
              <w:jc w:val="left"/>
              <w:rPr>
                <w:rFonts w:ascii="宋体" w:hAnsi="宋体" w:cs="宋体"/>
                <w:color w:val="auto"/>
                <w:sz w:val="24"/>
                <w:szCs w:val="24"/>
              </w:rPr>
            </w:pPr>
            <w:r>
              <w:rPr>
                <w:rFonts w:hint="eastAsia" w:ascii="宋体" w:hAnsi="宋体" w:cs="宋体"/>
                <w:color w:val="auto"/>
                <w:sz w:val="24"/>
                <w:szCs w:val="24"/>
              </w:rPr>
              <w:t>内存：</w:t>
            </w:r>
            <w:r>
              <w:rPr>
                <w:rFonts w:ascii="宋体" w:hAnsi="宋体" w:cs="宋体"/>
                <w:color w:val="auto"/>
                <w:sz w:val="24"/>
                <w:szCs w:val="24"/>
              </w:rPr>
              <w:t>4G+32G；</w:t>
            </w:r>
          </w:p>
          <w:p w14:paraId="7C6DF90E">
            <w:pPr>
              <w:numPr>
                <w:ilvl w:val="0"/>
                <w:numId w:val="141"/>
              </w:numPr>
              <w:ind w:firstLine="0"/>
              <w:jc w:val="left"/>
              <w:rPr>
                <w:rFonts w:ascii="宋体" w:hAnsi="宋体" w:cs="宋体"/>
                <w:color w:val="auto"/>
                <w:sz w:val="24"/>
                <w:szCs w:val="24"/>
              </w:rPr>
            </w:pPr>
            <w:r>
              <w:rPr>
                <w:rFonts w:hint="eastAsia" w:ascii="宋体" w:hAnsi="宋体" w:cs="宋体"/>
                <w:color w:val="auto"/>
                <w:sz w:val="24"/>
                <w:szCs w:val="24"/>
              </w:rPr>
              <w:t>网络：以太网</w:t>
            </w:r>
            <w:r>
              <w:rPr>
                <w:rFonts w:ascii="宋体" w:hAnsi="宋体" w:cs="宋体"/>
                <w:color w:val="auto"/>
                <w:sz w:val="24"/>
                <w:szCs w:val="24"/>
              </w:rPr>
              <w:t>wifi；</w:t>
            </w:r>
          </w:p>
          <w:p w14:paraId="5A2519CC">
            <w:pPr>
              <w:numPr>
                <w:ilvl w:val="0"/>
                <w:numId w:val="141"/>
              </w:numPr>
              <w:ind w:firstLine="0"/>
              <w:jc w:val="left"/>
              <w:rPr>
                <w:rFonts w:ascii="宋体" w:hAnsi="宋体" w:cs="宋体"/>
                <w:color w:val="auto"/>
                <w:sz w:val="24"/>
                <w:szCs w:val="24"/>
              </w:rPr>
            </w:pPr>
            <w:r>
              <w:rPr>
                <w:rFonts w:hint="eastAsia" w:ascii="宋体" w:hAnsi="宋体" w:cs="宋体"/>
                <w:color w:val="auto"/>
                <w:sz w:val="24"/>
                <w:szCs w:val="24"/>
              </w:rPr>
              <w:t>屏幕：</w:t>
            </w:r>
            <w:r>
              <w:rPr>
                <w:rFonts w:ascii="宋体" w:hAnsi="宋体" w:cs="宋体"/>
                <w:color w:val="auto"/>
                <w:sz w:val="24"/>
                <w:szCs w:val="24"/>
              </w:rPr>
              <w:t>14.1寸电容屏；1280*800；</w:t>
            </w:r>
          </w:p>
          <w:p w14:paraId="529F4111">
            <w:pPr>
              <w:numPr>
                <w:ilvl w:val="0"/>
                <w:numId w:val="141"/>
              </w:numPr>
              <w:ind w:firstLine="0"/>
              <w:jc w:val="left"/>
              <w:rPr>
                <w:rFonts w:ascii="宋体" w:hAnsi="宋体" w:cs="宋体"/>
                <w:color w:val="auto"/>
                <w:sz w:val="24"/>
                <w:szCs w:val="24"/>
              </w:rPr>
            </w:pPr>
            <w:r>
              <w:rPr>
                <w:rFonts w:hint="eastAsia" w:ascii="宋体" w:hAnsi="宋体" w:cs="宋体"/>
                <w:color w:val="auto"/>
                <w:sz w:val="24"/>
                <w:szCs w:val="24"/>
              </w:rPr>
              <w:t>最大量程：</w:t>
            </w:r>
            <w:r>
              <w:rPr>
                <w:rFonts w:ascii="宋体" w:hAnsi="宋体" w:cs="宋体"/>
                <w:color w:val="auto"/>
                <w:sz w:val="24"/>
                <w:szCs w:val="24"/>
              </w:rPr>
              <w:t>150KG；</w:t>
            </w:r>
          </w:p>
          <w:p w14:paraId="175E557C">
            <w:pPr>
              <w:numPr>
                <w:ilvl w:val="0"/>
                <w:numId w:val="141"/>
              </w:numPr>
              <w:ind w:firstLine="0"/>
              <w:jc w:val="left"/>
              <w:rPr>
                <w:rFonts w:ascii="宋体" w:hAnsi="宋体" w:cs="宋体"/>
                <w:color w:val="auto"/>
                <w:sz w:val="24"/>
                <w:szCs w:val="24"/>
              </w:rPr>
            </w:pPr>
            <w:r>
              <w:rPr>
                <w:rFonts w:hint="eastAsia" w:ascii="宋体" w:hAnsi="宋体" w:cs="宋体"/>
                <w:color w:val="auto"/>
                <w:sz w:val="24"/>
                <w:szCs w:val="24"/>
              </w:rPr>
              <w:t>分度数：</w:t>
            </w:r>
            <w:r>
              <w:rPr>
                <w:rFonts w:ascii="宋体" w:hAnsi="宋体" w:cs="宋体"/>
                <w:color w:val="auto"/>
                <w:sz w:val="24"/>
                <w:szCs w:val="24"/>
              </w:rPr>
              <w:t>3000；</w:t>
            </w:r>
          </w:p>
          <w:p w14:paraId="2A2AF591">
            <w:pPr>
              <w:numPr>
                <w:ilvl w:val="0"/>
                <w:numId w:val="141"/>
              </w:numPr>
              <w:ind w:firstLine="0"/>
              <w:jc w:val="left"/>
              <w:rPr>
                <w:rFonts w:ascii="宋体" w:hAnsi="宋体" w:cs="宋体"/>
                <w:color w:val="auto"/>
                <w:sz w:val="24"/>
                <w:szCs w:val="24"/>
              </w:rPr>
            </w:pPr>
            <w:r>
              <w:rPr>
                <w:rFonts w:hint="eastAsia" w:ascii="宋体" w:hAnsi="宋体" w:cs="宋体"/>
                <w:color w:val="auto"/>
                <w:sz w:val="24"/>
                <w:szCs w:val="24"/>
              </w:rPr>
              <w:t>分度值：</w:t>
            </w:r>
            <w:r>
              <w:rPr>
                <w:rFonts w:ascii="宋体" w:hAnsi="宋体" w:cs="宋体"/>
                <w:color w:val="auto"/>
                <w:sz w:val="24"/>
                <w:szCs w:val="24"/>
              </w:rPr>
              <w:t>50g；</w:t>
            </w:r>
          </w:p>
          <w:p w14:paraId="45608528">
            <w:pPr>
              <w:numPr>
                <w:ilvl w:val="0"/>
                <w:numId w:val="141"/>
              </w:numPr>
              <w:ind w:firstLine="0"/>
              <w:jc w:val="left"/>
              <w:rPr>
                <w:rFonts w:ascii="宋体" w:hAnsi="宋体" w:cs="宋体"/>
                <w:color w:val="auto"/>
                <w:sz w:val="24"/>
                <w:szCs w:val="24"/>
              </w:rPr>
            </w:pPr>
            <w:r>
              <w:rPr>
                <w:rFonts w:hint="eastAsia" w:ascii="宋体" w:hAnsi="宋体" w:cs="宋体"/>
                <w:color w:val="auto"/>
                <w:sz w:val="24"/>
                <w:szCs w:val="24"/>
              </w:rPr>
              <w:t>最小量程：</w:t>
            </w:r>
            <w:r>
              <w:rPr>
                <w:rFonts w:ascii="宋体" w:hAnsi="宋体" w:cs="宋体"/>
                <w:color w:val="auto"/>
                <w:sz w:val="24"/>
                <w:szCs w:val="24"/>
              </w:rPr>
              <w:t>1000g；</w:t>
            </w:r>
          </w:p>
          <w:p w14:paraId="2DB86282">
            <w:pPr>
              <w:numPr>
                <w:ilvl w:val="0"/>
                <w:numId w:val="141"/>
              </w:numPr>
              <w:ind w:firstLine="0"/>
              <w:jc w:val="left"/>
              <w:rPr>
                <w:rFonts w:ascii="宋体" w:hAnsi="宋体" w:cs="宋体"/>
                <w:color w:val="auto"/>
                <w:sz w:val="24"/>
                <w:szCs w:val="24"/>
              </w:rPr>
            </w:pPr>
            <w:r>
              <w:rPr>
                <w:rFonts w:hint="eastAsia" w:ascii="宋体" w:hAnsi="宋体" w:cs="宋体"/>
                <w:color w:val="auto"/>
                <w:sz w:val="24"/>
                <w:szCs w:val="24"/>
              </w:rPr>
              <w:t>秤台尺寸：不低于</w:t>
            </w:r>
            <w:r>
              <w:rPr>
                <w:rFonts w:ascii="宋体" w:hAnsi="宋体" w:cs="宋体"/>
                <w:color w:val="auto"/>
                <w:sz w:val="24"/>
                <w:szCs w:val="24"/>
              </w:rPr>
              <w:t>400mm*500mm；</w:t>
            </w:r>
          </w:p>
          <w:p w14:paraId="74EBEC5F">
            <w:pPr>
              <w:numPr>
                <w:ilvl w:val="0"/>
                <w:numId w:val="141"/>
              </w:numPr>
              <w:ind w:firstLine="0"/>
              <w:jc w:val="left"/>
              <w:rPr>
                <w:rFonts w:ascii="宋体" w:hAnsi="宋体" w:cs="宋体"/>
                <w:color w:val="auto"/>
                <w:sz w:val="24"/>
                <w:szCs w:val="24"/>
              </w:rPr>
            </w:pPr>
            <w:r>
              <w:rPr>
                <w:rFonts w:hint="eastAsia" w:ascii="宋体" w:hAnsi="宋体" w:cs="宋体"/>
                <w:color w:val="auto"/>
                <w:sz w:val="24"/>
                <w:szCs w:val="24"/>
              </w:rPr>
              <w:t>电源充电器</w:t>
            </w:r>
            <w:r>
              <w:rPr>
                <w:rFonts w:ascii="宋体" w:hAnsi="宋体" w:cs="宋体"/>
                <w:color w:val="auto"/>
                <w:sz w:val="24"/>
                <w:szCs w:val="24"/>
              </w:rPr>
              <w:tab/>
            </w:r>
            <w:r>
              <w:rPr>
                <w:rFonts w:hint="eastAsia" w:ascii="宋体" w:hAnsi="宋体" w:cs="宋体"/>
                <w:color w:val="auto"/>
                <w:sz w:val="24"/>
                <w:szCs w:val="24"/>
              </w:rPr>
              <w:t>输入</w:t>
            </w:r>
            <w:r>
              <w:rPr>
                <w:rFonts w:ascii="宋体" w:hAnsi="宋体" w:cs="宋体"/>
                <w:color w:val="auto"/>
                <w:sz w:val="24"/>
                <w:szCs w:val="24"/>
              </w:rPr>
              <w:t>AC220V,输出DC12.6V/5A；</w:t>
            </w:r>
          </w:p>
          <w:p w14:paraId="2F8EF01B">
            <w:pPr>
              <w:numPr>
                <w:ilvl w:val="0"/>
                <w:numId w:val="141"/>
              </w:numPr>
              <w:ind w:firstLine="0"/>
              <w:jc w:val="left"/>
              <w:rPr>
                <w:rFonts w:ascii="宋体" w:hAnsi="宋体" w:cs="宋体"/>
                <w:color w:val="auto"/>
                <w:sz w:val="24"/>
                <w:szCs w:val="24"/>
              </w:rPr>
            </w:pPr>
            <w:r>
              <w:rPr>
                <w:rFonts w:hint="eastAsia" w:ascii="宋体" w:hAnsi="宋体" w:cs="宋体"/>
                <w:color w:val="auto"/>
                <w:sz w:val="24"/>
                <w:szCs w:val="24"/>
              </w:rPr>
              <w:t>环境湿度：</w:t>
            </w:r>
            <w:r>
              <w:rPr>
                <w:rFonts w:ascii="宋体" w:hAnsi="宋体" w:cs="宋体"/>
                <w:color w:val="auto"/>
                <w:sz w:val="24"/>
                <w:szCs w:val="24"/>
              </w:rPr>
              <w:t>0～90%空气湿度，无冷凝；</w:t>
            </w:r>
          </w:p>
          <w:p w14:paraId="346AC68C">
            <w:pPr>
              <w:numPr>
                <w:ilvl w:val="0"/>
                <w:numId w:val="141"/>
              </w:numPr>
              <w:ind w:firstLine="0"/>
              <w:jc w:val="left"/>
              <w:rPr>
                <w:rFonts w:ascii="宋体" w:hAnsi="宋体" w:cs="宋体"/>
                <w:color w:val="auto"/>
                <w:sz w:val="24"/>
                <w:szCs w:val="24"/>
              </w:rPr>
            </w:pPr>
            <w:r>
              <w:rPr>
                <w:rFonts w:hint="eastAsia" w:ascii="宋体" w:hAnsi="宋体" w:cs="宋体"/>
                <w:color w:val="auto"/>
                <w:sz w:val="24"/>
                <w:szCs w:val="24"/>
              </w:rPr>
              <w:t>电池：</w:t>
            </w:r>
            <w:r>
              <w:rPr>
                <w:rFonts w:ascii="宋体" w:hAnsi="宋体" w:cs="宋体"/>
                <w:color w:val="auto"/>
                <w:sz w:val="24"/>
                <w:szCs w:val="24"/>
              </w:rPr>
              <w:t>12V10000mAh锂电池组，常温非打印状态下，</w:t>
            </w:r>
            <w:r>
              <w:rPr>
                <w:rFonts w:hint="eastAsia" w:ascii="宋体" w:hAnsi="宋体" w:cs="宋体"/>
                <w:color w:val="auto"/>
                <w:sz w:val="24"/>
                <w:szCs w:val="24"/>
              </w:rPr>
              <w:t>可正常工作约</w:t>
            </w:r>
            <w:r>
              <w:rPr>
                <w:rFonts w:ascii="宋体" w:hAnsi="宋体" w:cs="宋体"/>
                <w:color w:val="auto"/>
                <w:sz w:val="24"/>
                <w:szCs w:val="24"/>
              </w:rPr>
              <w:t>10—12小时；</w:t>
            </w:r>
          </w:p>
          <w:p w14:paraId="29EB0FB1">
            <w:pPr>
              <w:numPr>
                <w:ilvl w:val="0"/>
                <w:numId w:val="141"/>
              </w:numPr>
              <w:ind w:firstLine="0"/>
              <w:jc w:val="left"/>
              <w:rPr>
                <w:rFonts w:ascii="宋体" w:hAnsi="宋体" w:cs="宋体"/>
                <w:color w:val="auto"/>
                <w:sz w:val="24"/>
                <w:szCs w:val="24"/>
              </w:rPr>
            </w:pPr>
            <w:r>
              <w:rPr>
                <w:rFonts w:hint="eastAsia" w:ascii="宋体" w:hAnsi="宋体" w:cs="宋体"/>
                <w:color w:val="auto"/>
                <w:sz w:val="24"/>
                <w:szCs w:val="24"/>
              </w:rPr>
              <w:t>摄像头：</w:t>
            </w:r>
            <w:r>
              <w:rPr>
                <w:rFonts w:ascii="宋体" w:hAnsi="宋体" w:cs="宋体"/>
                <w:color w:val="auto"/>
                <w:sz w:val="24"/>
                <w:szCs w:val="24"/>
              </w:rPr>
              <w:t>800</w:t>
            </w:r>
            <w:r>
              <w:rPr>
                <w:rFonts w:hint="eastAsia" w:ascii="宋体" w:hAnsi="宋体" w:cs="宋体"/>
                <w:color w:val="auto"/>
                <w:sz w:val="24"/>
                <w:szCs w:val="24"/>
              </w:rPr>
              <w:t>万像素；</w:t>
            </w:r>
          </w:p>
        </w:tc>
        <w:tc>
          <w:tcPr>
            <w:tcW w:w="810" w:type="dxa"/>
            <w:tcBorders>
              <w:top w:val="single" w:color="auto" w:sz="4" w:space="0"/>
              <w:left w:val="single" w:color="auto" w:sz="4" w:space="0"/>
              <w:bottom w:val="single" w:color="auto" w:sz="4" w:space="0"/>
              <w:right w:val="single" w:color="auto" w:sz="4" w:space="0"/>
            </w:tcBorders>
            <w:shd w:val="clear" w:color="auto" w:fill="FFFFFF"/>
            <w:vAlign w:val="center"/>
          </w:tcPr>
          <w:p w14:paraId="40E9EC86">
            <w:pPr>
              <w:jc w:val="center"/>
              <w:rPr>
                <w:rFonts w:ascii="宋体" w:hAnsi="宋体" w:cs="宋体"/>
                <w:color w:val="auto"/>
                <w:sz w:val="24"/>
                <w:szCs w:val="24"/>
              </w:rPr>
            </w:pPr>
            <w:r>
              <w:rPr>
                <w:rFonts w:hint="eastAsia" w:ascii="宋体" w:hAnsi="宋体" w:cs="宋体"/>
                <w:color w:val="auto"/>
                <w:sz w:val="24"/>
                <w:szCs w:val="24"/>
              </w:rPr>
              <w:t>台</w:t>
            </w:r>
          </w:p>
        </w:tc>
        <w:tc>
          <w:tcPr>
            <w:tcW w:w="795" w:type="dxa"/>
            <w:tcBorders>
              <w:top w:val="single" w:color="auto" w:sz="4" w:space="0"/>
              <w:left w:val="single" w:color="auto" w:sz="4" w:space="0"/>
              <w:bottom w:val="single" w:color="auto" w:sz="4" w:space="0"/>
              <w:right w:val="single" w:color="auto" w:sz="4" w:space="0"/>
            </w:tcBorders>
            <w:shd w:val="clear" w:color="auto" w:fill="FFFFFF"/>
            <w:vAlign w:val="center"/>
          </w:tcPr>
          <w:p w14:paraId="34033151">
            <w:pPr>
              <w:jc w:val="center"/>
              <w:rPr>
                <w:rFonts w:ascii="宋体" w:hAnsi="宋体" w:cs="宋体"/>
                <w:color w:val="auto"/>
                <w:sz w:val="24"/>
                <w:szCs w:val="24"/>
              </w:rPr>
            </w:pPr>
            <w:r>
              <w:rPr>
                <w:rFonts w:hint="eastAsia" w:ascii="宋体" w:hAnsi="宋体" w:cs="宋体"/>
                <w:color w:val="auto"/>
                <w:sz w:val="24"/>
                <w:szCs w:val="24"/>
              </w:rPr>
              <w:t>按需配置并征得采购人书面同意</w:t>
            </w:r>
          </w:p>
        </w:tc>
      </w:tr>
      <w:tr w14:paraId="59C69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47" w:type="dxa"/>
            <w:tcBorders>
              <w:top w:val="single" w:color="auto" w:sz="4" w:space="0"/>
              <w:left w:val="single" w:color="auto" w:sz="4" w:space="0"/>
              <w:bottom w:val="single" w:color="auto" w:sz="4" w:space="0"/>
              <w:right w:val="single" w:color="auto" w:sz="4" w:space="0"/>
            </w:tcBorders>
            <w:shd w:val="clear" w:color="auto" w:fill="FFFFFF"/>
            <w:vAlign w:val="center"/>
          </w:tcPr>
          <w:p w14:paraId="3DA9D953">
            <w:pPr>
              <w:widowControl/>
              <w:jc w:val="center"/>
              <w:textAlignment w:val="center"/>
              <w:rPr>
                <w:rFonts w:ascii="宋体" w:hAnsi="宋体" w:cs="宋体"/>
                <w:color w:val="auto"/>
                <w:kern w:val="0"/>
                <w:sz w:val="24"/>
                <w:szCs w:val="24"/>
                <w:lang w:bidi="ar"/>
              </w:rPr>
            </w:pPr>
            <w:r>
              <w:rPr>
                <w:rFonts w:ascii="宋体" w:hAnsi="宋体" w:cs="宋体"/>
                <w:color w:val="auto"/>
                <w:kern w:val="0"/>
                <w:sz w:val="24"/>
                <w:szCs w:val="24"/>
                <w:lang w:bidi="ar"/>
              </w:rPr>
              <w:t>11</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14:paraId="1F7706D4">
            <w:pPr>
              <w:jc w:val="center"/>
              <w:rPr>
                <w:rFonts w:ascii="宋体" w:hAnsi="宋体" w:cs="宋体"/>
                <w:color w:val="auto"/>
                <w:sz w:val="24"/>
                <w:szCs w:val="24"/>
              </w:rPr>
            </w:pPr>
            <w:r>
              <w:rPr>
                <w:rFonts w:hint="eastAsia" w:ascii="宋体" w:hAnsi="宋体" w:cs="宋体"/>
                <w:color w:val="auto"/>
                <w:sz w:val="24"/>
                <w:szCs w:val="24"/>
              </w:rPr>
              <w:t>餐饮具消毒监管</w:t>
            </w:r>
          </w:p>
        </w:tc>
        <w:tc>
          <w:tcPr>
            <w:tcW w:w="6114" w:type="dxa"/>
            <w:tcBorders>
              <w:top w:val="single" w:color="auto" w:sz="4" w:space="0"/>
              <w:left w:val="single" w:color="auto" w:sz="4" w:space="0"/>
              <w:bottom w:val="single" w:color="auto" w:sz="4" w:space="0"/>
              <w:right w:val="single" w:color="auto" w:sz="4" w:space="0"/>
            </w:tcBorders>
            <w:shd w:val="clear" w:color="auto" w:fill="FFFFFF"/>
            <w:vAlign w:val="center"/>
          </w:tcPr>
          <w:p w14:paraId="75F02736">
            <w:pPr>
              <w:numPr>
                <w:ilvl w:val="0"/>
                <w:numId w:val="142"/>
              </w:numPr>
              <w:ind w:left="0" w:firstLine="0"/>
              <w:jc w:val="left"/>
              <w:rPr>
                <w:rFonts w:ascii="宋体" w:hAnsi="宋体" w:cs="宋体"/>
                <w:color w:val="auto"/>
                <w:sz w:val="24"/>
                <w:szCs w:val="24"/>
              </w:rPr>
            </w:pPr>
            <w:r>
              <w:rPr>
                <w:rFonts w:hint="eastAsia" w:ascii="宋体" w:hAnsi="宋体" w:cs="宋体"/>
                <w:color w:val="auto"/>
                <w:sz w:val="24"/>
                <w:szCs w:val="24"/>
              </w:rPr>
              <w:t>功能描述：</w:t>
            </w:r>
          </w:p>
          <w:p w14:paraId="09022504">
            <w:pPr>
              <w:pStyle w:val="22"/>
              <w:numPr>
                <w:ilvl w:val="0"/>
                <w:numId w:val="143"/>
              </w:numPr>
              <w:ind w:left="0" w:firstLine="0"/>
              <w:rPr>
                <w:rFonts w:ascii="宋体" w:hAnsi="宋体" w:eastAsia="宋体" w:cs="宋体"/>
                <w:color w:val="auto"/>
                <w:sz w:val="24"/>
                <w:szCs w:val="24"/>
              </w:rPr>
            </w:pPr>
            <w:r>
              <w:rPr>
                <w:rFonts w:hint="eastAsia" w:ascii="宋体" w:hAnsi="宋体" w:eastAsia="宋体" w:cs="宋体"/>
                <w:color w:val="auto"/>
                <w:sz w:val="24"/>
                <w:szCs w:val="24"/>
              </w:rPr>
              <w:t>支持</w:t>
            </w:r>
            <w:r>
              <w:rPr>
                <w:rFonts w:ascii="宋体" w:hAnsi="宋体" w:eastAsia="宋体" w:cs="宋体"/>
                <w:color w:val="auto"/>
                <w:sz w:val="24"/>
                <w:szCs w:val="24"/>
              </w:rPr>
              <w:t>现场实时监测</w:t>
            </w:r>
            <w:r>
              <w:rPr>
                <w:rFonts w:hint="eastAsia" w:ascii="宋体" w:hAnsi="宋体" w:eastAsia="宋体" w:cs="宋体"/>
                <w:color w:val="auto"/>
                <w:sz w:val="24"/>
                <w:szCs w:val="24"/>
              </w:rPr>
              <w:t>，</w:t>
            </w:r>
            <w:r>
              <w:rPr>
                <w:rFonts w:ascii="宋体" w:hAnsi="宋体" w:eastAsia="宋体" w:cs="宋体"/>
                <w:color w:val="auto"/>
                <w:sz w:val="24"/>
                <w:szCs w:val="24"/>
              </w:rPr>
              <w:t>数据实时统计</w:t>
            </w:r>
            <w:r>
              <w:rPr>
                <w:rFonts w:hint="eastAsia" w:ascii="宋体" w:hAnsi="宋体" w:eastAsia="宋体" w:cs="宋体"/>
                <w:color w:val="auto"/>
                <w:sz w:val="24"/>
                <w:szCs w:val="24"/>
              </w:rPr>
              <w:t>，</w:t>
            </w:r>
            <w:r>
              <w:rPr>
                <w:rFonts w:ascii="宋体" w:hAnsi="宋体" w:eastAsia="宋体" w:cs="宋体"/>
                <w:color w:val="auto"/>
                <w:sz w:val="24"/>
                <w:szCs w:val="24"/>
              </w:rPr>
              <w:t>系统远程预警</w:t>
            </w:r>
            <w:r>
              <w:rPr>
                <w:rFonts w:hint="eastAsia" w:ascii="宋体" w:hAnsi="宋体" w:eastAsia="宋体" w:cs="宋体"/>
                <w:color w:val="auto"/>
                <w:sz w:val="24"/>
                <w:szCs w:val="24"/>
              </w:rPr>
              <w:t>；</w:t>
            </w:r>
          </w:p>
          <w:p w14:paraId="2446FEC0">
            <w:pPr>
              <w:numPr>
                <w:ilvl w:val="0"/>
                <w:numId w:val="142"/>
              </w:numPr>
              <w:ind w:left="0" w:firstLine="0"/>
              <w:jc w:val="left"/>
              <w:rPr>
                <w:rFonts w:ascii="宋体" w:hAnsi="宋体" w:cs="宋体"/>
                <w:color w:val="auto"/>
                <w:sz w:val="24"/>
                <w:szCs w:val="24"/>
              </w:rPr>
            </w:pPr>
            <w:r>
              <w:rPr>
                <w:rFonts w:hint="eastAsia" w:ascii="宋体" w:hAnsi="宋体" w:cs="宋体"/>
                <w:color w:val="auto"/>
                <w:sz w:val="24"/>
                <w:szCs w:val="24"/>
              </w:rPr>
              <w:t>智能空开设备参数：</w:t>
            </w:r>
          </w:p>
          <w:p w14:paraId="3697402C">
            <w:pPr>
              <w:pStyle w:val="22"/>
              <w:numPr>
                <w:ilvl w:val="0"/>
                <w:numId w:val="144"/>
              </w:numPr>
              <w:ind w:left="0" w:firstLine="0"/>
              <w:rPr>
                <w:color w:val="auto"/>
              </w:rPr>
            </w:pPr>
            <w:r>
              <w:rPr>
                <w:rFonts w:hint="eastAsia" w:ascii="宋体" w:hAnsi="宋体" w:eastAsia="宋体" w:cs="宋体"/>
                <w:color w:val="auto"/>
                <w:sz w:val="24"/>
                <w:szCs w:val="24"/>
              </w:rPr>
              <w:t>主要参数：</w:t>
            </w:r>
          </w:p>
          <w:p w14:paraId="420A0E0C">
            <w:pPr>
              <w:numPr>
                <w:ilvl w:val="0"/>
                <w:numId w:val="145"/>
              </w:numPr>
              <w:ind w:firstLine="0"/>
              <w:jc w:val="left"/>
              <w:rPr>
                <w:rFonts w:ascii="宋体" w:hAnsi="宋体" w:cs="宋体"/>
                <w:color w:val="auto"/>
                <w:sz w:val="24"/>
                <w:szCs w:val="24"/>
              </w:rPr>
            </w:pPr>
            <w:r>
              <w:rPr>
                <w:rFonts w:hint="eastAsia" w:ascii="宋体" w:hAnsi="宋体" w:cs="宋体"/>
                <w:color w:val="auto"/>
                <w:sz w:val="24"/>
                <w:szCs w:val="24"/>
              </w:rPr>
              <w:t>环境温度：</w:t>
            </w:r>
            <w:r>
              <w:rPr>
                <w:rFonts w:ascii="宋体" w:hAnsi="宋体" w:cs="宋体"/>
                <w:color w:val="auto"/>
                <w:sz w:val="24"/>
                <w:szCs w:val="24"/>
              </w:rPr>
              <w:t>-15℃～40℃;空气相对湿度：≤95%（</w:t>
            </w:r>
            <w:r>
              <w:rPr>
                <w:rFonts w:hint="eastAsia" w:ascii="宋体" w:hAnsi="宋体" w:cs="宋体"/>
                <w:color w:val="auto"/>
                <w:sz w:val="24"/>
                <w:szCs w:val="24"/>
              </w:rPr>
              <w:t>不凝露）</w:t>
            </w:r>
          </w:p>
          <w:p w14:paraId="74C5EA6B">
            <w:pPr>
              <w:numPr>
                <w:ilvl w:val="0"/>
                <w:numId w:val="145"/>
              </w:numPr>
              <w:ind w:firstLine="0"/>
              <w:jc w:val="left"/>
              <w:rPr>
                <w:rFonts w:ascii="宋体" w:hAnsi="宋体" w:cs="宋体"/>
                <w:color w:val="auto"/>
                <w:sz w:val="24"/>
                <w:szCs w:val="24"/>
              </w:rPr>
            </w:pPr>
            <w:r>
              <w:rPr>
                <w:rFonts w:hint="eastAsia" w:ascii="宋体" w:hAnsi="宋体" w:cs="宋体"/>
                <w:color w:val="auto"/>
                <w:sz w:val="24"/>
                <w:szCs w:val="24"/>
              </w:rPr>
              <w:t>海拔≤</w:t>
            </w:r>
            <w:r>
              <w:rPr>
                <w:rFonts w:ascii="宋体" w:hAnsi="宋体" w:cs="宋体"/>
                <w:color w:val="auto"/>
                <w:sz w:val="24"/>
                <w:szCs w:val="24"/>
              </w:rPr>
              <w:t>2000m;污染等级：2级;无显著振动和冲击的地方</w:t>
            </w:r>
          </w:p>
          <w:p w14:paraId="4AEC3187">
            <w:pPr>
              <w:numPr>
                <w:ilvl w:val="0"/>
                <w:numId w:val="145"/>
              </w:numPr>
              <w:ind w:firstLine="0"/>
              <w:jc w:val="left"/>
              <w:rPr>
                <w:rFonts w:ascii="宋体" w:hAnsi="宋体" w:cs="宋体"/>
                <w:color w:val="auto"/>
                <w:sz w:val="24"/>
                <w:szCs w:val="24"/>
              </w:rPr>
            </w:pPr>
            <w:r>
              <w:rPr>
                <w:rFonts w:hint="eastAsia" w:ascii="宋体" w:hAnsi="宋体" w:cs="宋体"/>
                <w:color w:val="auto"/>
                <w:sz w:val="24"/>
                <w:szCs w:val="24"/>
              </w:rPr>
              <w:t>输入电压：</w:t>
            </w:r>
            <w:r>
              <w:rPr>
                <w:rFonts w:ascii="宋体" w:hAnsi="宋体" w:cs="宋体"/>
                <w:color w:val="auto"/>
                <w:sz w:val="24"/>
                <w:szCs w:val="24"/>
              </w:rPr>
              <w:t>AC100V～250V。额定输出电压：DC12V。额定输出电流MAXDC2A。</w:t>
            </w:r>
          </w:p>
          <w:p w14:paraId="2A7A792B">
            <w:pPr>
              <w:numPr>
                <w:ilvl w:val="0"/>
                <w:numId w:val="145"/>
              </w:numPr>
              <w:ind w:firstLine="0"/>
              <w:jc w:val="left"/>
              <w:rPr>
                <w:rFonts w:ascii="宋体" w:hAnsi="宋体" w:cs="宋体"/>
                <w:color w:val="auto"/>
                <w:sz w:val="24"/>
                <w:szCs w:val="24"/>
              </w:rPr>
            </w:pPr>
            <w:r>
              <w:rPr>
                <w:rFonts w:hint="eastAsia" w:ascii="宋体" w:hAnsi="宋体" w:cs="宋体"/>
                <w:color w:val="auto"/>
                <w:sz w:val="24"/>
                <w:szCs w:val="24"/>
              </w:rPr>
              <w:t>防雷击浪涌保护，最大泄放电流：</w:t>
            </w:r>
            <w:r>
              <w:rPr>
                <w:rFonts w:ascii="宋体" w:hAnsi="宋体" w:cs="宋体"/>
                <w:color w:val="auto"/>
                <w:sz w:val="24"/>
                <w:szCs w:val="24"/>
              </w:rPr>
              <w:t>20kA。安装方式：导轨卡口。</w:t>
            </w:r>
          </w:p>
          <w:p w14:paraId="34CDF809">
            <w:pPr>
              <w:numPr>
                <w:ilvl w:val="0"/>
                <w:numId w:val="142"/>
              </w:numPr>
              <w:ind w:left="0" w:firstLine="0"/>
              <w:jc w:val="left"/>
              <w:rPr>
                <w:rFonts w:ascii="宋体" w:hAnsi="宋体" w:cs="宋体"/>
                <w:color w:val="auto"/>
                <w:sz w:val="24"/>
                <w:szCs w:val="24"/>
              </w:rPr>
            </w:pPr>
            <w:r>
              <w:rPr>
                <w:rFonts w:hint="eastAsia" w:ascii="宋体" w:hAnsi="宋体" w:cs="宋体"/>
                <w:color w:val="auto"/>
                <w:sz w:val="24"/>
                <w:szCs w:val="24"/>
              </w:rPr>
              <w:t>电源模组设备参数：、</w:t>
            </w:r>
          </w:p>
          <w:p w14:paraId="22A78DAE">
            <w:pPr>
              <w:pStyle w:val="22"/>
              <w:numPr>
                <w:ilvl w:val="0"/>
                <w:numId w:val="146"/>
              </w:numPr>
              <w:ind w:left="0" w:firstLine="0"/>
              <w:rPr>
                <w:color w:val="auto"/>
              </w:rPr>
            </w:pPr>
            <w:r>
              <w:rPr>
                <w:rFonts w:hint="eastAsia" w:ascii="宋体" w:hAnsi="宋体" w:eastAsia="宋体" w:cs="宋体"/>
                <w:color w:val="auto"/>
                <w:sz w:val="24"/>
                <w:szCs w:val="24"/>
              </w:rPr>
              <w:t>主要参数：</w:t>
            </w:r>
          </w:p>
          <w:p w14:paraId="09C77198">
            <w:pPr>
              <w:numPr>
                <w:ilvl w:val="0"/>
                <w:numId w:val="147"/>
              </w:numPr>
              <w:ind w:firstLine="0"/>
              <w:jc w:val="left"/>
              <w:rPr>
                <w:rFonts w:ascii="宋体" w:hAnsi="宋体" w:cs="宋体"/>
                <w:color w:val="auto"/>
                <w:sz w:val="24"/>
                <w:szCs w:val="24"/>
              </w:rPr>
            </w:pPr>
            <w:r>
              <w:rPr>
                <w:rFonts w:hint="eastAsia" w:ascii="宋体" w:hAnsi="宋体" w:cs="宋体"/>
                <w:color w:val="auto"/>
                <w:sz w:val="24"/>
                <w:szCs w:val="24"/>
              </w:rPr>
              <w:t>外形尺寸不高于</w:t>
            </w:r>
            <w:r>
              <w:rPr>
                <w:rFonts w:ascii="宋体" w:hAnsi="宋体" w:cs="宋体"/>
                <w:color w:val="auto"/>
                <w:sz w:val="24"/>
                <w:szCs w:val="24"/>
              </w:rPr>
              <w:t>94*35*70mm（尺寸公差：±1mm）;</w:t>
            </w:r>
            <w:r>
              <w:rPr>
                <w:rFonts w:hint="eastAsia" w:ascii="宋体" w:hAnsi="宋体" w:cs="宋体"/>
                <w:color w:val="auto"/>
                <w:sz w:val="24"/>
                <w:szCs w:val="24"/>
              </w:rPr>
              <w:t>安装占位</w:t>
            </w:r>
            <w:r>
              <w:rPr>
                <w:rFonts w:ascii="宋体" w:hAnsi="宋体" w:cs="宋体"/>
                <w:color w:val="auto"/>
                <w:sz w:val="24"/>
                <w:szCs w:val="24"/>
              </w:rPr>
              <w:t>2P;安装方式导轨卡扣安装</w:t>
            </w:r>
          </w:p>
          <w:p w14:paraId="785F6D4D">
            <w:pPr>
              <w:numPr>
                <w:ilvl w:val="0"/>
                <w:numId w:val="147"/>
              </w:numPr>
              <w:ind w:firstLine="0"/>
              <w:jc w:val="left"/>
              <w:rPr>
                <w:rFonts w:ascii="宋体" w:hAnsi="宋体" w:cs="宋体"/>
                <w:color w:val="auto"/>
                <w:sz w:val="24"/>
                <w:szCs w:val="24"/>
              </w:rPr>
            </w:pPr>
            <w:r>
              <w:rPr>
                <w:rFonts w:hint="eastAsia" w:ascii="宋体" w:hAnsi="宋体" w:cs="宋体"/>
                <w:color w:val="auto"/>
                <w:sz w:val="24"/>
                <w:szCs w:val="24"/>
              </w:rPr>
              <w:t>重量≈</w:t>
            </w:r>
            <w:r>
              <w:rPr>
                <w:rFonts w:ascii="宋体" w:hAnsi="宋体" w:cs="宋体"/>
                <w:color w:val="auto"/>
                <w:sz w:val="24"/>
                <w:szCs w:val="24"/>
              </w:rPr>
              <w:t>220g;允许线径MAX25mm;AC输入2*25mm;2接地端子25mm</w:t>
            </w:r>
          </w:p>
          <w:p w14:paraId="6137BBE1">
            <w:pPr>
              <w:numPr>
                <w:ilvl w:val="0"/>
                <w:numId w:val="147"/>
              </w:numPr>
              <w:ind w:firstLine="0"/>
              <w:jc w:val="left"/>
              <w:rPr>
                <w:rFonts w:ascii="宋体" w:hAnsi="宋体" w:cs="宋体"/>
                <w:color w:val="auto"/>
                <w:sz w:val="24"/>
                <w:szCs w:val="24"/>
              </w:rPr>
            </w:pPr>
            <w:r>
              <w:rPr>
                <w:rFonts w:ascii="宋体" w:hAnsi="宋体" w:cs="宋体"/>
                <w:color w:val="auto"/>
                <w:sz w:val="24"/>
                <w:szCs w:val="24"/>
              </w:rPr>
              <w:t>2DC输出6PIN针端子;电源指示灯红色+绿色;工作电压AC100VtoAC250V，输出电压DC12V;输出电流MAX2000mA</w:t>
            </w:r>
          </w:p>
          <w:p w14:paraId="70AFA1E3">
            <w:pPr>
              <w:numPr>
                <w:ilvl w:val="0"/>
                <w:numId w:val="147"/>
              </w:numPr>
              <w:ind w:firstLine="0"/>
              <w:jc w:val="left"/>
              <w:rPr>
                <w:rFonts w:ascii="宋体" w:hAnsi="宋体" w:cs="宋体"/>
                <w:color w:val="auto"/>
                <w:sz w:val="24"/>
                <w:szCs w:val="24"/>
              </w:rPr>
            </w:pPr>
            <w:r>
              <w:rPr>
                <w:rFonts w:hint="eastAsia" w:ascii="宋体" w:hAnsi="宋体" w:cs="宋体"/>
                <w:color w:val="auto"/>
                <w:sz w:val="24"/>
                <w:szCs w:val="24"/>
              </w:rPr>
              <w:t>静态功耗</w:t>
            </w:r>
            <w:r>
              <w:rPr>
                <w:rFonts w:ascii="宋体" w:hAnsi="宋体" w:cs="宋体"/>
                <w:color w:val="auto"/>
                <w:sz w:val="24"/>
                <w:szCs w:val="24"/>
              </w:rPr>
              <w:t>0.5W;工作温度-5to+45℃;额定泄放电流10kA;最大泄放电流20KA</w:t>
            </w:r>
          </w:p>
          <w:p w14:paraId="38C19EFB">
            <w:pPr>
              <w:numPr>
                <w:ilvl w:val="0"/>
                <w:numId w:val="142"/>
              </w:numPr>
              <w:ind w:left="0" w:firstLine="0"/>
              <w:jc w:val="left"/>
              <w:rPr>
                <w:rFonts w:ascii="宋体" w:hAnsi="宋体" w:cs="宋体"/>
                <w:color w:val="auto"/>
                <w:sz w:val="24"/>
                <w:szCs w:val="24"/>
              </w:rPr>
            </w:pPr>
            <w:r>
              <w:rPr>
                <w:rFonts w:hint="eastAsia" w:ascii="宋体" w:hAnsi="宋体" w:cs="宋体"/>
                <w:color w:val="auto"/>
                <w:sz w:val="24"/>
                <w:szCs w:val="24"/>
              </w:rPr>
              <w:t>通讯模组设备参数：</w:t>
            </w:r>
          </w:p>
          <w:p w14:paraId="129695BA">
            <w:pPr>
              <w:pStyle w:val="22"/>
              <w:numPr>
                <w:ilvl w:val="0"/>
                <w:numId w:val="148"/>
              </w:numPr>
              <w:ind w:left="0" w:firstLine="0"/>
              <w:rPr>
                <w:rFonts w:ascii="宋体" w:hAnsi="宋体" w:eastAsia="宋体" w:cs="宋体"/>
                <w:color w:val="auto"/>
                <w:sz w:val="24"/>
                <w:szCs w:val="24"/>
              </w:rPr>
            </w:pPr>
            <w:r>
              <w:rPr>
                <w:rFonts w:hint="eastAsia" w:ascii="宋体" w:hAnsi="宋体" w:eastAsia="宋体" w:cs="宋体"/>
                <w:color w:val="auto"/>
                <w:sz w:val="24"/>
                <w:szCs w:val="24"/>
              </w:rPr>
              <w:t>主要参数：</w:t>
            </w:r>
          </w:p>
          <w:p w14:paraId="75E3AC60">
            <w:pPr>
              <w:numPr>
                <w:ilvl w:val="0"/>
                <w:numId w:val="149"/>
              </w:numPr>
              <w:ind w:firstLine="0"/>
              <w:jc w:val="left"/>
              <w:rPr>
                <w:rFonts w:ascii="宋体" w:hAnsi="宋体" w:cs="宋体"/>
                <w:color w:val="auto"/>
                <w:sz w:val="24"/>
                <w:szCs w:val="24"/>
              </w:rPr>
            </w:pPr>
            <w:r>
              <w:rPr>
                <w:rFonts w:hint="eastAsia" w:ascii="宋体" w:hAnsi="宋体" w:cs="宋体"/>
                <w:color w:val="auto"/>
                <w:sz w:val="24"/>
                <w:szCs w:val="24"/>
              </w:rPr>
              <w:t>工作电压</w:t>
            </w:r>
            <w:r>
              <w:rPr>
                <w:rFonts w:ascii="宋体" w:hAnsi="宋体" w:cs="宋体"/>
                <w:color w:val="auto"/>
                <w:sz w:val="24"/>
                <w:szCs w:val="24"/>
              </w:rPr>
              <w:t>DC12V;功率消耗&lt;2W;工作温度-20~70℃存储温度-40~75℃;相对湿度5%~95%（无冷凝）</w:t>
            </w:r>
          </w:p>
          <w:p w14:paraId="4D1D0374">
            <w:pPr>
              <w:numPr>
                <w:ilvl w:val="0"/>
                <w:numId w:val="149"/>
              </w:numPr>
              <w:ind w:firstLine="0"/>
              <w:jc w:val="left"/>
              <w:rPr>
                <w:rFonts w:ascii="宋体" w:hAnsi="宋体" w:cs="宋体"/>
                <w:color w:val="auto"/>
                <w:sz w:val="24"/>
                <w:szCs w:val="24"/>
              </w:rPr>
            </w:pPr>
            <w:r>
              <w:rPr>
                <w:rFonts w:hint="eastAsia" w:ascii="宋体" w:hAnsi="宋体" w:cs="宋体"/>
                <w:color w:val="auto"/>
                <w:sz w:val="24"/>
                <w:szCs w:val="24"/>
              </w:rPr>
              <w:t>外形尺寸不高于</w:t>
            </w:r>
            <w:r>
              <w:rPr>
                <w:rFonts w:ascii="宋体" w:hAnsi="宋体" w:cs="宋体"/>
                <w:color w:val="auto"/>
                <w:sz w:val="24"/>
                <w:szCs w:val="24"/>
              </w:rPr>
              <w:t>109*72*18mm;</w:t>
            </w:r>
            <w:r>
              <w:rPr>
                <w:rFonts w:hint="eastAsia" w:ascii="宋体" w:hAnsi="宋体" w:cs="宋体"/>
                <w:color w:val="auto"/>
                <w:sz w:val="24"/>
                <w:szCs w:val="24"/>
              </w:rPr>
              <w:t>安装占位</w:t>
            </w:r>
            <w:r>
              <w:rPr>
                <w:rFonts w:ascii="宋体" w:hAnsi="宋体" w:cs="宋体"/>
                <w:color w:val="auto"/>
                <w:sz w:val="24"/>
                <w:szCs w:val="24"/>
              </w:rPr>
              <w:t>1P;安装方式35mm导轨安装;重量≈85g</w:t>
            </w:r>
          </w:p>
          <w:p w14:paraId="023AB763">
            <w:pPr>
              <w:numPr>
                <w:ilvl w:val="0"/>
                <w:numId w:val="149"/>
              </w:numPr>
              <w:ind w:firstLine="0"/>
              <w:jc w:val="left"/>
              <w:rPr>
                <w:rFonts w:ascii="宋体" w:hAnsi="宋体" w:cs="宋体"/>
                <w:color w:val="auto"/>
                <w:sz w:val="24"/>
                <w:szCs w:val="24"/>
              </w:rPr>
            </w:pPr>
            <w:r>
              <w:rPr>
                <w:rFonts w:ascii="宋体" w:hAnsi="宋体" w:cs="宋体"/>
                <w:color w:val="auto"/>
                <w:sz w:val="24"/>
                <w:szCs w:val="24"/>
              </w:rPr>
              <w:t>6PIN</w:t>
            </w:r>
            <w:r>
              <w:rPr>
                <w:rFonts w:hint="eastAsia" w:ascii="宋体" w:hAnsi="宋体" w:cs="宋体"/>
                <w:color w:val="auto"/>
                <w:sz w:val="24"/>
                <w:szCs w:val="24"/>
              </w:rPr>
              <w:t>数据口模组互联通讯接口，采用</w:t>
            </w:r>
            <w:r>
              <w:rPr>
                <w:rFonts w:ascii="宋体" w:hAnsi="宋体" w:cs="宋体"/>
                <w:color w:val="auto"/>
                <w:sz w:val="24"/>
                <w:szCs w:val="24"/>
              </w:rPr>
              <w:t>6PIN针连接;天线接口SMA;BUS蓝色;NET蓝色;SYS红色</w:t>
            </w:r>
          </w:p>
          <w:p w14:paraId="7729F7DA">
            <w:pPr>
              <w:numPr>
                <w:ilvl w:val="0"/>
                <w:numId w:val="142"/>
              </w:numPr>
              <w:ind w:left="0" w:firstLine="0"/>
              <w:jc w:val="left"/>
              <w:rPr>
                <w:rFonts w:ascii="宋体" w:hAnsi="宋体" w:cs="宋体"/>
                <w:color w:val="auto"/>
                <w:sz w:val="24"/>
                <w:szCs w:val="24"/>
              </w:rPr>
            </w:pPr>
            <w:r>
              <w:rPr>
                <w:rFonts w:hint="eastAsia" w:ascii="宋体" w:hAnsi="宋体" w:cs="宋体"/>
                <w:color w:val="auto"/>
                <w:sz w:val="24"/>
                <w:szCs w:val="24"/>
              </w:rPr>
              <w:t>联动模块设备参数：</w:t>
            </w:r>
          </w:p>
          <w:p w14:paraId="352FC94B">
            <w:pPr>
              <w:pStyle w:val="22"/>
              <w:numPr>
                <w:ilvl w:val="0"/>
                <w:numId w:val="150"/>
              </w:numPr>
              <w:ind w:left="0" w:firstLine="0"/>
              <w:rPr>
                <w:color w:val="auto"/>
              </w:rPr>
            </w:pPr>
            <w:r>
              <w:rPr>
                <w:rFonts w:hint="eastAsia" w:ascii="宋体" w:hAnsi="宋体" w:eastAsia="宋体" w:cs="宋体"/>
                <w:color w:val="auto"/>
                <w:sz w:val="24"/>
                <w:szCs w:val="24"/>
              </w:rPr>
              <w:t>主要参数：</w:t>
            </w:r>
          </w:p>
          <w:p w14:paraId="3150FBBA">
            <w:pPr>
              <w:numPr>
                <w:ilvl w:val="0"/>
                <w:numId w:val="151"/>
              </w:numPr>
              <w:ind w:firstLine="0"/>
              <w:jc w:val="left"/>
              <w:rPr>
                <w:rFonts w:ascii="宋体" w:hAnsi="宋体" w:cs="宋体"/>
                <w:color w:val="auto"/>
                <w:sz w:val="24"/>
                <w:szCs w:val="24"/>
              </w:rPr>
            </w:pPr>
            <w:r>
              <w:rPr>
                <w:rFonts w:hint="eastAsia" w:ascii="宋体" w:hAnsi="宋体" w:cs="宋体"/>
                <w:color w:val="auto"/>
                <w:sz w:val="24"/>
                <w:szCs w:val="24"/>
              </w:rPr>
              <w:t>工作电压</w:t>
            </w:r>
            <w:r>
              <w:rPr>
                <w:rFonts w:ascii="宋体" w:hAnsi="宋体" w:cs="宋体"/>
                <w:color w:val="auto"/>
                <w:sz w:val="24"/>
                <w:szCs w:val="24"/>
              </w:rPr>
              <w:t>DC12V;功率消耗1.5W;输出数;4个开关量继电器输出端子;4个数字量OC输出端子（光</w:t>
            </w:r>
            <w:r>
              <w:rPr>
                <w:rFonts w:hint="eastAsia" w:ascii="宋体" w:hAnsi="宋体" w:cs="宋体"/>
                <w:color w:val="auto"/>
                <w:sz w:val="24"/>
                <w:szCs w:val="24"/>
              </w:rPr>
              <w:t>耦的输入输出只能</w:t>
            </w:r>
            <w:r>
              <w:rPr>
                <w:rFonts w:ascii="宋体" w:hAnsi="宋体" w:cs="宋体"/>
                <w:color w:val="auto"/>
                <w:sz w:val="24"/>
                <w:szCs w:val="24"/>
              </w:rPr>
              <w:t>2选1）</w:t>
            </w:r>
          </w:p>
          <w:p w14:paraId="5C3796CC">
            <w:pPr>
              <w:numPr>
                <w:ilvl w:val="0"/>
                <w:numId w:val="151"/>
              </w:numPr>
              <w:ind w:firstLine="0"/>
              <w:jc w:val="left"/>
              <w:rPr>
                <w:rFonts w:ascii="宋体" w:hAnsi="宋体" w:cs="宋体"/>
                <w:color w:val="auto"/>
                <w:sz w:val="24"/>
                <w:szCs w:val="24"/>
              </w:rPr>
            </w:pPr>
            <w:r>
              <w:rPr>
                <w:rFonts w:hint="eastAsia" w:ascii="宋体" w:hAnsi="宋体" w:cs="宋体"/>
                <w:color w:val="auto"/>
                <w:sz w:val="24"/>
                <w:szCs w:val="24"/>
              </w:rPr>
              <w:t>输出类型</w:t>
            </w:r>
            <w:r>
              <w:rPr>
                <w:rFonts w:ascii="宋体" w:hAnsi="宋体" w:cs="宋体"/>
                <w:color w:val="auto"/>
                <w:sz w:val="24"/>
                <w:szCs w:val="24"/>
              </w:rPr>
              <w:t>;开关量继电器输出：支持最大负载能力：125VAC/0.5A，</w:t>
            </w:r>
            <w:r>
              <w:rPr>
                <w:rFonts w:hint="eastAsia" w:ascii="宋体" w:hAnsi="宋体" w:cs="宋体"/>
                <w:color w:val="auto"/>
                <w:sz w:val="24"/>
                <w:szCs w:val="24"/>
              </w:rPr>
              <w:t>持最大承受电压</w:t>
            </w:r>
            <w:r>
              <w:rPr>
                <w:rFonts w:ascii="宋体" w:hAnsi="宋体" w:cs="宋体"/>
                <w:color w:val="auto"/>
                <w:sz w:val="24"/>
                <w:szCs w:val="24"/>
              </w:rPr>
              <w:t>250VAC。各自独立，默认常开状态</w:t>
            </w:r>
          </w:p>
          <w:p w14:paraId="5307C921">
            <w:pPr>
              <w:numPr>
                <w:ilvl w:val="0"/>
                <w:numId w:val="151"/>
              </w:numPr>
              <w:ind w:firstLine="0"/>
              <w:jc w:val="left"/>
              <w:rPr>
                <w:rFonts w:ascii="宋体" w:hAnsi="宋体" w:cs="宋体"/>
                <w:color w:val="auto"/>
                <w:sz w:val="24"/>
                <w:szCs w:val="24"/>
              </w:rPr>
            </w:pPr>
            <w:r>
              <w:rPr>
                <w:rFonts w:hint="eastAsia" w:ascii="宋体" w:hAnsi="宋体" w:cs="宋体"/>
                <w:color w:val="auto"/>
                <w:sz w:val="24"/>
                <w:szCs w:val="24"/>
              </w:rPr>
              <w:t>报警输出时闭合</w:t>
            </w:r>
            <w:r>
              <w:rPr>
                <w:rFonts w:ascii="宋体" w:hAnsi="宋体" w:cs="宋体"/>
                <w:color w:val="auto"/>
                <w:sz w:val="24"/>
                <w:szCs w:val="24"/>
              </w:rPr>
              <w:t>;数字量OC输出：支持最大24V电压接入;输入数4个开关量输入端子（光</w:t>
            </w:r>
            <w:r>
              <w:rPr>
                <w:rFonts w:hint="eastAsia" w:ascii="宋体" w:hAnsi="宋体" w:cs="宋体"/>
                <w:color w:val="auto"/>
                <w:sz w:val="24"/>
                <w:szCs w:val="24"/>
              </w:rPr>
              <w:t>耦的输入输出只能</w:t>
            </w:r>
            <w:r>
              <w:rPr>
                <w:rFonts w:ascii="宋体" w:hAnsi="宋体" w:cs="宋体"/>
                <w:color w:val="auto"/>
                <w:sz w:val="24"/>
                <w:szCs w:val="24"/>
              </w:rPr>
              <w:t>2选1）;输入类型开关量（内置电源，干接点输入）</w:t>
            </w:r>
          </w:p>
          <w:p w14:paraId="1CF405EE">
            <w:pPr>
              <w:numPr>
                <w:ilvl w:val="0"/>
                <w:numId w:val="151"/>
              </w:numPr>
              <w:ind w:firstLine="0"/>
              <w:jc w:val="left"/>
              <w:rPr>
                <w:rFonts w:ascii="宋体" w:hAnsi="宋体" w:cs="宋体"/>
                <w:color w:val="auto"/>
                <w:sz w:val="24"/>
                <w:szCs w:val="24"/>
              </w:rPr>
            </w:pPr>
            <w:r>
              <w:rPr>
                <w:rFonts w:hint="eastAsia" w:ascii="宋体" w:hAnsi="宋体" w:cs="宋体"/>
                <w:color w:val="auto"/>
                <w:sz w:val="24"/>
                <w:szCs w:val="24"/>
              </w:rPr>
              <w:t>尺寸不高于</w:t>
            </w:r>
            <w:r>
              <w:rPr>
                <w:rFonts w:ascii="宋体" w:hAnsi="宋体" w:cs="宋体"/>
                <w:color w:val="auto"/>
                <w:sz w:val="24"/>
                <w:szCs w:val="24"/>
              </w:rPr>
              <w:t>94*70*18mm（尺寸公差：±1mm）;</w:t>
            </w:r>
            <w:r>
              <w:rPr>
                <w:rFonts w:hint="eastAsia" w:ascii="宋体" w:hAnsi="宋体" w:cs="宋体"/>
                <w:color w:val="auto"/>
                <w:sz w:val="24"/>
                <w:szCs w:val="24"/>
              </w:rPr>
              <w:t>安装占位</w:t>
            </w:r>
            <w:r>
              <w:rPr>
                <w:rFonts w:ascii="宋体" w:hAnsi="宋体" w:cs="宋体"/>
                <w:color w:val="auto"/>
                <w:sz w:val="24"/>
                <w:szCs w:val="24"/>
              </w:rPr>
              <w:t>1P;安装方式导轨安装;工作温度-15to+60℃</w:t>
            </w:r>
          </w:p>
        </w:tc>
        <w:tc>
          <w:tcPr>
            <w:tcW w:w="810" w:type="dxa"/>
            <w:tcBorders>
              <w:top w:val="single" w:color="auto" w:sz="4" w:space="0"/>
              <w:left w:val="single" w:color="auto" w:sz="4" w:space="0"/>
              <w:bottom w:val="single" w:color="auto" w:sz="4" w:space="0"/>
              <w:right w:val="single" w:color="auto" w:sz="4" w:space="0"/>
            </w:tcBorders>
            <w:shd w:val="clear" w:color="auto" w:fill="FFFFFF"/>
            <w:vAlign w:val="center"/>
          </w:tcPr>
          <w:p w14:paraId="36DE7D72">
            <w:pPr>
              <w:jc w:val="center"/>
              <w:rPr>
                <w:rFonts w:ascii="宋体" w:hAnsi="宋体" w:cs="宋体"/>
                <w:color w:val="auto"/>
                <w:sz w:val="24"/>
                <w:szCs w:val="24"/>
              </w:rPr>
            </w:pPr>
            <w:r>
              <w:rPr>
                <w:rFonts w:hint="eastAsia" w:ascii="宋体" w:hAnsi="宋体" w:cs="宋体"/>
                <w:color w:val="auto"/>
                <w:sz w:val="24"/>
                <w:szCs w:val="24"/>
              </w:rPr>
              <w:t>套</w:t>
            </w:r>
          </w:p>
        </w:tc>
        <w:tc>
          <w:tcPr>
            <w:tcW w:w="795" w:type="dxa"/>
            <w:tcBorders>
              <w:top w:val="single" w:color="auto" w:sz="4" w:space="0"/>
              <w:left w:val="single" w:color="auto" w:sz="4" w:space="0"/>
              <w:bottom w:val="single" w:color="auto" w:sz="4" w:space="0"/>
              <w:right w:val="single" w:color="auto" w:sz="4" w:space="0"/>
            </w:tcBorders>
            <w:shd w:val="clear" w:color="auto" w:fill="FFFFFF"/>
            <w:vAlign w:val="center"/>
          </w:tcPr>
          <w:p w14:paraId="29BCD12C">
            <w:pPr>
              <w:jc w:val="center"/>
              <w:rPr>
                <w:rFonts w:ascii="宋体" w:hAnsi="宋体" w:cs="宋体"/>
                <w:color w:val="auto"/>
                <w:sz w:val="24"/>
                <w:szCs w:val="24"/>
              </w:rPr>
            </w:pPr>
            <w:r>
              <w:rPr>
                <w:rFonts w:hint="eastAsia" w:ascii="宋体" w:hAnsi="宋体" w:cs="宋体"/>
                <w:color w:val="auto"/>
                <w:sz w:val="24"/>
                <w:szCs w:val="24"/>
              </w:rPr>
              <w:t>按需配置并征得采购人书面同意</w:t>
            </w:r>
          </w:p>
        </w:tc>
      </w:tr>
      <w:tr w14:paraId="138B9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47" w:type="dxa"/>
            <w:tcBorders>
              <w:top w:val="single" w:color="auto" w:sz="4" w:space="0"/>
              <w:left w:val="single" w:color="auto" w:sz="4" w:space="0"/>
              <w:bottom w:val="single" w:color="auto" w:sz="4" w:space="0"/>
              <w:right w:val="single" w:color="auto" w:sz="4" w:space="0"/>
            </w:tcBorders>
            <w:shd w:val="clear" w:color="auto" w:fill="FFFFFF"/>
            <w:vAlign w:val="center"/>
          </w:tcPr>
          <w:p w14:paraId="48D4975F">
            <w:pPr>
              <w:widowControl/>
              <w:jc w:val="center"/>
              <w:textAlignment w:val="center"/>
              <w:rPr>
                <w:rFonts w:ascii="宋体" w:hAnsi="宋体" w:cs="宋体"/>
                <w:color w:val="auto"/>
                <w:kern w:val="0"/>
                <w:sz w:val="24"/>
                <w:szCs w:val="24"/>
                <w:lang w:bidi="ar"/>
              </w:rPr>
            </w:pPr>
            <w:r>
              <w:rPr>
                <w:rFonts w:ascii="宋体" w:hAnsi="宋体" w:cs="宋体"/>
                <w:color w:val="auto"/>
                <w:kern w:val="0"/>
                <w:sz w:val="24"/>
                <w:szCs w:val="24"/>
                <w:lang w:bidi="ar"/>
              </w:rPr>
              <w:t>12</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14:paraId="022CB34D">
            <w:pPr>
              <w:jc w:val="center"/>
              <w:rPr>
                <w:rFonts w:ascii="宋体" w:hAnsi="宋体" w:cs="宋体"/>
                <w:color w:val="auto"/>
                <w:sz w:val="24"/>
                <w:szCs w:val="24"/>
              </w:rPr>
            </w:pPr>
            <w:r>
              <w:rPr>
                <w:rFonts w:hint="eastAsia" w:ascii="宋体" w:hAnsi="宋体" w:cs="宋体"/>
                <w:color w:val="auto"/>
                <w:sz w:val="24"/>
                <w:szCs w:val="24"/>
              </w:rPr>
              <w:t>智能人脸留样冰箱</w:t>
            </w:r>
          </w:p>
        </w:tc>
        <w:tc>
          <w:tcPr>
            <w:tcW w:w="6114" w:type="dxa"/>
            <w:tcBorders>
              <w:top w:val="single" w:color="auto" w:sz="4" w:space="0"/>
              <w:left w:val="single" w:color="auto" w:sz="4" w:space="0"/>
              <w:bottom w:val="single" w:color="auto" w:sz="4" w:space="0"/>
              <w:right w:val="single" w:color="auto" w:sz="4" w:space="0"/>
            </w:tcBorders>
            <w:shd w:val="clear" w:color="auto" w:fill="FFFFFF"/>
            <w:vAlign w:val="center"/>
          </w:tcPr>
          <w:p w14:paraId="72BA8675">
            <w:pPr>
              <w:numPr>
                <w:ilvl w:val="0"/>
                <w:numId w:val="152"/>
              </w:numPr>
              <w:ind w:left="0" w:firstLine="0"/>
              <w:jc w:val="left"/>
              <w:rPr>
                <w:rFonts w:ascii="宋体" w:hAnsi="宋体" w:cs="宋体"/>
                <w:color w:val="auto"/>
                <w:sz w:val="24"/>
                <w:szCs w:val="24"/>
              </w:rPr>
            </w:pPr>
            <w:r>
              <w:rPr>
                <w:rFonts w:hint="eastAsia" w:ascii="宋体" w:hAnsi="宋体" w:cs="宋体"/>
                <w:color w:val="auto"/>
                <w:sz w:val="24"/>
                <w:szCs w:val="24"/>
              </w:rPr>
              <w:t>功能</w:t>
            </w:r>
            <w:r>
              <w:rPr>
                <w:rFonts w:hint="eastAsia" w:ascii="宋体" w:hAnsi="宋体" w:cs="宋体"/>
                <w:color w:val="auto"/>
                <w:kern w:val="0"/>
                <w:sz w:val="24"/>
                <w:szCs w:val="24"/>
                <w:lang w:bidi="ar"/>
              </w:rPr>
              <w:t>描述：</w:t>
            </w:r>
          </w:p>
          <w:p w14:paraId="43F42FF1">
            <w:pPr>
              <w:numPr>
                <w:ilvl w:val="0"/>
                <w:numId w:val="153"/>
              </w:numPr>
              <w:ind w:left="0" w:firstLine="0"/>
              <w:jc w:val="left"/>
              <w:rPr>
                <w:rFonts w:ascii="宋体" w:hAnsi="宋体" w:cs="宋体"/>
                <w:color w:val="auto"/>
                <w:sz w:val="24"/>
                <w:szCs w:val="24"/>
              </w:rPr>
            </w:pPr>
            <w:r>
              <w:rPr>
                <w:rFonts w:ascii="宋体" w:hAnsi="宋体" w:cs="宋体"/>
                <w:color w:val="auto"/>
                <w:sz w:val="24"/>
                <w:szCs w:val="24"/>
              </w:rPr>
              <w:t>专人专用（人脸识别开门）、自动除霜</w:t>
            </w:r>
            <w:r>
              <w:rPr>
                <w:rFonts w:hint="eastAsia" w:ascii="宋体" w:hAnsi="宋体" w:cs="宋体"/>
                <w:color w:val="auto"/>
                <w:sz w:val="24"/>
                <w:szCs w:val="24"/>
              </w:rPr>
              <w:t>；</w:t>
            </w:r>
          </w:p>
          <w:p w14:paraId="12ECD273">
            <w:pPr>
              <w:numPr>
                <w:ilvl w:val="0"/>
                <w:numId w:val="153"/>
              </w:numPr>
              <w:ind w:left="0" w:firstLine="0"/>
              <w:jc w:val="left"/>
              <w:rPr>
                <w:rFonts w:ascii="宋体" w:hAnsi="宋体" w:cs="宋体"/>
                <w:color w:val="auto"/>
                <w:sz w:val="24"/>
                <w:szCs w:val="24"/>
              </w:rPr>
            </w:pPr>
            <w:r>
              <w:rPr>
                <w:rFonts w:ascii="宋体" w:hAnsi="宋体" w:cs="宋体"/>
                <w:color w:val="auto"/>
                <w:sz w:val="24"/>
                <w:szCs w:val="24"/>
              </w:rPr>
              <w:t>自动存档，记录人员、时间，方便回</w:t>
            </w:r>
            <w:r>
              <w:rPr>
                <w:rFonts w:hint="eastAsia" w:ascii="宋体" w:hAnsi="宋体" w:cs="宋体"/>
                <w:color w:val="auto"/>
                <w:sz w:val="24"/>
                <w:szCs w:val="24"/>
              </w:rPr>
              <w:t>溯；</w:t>
            </w:r>
          </w:p>
          <w:p w14:paraId="67D7CA0C">
            <w:pPr>
              <w:numPr>
                <w:ilvl w:val="0"/>
                <w:numId w:val="152"/>
              </w:numPr>
              <w:ind w:left="0" w:firstLine="0"/>
              <w:jc w:val="left"/>
              <w:rPr>
                <w:rFonts w:ascii="宋体" w:hAnsi="宋体" w:cs="宋体"/>
                <w:color w:val="auto"/>
                <w:sz w:val="24"/>
                <w:szCs w:val="24"/>
              </w:rPr>
            </w:pPr>
            <w:r>
              <w:rPr>
                <w:rFonts w:hint="eastAsia" w:ascii="宋体" w:hAnsi="宋体" w:cs="宋体"/>
                <w:color w:val="auto"/>
                <w:sz w:val="24"/>
                <w:szCs w:val="24"/>
              </w:rPr>
              <w:t>设备参数：</w:t>
            </w:r>
          </w:p>
          <w:p w14:paraId="73904AE3">
            <w:pPr>
              <w:numPr>
                <w:ilvl w:val="0"/>
                <w:numId w:val="154"/>
              </w:numPr>
              <w:ind w:left="0" w:firstLine="0"/>
              <w:jc w:val="left"/>
              <w:rPr>
                <w:rFonts w:ascii="宋体" w:hAnsi="宋体" w:cs="宋体"/>
                <w:color w:val="auto"/>
                <w:sz w:val="24"/>
                <w:szCs w:val="24"/>
              </w:rPr>
            </w:pPr>
            <w:r>
              <w:rPr>
                <w:rFonts w:hint="eastAsia" w:ascii="宋体" w:hAnsi="宋体" w:cs="宋体"/>
                <w:color w:val="auto"/>
                <w:sz w:val="24"/>
                <w:szCs w:val="24"/>
              </w:rPr>
              <w:t>主要</w:t>
            </w:r>
            <w:r>
              <w:rPr>
                <w:rFonts w:ascii="宋体" w:hAnsi="宋体" w:cs="宋体"/>
                <w:color w:val="auto"/>
                <w:sz w:val="24"/>
                <w:szCs w:val="24"/>
              </w:rPr>
              <w:t>参数：</w:t>
            </w:r>
          </w:p>
          <w:p w14:paraId="5774BB26">
            <w:pPr>
              <w:numPr>
                <w:ilvl w:val="0"/>
                <w:numId w:val="155"/>
              </w:numPr>
              <w:ind w:firstLine="0"/>
              <w:jc w:val="left"/>
              <w:rPr>
                <w:rFonts w:ascii="宋体" w:hAnsi="宋体" w:cs="宋体"/>
                <w:color w:val="auto"/>
                <w:sz w:val="24"/>
                <w:szCs w:val="24"/>
              </w:rPr>
            </w:pPr>
            <w:r>
              <w:rPr>
                <w:rFonts w:ascii="宋体" w:hAnsi="宋体" w:cs="宋体"/>
                <w:color w:val="auto"/>
                <w:sz w:val="24"/>
                <w:szCs w:val="24"/>
              </w:rPr>
              <w:t>外观尺寸：</w:t>
            </w:r>
            <w:r>
              <w:rPr>
                <w:rFonts w:hint="eastAsia" w:ascii="宋体" w:hAnsi="宋体" w:cs="宋体"/>
                <w:color w:val="auto"/>
                <w:sz w:val="24"/>
                <w:szCs w:val="24"/>
              </w:rPr>
              <w:t>不低于</w:t>
            </w:r>
            <w:r>
              <w:rPr>
                <w:rFonts w:ascii="宋体" w:hAnsi="宋体" w:cs="宋体"/>
                <w:color w:val="auto"/>
                <w:sz w:val="24"/>
                <w:szCs w:val="24"/>
              </w:rPr>
              <w:t>高X宽X厚=1980X1100X630mm</w:t>
            </w:r>
            <w:r>
              <w:rPr>
                <w:rFonts w:hint="eastAsia" w:ascii="宋体" w:hAnsi="宋体" w:cs="宋体"/>
                <w:color w:val="auto"/>
                <w:sz w:val="24"/>
                <w:szCs w:val="24"/>
              </w:rPr>
              <w:t>；</w:t>
            </w:r>
          </w:p>
          <w:p w14:paraId="53392B7C">
            <w:pPr>
              <w:numPr>
                <w:ilvl w:val="0"/>
                <w:numId w:val="155"/>
              </w:numPr>
              <w:ind w:firstLine="0"/>
              <w:jc w:val="left"/>
              <w:rPr>
                <w:rFonts w:ascii="宋体" w:hAnsi="宋体" w:cs="宋体"/>
                <w:color w:val="auto"/>
                <w:sz w:val="24"/>
                <w:szCs w:val="24"/>
              </w:rPr>
            </w:pPr>
            <w:r>
              <w:rPr>
                <w:rFonts w:ascii="宋体" w:hAnsi="宋体" w:cs="宋体"/>
                <w:color w:val="auto"/>
                <w:sz w:val="24"/>
                <w:szCs w:val="24"/>
              </w:rPr>
              <w:t>制冷温度范围：0到18度</w:t>
            </w:r>
            <w:r>
              <w:rPr>
                <w:rFonts w:hint="eastAsia" w:ascii="宋体" w:hAnsi="宋体" w:cs="宋体"/>
                <w:color w:val="auto"/>
                <w:sz w:val="24"/>
                <w:szCs w:val="24"/>
              </w:rPr>
              <w:t>；</w:t>
            </w:r>
          </w:p>
          <w:p w14:paraId="4B93903F">
            <w:pPr>
              <w:numPr>
                <w:ilvl w:val="0"/>
                <w:numId w:val="155"/>
              </w:numPr>
              <w:ind w:firstLine="0"/>
              <w:jc w:val="left"/>
              <w:rPr>
                <w:rFonts w:ascii="宋体" w:hAnsi="宋体" w:cs="宋体"/>
                <w:color w:val="auto"/>
                <w:sz w:val="24"/>
                <w:szCs w:val="24"/>
              </w:rPr>
            </w:pPr>
            <w:r>
              <w:rPr>
                <w:rFonts w:ascii="宋体" w:hAnsi="宋体" w:cs="宋体"/>
                <w:color w:val="auto"/>
                <w:sz w:val="24"/>
                <w:szCs w:val="24"/>
              </w:rPr>
              <w:t>自动除霜：具有自动除霜功能，确保蒸发器不结冰</w:t>
            </w:r>
            <w:r>
              <w:rPr>
                <w:rFonts w:hint="eastAsia" w:ascii="宋体" w:hAnsi="宋体" w:cs="宋体"/>
                <w:color w:val="auto"/>
                <w:sz w:val="24"/>
                <w:szCs w:val="24"/>
              </w:rPr>
              <w:t>；</w:t>
            </w:r>
          </w:p>
          <w:p w14:paraId="284F9ED7">
            <w:pPr>
              <w:numPr>
                <w:ilvl w:val="0"/>
                <w:numId w:val="155"/>
              </w:numPr>
              <w:ind w:firstLine="0"/>
              <w:jc w:val="left"/>
              <w:rPr>
                <w:rFonts w:ascii="宋体" w:hAnsi="宋体" w:cs="宋体"/>
                <w:color w:val="auto"/>
                <w:sz w:val="24"/>
                <w:szCs w:val="24"/>
              </w:rPr>
            </w:pPr>
            <w:r>
              <w:rPr>
                <w:rFonts w:ascii="宋体" w:hAnsi="宋体" w:cs="宋体"/>
                <w:color w:val="auto"/>
                <w:sz w:val="24"/>
                <w:szCs w:val="24"/>
              </w:rPr>
              <w:t>灯光控制：内部两壁具有照明LED灯管。顶部广告牌有灯光照明</w:t>
            </w:r>
            <w:r>
              <w:rPr>
                <w:rFonts w:hint="eastAsia" w:ascii="宋体" w:hAnsi="宋体" w:cs="宋体"/>
                <w:color w:val="auto"/>
                <w:sz w:val="24"/>
                <w:szCs w:val="24"/>
              </w:rPr>
              <w:t>；</w:t>
            </w:r>
          </w:p>
          <w:p w14:paraId="7F0A1465">
            <w:pPr>
              <w:numPr>
                <w:ilvl w:val="0"/>
                <w:numId w:val="154"/>
              </w:numPr>
              <w:ind w:left="0" w:firstLine="0"/>
              <w:jc w:val="left"/>
              <w:rPr>
                <w:rFonts w:ascii="宋体" w:hAnsi="宋体" w:cs="宋体"/>
                <w:color w:val="auto"/>
                <w:sz w:val="24"/>
                <w:szCs w:val="24"/>
              </w:rPr>
            </w:pPr>
            <w:r>
              <w:rPr>
                <w:rFonts w:ascii="宋体" w:hAnsi="宋体" w:cs="宋体"/>
                <w:color w:val="auto"/>
                <w:sz w:val="24"/>
                <w:szCs w:val="24"/>
              </w:rPr>
              <w:t>门禁系统</w:t>
            </w:r>
            <w:r>
              <w:rPr>
                <w:rFonts w:hint="eastAsia" w:ascii="宋体" w:hAnsi="宋体" w:cs="宋体"/>
                <w:color w:val="auto"/>
                <w:sz w:val="24"/>
                <w:szCs w:val="24"/>
              </w:rPr>
              <w:t>：</w:t>
            </w:r>
          </w:p>
          <w:p w14:paraId="5E9CFD51">
            <w:pPr>
              <w:pStyle w:val="22"/>
              <w:numPr>
                <w:ilvl w:val="0"/>
                <w:numId w:val="156"/>
              </w:numPr>
              <w:ind w:firstLine="0"/>
              <w:rPr>
                <w:rFonts w:ascii="宋体" w:hAnsi="宋体" w:eastAsia="宋体" w:cs="宋体"/>
                <w:color w:val="auto"/>
                <w:sz w:val="24"/>
                <w:szCs w:val="24"/>
              </w:rPr>
            </w:pPr>
            <w:r>
              <w:rPr>
                <w:rFonts w:ascii="宋体" w:hAnsi="宋体" w:eastAsia="宋体" w:cs="宋体"/>
                <w:color w:val="auto"/>
                <w:sz w:val="24"/>
                <w:szCs w:val="24"/>
              </w:rPr>
              <w:t>摄像头安装高度</w:t>
            </w:r>
            <w:r>
              <w:rPr>
                <w:rFonts w:hint="eastAsia" w:ascii="宋体" w:hAnsi="宋体" w:eastAsia="宋体" w:cs="宋体"/>
                <w:color w:val="auto"/>
                <w:sz w:val="24"/>
                <w:szCs w:val="24"/>
              </w:rPr>
              <w:t>：</w:t>
            </w:r>
            <w:r>
              <w:rPr>
                <w:rFonts w:ascii="宋体" w:hAnsi="宋体" w:eastAsia="宋体" w:cs="宋体"/>
                <w:color w:val="auto"/>
                <w:sz w:val="24"/>
                <w:szCs w:val="24"/>
              </w:rPr>
              <w:t>摄像头安装位置离地面在140cm到150cm之间</w:t>
            </w:r>
            <w:r>
              <w:rPr>
                <w:rFonts w:hint="eastAsia" w:ascii="宋体" w:hAnsi="宋体" w:eastAsia="宋体" w:cs="宋体"/>
                <w:color w:val="auto"/>
                <w:sz w:val="24"/>
                <w:szCs w:val="24"/>
              </w:rPr>
              <w:t>；</w:t>
            </w:r>
          </w:p>
          <w:p w14:paraId="28BBC804">
            <w:pPr>
              <w:pStyle w:val="22"/>
              <w:numPr>
                <w:ilvl w:val="0"/>
                <w:numId w:val="156"/>
              </w:numPr>
              <w:ind w:firstLine="0"/>
              <w:rPr>
                <w:rFonts w:ascii="宋体" w:hAnsi="宋体" w:eastAsia="宋体" w:cs="宋体"/>
                <w:color w:val="auto"/>
                <w:sz w:val="24"/>
                <w:szCs w:val="24"/>
              </w:rPr>
            </w:pPr>
            <w:r>
              <w:rPr>
                <w:rFonts w:ascii="宋体" w:hAnsi="宋体" w:eastAsia="宋体" w:cs="宋体"/>
                <w:color w:val="auto"/>
                <w:sz w:val="24"/>
                <w:szCs w:val="24"/>
              </w:rPr>
              <w:t>人脸识别要求</w:t>
            </w:r>
            <w:r>
              <w:rPr>
                <w:rFonts w:hint="eastAsia" w:ascii="宋体" w:hAnsi="宋体" w:eastAsia="宋体" w:cs="宋体"/>
                <w:color w:val="auto"/>
                <w:sz w:val="24"/>
                <w:szCs w:val="24"/>
              </w:rPr>
              <w:t>：</w:t>
            </w:r>
            <w:r>
              <w:rPr>
                <w:rFonts w:ascii="宋体" w:hAnsi="宋体" w:eastAsia="宋体" w:cs="宋体"/>
                <w:color w:val="auto"/>
                <w:sz w:val="24"/>
                <w:szCs w:val="24"/>
              </w:rPr>
              <w:t>具有双目立体人脸识别功能，具有较强的安全性</w:t>
            </w:r>
            <w:r>
              <w:rPr>
                <w:rFonts w:hint="eastAsia" w:ascii="宋体" w:hAnsi="宋体" w:eastAsia="宋体" w:cs="宋体"/>
                <w:color w:val="auto"/>
                <w:sz w:val="24"/>
                <w:szCs w:val="24"/>
              </w:rPr>
              <w:t>；</w:t>
            </w:r>
          </w:p>
          <w:p w14:paraId="3ACB74F8">
            <w:pPr>
              <w:pStyle w:val="22"/>
              <w:numPr>
                <w:ilvl w:val="0"/>
                <w:numId w:val="156"/>
              </w:numPr>
              <w:ind w:firstLine="0"/>
              <w:rPr>
                <w:rFonts w:ascii="宋体" w:hAnsi="宋体" w:eastAsia="宋体" w:cs="宋体"/>
                <w:color w:val="auto"/>
                <w:sz w:val="24"/>
                <w:szCs w:val="24"/>
              </w:rPr>
            </w:pPr>
            <w:r>
              <w:rPr>
                <w:rFonts w:ascii="宋体" w:hAnsi="宋体" w:eastAsia="宋体" w:cs="宋体"/>
                <w:color w:val="auto"/>
                <w:sz w:val="24"/>
                <w:szCs w:val="24"/>
              </w:rPr>
              <w:t>人脸数据设定</w:t>
            </w:r>
            <w:r>
              <w:rPr>
                <w:rFonts w:hint="eastAsia" w:ascii="宋体" w:hAnsi="宋体" w:eastAsia="宋体" w:cs="宋体"/>
                <w:color w:val="auto"/>
                <w:sz w:val="24"/>
                <w:szCs w:val="24"/>
              </w:rPr>
              <w:t>：</w:t>
            </w:r>
            <w:r>
              <w:rPr>
                <w:rFonts w:ascii="宋体" w:hAnsi="宋体" w:eastAsia="宋体" w:cs="宋体"/>
                <w:color w:val="auto"/>
                <w:sz w:val="24"/>
                <w:szCs w:val="24"/>
              </w:rPr>
              <w:t>可以设定不少于100张预置人脸</w:t>
            </w:r>
            <w:r>
              <w:rPr>
                <w:rFonts w:hint="eastAsia" w:ascii="宋体" w:hAnsi="宋体" w:eastAsia="宋体" w:cs="宋体"/>
                <w:color w:val="auto"/>
                <w:sz w:val="24"/>
                <w:szCs w:val="24"/>
              </w:rPr>
              <w:t>；</w:t>
            </w:r>
          </w:p>
          <w:p w14:paraId="4B3FF7D7">
            <w:pPr>
              <w:pStyle w:val="22"/>
              <w:numPr>
                <w:ilvl w:val="0"/>
                <w:numId w:val="156"/>
              </w:numPr>
              <w:ind w:firstLine="0"/>
              <w:rPr>
                <w:rFonts w:ascii="宋体" w:hAnsi="宋体" w:eastAsia="宋体" w:cs="宋体"/>
                <w:color w:val="auto"/>
                <w:sz w:val="24"/>
                <w:szCs w:val="24"/>
              </w:rPr>
            </w:pPr>
            <w:r>
              <w:rPr>
                <w:rFonts w:ascii="宋体" w:hAnsi="宋体" w:eastAsia="宋体" w:cs="宋体"/>
                <w:color w:val="auto"/>
                <w:sz w:val="24"/>
                <w:szCs w:val="24"/>
              </w:rPr>
              <w:t>玻璃门锁</w:t>
            </w:r>
            <w:r>
              <w:rPr>
                <w:rFonts w:hint="eastAsia" w:ascii="宋体" w:hAnsi="宋体" w:eastAsia="宋体" w:cs="宋体"/>
                <w:color w:val="auto"/>
                <w:sz w:val="24"/>
                <w:szCs w:val="24"/>
              </w:rPr>
              <w:t>：</w:t>
            </w:r>
            <w:r>
              <w:rPr>
                <w:rFonts w:ascii="宋体" w:hAnsi="宋体" w:eastAsia="宋体" w:cs="宋体"/>
                <w:color w:val="auto"/>
                <w:sz w:val="24"/>
                <w:szCs w:val="24"/>
              </w:rPr>
              <w:t>每个柜门都有独立门锁，并可通过门禁系统控制，刷脸开门。6秒落锁</w:t>
            </w:r>
            <w:r>
              <w:rPr>
                <w:rFonts w:hint="eastAsia" w:ascii="宋体" w:hAnsi="宋体" w:eastAsia="宋体" w:cs="宋体"/>
                <w:color w:val="auto"/>
                <w:sz w:val="24"/>
                <w:szCs w:val="24"/>
              </w:rPr>
              <w:t>；</w:t>
            </w:r>
          </w:p>
          <w:p w14:paraId="028609C7">
            <w:pPr>
              <w:pStyle w:val="22"/>
              <w:numPr>
                <w:ilvl w:val="0"/>
                <w:numId w:val="156"/>
              </w:numPr>
              <w:ind w:firstLine="0"/>
              <w:rPr>
                <w:rFonts w:ascii="宋体" w:hAnsi="宋体" w:eastAsia="宋体" w:cs="宋体"/>
                <w:color w:val="auto"/>
                <w:sz w:val="24"/>
                <w:szCs w:val="24"/>
              </w:rPr>
            </w:pPr>
            <w:r>
              <w:rPr>
                <w:rFonts w:ascii="宋体" w:hAnsi="宋体" w:eastAsia="宋体" w:cs="宋体"/>
                <w:color w:val="auto"/>
                <w:sz w:val="24"/>
                <w:szCs w:val="24"/>
              </w:rPr>
              <w:t>开门数据</w:t>
            </w:r>
            <w:r>
              <w:rPr>
                <w:rFonts w:hint="eastAsia" w:ascii="宋体" w:hAnsi="宋体" w:eastAsia="宋体" w:cs="宋体"/>
                <w:color w:val="auto"/>
                <w:sz w:val="24"/>
                <w:szCs w:val="24"/>
              </w:rPr>
              <w:t>：</w:t>
            </w:r>
            <w:r>
              <w:rPr>
                <w:rFonts w:ascii="宋体" w:hAnsi="宋体" w:eastAsia="宋体" w:cs="宋体"/>
                <w:color w:val="auto"/>
                <w:sz w:val="24"/>
                <w:szCs w:val="24"/>
              </w:rPr>
              <w:t>门禁系统具有数据接口，可以把人员数据和开关门记录数据上传到远程服务器</w:t>
            </w:r>
            <w:r>
              <w:rPr>
                <w:rFonts w:hint="eastAsia" w:ascii="宋体" w:hAnsi="宋体" w:eastAsia="宋体" w:cs="宋体"/>
                <w:color w:val="auto"/>
                <w:sz w:val="24"/>
                <w:szCs w:val="24"/>
              </w:rPr>
              <w:t>；</w:t>
            </w:r>
          </w:p>
          <w:p w14:paraId="5C365981">
            <w:pPr>
              <w:numPr>
                <w:ilvl w:val="0"/>
                <w:numId w:val="154"/>
              </w:numPr>
              <w:ind w:left="0" w:firstLine="0"/>
              <w:jc w:val="left"/>
              <w:rPr>
                <w:rFonts w:ascii="宋体" w:hAnsi="宋体" w:cs="宋体"/>
                <w:color w:val="auto"/>
                <w:sz w:val="24"/>
                <w:szCs w:val="24"/>
              </w:rPr>
            </w:pPr>
            <w:r>
              <w:rPr>
                <w:rFonts w:ascii="宋体" w:hAnsi="宋体" w:cs="宋体"/>
                <w:color w:val="auto"/>
                <w:sz w:val="24"/>
                <w:szCs w:val="24"/>
              </w:rPr>
              <w:t>性能指标</w:t>
            </w:r>
            <w:r>
              <w:rPr>
                <w:rFonts w:hint="eastAsia" w:ascii="宋体" w:hAnsi="宋体" w:cs="宋体"/>
                <w:color w:val="auto"/>
                <w:sz w:val="24"/>
                <w:szCs w:val="24"/>
              </w:rPr>
              <w:t>：</w:t>
            </w:r>
          </w:p>
          <w:p w14:paraId="5D7F4EA9">
            <w:pPr>
              <w:numPr>
                <w:ilvl w:val="0"/>
                <w:numId w:val="157"/>
              </w:numPr>
              <w:ind w:firstLine="0"/>
              <w:rPr>
                <w:rFonts w:ascii="宋体" w:hAnsi="宋体" w:cs="宋体"/>
                <w:color w:val="auto"/>
                <w:sz w:val="24"/>
                <w:szCs w:val="24"/>
              </w:rPr>
            </w:pPr>
            <w:r>
              <w:rPr>
                <w:rFonts w:ascii="宋体" w:hAnsi="宋体" w:cs="宋体"/>
                <w:color w:val="auto"/>
                <w:sz w:val="24"/>
                <w:szCs w:val="24"/>
              </w:rPr>
              <w:t>降温速度</w:t>
            </w:r>
            <w:r>
              <w:rPr>
                <w:rFonts w:hint="eastAsia" w:ascii="宋体" w:hAnsi="宋体" w:cs="宋体"/>
                <w:color w:val="auto"/>
                <w:sz w:val="24"/>
                <w:szCs w:val="24"/>
              </w:rPr>
              <w:t>：</w:t>
            </w:r>
            <w:r>
              <w:rPr>
                <w:rFonts w:ascii="宋体" w:hAnsi="宋体" w:cs="宋体"/>
                <w:color w:val="auto"/>
                <w:sz w:val="24"/>
                <w:szCs w:val="24"/>
              </w:rPr>
              <w:t>环境温度30度时，制冷启动后，内部从环境温度降温到5度，不多于20分钟</w:t>
            </w:r>
            <w:r>
              <w:rPr>
                <w:rFonts w:hint="eastAsia" w:ascii="宋体" w:hAnsi="宋体" w:cs="宋体"/>
                <w:color w:val="auto"/>
                <w:sz w:val="24"/>
                <w:szCs w:val="24"/>
              </w:rPr>
              <w:t>；</w:t>
            </w:r>
          </w:p>
          <w:p w14:paraId="01148009">
            <w:pPr>
              <w:numPr>
                <w:ilvl w:val="0"/>
                <w:numId w:val="157"/>
              </w:numPr>
              <w:ind w:firstLine="0"/>
              <w:rPr>
                <w:rFonts w:ascii="宋体" w:hAnsi="宋体" w:cs="宋体"/>
                <w:color w:val="auto"/>
                <w:sz w:val="24"/>
                <w:szCs w:val="24"/>
              </w:rPr>
            </w:pPr>
            <w:r>
              <w:rPr>
                <w:rFonts w:ascii="宋体" w:hAnsi="宋体" w:cs="宋体"/>
                <w:color w:val="auto"/>
                <w:sz w:val="24"/>
                <w:szCs w:val="24"/>
              </w:rPr>
              <w:t>人脸识别准确率</w:t>
            </w:r>
            <w:r>
              <w:rPr>
                <w:rFonts w:hint="eastAsia" w:ascii="宋体" w:hAnsi="宋体" w:cs="宋体"/>
                <w:color w:val="auto"/>
                <w:sz w:val="24"/>
                <w:szCs w:val="24"/>
              </w:rPr>
              <w:t>：</w:t>
            </w:r>
            <w:r>
              <w:rPr>
                <w:rFonts w:ascii="宋体" w:hAnsi="宋体" w:cs="宋体"/>
                <w:color w:val="auto"/>
                <w:sz w:val="24"/>
                <w:szCs w:val="24"/>
              </w:rPr>
              <w:t>识别率高于95%，误识别率低于万分之一</w:t>
            </w:r>
            <w:r>
              <w:rPr>
                <w:rFonts w:hint="eastAsia" w:ascii="宋体" w:hAnsi="宋体" w:cs="宋体"/>
                <w:color w:val="auto"/>
                <w:sz w:val="24"/>
                <w:szCs w:val="24"/>
              </w:rPr>
              <w:t>；</w:t>
            </w:r>
          </w:p>
          <w:p w14:paraId="4E4B70EB">
            <w:pPr>
              <w:numPr>
                <w:ilvl w:val="0"/>
                <w:numId w:val="157"/>
              </w:numPr>
              <w:ind w:firstLine="0"/>
              <w:rPr>
                <w:rFonts w:ascii="宋体" w:hAnsi="宋体" w:cs="宋体"/>
                <w:color w:val="auto"/>
                <w:sz w:val="24"/>
                <w:szCs w:val="24"/>
              </w:rPr>
            </w:pPr>
            <w:r>
              <w:rPr>
                <w:rFonts w:ascii="宋体" w:hAnsi="宋体" w:cs="宋体"/>
                <w:color w:val="auto"/>
                <w:sz w:val="24"/>
                <w:szCs w:val="24"/>
              </w:rPr>
              <w:t>落锁要求</w:t>
            </w:r>
            <w:r>
              <w:rPr>
                <w:rFonts w:hint="eastAsia" w:ascii="宋体" w:hAnsi="宋体" w:cs="宋体"/>
                <w:color w:val="auto"/>
                <w:sz w:val="24"/>
                <w:szCs w:val="24"/>
              </w:rPr>
              <w:t>：</w:t>
            </w:r>
            <w:r>
              <w:rPr>
                <w:rFonts w:ascii="宋体" w:hAnsi="宋体" w:cs="宋体"/>
                <w:color w:val="auto"/>
                <w:sz w:val="24"/>
                <w:szCs w:val="24"/>
              </w:rPr>
              <w:t>人脸识别成功，开锁。开锁后6秒内柜门没有打开即重新上锁</w:t>
            </w:r>
            <w:r>
              <w:rPr>
                <w:rFonts w:hint="eastAsia" w:ascii="宋体" w:hAnsi="宋体" w:cs="宋体"/>
                <w:color w:val="auto"/>
                <w:sz w:val="24"/>
                <w:szCs w:val="24"/>
              </w:rPr>
              <w:t>；</w:t>
            </w:r>
          </w:p>
          <w:p w14:paraId="580D0295">
            <w:pPr>
              <w:numPr>
                <w:ilvl w:val="0"/>
                <w:numId w:val="157"/>
              </w:numPr>
              <w:ind w:firstLine="0"/>
              <w:rPr>
                <w:rFonts w:ascii="宋体" w:hAnsi="宋体" w:cs="宋体"/>
                <w:color w:val="auto"/>
                <w:sz w:val="24"/>
                <w:szCs w:val="24"/>
              </w:rPr>
            </w:pPr>
            <w:r>
              <w:rPr>
                <w:rFonts w:ascii="宋体" w:hAnsi="宋体" w:cs="宋体"/>
                <w:color w:val="auto"/>
                <w:sz w:val="24"/>
                <w:szCs w:val="24"/>
              </w:rPr>
              <w:t>门禁抗干扰能力</w:t>
            </w:r>
            <w:r>
              <w:rPr>
                <w:rFonts w:hint="eastAsia" w:ascii="宋体" w:hAnsi="宋体" w:cs="宋体"/>
                <w:color w:val="auto"/>
                <w:sz w:val="24"/>
                <w:szCs w:val="24"/>
              </w:rPr>
              <w:t>：</w:t>
            </w:r>
            <w:r>
              <w:rPr>
                <w:rFonts w:ascii="宋体" w:hAnsi="宋体" w:cs="宋体"/>
                <w:color w:val="auto"/>
                <w:sz w:val="24"/>
                <w:szCs w:val="24"/>
              </w:rPr>
              <w:t>门禁在接地良好情况下，不出现触控不灵情况</w:t>
            </w:r>
            <w:r>
              <w:rPr>
                <w:rFonts w:hint="eastAsia" w:ascii="宋体" w:hAnsi="宋体" w:cs="宋体"/>
                <w:color w:val="auto"/>
                <w:sz w:val="24"/>
                <w:szCs w:val="24"/>
              </w:rPr>
              <w:t>；</w:t>
            </w:r>
          </w:p>
          <w:p w14:paraId="7454DA3A">
            <w:pPr>
              <w:numPr>
                <w:ilvl w:val="0"/>
                <w:numId w:val="157"/>
              </w:numPr>
              <w:ind w:firstLine="0"/>
              <w:rPr>
                <w:rFonts w:ascii="宋体" w:hAnsi="宋体" w:cs="宋体"/>
                <w:color w:val="auto"/>
                <w:sz w:val="24"/>
                <w:szCs w:val="24"/>
              </w:rPr>
            </w:pPr>
            <w:r>
              <w:rPr>
                <w:rFonts w:ascii="宋体" w:hAnsi="宋体" w:cs="宋体"/>
                <w:color w:val="auto"/>
                <w:sz w:val="24"/>
                <w:szCs w:val="24"/>
              </w:rPr>
              <w:t>耗电量</w:t>
            </w:r>
            <w:r>
              <w:rPr>
                <w:rFonts w:hint="eastAsia" w:ascii="宋体" w:hAnsi="宋体" w:cs="宋体"/>
                <w:color w:val="auto"/>
                <w:sz w:val="24"/>
                <w:szCs w:val="24"/>
              </w:rPr>
              <w:t>：</w:t>
            </w:r>
            <w:r>
              <w:rPr>
                <w:rFonts w:ascii="宋体" w:hAnsi="宋体" w:cs="宋体"/>
                <w:color w:val="auto"/>
                <w:sz w:val="24"/>
                <w:szCs w:val="24"/>
              </w:rPr>
              <w:t>环境温度30度时，设定温度为5度，24小时耗电量小于4.5KWH</w:t>
            </w:r>
            <w:r>
              <w:rPr>
                <w:rFonts w:hint="eastAsia" w:ascii="宋体" w:hAnsi="宋体" w:cs="宋体"/>
                <w:color w:val="auto"/>
                <w:sz w:val="24"/>
                <w:szCs w:val="24"/>
              </w:rPr>
              <w:t>；</w:t>
            </w:r>
          </w:p>
          <w:p w14:paraId="2A1DFEE2">
            <w:pPr>
              <w:numPr>
                <w:ilvl w:val="0"/>
                <w:numId w:val="154"/>
              </w:numPr>
              <w:ind w:left="0" w:firstLine="0"/>
              <w:jc w:val="left"/>
              <w:rPr>
                <w:color w:val="auto"/>
              </w:rPr>
            </w:pPr>
            <w:r>
              <w:rPr>
                <w:rFonts w:hint="eastAsia" w:ascii="宋体" w:hAnsi="宋体" w:cs="宋体"/>
                <w:color w:val="auto"/>
                <w:sz w:val="24"/>
                <w:szCs w:val="24"/>
              </w:rPr>
              <w:t>运行环境</w:t>
            </w:r>
          </w:p>
          <w:p w14:paraId="10F25116">
            <w:pPr>
              <w:numPr>
                <w:ilvl w:val="0"/>
                <w:numId w:val="158"/>
              </w:numPr>
              <w:ind w:firstLine="0"/>
              <w:jc w:val="left"/>
              <w:rPr>
                <w:rFonts w:ascii="宋体" w:hAnsi="宋体" w:cs="宋体"/>
                <w:color w:val="auto"/>
                <w:sz w:val="24"/>
                <w:szCs w:val="24"/>
              </w:rPr>
            </w:pPr>
            <w:r>
              <w:rPr>
                <w:rFonts w:ascii="宋体" w:hAnsi="宋体" w:cs="宋体"/>
                <w:color w:val="auto"/>
                <w:sz w:val="24"/>
                <w:szCs w:val="24"/>
              </w:rPr>
              <w:t>环境温度：0到40度</w:t>
            </w:r>
            <w:r>
              <w:rPr>
                <w:rFonts w:hint="eastAsia" w:ascii="宋体" w:hAnsi="宋体" w:cs="宋体"/>
                <w:color w:val="auto"/>
                <w:sz w:val="24"/>
                <w:szCs w:val="24"/>
              </w:rPr>
              <w:t>；</w:t>
            </w:r>
          </w:p>
          <w:p w14:paraId="73E9831A">
            <w:pPr>
              <w:numPr>
                <w:ilvl w:val="0"/>
                <w:numId w:val="158"/>
              </w:numPr>
              <w:ind w:firstLine="0"/>
              <w:jc w:val="left"/>
              <w:rPr>
                <w:rFonts w:ascii="宋体" w:hAnsi="宋体" w:cs="宋体"/>
                <w:color w:val="auto"/>
                <w:sz w:val="24"/>
                <w:szCs w:val="24"/>
              </w:rPr>
            </w:pPr>
            <w:r>
              <w:rPr>
                <w:rFonts w:ascii="宋体" w:hAnsi="宋体" w:cs="宋体"/>
                <w:color w:val="auto"/>
                <w:sz w:val="24"/>
                <w:szCs w:val="24"/>
              </w:rPr>
              <w:t>环境湿度：20%到95%</w:t>
            </w:r>
            <w:r>
              <w:rPr>
                <w:rFonts w:hint="eastAsia" w:ascii="宋体" w:hAnsi="宋体" w:cs="宋体"/>
                <w:color w:val="auto"/>
                <w:sz w:val="24"/>
                <w:szCs w:val="24"/>
              </w:rPr>
              <w:t>；</w:t>
            </w:r>
          </w:p>
          <w:p w14:paraId="6D2BDE4C">
            <w:pPr>
              <w:numPr>
                <w:ilvl w:val="0"/>
                <w:numId w:val="158"/>
              </w:numPr>
              <w:ind w:firstLine="0"/>
              <w:jc w:val="left"/>
              <w:rPr>
                <w:rFonts w:ascii="宋体" w:hAnsi="宋体" w:cs="宋体"/>
                <w:color w:val="auto"/>
                <w:sz w:val="24"/>
                <w:szCs w:val="24"/>
              </w:rPr>
            </w:pPr>
            <w:r>
              <w:rPr>
                <w:rFonts w:ascii="宋体" w:hAnsi="宋体" w:cs="宋体"/>
                <w:color w:val="auto"/>
                <w:sz w:val="24"/>
                <w:szCs w:val="24"/>
              </w:rPr>
              <w:t>海拔高度：&lt;2000米</w:t>
            </w:r>
            <w:r>
              <w:rPr>
                <w:rFonts w:hint="eastAsia" w:ascii="宋体" w:hAnsi="宋体" w:cs="宋体"/>
                <w:color w:val="auto"/>
                <w:sz w:val="24"/>
                <w:szCs w:val="24"/>
              </w:rPr>
              <w:t>；</w:t>
            </w:r>
          </w:p>
          <w:p w14:paraId="05FDD202">
            <w:pPr>
              <w:numPr>
                <w:ilvl w:val="0"/>
                <w:numId w:val="158"/>
              </w:numPr>
              <w:ind w:firstLine="0"/>
              <w:jc w:val="left"/>
              <w:rPr>
                <w:rFonts w:ascii="宋体" w:hAnsi="宋体" w:cs="宋体"/>
                <w:color w:val="auto"/>
                <w:sz w:val="24"/>
                <w:szCs w:val="24"/>
              </w:rPr>
            </w:pPr>
            <w:r>
              <w:rPr>
                <w:rFonts w:ascii="宋体" w:hAnsi="宋体" w:cs="宋体"/>
                <w:color w:val="auto"/>
                <w:sz w:val="24"/>
                <w:szCs w:val="24"/>
              </w:rPr>
              <w:t>供电系统：电压220V，频率50Hz</w:t>
            </w:r>
            <w:r>
              <w:rPr>
                <w:rFonts w:hint="eastAsia" w:ascii="宋体" w:hAnsi="宋体" w:cs="宋体"/>
                <w:color w:val="auto"/>
                <w:sz w:val="24"/>
                <w:szCs w:val="24"/>
              </w:rPr>
              <w:t>；</w:t>
            </w:r>
          </w:p>
          <w:p w14:paraId="5CB82B7B">
            <w:pPr>
              <w:pStyle w:val="22"/>
              <w:numPr>
                <w:ilvl w:val="0"/>
                <w:numId w:val="158"/>
              </w:numPr>
              <w:ind w:firstLine="0"/>
              <w:rPr>
                <w:rFonts w:ascii="宋体" w:hAnsi="宋体" w:eastAsia="宋体" w:cs="宋体"/>
                <w:color w:val="auto"/>
                <w:sz w:val="24"/>
                <w:szCs w:val="24"/>
              </w:rPr>
            </w:pPr>
            <w:r>
              <w:rPr>
                <w:rFonts w:ascii="宋体" w:hAnsi="宋体" w:eastAsia="宋体" w:cs="宋体"/>
                <w:color w:val="auto"/>
                <w:sz w:val="24"/>
                <w:szCs w:val="24"/>
              </w:rPr>
              <w:t>支持查询开门留样事件，留样事件支持自动生成，且保持5年以上</w:t>
            </w:r>
            <w:r>
              <w:rPr>
                <w:rFonts w:hint="eastAsia" w:ascii="宋体" w:hAnsi="宋体" w:eastAsia="宋体" w:cs="宋体"/>
                <w:color w:val="auto"/>
                <w:sz w:val="24"/>
                <w:szCs w:val="24"/>
              </w:rPr>
              <w:t>；</w:t>
            </w:r>
          </w:p>
          <w:p w14:paraId="4D53A9ED">
            <w:pPr>
              <w:pStyle w:val="22"/>
              <w:numPr>
                <w:ilvl w:val="0"/>
                <w:numId w:val="158"/>
              </w:numPr>
              <w:ind w:firstLine="0"/>
              <w:rPr>
                <w:color w:val="auto"/>
              </w:rPr>
            </w:pPr>
            <w:r>
              <w:rPr>
                <w:rFonts w:ascii="宋体" w:hAnsi="宋体" w:eastAsia="宋体" w:cs="宋体"/>
                <w:color w:val="auto"/>
                <w:sz w:val="24"/>
                <w:szCs w:val="24"/>
              </w:rPr>
              <w:t>支持留样区域及权限设定，可限定留样冰箱用于档口留样还是大餐留样</w:t>
            </w:r>
            <w:r>
              <w:rPr>
                <w:rFonts w:hint="eastAsia" w:ascii="宋体" w:hAnsi="宋体" w:eastAsia="宋体" w:cs="宋体"/>
                <w:color w:val="auto"/>
                <w:sz w:val="24"/>
                <w:szCs w:val="24"/>
              </w:rPr>
              <w:t>；</w:t>
            </w:r>
          </w:p>
        </w:tc>
        <w:tc>
          <w:tcPr>
            <w:tcW w:w="810" w:type="dxa"/>
            <w:tcBorders>
              <w:top w:val="single" w:color="auto" w:sz="4" w:space="0"/>
              <w:left w:val="single" w:color="auto" w:sz="4" w:space="0"/>
              <w:bottom w:val="single" w:color="auto" w:sz="4" w:space="0"/>
              <w:right w:val="single" w:color="auto" w:sz="4" w:space="0"/>
            </w:tcBorders>
            <w:shd w:val="clear" w:color="auto" w:fill="FFFFFF"/>
            <w:vAlign w:val="center"/>
          </w:tcPr>
          <w:p w14:paraId="65DD31F9">
            <w:pPr>
              <w:jc w:val="center"/>
              <w:rPr>
                <w:rFonts w:ascii="宋体" w:hAnsi="宋体" w:cs="宋体"/>
                <w:color w:val="auto"/>
                <w:sz w:val="24"/>
                <w:szCs w:val="24"/>
              </w:rPr>
            </w:pPr>
            <w:r>
              <w:rPr>
                <w:rFonts w:hint="eastAsia" w:ascii="宋体" w:hAnsi="宋体" w:cs="宋体"/>
                <w:color w:val="auto"/>
                <w:sz w:val="24"/>
                <w:szCs w:val="24"/>
              </w:rPr>
              <w:t>台</w:t>
            </w:r>
          </w:p>
        </w:tc>
        <w:tc>
          <w:tcPr>
            <w:tcW w:w="795" w:type="dxa"/>
            <w:tcBorders>
              <w:top w:val="single" w:color="auto" w:sz="4" w:space="0"/>
              <w:left w:val="single" w:color="auto" w:sz="4" w:space="0"/>
              <w:bottom w:val="single" w:color="auto" w:sz="4" w:space="0"/>
              <w:right w:val="single" w:color="auto" w:sz="4" w:space="0"/>
            </w:tcBorders>
            <w:shd w:val="clear" w:color="auto" w:fill="FFFFFF"/>
            <w:vAlign w:val="center"/>
          </w:tcPr>
          <w:p w14:paraId="758A3681">
            <w:pPr>
              <w:jc w:val="center"/>
              <w:rPr>
                <w:rFonts w:ascii="宋体" w:hAnsi="宋体" w:cs="宋体"/>
                <w:color w:val="auto"/>
                <w:sz w:val="24"/>
                <w:szCs w:val="24"/>
              </w:rPr>
            </w:pPr>
            <w:r>
              <w:rPr>
                <w:rFonts w:hint="eastAsia" w:ascii="宋体" w:hAnsi="宋体" w:cs="宋体"/>
                <w:color w:val="auto"/>
                <w:sz w:val="24"/>
                <w:szCs w:val="24"/>
              </w:rPr>
              <w:t>按需配置并征得采购人书面同意</w:t>
            </w:r>
          </w:p>
        </w:tc>
      </w:tr>
      <w:tr w14:paraId="75495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47" w:type="dxa"/>
            <w:tcBorders>
              <w:top w:val="single" w:color="auto" w:sz="4" w:space="0"/>
              <w:left w:val="single" w:color="auto" w:sz="4" w:space="0"/>
              <w:bottom w:val="single" w:color="auto" w:sz="4" w:space="0"/>
              <w:right w:val="single" w:color="auto" w:sz="4" w:space="0"/>
            </w:tcBorders>
            <w:shd w:val="clear" w:color="auto" w:fill="FFFFFF"/>
            <w:vAlign w:val="center"/>
          </w:tcPr>
          <w:p w14:paraId="43810FE6">
            <w:pPr>
              <w:widowControl/>
              <w:jc w:val="center"/>
              <w:textAlignment w:val="center"/>
              <w:rPr>
                <w:rFonts w:ascii="宋体" w:hAnsi="宋体" w:cs="宋体"/>
                <w:color w:val="auto"/>
                <w:kern w:val="0"/>
                <w:sz w:val="24"/>
                <w:szCs w:val="24"/>
                <w:lang w:bidi="ar"/>
              </w:rPr>
            </w:pPr>
            <w:r>
              <w:rPr>
                <w:rFonts w:ascii="宋体" w:hAnsi="宋体" w:cs="宋体"/>
                <w:color w:val="auto"/>
                <w:kern w:val="0"/>
                <w:sz w:val="24"/>
                <w:szCs w:val="24"/>
                <w:lang w:bidi="ar"/>
              </w:rPr>
              <w:t>13</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14:paraId="56231F93">
            <w:pPr>
              <w:jc w:val="center"/>
              <w:rPr>
                <w:rFonts w:ascii="宋体" w:hAnsi="宋体" w:cs="宋体"/>
                <w:color w:val="auto"/>
                <w:sz w:val="24"/>
                <w:szCs w:val="24"/>
              </w:rPr>
            </w:pPr>
            <w:r>
              <w:rPr>
                <w:rFonts w:hint="eastAsia" w:ascii="宋体" w:hAnsi="宋体" w:cs="宋体"/>
                <w:color w:val="auto"/>
                <w:sz w:val="24"/>
                <w:szCs w:val="24"/>
              </w:rPr>
              <w:t>多功能食品安全检测仪</w:t>
            </w:r>
          </w:p>
        </w:tc>
        <w:tc>
          <w:tcPr>
            <w:tcW w:w="6114" w:type="dxa"/>
            <w:tcBorders>
              <w:top w:val="single" w:color="auto" w:sz="4" w:space="0"/>
              <w:left w:val="single" w:color="auto" w:sz="4" w:space="0"/>
              <w:bottom w:val="single" w:color="auto" w:sz="4" w:space="0"/>
              <w:right w:val="single" w:color="auto" w:sz="4" w:space="0"/>
            </w:tcBorders>
            <w:shd w:val="clear" w:color="auto" w:fill="FFFFFF"/>
            <w:vAlign w:val="center"/>
          </w:tcPr>
          <w:p w14:paraId="527AB115">
            <w:pPr>
              <w:numPr>
                <w:ilvl w:val="0"/>
                <w:numId w:val="159"/>
              </w:numPr>
              <w:ind w:left="0" w:firstLine="0"/>
              <w:jc w:val="left"/>
              <w:rPr>
                <w:rFonts w:ascii="宋体" w:hAnsi="宋体" w:cs="宋体"/>
                <w:color w:val="auto"/>
                <w:sz w:val="24"/>
                <w:szCs w:val="24"/>
              </w:rPr>
            </w:pPr>
            <w:r>
              <w:rPr>
                <w:rFonts w:hint="eastAsia" w:ascii="宋体" w:hAnsi="宋体" w:cs="宋体"/>
                <w:color w:val="auto"/>
                <w:sz w:val="24"/>
                <w:szCs w:val="24"/>
              </w:rPr>
              <w:t>功能</w:t>
            </w:r>
            <w:r>
              <w:rPr>
                <w:rFonts w:hint="eastAsia" w:ascii="宋体" w:hAnsi="宋体" w:cs="宋体"/>
                <w:color w:val="auto"/>
                <w:kern w:val="0"/>
                <w:sz w:val="24"/>
                <w:szCs w:val="24"/>
                <w:lang w:bidi="ar"/>
              </w:rPr>
              <w:t>描述：</w:t>
            </w:r>
          </w:p>
          <w:p w14:paraId="55D92AD5">
            <w:pPr>
              <w:numPr>
                <w:ilvl w:val="0"/>
                <w:numId w:val="160"/>
              </w:numPr>
              <w:ind w:left="0" w:firstLine="0"/>
              <w:jc w:val="left"/>
              <w:rPr>
                <w:rFonts w:ascii="宋体" w:hAnsi="宋体" w:cs="宋体"/>
                <w:color w:val="auto"/>
                <w:sz w:val="24"/>
                <w:szCs w:val="24"/>
              </w:rPr>
            </w:pPr>
            <w:r>
              <w:rPr>
                <w:rFonts w:ascii="宋体" w:hAnsi="宋体" w:cs="宋体"/>
                <w:color w:val="auto"/>
                <w:sz w:val="24"/>
                <w:szCs w:val="24"/>
              </w:rPr>
              <w:t>对多种食材进行定性定量检测，输出检测报告</w:t>
            </w:r>
            <w:r>
              <w:rPr>
                <w:rFonts w:hint="eastAsia" w:ascii="宋体" w:hAnsi="宋体" w:cs="宋体"/>
                <w:color w:val="auto"/>
                <w:sz w:val="24"/>
                <w:szCs w:val="24"/>
              </w:rPr>
              <w:t>；</w:t>
            </w:r>
          </w:p>
          <w:p w14:paraId="73B8A1C1">
            <w:pPr>
              <w:numPr>
                <w:ilvl w:val="0"/>
                <w:numId w:val="159"/>
              </w:numPr>
              <w:ind w:left="0" w:firstLine="0"/>
              <w:jc w:val="left"/>
              <w:rPr>
                <w:rFonts w:ascii="宋体" w:hAnsi="宋体" w:cs="宋体"/>
                <w:color w:val="auto"/>
                <w:sz w:val="24"/>
                <w:szCs w:val="24"/>
              </w:rPr>
            </w:pPr>
            <w:r>
              <w:rPr>
                <w:rFonts w:hint="eastAsia" w:ascii="宋体" w:hAnsi="宋体" w:cs="宋体"/>
                <w:color w:val="auto"/>
                <w:sz w:val="24"/>
                <w:szCs w:val="24"/>
              </w:rPr>
              <w:t>设备参数：</w:t>
            </w:r>
          </w:p>
          <w:p w14:paraId="2A3F7A09">
            <w:pPr>
              <w:numPr>
                <w:ilvl w:val="0"/>
                <w:numId w:val="161"/>
              </w:numPr>
              <w:ind w:left="0" w:firstLine="0"/>
              <w:jc w:val="left"/>
              <w:rPr>
                <w:rFonts w:ascii="宋体" w:hAnsi="宋体" w:cs="宋体"/>
                <w:color w:val="auto"/>
                <w:sz w:val="24"/>
                <w:szCs w:val="24"/>
              </w:rPr>
            </w:pPr>
            <w:r>
              <w:rPr>
                <w:rFonts w:hint="eastAsia" w:ascii="宋体" w:hAnsi="宋体" w:cs="宋体"/>
                <w:color w:val="auto"/>
                <w:sz w:val="24"/>
                <w:szCs w:val="24"/>
              </w:rPr>
              <w:t>主要参数</w:t>
            </w:r>
            <w:r>
              <w:rPr>
                <w:rFonts w:ascii="宋体" w:hAnsi="宋体" w:cs="宋体"/>
                <w:color w:val="auto"/>
                <w:sz w:val="24"/>
                <w:szCs w:val="24"/>
              </w:rPr>
              <w:t>:</w:t>
            </w:r>
          </w:p>
          <w:p w14:paraId="74D1934B">
            <w:pPr>
              <w:numPr>
                <w:ilvl w:val="0"/>
                <w:numId w:val="162"/>
              </w:numPr>
              <w:ind w:firstLine="0"/>
              <w:jc w:val="left"/>
              <w:rPr>
                <w:rFonts w:ascii="宋体" w:hAnsi="宋体" w:cs="宋体"/>
                <w:color w:val="auto"/>
                <w:sz w:val="24"/>
                <w:szCs w:val="24"/>
              </w:rPr>
            </w:pPr>
            <w:r>
              <w:rPr>
                <w:rFonts w:ascii="宋体" w:hAnsi="宋体" w:cs="宋体"/>
                <w:color w:val="auto"/>
                <w:sz w:val="24"/>
                <w:szCs w:val="24"/>
              </w:rPr>
              <w:t>显示方式：支持不低于7英寸液晶触摸屏显示</w:t>
            </w:r>
            <w:r>
              <w:rPr>
                <w:rFonts w:hint="eastAsia" w:ascii="宋体" w:hAnsi="宋体" w:cs="宋体"/>
                <w:color w:val="auto"/>
                <w:sz w:val="24"/>
                <w:szCs w:val="24"/>
              </w:rPr>
              <w:t>；</w:t>
            </w:r>
          </w:p>
          <w:p w14:paraId="3B933861">
            <w:pPr>
              <w:numPr>
                <w:ilvl w:val="0"/>
                <w:numId w:val="162"/>
              </w:numPr>
              <w:ind w:firstLine="0"/>
              <w:jc w:val="left"/>
              <w:rPr>
                <w:rFonts w:ascii="宋体" w:hAnsi="宋体" w:cs="宋体"/>
                <w:color w:val="auto"/>
                <w:sz w:val="24"/>
                <w:szCs w:val="24"/>
              </w:rPr>
            </w:pPr>
            <w:r>
              <w:rPr>
                <w:rFonts w:ascii="宋体" w:hAnsi="宋体" w:cs="宋体"/>
                <w:color w:val="auto"/>
                <w:sz w:val="24"/>
                <w:szCs w:val="24"/>
              </w:rPr>
              <w:t>供电方式：交直流两用，直流12V供电</w:t>
            </w:r>
            <w:r>
              <w:rPr>
                <w:rFonts w:hint="eastAsia" w:ascii="宋体" w:hAnsi="宋体" w:cs="宋体"/>
                <w:color w:val="auto"/>
                <w:sz w:val="24"/>
                <w:szCs w:val="24"/>
              </w:rPr>
              <w:t>；</w:t>
            </w:r>
          </w:p>
          <w:p w14:paraId="26F79AFD">
            <w:pPr>
              <w:numPr>
                <w:ilvl w:val="0"/>
                <w:numId w:val="162"/>
              </w:numPr>
              <w:ind w:firstLine="0"/>
              <w:jc w:val="left"/>
              <w:rPr>
                <w:rFonts w:ascii="宋体" w:hAnsi="宋体" w:cs="宋体"/>
                <w:color w:val="auto"/>
                <w:sz w:val="24"/>
                <w:szCs w:val="24"/>
              </w:rPr>
            </w:pPr>
            <w:r>
              <w:rPr>
                <w:rFonts w:ascii="宋体" w:hAnsi="宋体" w:cs="宋体"/>
                <w:color w:val="auto"/>
                <w:sz w:val="24"/>
                <w:szCs w:val="24"/>
              </w:rPr>
              <w:t>采样方式：不间断进样，连续检测</w:t>
            </w:r>
            <w:r>
              <w:rPr>
                <w:rFonts w:hint="eastAsia" w:ascii="宋体" w:hAnsi="宋体" w:cs="宋体"/>
                <w:color w:val="auto"/>
                <w:sz w:val="24"/>
                <w:szCs w:val="24"/>
              </w:rPr>
              <w:t>；</w:t>
            </w:r>
          </w:p>
          <w:p w14:paraId="7B4232CB">
            <w:pPr>
              <w:numPr>
                <w:ilvl w:val="0"/>
                <w:numId w:val="162"/>
              </w:numPr>
              <w:ind w:firstLine="0"/>
              <w:jc w:val="left"/>
              <w:rPr>
                <w:rFonts w:ascii="宋体" w:hAnsi="宋体" w:cs="宋体"/>
                <w:color w:val="auto"/>
                <w:sz w:val="24"/>
                <w:szCs w:val="24"/>
              </w:rPr>
            </w:pPr>
            <w:r>
              <w:rPr>
                <w:rFonts w:ascii="宋体" w:hAnsi="宋体" w:cs="宋体"/>
                <w:color w:val="auto"/>
                <w:sz w:val="24"/>
                <w:szCs w:val="24"/>
              </w:rPr>
              <w:t>检测内容：非食用化学物质、滥用食品添加剂、农药残留、兽药残留、重金属、病害肉、营养强化剂、抗生素类残留、激素类残留、真菌毒素类残留、化学类残留</w:t>
            </w:r>
            <w:r>
              <w:rPr>
                <w:rFonts w:hint="eastAsia" w:ascii="宋体" w:hAnsi="宋体" w:cs="宋体"/>
                <w:color w:val="auto"/>
                <w:sz w:val="24"/>
                <w:szCs w:val="24"/>
              </w:rPr>
              <w:t>；</w:t>
            </w:r>
          </w:p>
        </w:tc>
        <w:tc>
          <w:tcPr>
            <w:tcW w:w="810" w:type="dxa"/>
            <w:tcBorders>
              <w:top w:val="single" w:color="auto" w:sz="4" w:space="0"/>
              <w:left w:val="single" w:color="auto" w:sz="4" w:space="0"/>
              <w:bottom w:val="single" w:color="auto" w:sz="4" w:space="0"/>
              <w:right w:val="single" w:color="auto" w:sz="4" w:space="0"/>
            </w:tcBorders>
            <w:shd w:val="clear" w:color="auto" w:fill="FFFFFF"/>
            <w:vAlign w:val="center"/>
          </w:tcPr>
          <w:p w14:paraId="209394A7">
            <w:pPr>
              <w:jc w:val="center"/>
              <w:rPr>
                <w:rFonts w:ascii="宋体" w:hAnsi="宋体" w:cs="宋体"/>
                <w:color w:val="auto"/>
                <w:sz w:val="24"/>
                <w:szCs w:val="24"/>
              </w:rPr>
            </w:pPr>
            <w:r>
              <w:rPr>
                <w:rFonts w:hint="eastAsia" w:ascii="宋体" w:hAnsi="宋体" w:cs="宋体"/>
                <w:color w:val="auto"/>
                <w:sz w:val="24"/>
                <w:szCs w:val="24"/>
              </w:rPr>
              <w:t>台</w:t>
            </w:r>
          </w:p>
        </w:tc>
        <w:tc>
          <w:tcPr>
            <w:tcW w:w="795" w:type="dxa"/>
            <w:tcBorders>
              <w:top w:val="single" w:color="auto" w:sz="4" w:space="0"/>
              <w:left w:val="single" w:color="auto" w:sz="4" w:space="0"/>
              <w:bottom w:val="single" w:color="auto" w:sz="4" w:space="0"/>
              <w:right w:val="single" w:color="auto" w:sz="4" w:space="0"/>
            </w:tcBorders>
            <w:shd w:val="clear" w:color="auto" w:fill="FFFFFF"/>
            <w:vAlign w:val="center"/>
          </w:tcPr>
          <w:p w14:paraId="6A041692">
            <w:pPr>
              <w:jc w:val="center"/>
              <w:rPr>
                <w:rFonts w:ascii="宋体" w:hAnsi="宋体" w:cs="宋体"/>
                <w:color w:val="auto"/>
                <w:sz w:val="24"/>
                <w:szCs w:val="24"/>
              </w:rPr>
            </w:pPr>
            <w:r>
              <w:rPr>
                <w:rFonts w:hint="eastAsia" w:ascii="宋体" w:hAnsi="宋体" w:cs="宋体"/>
                <w:color w:val="auto"/>
                <w:sz w:val="24"/>
                <w:szCs w:val="24"/>
              </w:rPr>
              <w:t>按需配置并征得采购人书面同意</w:t>
            </w:r>
          </w:p>
        </w:tc>
      </w:tr>
      <w:tr w14:paraId="218B5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47" w:type="dxa"/>
            <w:tcBorders>
              <w:top w:val="single" w:color="auto" w:sz="4" w:space="0"/>
              <w:left w:val="single" w:color="auto" w:sz="4" w:space="0"/>
              <w:bottom w:val="single" w:color="auto" w:sz="4" w:space="0"/>
              <w:right w:val="single" w:color="auto" w:sz="4" w:space="0"/>
            </w:tcBorders>
            <w:shd w:val="clear" w:color="auto" w:fill="FFFFFF"/>
            <w:vAlign w:val="center"/>
          </w:tcPr>
          <w:p w14:paraId="38E69717">
            <w:pPr>
              <w:widowControl/>
              <w:jc w:val="center"/>
              <w:textAlignment w:val="center"/>
              <w:rPr>
                <w:rFonts w:ascii="宋体" w:hAnsi="宋体" w:cs="宋体"/>
                <w:color w:val="auto"/>
                <w:kern w:val="0"/>
                <w:sz w:val="24"/>
                <w:szCs w:val="24"/>
                <w:lang w:bidi="ar"/>
              </w:rPr>
            </w:pPr>
            <w:r>
              <w:rPr>
                <w:rFonts w:ascii="宋体" w:hAnsi="宋体" w:cs="宋体"/>
                <w:color w:val="auto"/>
                <w:kern w:val="0"/>
                <w:sz w:val="24"/>
                <w:szCs w:val="24"/>
                <w:lang w:bidi="ar"/>
              </w:rPr>
              <w:t>14</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14:paraId="21536019">
            <w:pPr>
              <w:jc w:val="center"/>
              <w:rPr>
                <w:rFonts w:ascii="宋体" w:hAnsi="宋体" w:cs="宋体"/>
                <w:color w:val="auto"/>
                <w:sz w:val="24"/>
                <w:szCs w:val="24"/>
              </w:rPr>
            </w:pPr>
            <w:r>
              <w:rPr>
                <w:rFonts w:hint="eastAsia" w:ascii="宋体" w:hAnsi="宋体" w:cs="宋体"/>
                <w:color w:val="auto"/>
                <w:sz w:val="24"/>
                <w:szCs w:val="24"/>
              </w:rPr>
              <w:t>客流量智能人员统计摄像头</w:t>
            </w:r>
          </w:p>
        </w:tc>
        <w:tc>
          <w:tcPr>
            <w:tcW w:w="6114" w:type="dxa"/>
            <w:tcBorders>
              <w:top w:val="single" w:color="auto" w:sz="4" w:space="0"/>
              <w:left w:val="single" w:color="auto" w:sz="4" w:space="0"/>
              <w:bottom w:val="single" w:color="auto" w:sz="4" w:space="0"/>
              <w:right w:val="single" w:color="auto" w:sz="4" w:space="0"/>
            </w:tcBorders>
            <w:shd w:val="clear" w:color="auto" w:fill="FFFFFF"/>
            <w:vAlign w:val="center"/>
          </w:tcPr>
          <w:p w14:paraId="26E067CA">
            <w:pPr>
              <w:numPr>
                <w:ilvl w:val="0"/>
                <w:numId w:val="163"/>
              </w:numPr>
              <w:ind w:left="0" w:firstLine="0"/>
              <w:jc w:val="left"/>
              <w:rPr>
                <w:rFonts w:ascii="宋体" w:hAnsi="宋体" w:cs="宋体"/>
                <w:color w:val="auto"/>
                <w:sz w:val="24"/>
                <w:szCs w:val="24"/>
              </w:rPr>
            </w:pPr>
            <w:r>
              <w:rPr>
                <w:rFonts w:hint="eastAsia" w:ascii="宋体" w:hAnsi="宋体" w:cs="宋体"/>
                <w:color w:val="auto"/>
                <w:sz w:val="24"/>
                <w:szCs w:val="24"/>
              </w:rPr>
              <w:t>功能</w:t>
            </w:r>
            <w:r>
              <w:rPr>
                <w:rFonts w:hint="eastAsia" w:ascii="宋体" w:hAnsi="宋体" w:cs="宋体"/>
                <w:color w:val="auto"/>
                <w:kern w:val="0"/>
                <w:sz w:val="24"/>
                <w:szCs w:val="24"/>
                <w:lang w:bidi="ar"/>
              </w:rPr>
              <w:t>描述：</w:t>
            </w:r>
          </w:p>
          <w:p w14:paraId="1A32F36F">
            <w:pPr>
              <w:numPr>
                <w:ilvl w:val="0"/>
                <w:numId w:val="164"/>
              </w:numPr>
              <w:ind w:left="0" w:firstLine="0"/>
              <w:jc w:val="left"/>
              <w:rPr>
                <w:rFonts w:ascii="宋体" w:hAnsi="宋体" w:cs="宋体"/>
                <w:color w:val="auto"/>
                <w:sz w:val="24"/>
                <w:szCs w:val="24"/>
              </w:rPr>
            </w:pPr>
            <w:r>
              <w:rPr>
                <w:rFonts w:hint="eastAsia" w:ascii="宋体" w:hAnsi="宋体" w:cs="宋体"/>
                <w:color w:val="auto"/>
                <w:sz w:val="24"/>
                <w:szCs w:val="24"/>
              </w:rPr>
              <w:t>支持进行每日食堂客流统计：人员留存、今日客流量、昨日客流、新增、近七天客流量趋势、日客流时间对比、档口热度；</w:t>
            </w:r>
          </w:p>
          <w:p w14:paraId="10E92D75">
            <w:pPr>
              <w:numPr>
                <w:ilvl w:val="0"/>
                <w:numId w:val="164"/>
              </w:numPr>
              <w:ind w:left="0" w:firstLine="0"/>
              <w:jc w:val="left"/>
              <w:rPr>
                <w:rFonts w:ascii="宋体" w:hAnsi="宋体" w:cs="宋体"/>
                <w:color w:val="auto"/>
                <w:sz w:val="24"/>
                <w:szCs w:val="24"/>
              </w:rPr>
            </w:pPr>
            <w:r>
              <w:rPr>
                <w:rFonts w:hint="eastAsia" w:ascii="宋体" w:hAnsi="宋体" w:cs="宋体"/>
                <w:color w:val="auto"/>
                <w:sz w:val="24"/>
                <w:szCs w:val="24"/>
              </w:rPr>
              <w:t>支持食堂档口候餐热度监管：档口候餐人员统计、日候餐人数趋势、档口抓拍、热门档口排行；</w:t>
            </w:r>
          </w:p>
          <w:p w14:paraId="278E8A38">
            <w:pPr>
              <w:numPr>
                <w:ilvl w:val="0"/>
                <w:numId w:val="163"/>
              </w:numPr>
              <w:ind w:left="0" w:firstLine="0"/>
              <w:jc w:val="left"/>
              <w:rPr>
                <w:color w:val="auto"/>
              </w:rPr>
            </w:pPr>
            <w:r>
              <w:rPr>
                <w:rFonts w:hint="eastAsia" w:ascii="宋体" w:hAnsi="宋体" w:cs="宋体"/>
                <w:color w:val="auto"/>
                <w:sz w:val="24"/>
                <w:szCs w:val="24"/>
              </w:rPr>
              <w:t>设备参数：</w:t>
            </w:r>
          </w:p>
          <w:p w14:paraId="0723CBA1">
            <w:pPr>
              <w:pStyle w:val="22"/>
              <w:numPr>
                <w:ilvl w:val="0"/>
                <w:numId w:val="165"/>
              </w:numPr>
              <w:ind w:left="0" w:firstLine="0"/>
              <w:rPr>
                <w:color w:val="auto"/>
              </w:rPr>
            </w:pPr>
            <w:r>
              <w:rPr>
                <w:rFonts w:hint="eastAsia" w:ascii="宋体" w:hAnsi="宋体" w:eastAsia="宋体" w:cs="宋体"/>
                <w:color w:val="auto"/>
                <w:sz w:val="24"/>
                <w:szCs w:val="24"/>
              </w:rPr>
              <w:t>主要参数：</w:t>
            </w:r>
          </w:p>
          <w:p w14:paraId="71C13551">
            <w:pPr>
              <w:numPr>
                <w:ilvl w:val="0"/>
                <w:numId w:val="166"/>
              </w:numPr>
              <w:ind w:firstLine="0"/>
              <w:jc w:val="left"/>
              <w:rPr>
                <w:rFonts w:ascii="宋体" w:hAnsi="宋体" w:cs="宋体"/>
                <w:color w:val="auto"/>
                <w:sz w:val="24"/>
                <w:szCs w:val="24"/>
              </w:rPr>
            </w:pPr>
            <w:r>
              <w:rPr>
                <w:rFonts w:ascii="宋体" w:hAnsi="宋体" w:cs="宋体"/>
                <w:color w:val="auto"/>
                <w:sz w:val="24"/>
                <w:szCs w:val="24"/>
              </w:rPr>
              <w:t>同时预览路数</w:t>
            </w:r>
            <w:r>
              <w:rPr>
                <w:rFonts w:hint="eastAsia" w:ascii="宋体" w:hAnsi="宋体" w:cs="宋体"/>
                <w:color w:val="auto"/>
                <w:sz w:val="24"/>
                <w:szCs w:val="24"/>
              </w:rPr>
              <w:t>：</w:t>
            </w:r>
            <w:r>
              <w:rPr>
                <w:rFonts w:ascii="宋体" w:hAnsi="宋体" w:cs="宋体"/>
                <w:color w:val="auto"/>
                <w:sz w:val="24"/>
                <w:szCs w:val="24"/>
              </w:rPr>
              <w:t>最多20路</w:t>
            </w:r>
            <w:r>
              <w:rPr>
                <w:rFonts w:hint="eastAsia" w:ascii="宋体" w:hAnsi="宋体" w:cs="宋体"/>
                <w:color w:val="auto"/>
                <w:sz w:val="24"/>
                <w:szCs w:val="24"/>
              </w:rPr>
              <w:t>；</w:t>
            </w:r>
          </w:p>
          <w:p w14:paraId="4535FD30">
            <w:pPr>
              <w:numPr>
                <w:ilvl w:val="0"/>
                <w:numId w:val="166"/>
              </w:numPr>
              <w:ind w:firstLine="0"/>
              <w:jc w:val="left"/>
              <w:rPr>
                <w:rFonts w:ascii="宋体" w:hAnsi="宋体" w:cs="宋体"/>
                <w:color w:val="auto"/>
                <w:sz w:val="24"/>
                <w:szCs w:val="24"/>
              </w:rPr>
            </w:pPr>
            <w:r>
              <w:rPr>
                <w:rFonts w:ascii="宋体" w:hAnsi="宋体" w:cs="宋体"/>
                <w:color w:val="auto"/>
                <w:sz w:val="24"/>
                <w:szCs w:val="24"/>
              </w:rPr>
              <w:t>网络存储</w:t>
            </w:r>
            <w:r>
              <w:rPr>
                <w:rFonts w:hint="eastAsia" w:ascii="宋体" w:hAnsi="宋体" w:cs="宋体"/>
                <w:color w:val="auto"/>
                <w:sz w:val="24"/>
                <w:szCs w:val="24"/>
              </w:rPr>
              <w:t>：</w:t>
            </w:r>
            <w:r>
              <w:rPr>
                <w:rFonts w:ascii="宋体" w:hAnsi="宋体" w:cs="宋体"/>
                <w:color w:val="auto"/>
                <w:sz w:val="24"/>
                <w:szCs w:val="24"/>
              </w:rPr>
              <w:t>支持MicrQSR/MicrQSRHC/MicrQSDXC卡</w:t>
            </w:r>
            <w:r>
              <w:rPr>
                <w:rFonts w:hint="eastAsia" w:ascii="宋体" w:hAnsi="宋体" w:cs="宋体"/>
                <w:color w:val="auto"/>
                <w:sz w:val="24"/>
                <w:szCs w:val="24"/>
              </w:rPr>
              <w:t>（</w:t>
            </w:r>
            <w:r>
              <w:rPr>
                <w:rFonts w:ascii="宋体" w:hAnsi="宋体" w:cs="宋体"/>
                <w:color w:val="auto"/>
                <w:sz w:val="24"/>
                <w:szCs w:val="24"/>
              </w:rPr>
              <w:t>最大256GB</w:t>
            </w:r>
            <w:r>
              <w:rPr>
                <w:rFonts w:hint="eastAsia" w:ascii="宋体" w:hAnsi="宋体" w:cs="宋体"/>
                <w:color w:val="auto"/>
                <w:sz w:val="24"/>
                <w:szCs w:val="24"/>
              </w:rPr>
              <w:t>）</w:t>
            </w:r>
            <w:r>
              <w:rPr>
                <w:rFonts w:ascii="宋体" w:hAnsi="宋体" w:cs="宋体"/>
                <w:color w:val="auto"/>
                <w:sz w:val="24"/>
                <w:szCs w:val="24"/>
              </w:rPr>
              <w:t>断网本地存储及断网续传，NAS(NFS,SMB/CIFS均支持</w:t>
            </w:r>
            <w:r>
              <w:rPr>
                <w:rFonts w:hint="eastAsia" w:ascii="宋体" w:hAnsi="宋体" w:cs="宋体"/>
                <w:color w:val="auto"/>
                <w:sz w:val="24"/>
                <w:szCs w:val="24"/>
              </w:rPr>
              <w:t>）</w:t>
            </w:r>
            <w:r>
              <w:rPr>
                <w:rFonts w:ascii="宋体" w:hAnsi="宋体" w:cs="宋体"/>
                <w:color w:val="auto"/>
                <w:sz w:val="24"/>
                <w:szCs w:val="24"/>
              </w:rPr>
              <w:t>，配合海康黑卡支持SD卡加密及SD卡状态检测</w:t>
            </w:r>
            <w:r>
              <w:rPr>
                <w:rFonts w:hint="eastAsia" w:ascii="宋体" w:hAnsi="宋体" w:cs="宋体"/>
                <w:color w:val="auto"/>
                <w:sz w:val="24"/>
                <w:szCs w:val="24"/>
              </w:rPr>
              <w:t>；</w:t>
            </w:r>
          </w:p>
          <w:p w14:paraId="4098F50C">
            <w:pPr>
              <w:numPr>
                <w:ilvl w:val="0"/>
                <w:numId w:val="166"/>
              </w:numPr>
              <w:ind w:firstLine="0"/>
              <w:jc w:val="left"/>
              <w:rPr>
                <w:rFonts w:ascii="宋体" w:hAnsi="宋体" w:cs="宋体"/>
                <w:color w:val="auto"/>
                <w:sz w:val="24"/>
                <w:szCs w:val="24"/>
              </w:rPr>
            </w:pPr>
            <w:r>
              <w:rPr>
                <w:rFonts w:ascii="宋体" w:hAnsi="宋体" w:cs="宋体"/>
                <w:color w:val="auto"/>
                <w:sz w:val="24"/>
                <w:szCs w:val="24"/>
              </w:rPr>
              <w:t>用户管理</w:t>
            </w:r>
            <w:r>
              <w:rPr>
                <w:rFonts w:hint="eastAsia" w:ascii="宋体" w:hAnsi="宋体" w:cs="宋体"/>
                <w:color w:val="auto"/>
                <w:sz w:val="24"/>
                <w:szCs w:val="24"/>
              </w:rPr>
              <w:t>：</w:t>
            </w:r>
            <w:r>
              <w:rPr>
                <w:rFonts w:ascii="宋体" w:hAnsi="宋体" w:cs="宋体"/>
                <w:color w:val="auto"/>
                <w:sz w:val="24"/>
                <w:szCs w:val="24"/>
              </w:rPr>
              <w:t>最多32个用户，可分3级用户权限管理：管理员，操作员，普通用户</w:t>
            </w:r>
            <w:r>
              <w:rPr>
                <w:rFonts w:hint="eastAsia" w:ascii="宋体" w:hAnsi="宋体" w:cs="宋体"/>
                <w:color w:val="auto"/>
                <w:sz w:val="24"/>
                <w:szCs w:val="24"/>
              </w:rPr>
              <w:t>；</w:t>
            </w:r>
          </w:p>
          <w:p w14:paraId="19CC4B6A">
            <w:pPr>
              <w:numPr>
                <w:ilvl w:val="0"/>
                <w:numId w:val="166"/>
              </w:numPr>
              <w:ind w:firstLine="0"/>
              <w:jc w:val="left"/>
              <w:rPr>
                <w:rFonts w:ascii="宋体" w:hAnsi="宋体" w:cs="宋体"/>
                <w:color w:val="auto"/>
                <w:sz w:val="24"/>
                <w:szCs w:val="24"/>
              </w:rPr>
            </w:pPr>
            <w:r>
              <w:rPr>
                <w:rFonts w:ascii="宋体" w:hAnsi="宋体" w:cs="宋体"/>
                <w:color w:val="auto"/>
                <w:sz w:val="24"/>
                <w:szCs w:val="24"/>
              </w:rPr>
              <w:t>网络协议</w:t>
            </w:r>
            <w:r>
              <w:rPr>
                <w:rFonts w:hint="eastAsia" w:ascii="宋体" w:hAnsi="宋体" w:cs="宋体"/>
                <w:color w:val="auto"/>
                <w:sz w:val="24"/>
                <w:szCs w:val="24"/>
              </w:rPr>
              <w:t>：</w:t>
            </w:r>
            <w:r>
              <w:rPr>
                <w:rFonts w:ascii="宋体" w:hAnsi="宋体" w:cs="宋体"/>
                <w:color w:val="auto"/>
                <w:sz w:val="24"/>
                <w:szCs w:val="24"/>
              </w:rPr>
              <w:t>TCP/IP，ICMP，HTTP，HTTPS，FTP，DHCP，DNS，DDNS，RTP，RTSP，RTCP，PPPoE，NTP，UPnP，SMTP，SNMP，IGMP，802.1X，QoS，IPv6，UDP，Bonjour，WebSocket，WebSockets</w:t>
            </w:r>
            <w:r>
              <w:rPr>
                <w:rFonts w:hint="eastAsia" w:ascii="宋体" w:hAnsi="宋体" w:cs="宋体"/>
                <w:color w:val="auto"/>
                <w:sz w:val="24"/>
                <w:szCs w:val="24"/>
              </w:rPr>
              <w:t>；</w:t>
            </w:r>
          </w:p>
          <w:p w14:paraId="08D6380E">
            <w:pPr>
              <w:numPr>
                <w:ilvl w:val="0"/>
                <w:numId w:val="166"/>
              </w:numPr>
              <w:ind w:firstLine="0"/>
              <w:jc w:val="left"/>
              <w:rPr>
                <w:rFonts w:ascii="宋体" w:hAnsi="宋体" w:cs="宋体"/>
                <w:color w:val="auto"/>
                <w:sz w:val="24"/>
                <w:szCs w:val="24"/>
              </w:rPr>
            </w:pPr>
            <w:r>
              <w:rPr>
                <w:rFonts w:ascii="宋体" w:hAnsi="宋体" w:cs="宋体"/>
                <w:color w:val="auto"/>
                <w:sz w:val="24"/>
                <w:szCs w:val="24"/>
              </w:rPr>
              <w:t>接口协议</w:t>
            </w:r>
            <w:r>
              <w:rPr>
                <w:rFonts w:hint="eastAsia" w:ascii="宋体" w:hAnsi="宋体" w:cs="宋体"/>
                <w:color w:val="auto"/>
                <w:sz w:val="24"/>
                <w:szCs w:val="24"/>
              </w:rPr>
              <w:t>（</w:t>
            </w:r>
            <w:r>
              <w:rPr>
                <w:rFonts w:ascii="宋体" w:hAnsi="宋体" w:cs="宋体"/>
                <w:color w:val="auto"/>
                <w:sz w:val="24"/>
                <w:szCs w:val="24"/>
              </w:rPr>
              <w:t>API</w:t>
            </w:r>
            <w:r>
              <w:rPr>
                <w:rFonts w:hint="eastAsia" w:ascii="宋体" w:hAnsi="宋体" w:cs="宋体"/>
                <w:color w:val="auto"/>
                <w:sz w:val="24"/>
                <w:szCs w:val="24"/>
              </w:rPr>
              <w:t>）：</w:t>
            </w:r>
            <w:r>
              <w:rPr>
                <w:rFonts w:ascii="宋体" w:hAnsi="宋体" w:cs="宋体"/>
                <w:color w:val="auto"/>
                <w:sz w:val="24"/>
                <w:szCs w:val="24"/>
              </w:rPr>
              <w:t>开放型网络视频接口，ISAPI，GB28181，SDK，ISUP5.0</w:t>
            </w:r>
            <w:r>
              <w:rPr>
                <w:rFonts w:hint="eastAsia" w:ascii="宋体" w:hAnsi="宋体" w:cs="宋体"/>
                <w:color w:val="auto"/>
                <w:sz w:val="24"/>
                <w:szCs w:val="24"/>
              </w:rPr>
              <w:t>；</w:t>
            </w:r>
          </w:p>
          <w:p w14:paraId="2111123C">
            <w:pPr>
              <w:numPr>
                <w:ilvl w:val="0"/>
                <w:numId w:val="166"/>
              </w:numPr>
              <w:ind w:firstLine="0"/>
              <w:jc w:val="left"/>
              <w:rPr>
                <w:rFonts w:ascii="宋体" w:hAnsi="宋体" w:cs="宋体"/>
                <w:color w:val="auto"/>
                <w:sz w:val="24"/>
                <w:szCs w:val="24"/>
              </w:rPr>
            </w:pPr>
            <w:r>
              <w:rPr>
                <w:rFonts w:ascii="宋体" w:hAnsi="宋体" w:cs="宋体"/>
                <w:color w:val="auto"/>
                <w:sz w:val="24"/>
                <w:szCs w:val="24"/>
              </w:rPr>
              <w:t>浏览器</w:t>
            </w:r>
            <w:r>
              <w:rPr>
                <w:rFonts w:hint="eastAsia" w:ascii="宋体" w:hAnsi="宋体" w:cs="宋体"/>
                <w:color w:val="auto"/>
                <w:sz w:val="24"/>
                <w:szCs w:val="24"/>
              </w:rPr>
              <w:t>：</w:t>
            </w:r>
            <w:r>
              <w:rPr>
                <w:rFonts w:ascii="宋体" w:hAnsi="宋体" w:cs="宋体"/>
                <w:color w:val="auto"/>
                <w:sz w:val="24"/>
                <w:szCs w:val="24"/>
              </w:rPr>
              <w:t>使用插件预览：IE11</w:t>
            </w:r>
            <w:r>
              <w:rPr>
                <w:rFonts w:hint="eastAsia" w:ascii="宋体" w:hAnsi="宋体" w:cs="宋体"/>
                <w:color w:val="auto"/>
                <w:sz w:val="24"/>
                <w:szCs w:val="24"/>
              </w:rPr>
              <w:t>；</w:t>
            </w:r>
          </w:p>
          <w:p w14:paraId="139AF144">
            <w:pPr>
              <w:numPr>
                <w:ilvl w:val="0"/>
                <w:numId w:val="166"/>
              </w:numPr>
              <w:ind w:firstLine="0"/>
              <w:jc w:val="left"/>
              <w:rPr>
                <w:rFonts w:ascii="宋体" w:hAnsi="宋体" w:cs="宋体"/>
                <w:color w:val="auto"/>
                <w:sz w:val="24"/>
                <w:szCs w:val="24"/>
              </w:rPr>
            </w:pPr>
            <w:r>
              <w:rPr>
                <w:rFonts w:ascii="宋体" w:hAnsi="宋体" w:cs="宋体"/>
                <w:color w:val="auto"/>
                <w:sz w:val="24"/>
                <w:szCs w:val="24"/>
              </w:rPr>
              <w:t>无插件预览：Safari12+</w:t>
            </w:r>
            <w:r>
              <w:rPr>
                <w:rFonts w:hint="eastAsia" w:ascii="宋体" w:hAnsi="宋体" w:cs="宋体"/>
                <w:color w:val="auto"/>
                <w:sz w:val="24"/>
                <w:szCs w:val="24"/>
              </w:rPr>
              <w:t>；</w:t>
            </w:r>
          </w:p>
          <w:p w14:paraId="5AF9444D">
            <w:pPr>
              <w:numPr>
                <w:ilvl w:val="0"/>
                <w:numId w:val="166"/>
              </w:numPr>
              <w:ind w:firstLine="0"/>
              <w:jc w:val="left"/>
              <w:rPr>
                <w:rFonts w:ascii="宋体" w:hAnsi="宋体" w:cs="宋体"/>
                <w:color w:val="auto"/>
                <w:sz w:val="24"/>
                <w:szCs w:val="24"/>
              </w:rPr>
            </w:pPr>
            <w:r>
              <w:rPr>
                <w:rFonts w:ascii="宋体" w:hAnsi="宋体" w:cs="宋体"/>
                <w:color w:val="auto"/>
                <w:sz w:val="24"/>
                <w:szCs w:val="24"/>
              </w:rPr>
              <w:t>使用本地服务预览：Chrome57.0+，Firefox52.0+</w:t>
            </w:r>
            <w:r>
              <w:rPr>
                <w:rFonts w:hint="eastAsia" w:ascii="宋体" w:hAnsi="宋体" w:cs="宋体"/>
                <w:color w:val="auto"/>
                <w:sz w:val="24"/>
                <w:szCs w:val="24"/>
              </w:rPr>
              <w:t>；</w:t>
            </w:r>
          </w:p>
          <w:p w14:paraId="14EAE997">
            <w:pPr>
              <w:numPr>
                <w:ilvl w:val="0"/>
                <w:numId w:val="166"/>
              </w:numPr>
              <w:ind w:firstLine="0"/>
              <w:jc w:val="left"/>
              <w:rPr>
                <w:rFonts w:ascii="宋体" w:hAnsi="宋体" w:cs="宋体"/>
                <w:color w:val="auto"/>
                <w:sz w:val="24"/>
                <w:szCs w:val="24"/>
              </w:rPr>
            </w:pPr>
            <w:r>
              <w:rPr>
                <w:rFonts w:ascii="宋体" w:hAnsi="宋体" w:cs="宋体"/>
                <w:color w:val="auto"/>
                <w:sz w:val="24"/>
                <w:szCs w:val="24"/>
              </w:rPr>
              <w:t>不建议使用：Safari11+，edge</w:t>
            </w:r>
            <w:r>
              <w:rPr>
                <w:rFonts w:hint="eastAsia" w:ascii="宋体" w:hAnsi="宋体" w:cs="宋体"/>
                <w:color w:val="auto"/>
                <w:sz w:val="24"/>
                <w:szCs w:val="24"/>
              </w:rPr>
              <w:t>；</w:t>
            </w:r>
          </w:p>
          <w:p w14:paraId="31D7454B">
            <w:pPr>
              <w:numPr>
                <w:ilvl w:val="0"/>
                <w:numId w:val="166"/>
              </w:numPr>
              <w:ind w:firstLine="0"/>
              <w:jc w:val="left"/>
              <w:rPr>
                <w:rFonts w:ascii="宋体" w:hAnsi="宋体" w:cs="宋体"/>
                <w:color w:val="auto"/>
                <w:sz w:val="24"/>
                <w:szCs w:val="24"/>
              </w:rPr>
            </w:pPr>
            <w:r>
              <w:rPr>
                <w:rFonts w:ascii="宋体" w:hAnsi="宋体" w:cs="宋体"/>
                <w:color w:val="auto"/>
                <w:sz w:val="24"/>
                <w:szCs w:val="24"/>
              </w:rPr>
              <w:t>网络</w:t>
            </w:r>
            <w:r>
              <w:rPr>
                <w:rFonts w:hint="eastAsia" w:ascii="宋体" w:hAnsi="宋体" w:cs="宋体"/>
                <w:color w:val="auto"/>
                <w:sz w:val="24"/>
                <w:szCs w:val="24"/>
              </w:rPr>
              <w:t>：</w:t>
            </w:r>
            <w:r>
              <w:rPr>
                <w:rFonts w:ascii="宋体" w:hAnsi="宋体" w:cs="宋体"/>
                <w:color w:val="auto"/>
                <w:sz w:val="24"/>
                <w:szCs w:val="24"/>
              </w:rPr>
              <w:t>1个RJ4510M/100M自适应以太网口</w:t>
            </w:r>
            <w:r>
              <w:rPr>
                <w:rFonts w:hint="eastAsia" w:ascii="宋体" w:hAnsi="宋体" w:cs="宋体"/>
                <w:color w:val="auto"/>
                <w:sz w:val="24"/>
                <w:szCs w:val="24"/>
              </w:rPr>
              <w:t>；</w:t>
            </w:r>
          </w:p>
          <w:p w14:paraId="5A3EB30B">
            <w:pPr>
              <w:numPr>
                <w:ilvl w:val="0"/>
                <w:numId w:val="166"/>
              </w:numPr>
              <w:ind w:firstLine="0"/>
              <w:jc w:val="left"/>
              <w:rPr>
                <w:rFonts w:ascii="宋体" w:hAnsi="宋体" w:cs="宋体"/>
                <w:color w:val="auto"/>
                <w:sz w:val="24"/>
                <w:szCs w:val="24"/>
              </w:rPr>
            </w:pPr>
            <w:r>
              <w:rPr>
                <w:rFonts w:ascii="宋体" w:hAnsi="宋体" w:cs="宋体"/>
                <w:color w:val="auto"/>
                <w:sz w:val="24"/>
                <w:szCs w:val="24"/>
              </w:rPr>
              <w:t>SD卡扩展</w:t>
            </w:r>
            <w:r>
              <w:rPr>
                <w:rFonts w:hint="eastAsia" w:ascii="宋体" w:hAnsi="宋体" w:cs="宋体"/>
                <w:color w:val="auto"/>
                <w:sz w:val="24"/>
                <w:szCs w:val="24"/>
              </w:rPr>
              <w:t>：</w:t>
            </w:r>
            <w:r>
              <w:rPr>
                <w:rFonts w:ascii="宋体" w:hAnsi="宋体" w:cs="宋体"/>
                <w:color w:val="auto"/>
                <w:sz w:val="24"/>
                <w:szCs w:val="24"/>
              </w:rPr>
              <w:t>内置</w:t>
            </w:r>
            <w:r>
              <w:rPr>
                <w:rFonts w:hint="eastAsia" w:ascii="宋体" w:hAnsi="宋体" w:cs="宋体"/>
                <w:color w:val="auto"/>
                <w:sz w:val="24"/>
                <w:szCs w:val="24"/>
              </w:rPr>
              <w:t>；</w:t>
            </w:r>
            <w:r>
              <w:rPr>
                <w:rFonts w:ascii="宋体" w:hAnsi="宋体" w:cs="宋体"/>
                <w:color w:val="auto"/>
                <w:sz w:val="24"/>
                <w:szCs w:val="24"/>
              </w:rPr>
              <w:t>MicroSD/MicroSDHC/MicroSDXC插槽，最大支持256GB</w:t>
            </w:r>
            <w:r>
              <w:rPr>
                <w:rFonts w:hint="eastAsia" w:ascii="宋体" w:hAnsi="宋体" w:cs="宋体"/>
                <w:color w:val="auto"/>
                <w:sz w:val="24"/>
                <w:szCs w:val="24"/>
              </w:rPr>
              <w:t>；</w:t>
            </w:r>
          </w:p>
          <w:p w14:paraId="10953D75">
            <w:pPr>
              <w:numPr>
                <w:ilvl w:val="0"/>
                <w:numId w:val="166"/>
              </w:numPr>
              <w:ind w:firstLine="0"/>
              <w:jc w:val="left"/>
              <w:rPr>
                <w:rFonts w:ascii="宋体" w:hAnsi="宋体" w:cs="宋体"/>
                <w:color w:val="auto"/>
                <w:sz w:val="24"/>
                <w:szCs w:val="24"/>
              </w:rPr>
            </w:pPr>
            <w:r>
              <w:rPr>
                <w:rFonts w:ascii="宋体" w:hAnsi="宋体" w:cs="宋体"/>
                <w:color w:val="auto"/>
                <w:sz w:val="24"/>
                <w:szCs w:val="24"/>
              </w:rPr>
              <w:t>音频</w:t>
            </w:r>
            <w:r>
              <w:rPr>
                <w:rFonts w:hint="eastAsia" w:ascii="宋体" w:hAnsi="宋体" w:cs="宋体"/>
                <w:color w:val="auto"/>
                <w:sz w:val="24"/>
                <w:szCs w:val="24"/>
              </w:rPr>
              <w:t>：</w:t>
            </w:r>
            <w:r>
              <w:rPr>
                <w:rFonts w:ascii="宋体" w:hAnsi="宋体" w:cs="宋体"/>
                <w:color w:val="auto"/>
                <w:sz w:val="24"/>
                <w:szCs w:val="24"/>
              </w:rPr>
              <w:t>1路输入（Linein），1路输出（Lineout），接口类型open裸线，2个内置麦克风，1个内置喇叭</w:t>
            </w:r>
            <w:r>
              <w:rPr>
                <w:rFonts w:hint="eastAsia" w:ascii="宋体" w:hAnsi="宋体" w:cs="宋体"/>
                <w:color w:val="auto"/>
                <w:sz w:val="24"/>
                <w:szCs w:val="24"/>
              </w:rPr>
              <w:t>；</w:t>
            </w:r>
          </w:p>
          <w:p w14:paraId="364CC177">
            <w:pPr>
              <w:numPr>
                <w:ilvl w:val="0"/>
                <w:numId w:val="166"/>
              </w:numPr>
              <w:ind w:firstLine="0"/>
              <w:jc w:val="left"/>
              <w:rPr>
                <w:rFonts w:ascii="宋体" w:hAnsi="宋体" w:cs="宋体"/>
                <w:color w:val="auto"/>
                <w:sz w:val="24"/>
                <w:szCs w:val="24"/>
              </w:rPr>
            </w:pPr>
            <w:r>
              <w:rPr>
                <w:rFonts w:ascii="宋体" w:hAnsi="宋体" w:cs="宋体"/>
                <w:color w:val="auto"/>
                <w:sz w:val="24"/>
                <w:szCs w:val="24"/>
              </w:rPr>
              <w:t>报警</w:t>
            </w:r>
            <w:r>
              <w:rPr>
                <w:rFonts w:hint="eastAsia" w:ascii="宋体" w:hAnsi="宋体" w:cs="宋体"/>
                <w:color w:val="auto"/>
                <w:sz w:val="24"/>
                <w:szCs w:val="24"/>
              </w:rPr>
              <w:t>：</w:t>
            </w:r>
            <w:r>
              <w:rPr>
                <w:rFonts w:ascii="宋体" w:hAnsi="宋体" w:cs="宋体"/>
                <w:color w:val="auto"/>
                <w:sz w:val="24"/>
                <w:szCs w:val="24"/>
              </w:rPr>
              <w:t>1路输入，1路输出（报警输入支持开关量，报警输出最大支持DC12V，30mA），接口类型open裸线</w:t>
            </w:r>
            <w:r>
              <w:rPr>
                <w:rFonts w:hint="eastAsia" w:ascii="宋体" w:hAnsi="宋体" w:cs="宋体"/>
                <w:color w:val="auto"/>
                <w:sz w:val="24"/>
                <w:szCs w:val="24"/>
              </w:rPr>
              <w:t>；</w:t>
            </w:r>
          </w:p>
          <w:p w14:paraId="57C08012">
            <w:pPr>
              <w:numPr>
                <w:ilvl w:val="0"/>
                <w:numId w:val="166"/>
              </w:numPr>
              <w:ind w:firstLine="0"/>
              <w:jc w:val="left"/>
              <w:rPr>
                <w:rFonts w:ascii="宋体" w:hAnsi="宋体" w:cs="宋体"/>
                <w:color w:val="auto"/>
                <w:sz w:val="24"/>
                <w:szCs w:val="24"/>
              </w:rPr>
            </w:pPr>
            <w:r>
              <w:rPr>
                <w:rFonts w:ascii="宋体" w:hAnsi="宋体" w:cs="宋体"/>
                <w:color w:val="auto"/>
                <w:sz w:val="24"/>
                <w:szCs w:val="24"/>
              </w:rPr>
              <w:t>RS-485:1个RS-485接口，半双工模式，支持自适应HIKVISION，PELCO-P和PELCO-D协议，接口类型open裸线</w:t>
            </w:r>
            <w:r>
              <w:rPr>
                <w:rFonts w:hint="eastAsia" w:ascii="宋体" w:hAnsi="宋体" w:cs="宋体"/>
                <w:color w:val="auto"/>
                <w:sz w:val="24"/>
                <w:szCs w:val="24"/>
              </w:rPr>
              <w:t>；</w:t>
            </w:r>
          </w:p>
          <w:p w14:paraId="2561A89A">
            <w:pPr>
              <w:numPr>
                <w:ilvl w:val="0"/>
                <w:numId w:val="166"/>
              </w:numPr>
              <w:ind w:firstLine="0"/>
              <w:jc w:val="left"/>
              <w:rPr>
                <w:rFonts w:ascii="宋体" w:hAnsi="宋体" w:cs="宋体"/>
                <w:color w:val="auto"/>
                <w:sz w:val="24"/>
                <w:szCs w:val="24"/>
              </w:rPr>
            </w:pPr>
            <w:r>
              <w:rPr>
                <w:rFonts w:ascii="宋体" w:hAnsi="宋体" w:cs="宋体"/>
                <w:color w:val="auto"/>
                <w:sz w:val="24"/>
                <w:szCs w:val="24"/>
              </w:rPr>
              <w:t>复位</w:t>
            </w:r>
            <w:r>
              <w:rPr>
                <w:rFonts w:hint="eastAsia" w:ascii="宋体" w:hAnsi="宋体" w:cs="宋体"/>
                <w:color w:val="auto"/>
                <w:sz w:val="24"/>
                <w:szCs w:val="24"/>
              </w:rPr>
              <w:t>：</w:t>
            </w:r>
            <w:r>
              <w:rPr>
                <w:rFonts w:ascii="宋体" w:hAnsi="宋体" w:cs="宋体"/>
                <w:color w:val="auto"/>
                <w:sz w:val="24"/>
                <w:szCs w:val="24"/>
              </w:rPr>
              <w:t>支持</w:t>
            </w:r>
            <w:r>
              <w:rPr>
                <w:rFonts w:hint="eastAsia" w:ascii="宋体" w:hAnsi="宋体" w:cs="宋体"/>
                <w:color w:val="auto"/>
                <w:sz w:val="24"/>
                <w:szCs w:val="24"/>
              </w:rPr>
              <w:t>；</w:t>
            </w:r>
          </w:p>
          <w:p w14:paraId="71DEE966">
            <w:pPr>
              <w:numPr>
                <w:ilvl w:val="0"/>
                <w:numId w:val="166"/>
              </w:numPr>
              <w:ind w:firstLine="0"/>
              <w:jc w:val="left"/>
              <w:rPr>
                <w:rFonts w:ascii="宋体" w:hAnsi="宋体" w:cs="宋体"/>
                <w:color w:val="auto"/>
                <w:sz w:val="24"/>
                <w:szCs w:val="24"/>
              </w:rPr>
            </w:pPr>
            <w:r>
              <w:rPr>
                <w:rFonts w:ascii="宋体" w:hAnsi="宋体" w:cs="宋体"/>
                <w:color w:val="auto"/>
                <w:sz w:val="24"/>
                <w:szCs w:val="24"/>
              </w:rPr>
              <w:t>电源输出</w:t>
            </w:r>
            <w:r>
              <w:rPr>
                <w:rFonts w:hint="eastAsia" w:ascii="宋体" w:hAnsi="宋体" w:cs="宋体"/>
                <w:color w:val="auto"/>
                <w:sz w:val="24"/>
                <w:szCs w:val="24"/>
              </w:rPr>
              <w:t>：</w:t>
            </w:r>
            <w:r>
              <w:rPr>
                <w:rFonts w:ascii="宋体" w:hAnsi="宋体" w:cs="宋体"/>
                <w:color w:val="auto"/>
                <w:sz w:val="24"/>
                <w:szCs w:val="24"/>
              </w:rPr>
              <w:t>DC12V，100mA，接口类型端子座</w:t>
            </w:r>
            <w:r>
              <w:rPr>
                <w:rFonts w:hint="eastAsia" w:ascii="宋体" w:hAnsi="宋体" w:cs="宋体"/>
                <w:color w:val="auto"/>
                <w:sz w:val="24"/>
                <w:szCs w:val="24"/>
              </w:rPr>
              <w:t>；</w:t>
            </w:r>
          </w:p>
          <w:p w14:paraId="342F8F9B">
            <w:pPr>
              <w:numPr>
                <w:ilvl w:val="0"/>
                <w:numId w:val="166"/>
              </w:numPr>
              <w:ind w:firstLine="0"/>
              <w:jc w:val="left"/>
              <w:rPr>
                <w:rFonts w:ascii="宋体" w:hAnsi="宋体" w:cs="宋体"/>
                <w:color w:val="auto"/>
                <w:sz w:val="24"/>
                <w:szCs w:val="24"/>
              </w:rPr>
            </w:pPr>
            <w:r>
              <w:rPr>
                <w:rFonts w:ascii="宋体" w:hAnsi="宋体" w:cs="宋体"/>
                <w:color w:val="auto"/>
                <w:sz w:val="24"/>
                <w:szCs w:val="24"/>
              </w:rPr>
              <w:t>接口类型</w:t>
            </w:r>
            <w:r>
              <w:rPr>
                <w:rFonts w:hint="eastAsia" w:ascii="宋体" w:hAnsi="宋体" w:cs="宋体"/>
                <w:color w:val="auto"/>
                <w:sz w:val="24"/>
                <w:szCs w:val="24"/>
              </w:rPr>
              <w:t>：</w:t>
            </w:r>
            <w:r>
              <w:rPr>
                <w:rFonts w:ascii="宋体" w:hAnsi="宋体" w:cs="宋体"/>
                <w:color w:val="auto"/>
                <w:sz w:val="24"/>
                <w:szCs w:val="24"/>
              </w:rPr>
              <w:t>外甩线</w:t>
            </w:r>
            <w:r>
              <w:rPr>
                <w:rFonts w:hint="eastAsia" w:ascii="宋体" w:hAnsi="宋体" w:cs="宋体"/>
                <w:color w:val="auto"/>
                <w:sz w:val="24"/>
                <w:szCs w:val="24"/>
              </w:rPr>
              <w:t>；</w:t>
            </w:r>
          </w:p>
          <w:p w14:paraId="3D706134">
            <w:pPr>
              <w:numPr>
                <w:ilvl w:val="0"/>
                <w:numId w:val="166"/>
              </w:numPr>
              <w:ind w:firstLine="0"/>
              <w:jc w:val="left"/>
              <w:rPr>
                <w:rFonts w:ascii="宋体" w:hAnsi="宋体" w:cs="宋体"/>
                <w:color w:val="auto"/>
                <w:sz w:val="24"/>
                <w:szCs w:val="24"/>
              </w:rPr>
            </w:pPr>
            <w:r>
              <w:rPr>
                <w:rFonts w:ascii="宋体" w:hAnsi="宋体" w:cs="宋体"/>
                <w:color w:val="auto"/>
                <w:sz w:val="24"/>
                <w:szCs w:val="24"/>
              </w:rPr>
              <w:t>存储温湿度</w:t>
            </w:r>
            <w:r>
              <w:rPr>
                <w:rFonts w:ascii="宋体" w:hAnsi="宋体" w:cs="宋体"/>
                <w:color w:val="auto"/>
                <w:sz w:val="24"/>
                <w:szCs w:val="24"/>
              </w:rPr>
              <w:tab/>
            </w:r>
            <w:r>
              <w:rPr>
                <w:rFonts w:ascii="宋体" w:hAnsi="宋体" w:cs="宋体"/>
                <w:color w:val="auto"/>
                <w:sz w:val="24"/>
                <w:szCs w:val="24"/>
              </w:rPr>
              <w:t>-30℃~60℃，湿度小于95%（无凝结）</w:t>
            </w:r>
            <w:r>
              <w:rPr>
                <w:rFonts w:hint="eastAsia" w:ascii="宋体" w:hAnsi="宋体" w:cs="宋体"/>
                <w:color w:val="auto"/>
                <w:sz w:val="24"/>
                <w:szCs w:val="24"/>
              </w:rPr>
              <w:t>；</w:t>
            </w:r>
          </w:p>
          <w:p w14:paraId="7D451C9A">
            <w:pPr>
              <w:numPr>
                <w:ilvl w:val="0"/>
                <w:numId w:val="166"/>
              </w:numPr>
              <w:ind w:firstLine="0"/>
              <w:jc w:val="left"/>
              <w:rPr>
                <w:rFonts w:ascii="宋体" w:hAnsi="宋体" w:cs="宋体"/>
                <w:color w:val="auto"/>
                <w:sz w:val="24"/>
                <w:szCs w:val="24"/>
              </w:rPr>
            </w:pPr>
            <w:r>
              <w:rPr>
                <w:rFonts w:ascii="宋体" w:hAnsi="宋体" w:cs="宋体"/>
                <w:color w:val="auto"/>
                <w:sz w:val="24"/>
                <w:szCs w:val="24"/>
              </w:rPr>
              <w:t>启动和工作温湿度</w:t>
            </w:r>
            <w:r>
              <w:rPr>
                <w:rFonts w:hint="eastAsia" w:ascii="宋体" w:hAnsi="宋体" w:cs="宋体"/>
                <w:color w:val="auto"/>
                <w:sz w:val="24"/>
                <w:szCs w:val="24"/>
              </w:rPr>
              <w:t>：</w:t>
            </w:r>
            <w:r>
              <w:rPr>
                <w:rFonts w:ascii="宋体" w:hAnsi="宋体" w:cs="宋体"/>
                <w:color w:val="auto"/>
                <w:sz w:val="24"/>
                <w:szCs w:val="24"/>
              </w:rPr>
              <w:t>-30℃~60℃，湿度小于95%（无凝结）</w:t>
            </w:r>
            <w:r>
              <w:rPr>
                <w:rFonts w:hint="eastAsia" w:ascii="宋体" w:hAnsi="宋体" w:cs="宋体"/>
                <w:color w:val="auto"/>
                <w:sz w:val="24"/>
                <w:szCs w:val="24"/>
              </w:rPr>
              <w:t>；</w:t>
            </w:r>
          </w:p>
          <w:p w14:paraId="61E126F6">
            <w:pPr>
              <w:numPr>
                <w:ilvl w:val="0"/>
                <w:numId w:val="166"/>
              </w:numPr>
              <w:ind w:firstLine="0"/>
              <w:jc w:val="left"/>
              <w:rPr>
                <w:rFonts w:ascii="宋体" w:hAnsi="宋体" w:cs="宋体"/>
                <w:color w:val="auto"/>
                <w:sz w:val="24"/>
                <w:szCs w:val="24"/>
              </w:rPr>
            </w:pPr>
            <w:r>
              <w:rPr>
                <w:rFonts w:ascii="宋体" w:hAnsi="宋体" w:cs="宋体"/>
                <w:color w:val="auto"/>
                <w:sz w:val="24"/>
                <w:szCs w:val="24"/>
              </w:rPr>
              <w:t>电流及功耗</w:t>
            </w:r>
            <w:r>
              <w:rPr>
                <w:rFonts w:hint="eastAsia" w:ascii="宋体" w:hAnsi="宋体" w:cs="宋体"/>
                <w:color w:val="auto"/>
                <w:sz w:val="24"/>
                <w:szCs w:val="24"/>
              </w:rPr>
              <w:t>：</w:t>
            </w:r>
            <w:r>
              <w:rPr>
                <w:rFonts w:ascii="宋体" w:hAnsi="宋体" w:cs="宋体"/>
                <w:color w:val="auto"/>
                <w:sz w:val="24"/>
                <w:szCs w:val="24"/>
              </w:rPr>
              <w:t>DC：12V，0.9A，最大功耗：10.8W</w:t>
            </w:r>
            <w:r>
              <w:rPr>
                <w:rFonts w:hint="eastAsia" w:ascii="宋体" w:hAnsi="宋体" w:cs="宋体"/>
                <w:color w:val="auto"/>
                <w:sz w:val="24"/>
                <w:szCs w:val="24"/>
              </w:rPr>
              <w:t>；</w:t>
            </w:r>
          </w:p>
          <w:p w14:paraId="15BA99A4">
            <w:pPr>
              <w:numPr>
                <w:ilvl w:val="0"/>
                <w:numId w:val="166"/>
              </w:numPr>
              <w:ind w:firstLine="0"/>
              <w:jc w:val="left"/>
              <w:rPr>
                <w:rFonts w:ascii="宋体" w:hAnsi="宋体" w:cs="宋体"/>
                <w:color w:val="auto"/>
                <w:sz w:val="24"/>
                <w:szCs w:val="24"/>
              </w:rPr>
            </w:pPr>
            <w:r>
              <w:rPr>
                <w:rFonts w:ascii="宋体" w:hAnsi="宋体" w:cs="宋体"/>
                <w:color w:val="auto"/>
                <w:sz w:val="24"/>
                <w:szCs w:val="24"/>
              </w:rPr>
              <w:t>PoE：802.3at，42.5V</w:t>
            </w:r>
            <w:r>
              <w:rPr>
                <w:rFonts w:hint="eastAsia" w:ascii="宋体" w:hAnsi="宋体" w:cs="宋体"/>
                <w:color w:val="auto"/>
                <w:sz w:val="24"/>
                <w:szCs w:val="24"/>
              </w:rPr>
              <w:t>～</w:t>
            </w:r>
            <w:r>
              <w:rPr>
                <w:rFonts w:ascii="宋体" w:hAnsi="宋体" w:cs="宋体"/>
                <w:color w:val="auto"/>
                <w:sz w:val="24"/>
                <w:szCs w:val="24"/>
              </w:rPr>
              <w:t>57V，0.32A</w:t>
            </w:r>
            <w:r>
              <w:rPr>
                <w:rFonts w:hint="eastAsia" w:ascii="宋体" w:hAnsi="宋体" w:cs="宋体"/>
                <w:color w:val="auto"/>
                <w:sz w:val="24"/>
                <w:szCs w:val="24"/>
              </w:rPr>
              <w:t>～</w:t>
            </w:r>
            <w:r>
              <w:rPr>
                <w:rFonts w:ascii="宋体" w:hAnsi="宋体" w:cs="宋体"/>
                <w:color w:val="auto"/>
                <w:sz w:val="24"/>
                <w:szCs w:val="24"/>
              </w:rPr>
              <w:t>0.24A，最大功耗：13.5W</w:t>
            </w:r>
            <w:r>
              <w:rPr>
                <w:rFonts w:hint="eastAsia" w:ascii="宋体" w:hAnsi="宋体" w:cs="宋体"/>
                <w:color w:val="auto"/>
                <w:sz w:val="24"/>
                <w:szCs w:val="24"/>
              </w:rPr>
              <w:t>；</w:t>
            </w:r>
          </w:p>
          <w:p w14:paraId="4E57E430">
            <w:pPr>
              <w:numPr>
                <w:ilvl w:val="0"/>
                <w:numId w:val="166"/>
              </w:numPr>
              <w:ind w:firstLine="0"/>
              <w:jc w:val="left"/>
              <w:rPr>
                <w:rFonts w:ascii="宋体" w:hAnsi="宋体" w:cs="宋体"/>
                <w:color w:val="auto"/>
                <w:sz w:val="24"/>
                <w:szCs w:val="24"/>
              </w:rPr>
            </w:pPr>
            <w:r>
              <w:rPr>
                <w:rFonts w:ascii="宋体" w:hAnsi="宋体" w:cs="宋体"/>
                <w:color w:val="auto"/>
                <w:sz w:val="24"/>
                <w:szCs w:val="24"/>
              </w:rPr>
              <w:t>供电方式</w:t>
            </w:r>
            <w:r>
              <w:rPr>
                <w:rFonts w:hint="eastAsia" w:ascii="宋体" w:hAnsi="宋体" w:cs="宋体"/>
                <w:color w:val="auto"/>
                <w:sz w:val="24"/>
                <w:szCs w:val="24"/>
              </w:rPr>
              <w:t>：</w:t>
            </w:r>
            <w:r>
              <w:rPr>
                <w:rFonts w:ascii="宋体" w:hAnsi="宋体" w:cs="宋体"/>
                <w:color w:val="auto"/>
                <w:sz w:val="24"/>
                <w:szCs w:val="24"/>
              </w:rPr>
              <w:t>DC：12V±20%，支持防反接保护</w:t>
            </w:r>
            <w:r>
              <w:rPr>
                <w:rFonts w:hint="eastAsia" w:ascii="宋体" w:hAnsi="宋体" w:cs="宋体"/>
                <w:color w:val="auto"/>
                <w:sz w:val="24"/>
                <w:szCs w:val="24"/>
              </w:rPr>
              <w:t>；</w:t>
            </w:r>
          </w:p>
          <w:p w14:paraId="55C0CDBF">
            <w:pPr>
              <w:numPr>
                <w:ilvl w:val="0"/>
                <w:numId w:val="166"/>
              </w:numPr>
              <w:ind w:firstLine="0"/>
              <w:jc w:val="left"/>
              <w:rPr>
                <w:rFonts w:ascii="宋体" w:hAnsi="宋体" w:cs="宋体"/>
                <w:color w:val="auto"/>
                <w:sz w:val="24"/>
                <w:szCs w:val="24"/>
              </w:rPr>
            </w:pPr>
            <w:r>
              <w:rPr>
                <w:rFonts w:ascii="宋体" w:hAnsi="宋体" w:cs="宋体"/>
                <w:color w:val="auto"/>
                <w:sz w:val="24"/>
                <w:szCs w:val="24"/>
              </w:rPr>
              <w:t>PoE:802.3at，Type2，Class4</w:t>
            </w:r>
            <w:r>
              <w:rPr>
                <w:rFonts w:hint="eastAsia" w:ascii="宋体" w:hAnsi="宋体" w:cs="宋体"/>
                <w:color w:val="auto"/>
                <w:sz w:val="24"/>
                <w:szCs w:val="24"/>
              </w:rPr>
              <w:t>；</w:t>
            </w:r>
          </w:p>
          <w:p w14:paraId="384AB752">
            <w:pPr>
              <w:numPr>
                <w:ilvl w:val="0"/>
                <w:numId w:val="166"/>
              </w:numPr>
              <w:ind w:firstLine="0"/>
              <w:jc w:val="left"/>
              <w:rPr>
                <w:rFonts w:ascii="宋体" w:hAnsi="宋体" w:cs="宋体"/>
                <w:color w:val="auto"/>
                <w:sz w:val="24"/>
                <w:szCs w:val="24"/>
              </w:rPr>
            </w:pPr>
            <w:r>
              <w:rPr>
                <w:rFonts w:ascii="宋体" w:hAnsi="宋体" w:cs="宋体"/>
                <w:color w:val="auto"/>
                <w:sz w:val="24"/>
                <w:szCs w:val="24"/>
              </w:rPr>
              <w:t>电源接口类型</w:t>
            </w:r>
            <w:r>
              <w:rPr>
                <w:rFonts w:hint="eastAsia" w:ascii="宋体" w:hAnsi="宋体" w:cs="宋体"/>
                <w:color w:val="auto"/>
                <w:sz w:val="24"/>
                <w:szCs w:val="24"/>
              </w:rPr>
              <w:t>：</w:t>
            </w:r>
            <w:r>
              <w:rPr>
                <w:rFonts w:ascii="宋体" w:hAnsi="宋体" w:cs="宋体"/>
                <w:color w:val="auto"/>
                <w:sz w:val="24"/>
                <w:szCs w:val="24"/>
              </w:rPr>
              <w:t>3芯接口</w:t>
            </w:r>
            <w:r>
              <w:rPr>
                <w:rFonts w:hint="eastAsia" w:ascii="宋体" w:hAnsi="宋体" w:cs="宋体"/>
                <w:color w:val="auto"/>
                <w:sz w:val="24"/>
                <w:szCs w:val="24"/>
              </w:rPr>
              <w:t>；</w:t>
            </w:r>
          </w:p>
          <w:p w14:paraId="18C6C092">
            <w:pPr>
              <w:numPr>
                <w:ilvl w:val="0"/>
                <w:numId w:val="166"/>
              </w:numPr>
              <w:ind w:firstLine="0"/>
              <w:jc w:val="left"/>
              <w:rPr>
                <w:rFonts w:ascii="宋体" w:hAnsi="宋体" w:cs="宋体"/>
                <w:color w:val="auto"/>
                <w:sz w:val="24"/>
                <w:szCs w:val="24"/>
              </w:rPr>
            </w:pPr>
            <w:r>
              <w:rPr>
                <w:rFonts w:ascii="宋体" w:hAnsi="宋体" w:cs="宋体"/>
                <w:color w:val="auto"/>
                <w:sz w:val="24"/>
                <w:szCs w:val="24"/>
              </w:rPr>
              <w:t>线缆长度</w:t>
            </w:r>
            <w:r>
              <w:rPr>
                <w:rFonts w:hint="eastAsia" w:ascii="宋体" w:hAnsi="宋体" w:cs="宋体"/>
                <w:color w:val="auto"/>
                <w:sz w:val="24"/>
                <w:szCs w:val="24"/>
              </w:rPr>
              <w:t>：</w:t>
            </w:r>
            <w:r>
              <w:rPr>
                <w:rFonts w:ascii="宋体" w:hAnsi="宋体" w:cs="宋体"/>
                <w:color w:val="auto"/>
                <w:sz w:val="24"/>
                <w:szCs w:val="24"/>
              </w:rPr>
              <w:t>35cm</w:t>
            </w:r>
            <w:r>
              <w:rPr>
                <w:rFonts w:hint="eastAsia" w:ascii="宋体" w:hAnsi="宋体" w:cs="宋体"/>
                <w:color w:val="auto"/>
                <w:sz w:val="24"/>
                <w:szCs w:val="24"/>
              </w:rPr>
              <w:t>；</w:t>
            </w:r>
          </w:p>
          <w:p w14:paraId="7F43CC90">
            <w:pPr>
              <w:numPr>
                <w:ilvl w:val="0"/>
                <w:numId w:val="166"/>
              </w:numPr>
              <w:ind w:firstLine="0"/>
              <w:jc w:val="left"/>
              <w:rPr>
                <w:rFonts w:ascii="宋体" w:hAnsi="宋体" w:cs="宋体"/>
                <w:color w:val="auto"/>
                <w:sz w:val="24"/>
                <w:szCs w:val="24"/>
              </w:rPr>
            </w:pPr>
            <w:r>
              <w:rPr>
                <w:rFonts w:ascii="宋体" w:hAnsi="宋体" w:cs="宋体"/>
                <w:color w:val="auto"/>
                <w:sz w:val="24"/>
                <w:szCs w:val="24"/>
              </w:rPr>
              <w:t>通用功能</w:t>
            </w:r>
            <w:r>
              <w:rPr>
                <w:rFonts w:hint="eastAsia" w:ascii="宋体" w:hAnsi="宋体" w:cs="宋体"/>
                <w:color w:val="auto"/>
                <w:sz w:val="24"/>
                <w:szCs w:val="24"/>
              </w:rPr>
              <w:t>：</w:t>
            </w:r>
            <w:r>
              <w:rPr>
                <w:rFonts w:ascii="宋体" w:hAnsi="宋体" w:cs="宋体"/>
                <w:color w:val="auto"/>
                <w:sz w:val="24"/>
                <w:szCs w:val="24"/>
              </w:rPr>
              <w:t>一键恢复，心跳，镜像，密码保护，视频遮盖，水印技术，IP地址过滤</w:t>
            </w:r>
            <w:r>
              <w:rPr>
                <w:rFonts w:hint="eastAsia" w:ascii="宋体" w:hAnsi="宋体" w:cs="宋体"/>
                <w:color w:val="auto"/>
                <w:sz w:val="24"/>
                <w:szCs w:val="24"/>
              </w:rPr>
              <w:t>；</w:t>
            </w:r>
          </w:p>
          <w:p w14:paraId="6B25EB88">
            <w:pPr>
              <w:numPr>
                <w:ilvl w:val="0"/>
                <w:numId w:val="166"/>
              </w:numPr>
              <w:ind w:firstLine="0"/>
              <w:jc w:val="left"/>
              <w:rPr>
                <w:rFonts w:ascii="宋体" w:hAnsi="宋体" w:cs="宋体"/>
                <w:color w:val="auto"/>
                <w:sz w:val="24"/>
                <w:szCs w:val="24"/>
              </w:rPr>
            </w:pPr>
            <w:r>
              <w:rPr>
                <w:rFonts w:ascii="宋体" w:hAnsi="宋体" w:cs="宋体"/>
                <w:color w:val="auto"/>
                <w:sz w:val="24"/>
                <w:szCs w:val="24"/>
              </w:rPr>
              <w:t>恢复出厂设置</w:t>
            </w:r>
            <w:r>
              <w:rPr>
                <w:rFonts w:hint="eastAsia" w:ascii="宋体" w:hAnsi="宋体" w:cs="宋体"/>
                <w:color w:val="auto"/>
                <w:sz w:val="24"/>
                <w:szCs w:val="24"/>
              </w:rPr>
              <w:t>：</w:t>
            </w:r>
            <w:r>
              <w:rPr>
                <w:rFonts w:ascii="宋体" w:hAnsi="宋体" w:cs="宋体"/>
                <w:color w:val="auto"/>
                <w:sz w:val="24"/>
                <w:szCs w:val="24"/>
              </w:rPr>
              <w:t>支持RESET按键，客户端或浏览器恢复</w:t>
            </w:r>
            <w:r>
              <w:rPr>
                <w:rFonts w:hint="eastAsia" w:ascii="宋体" w:hAnsi="宋体" w:cs="宋体"/>
                <w:color w:val="auto"/>
                <w:sz w:val="24"/>
                <w:szCs w:val="24"/>
              </w:rPr>
              <w:t>；</w:t>
            </w:r>
          </w:p>
          <w:p w14:paraId="3640D05A">
            <w:pPr>
              <w:numPr>
                <w:ilvl w:val="0"/>
                <w:numId w:val="166"/>
              </w:numPr>
              <w:ind w:firstLine="0"/>
              <w:jc w:val="left"/>
              <w:rPr>
                <w:rFonts w:ascii="宋体" w:hAnsi="宋体" w:cs="宋体"/>
                <w:color w:val="auto"/>
                <w:sz w:val="24"/>
                <w:szCs w:val="24"/>
              </w:rPr>
            </w:pPr>
            <w:r>
              <w:rPr>
                <w:rFonts w:ascii="宋体" w:hAnsi="宋体" w:cs="宋体"/>
                <w:color w:val="auto"/>
                <w:sz w:val="24"/>
                <w:szCs w:val="24"/>
              </w:rPr>
              <w:t>在线升级</w:t>
            </w:r>
            <w:r>
              <w:rPr>
                <w:rFonts w:hint="eastAsia" w:ascii="宋体" w:hAnsi="宋体" w:cs="宋体"/>
                <w:color w:val="auto"/>
                <w:sz w:val="24"/>
                <w:szCs w:val="24"/>
              </w:rPr>
              <w:t>：</w:t>
            </w:r>
            <w:r>
              <w:rPr>
                <w:rFonts w:ascii="宋体" w:hAnsi="宋体" w:cs="宋体"/>
                <w:color w:val="auto"/>
                <w:sz w:val="24"/>
                <w:szCs w:val="24"/>
              </w:rPr>
              <w:t>支持</w:t>
            </w:r>
            <w:r>
              <w:rPr>
                <w:rFonts w:hint="eastAsia" w:ascii="宋体" w:hAnsi="宋体" w:cs="宋体"/>
                <w:color w:val="auto"/>
                <w:sz w:val="24"/>
                <w:szCs w:val="24"/>
              </w:rPr>
              <w:t>；</w:t>
            </w:r>
          </w:p>
        </w:tc>
        <w:tc>
          <w:tcPr>
            <w:tcW w:w="810" w:type="dxa"/>
            <w:tcBorders>
              <w:top w:val="single" w:color="auto" w:sz="4" w:space="0"/>
              <w:left w:val="single" w:color="auto" w:sz="4" w:space="0"/>
              <w:bottom w:val="single" w:color="auto" w:sz="4" w:space="0"/>
              <w:right w:val="single" w:color="auto" w:sz="4" w:space="0"/>
            </w:tcBorders>
            <w:shd w:val="clear" w:color="auto" w:fill="FFFFFF"/>
            <w:vAlign w:val="center"/>
          </w:tcPr>
          <w:p w14:paraId="2A17B7BE">
            <w:pPr>
              <w:jc w:val="center"/>
              <w:rPr>
                <w:rFonts w:ascii="宋体" w:hAnsi="宋体" w:cs="宋体"/>
                <w:color w:val="auto"/>
                <w:sz w:val="24"/>
                <w:szCs w:val="24"/>
              </w:rPr>
            </w:pPr>
            <w:r>
              <w:rPr>
                <w:rFonts w:hint="eastAsia" w:ascii="宋体" w:hAnsi="宋体" w:cs="宋体"/>
                <w:color w:val="auto"/>
                <w:sz w:val="24"/>
                <w:szCs w:val="24"/>
              </w:rPr>
              <w:t>台</w:t>
            </w:r>
          </w:p>
        </w:tc>
        <w:tc>
          <w:tcPr>
            <w:tcW w:w="795" w:type="dxa"/>
            <w:tcBorders>
              <w:top w:val="single" w:color="auto" w:sz="4" w:space="0"/>
              <w:left w:val="single" w:color="auto" w:sz="4" w:space="0"/>
              <w:bottom w:val="single" w:color="auto" w:sz="4" w:space="0"/>
              <w:right w:val="single" w:color="auto" w:sz="4" w:space="0"/>
            </w:tcBorders>
            <w:shd w:val="clear" w:color="auto" w:fill="FFFFFF"/>
            <w:vAlign w:val="center"/>
          </w:tcPr>
          <w:p w14:paraId="4C5FF47F">
            <w:pPr>
              <w:jc w:val="center"/>
              <w:rPr>
                <w:rFonts w:ascii="宋体" w:hAnsi="宋体" w:cs="宋体"/>
                <w:color w:val="auto"/>
                <w:sz w:val="24"/>
                <w:szCs w:val="24"/>
              </w:rPr>
            </w:pPr>
            <w:r>
              <w:rPr>
                <w:rFonts w:hint="eastAsia" w:ascii="宋体" w:hAnsi="宋体" w:cs="宋体"/>
                <w:color w:val="auto"/>
                <w:sz w:val="24"/>
                <w:szCs w:val="24"/>
              </w:rPr>
              <w:t>按需配置并征得采购人书面同意</w:t>
            </w:r>
          </w:p>
        </w:tc>
      </w:tr>
      <w:tr w14:paraId="57410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47" w:type="dxa"/>
            <w:tcBorders>
              <w:top w:val="single" w:color="auto" w:sz="4" w:space="0"/>
              <w:left w:val="single" w:color="auto" w:sz="4" w:space="0"/>
              <w:bottom w:val="single" w:color="auto" w:sz="4" w:space="0"/>
              <w:right w:val="single" w:color="auto" w:sz="4" w:space="0"/>
            </w:tcBorders>
            <w:shd w:val="clear" w:color="auto" w:fill="FFFFFF"/>
            <w:vAlign w:val="center"/>
          </w:tcPr>
          <w:p w14:paraId="2AD80228">
            <w:pPr>
              <w:widowControl/>
              <w:jc w:val="center"/>
              <w:textAlignment w:val="center"/>
              <w:rPr>
                <w:rFonts w:ascii="宋体" w:hAnsi="宋体" w:cs="宋体"/>
                <w:color w:val="auto"/>
                <w:kern w:val="0"/>
                <w:sz w:val="24"/>
                <w:szCs w:val="24"/>
                <w:lang w:bidi="ar"/>
              </w:rPr>
            </w:pPr>
            <w:r>
              <w:rPr>
                <w:rFonts w:ascii="宋体" w:hAnsi="宋体" w:cs="宋体"/>
                <w:color w:val="auto"/>
                <w:kern w:val="0"/>
                <w:sz w:val="24"/>
                <w:szCs w:val="24"/>
                <w:lang w:bidi="ar"/>
              </w:rPr>
              <w:t>15</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14:paraId="0D3A973D">
            <w:pPr>
              <w:jc w:val="center"/>
              <w:rPr>
                <w:rFonts w:ascii="宋体" w:hAnsi="宋体" w:cs="宋体"/>
                <w:color w:val="auto"/>
                <w:sz w:val="24"/>
                <w:szCs w:val="24"/>
              </w:rPr>
            </w:pPr>
            <w:r>
              <w:rPr>
                <w:rFonts w:hint="eastAsia" w:ascii="宋体" w:hAnsi="宋体" w:cs="宋体"/>
                <w:color w:val="auto"/>
                <w:sz w:val="24"/>
                <w:szCs w:val="24"/>
              </w:rPr>
              <w:t>陌生人识别摄像机</w:t>
            </w:r>
          </w:p>
        </w:tc>
        <w:tc>
          <w:tcPr>
            <w:tcW w:w="6114" w:type="dxa"/>
            <w:tcBorders>
              <w:top w:val="single" w:color="auto" w:sz="4" w:space="0"/>
              <w:left w:val="single" w:color="auto" w:sz="4" w:space="0"/>
              <w:bottom w:val="single" w:color="auto" w:sz="4" w:space="0"/>
              <w:right w:val="single" w:color="auto" w:sz="4" w:space="0"/>
            </w:tcBorders>
            <w:shd w:val="clear" w:color="auto" w:fill="FFFFFF"/>
            <w:vAlign w:val="center"/>
          </w:tcPr>
          <w:p w14:paraId="5EB8D680">
            <w:pPr>
              <w:numPr>
                <w:ilvl w:val="0"/>
                <w:numId w:val="167"/>
              </w:numPr>
              <w:wordWrap w:val="0"/>
              <w:ind w:left="0" w:firstLine="0"/>
              <w:jc w:val="left"/>
              <w:rPr>
                <w:rFonts w:ascii="宋体" w:hAnsi="宋体" w:cs="宋体"/>
                <w:color w:val="auto"/>
                <w:sz w:val="24"/>
                <w:szCs w:val="24"/>
              </w:rPr>
            </w:pPr>
            <w:r>
              <w:rPr>
                <w:rFonts w:hint="eastAsia" w:ascii="宋体" w:hAnsi="宋体" w:cs="宋体"/>
                <w:color w:val="auto"/>
                <w:sz w:val="24"/>
                <w:szCs w:val="24"/>
              </w:rPr>
              <w:t>功能</w:t>
            </w:r>
            <w:r>
              <w:rPr>
                <w:rFonts w:hint="eastAsia" w:ascii="宋体" w:hAnsi="宋体" w:cs="宋体"/>
                <w:color w:val="auto"/>
                <w:kern w:val="0"/>
                <w:sz w:val="24"/>
                <w:szCs w:val="24"/>
                <w:lang w:bidi="ar"/>
              </w:rPr>
              <w:t>描述：</w:t>
            </w:r>
          </w:p>
          <w:p w14:paraId="2213CDB6">
            <w:pPr>
              <w:numPr>
                <w:ilvl w:val="0"/>
                <w:numId w:val="168"/>
              </w:numPr>
              <w:wordWrap w:val="0"/>
              <w:ind w:left="0" w:firstLine="0"/>
              <w:jc w:val="left"/>
              <w:rPr>
                <w:rFonts w:ascii="宋体" w:hAnsi="宋体" w:cs="宋体"/>
                <w:color w:val="auto"/>
                <w:sz w:val="24"/>
                <w:szCs w:val="24"/>
              </w:rPr>
            </w:pPr>
            <w:r>
              <w:rPr>
                <w:rFonts w:hint="eastAsia" w:ascii="宋体" w:hAnsi="宋体" w:cs="宋体"/>
                <w:color w:val="auto"/>
                <w:sz w:val="24"/>
                <w:szCs w:val="24"/>
              </w:rPr>
              <w:t>支持识别非食堂人员，进行风险上报，本地提醒；</w:t>
            </w:r>
          </w:p>
          <w:p w14:paraId="79B8248A">
            <w:pPr>
              <w:numPr>
                <w:ilvl w:val="0"/>
                <w:numId w:val="167"/>
              </w:numPr>
              <w:wordWrap w:val="0"/>
              <w:ind w:left="0" w:firstLine="0"/>
              <w:jc w:val="left"/>
              <w:rPr>
                <w:rFonts w:ascii="宋体" w:hAnsi="宋体" w:cs="宋体"/>
                <w:color w:val="auto"/>
                <w:sz w:val="24"/>
                <w:szCs w:val="24"/>
              </w:rPr>
            </w:pPr>
            <w:r>
              <w:rPr>
                <w:rFonts w:hint="eastAsia" w:ascii="宋体" w:hAnsi="宋体" w:cs="宋体"/>
                <w:color w:val="auto"/>
                <w:sz w:val="24"/>
                <w:szCs w:val="24"/>
              </w:rPr>
              <w:t>陌生人识别摄像机设备参数</w:t>
            </w:r>
            <w:r>
              <w:rPr>
                <w:rFonts w:ascii="宋体" w:hAnsi="宋体" w:cs="宋体"/>
                <w:color w:val="auto"/>
                <w:sz w:val="24"/>
                <w:szCs w:val="24"/>
              </w:rPr>
              <w:t>:</w:t>
            </w:r>
          </w:p>
          <w:p w14:paraId="466818F8">
            <w:pPr>
              <w:pStyle w:val="22"/>
              <w:numPr>
                <w:ilvl w:val="0"/>
                <w:numId w:val="169"/>
              </w:numPr>
              <w:wordWrap w:val="0"/>
              <w:ind w:left="0" w:firstLine="0"/>
              <w:rPr>
                <w:rFonts w:ascii="宋体" w:hAnsi="宋体" w:eastAsia="宋体" w:cs="宋体"/>
                <w:color w:val="auto"/>
                <w:sz w:val="24"/>
                <w:szCs w:val="24"/>
              </w:rPr>
            </w:pPr>
            <w:r>
              <w:rPr>
                <w:rFonts w:hint="eastAsia" w:ascii="宋体" w:hAnsi="宋体" w:eastAsia="宋体" w:cs="宋体"/>
                <w:color w:val="auto"/>
                <w:sz w:val="24"/>
                <w:szCs w:val="24"/>
              </w:rPr>
              <w:t>主要参数：</w:t>
            </w:r>
          </w:p>
          <w:p w14:paraId="3525F875">
            <w:pPr>
              <w:numPr>
                <w:ilvl w:val="0"/>
                <w:numId w:val="170"/>
              </w:numPr>
              <w:wordWrap w:val="0"/>
              <w:ind w:firstLine="0"/>
              <w:jc w:val="left"/>
              <w:rPr>
                <w:rFonts w:ascii="宋体" w:hAnsi="宋体" w:cs="宋体"/>
                <w:color w:val="auto"/>
                <w:sz w:val="24"/>
                <w:szCs w:val="24"/>
              </w:rPr>
            </w:pPr>
            <w:r>
              <w:rPr>
                <w:rFonts w:hint="eastAsia" w:ascii="宋体" w:hAnsi="宋体" w:cs="宋体"/>
                <w:color w:val="auto"/>
                <w:sz w:val="24"/>
                <w:szCs w:val="24"/>
              </w:rPr>
              <w:t>主板性能：不低于算力</w:t>
            </w:r>
            <w:r>
              <w:rPr>
                <w:rFonts w:ascii="宋体" w:hAnsi="宋体" w:cs="宋体"/>
                <w:color w:val="auto"/>
                <w:sz w:val="24"/>
                <w:szCs w:val="24"/>
              </w:rPr>
              <w:t xml:space="preserve"> 1.0Tops、内存:8Gbit、闪存8GBEMMC的性能；</w:t>
            </w:r>
          </w:p>
          <w:p w14:paraId="1CCD77D6">
            <w:pPr>
              <w:numPr>
                <w:ilvl w:val="0"/>
                <w:numId w:val="170"/>
              </w:numPr>
              <w:wordWrap w:val="0"/>
              <w:ind w:firstLine="0"/>
              <w:jc w:val="left"/>
              <w:rPr>
                <w:rFonts w:ascii="宋体" w:hAnsi="宋体" w:cs="宋体"/>
                <w:color w:val="auto"/>
                <w:sz w:val="24"/>
                <w:szCs w:val="24"/>
              </w:rPr>
            </w:pPr>
            <w:r>
              <w:rPr>
                <w:rFonts w:hint="eastAsia" w:ascii="宋体" w:hAnsi="宋体" w:cs="宋体"/>
                <w:color w:val="auto"/>
                <w:sz w:val="24"/>
                <w:szCs w:val="24"/>
              </w:rPr>
              <w:t>传感器类型：</w:t>
            </w:r>
            <w:r>
              <w:rPr>
                <w:rFonts w:ascii="宋体" w:hAnsi="宋体" w:cs="宋体"/>
                <w:color w:val="auto"/>
                <w:sz w:val="24"/>
                <w:szCs w:val="24"/>
              </w:rPr>
              <w:t>1/3"CMOS；</w:t>
            </w:r>
          </w:p>
          <w:p w14:paraId="1FF31947">
            <w:pPr>
              <w:numPr>
                <w:ilvl w:val="0"/>
                <w:numId w:val="170"/>
              </w:numPr>
              <w:wordWrap w:val="0"/>
              <w:ind w:firstLine="0"/>
              <w:jc w:val="left"/>
              <w:rPr>
                <w:rFonts w:ascii="宋体" w:hAnsi="宋体" w:cs="宋体"/>
                <w:color w:val="auto"/>
                <w:sz w:val="24"/>
                <w:szCs w:val="24"/>
              </w:rPr>
            </w:pPr>
            <w:r>
              <w:rPr>
                <w:rFonts w:hint="eastAsia" w:ascii="宋体" w:hAnsi="宋体" w:cs="宋体"/>
                <w:color w:val="auto"/>
                <w:sz w:val="24"/>
                <w:szCs w:val="24"/>
              </w:rPr>
              <w:t>镜头类型：电动变焦；</w:t>
            </w:r>
          </w:p>
          <w:p w14:paraId="336D3B3E">
            <w:pPr>
              <w:numPr>
                <w:ilvl w:val="0"/>
                <w:numId w:val="170"/>
              </w:numPr>
              <w:wordWrap w:val="0"/>
              <w:ind w:firstLine="0"/>
              <w:jc w:val="left"/>
              <w:rPr>
                <w:rFonts w:ascii="宋体" w:hAnsi="宋体" w:cs="宋体"/>
                <w:color w:val="auto"/>
                <w:sz w:val="24"/>
                <w:szCs w:val="24"/>
              </w:rPr>
            </w:pPr>
            <w:r>
              <w:rPr>
                <w:rFonts w:hint="eastAsia" w:ascii="宋体" w:hAnsi="宋体" w:cs="宋体"/>
                <w:color w:val="auto"/>
                <w:sz w:val="24"/>
                <w:szCs w:val="24"/>
              </w:rPr>
              <w:t>视场角：</w:t>
            </w:r>
            <w:r>
              <w:rPr>
                <w:rFonts w:ascii="宋体" w:hAnsi="宋体" w:cs="宋体"/>
                <w:color w:val="auto"/>
                <w:sz w:val="24"/>
                <w:szCs w:val="24"/>
              </w:rPr>
              <w:t>(H)103.4°- 29.3°；(V)54.3°- 16.5°；(D)124.2°- 33.6°；</w:t>
            </w:r>
          </w:p>
          <w:p w14:paraId="514465A2">
            <w:pPr>
              <w:numPr>
                <w:ilvl w:val="0"/>
                <w:numId w:val="170"/>
              </w:numPr>
              <w:wordWrap w:val="0"/>
              <w:ind w:firstLine="0"/>
              <w:jc w:val="left"/>
              <w:rPr>
                <w:rFonts w:ascii="宋体" w:hAnsi="宋体" w:cs="宋体"/>
                <w:color w:val="auto"/>
                <w:sz w:val="24"/>
                <w:szCs w:val="24"/>
              </w:rPr>
            </w:pPr>
            <w:r>
              <w:rPr>
                <w:rFonts w:hint="eastAsia" w:ascii="宋体" w:hAnsi="宋体" w:cs="宋体"/>
                <w:color w:val="auto"/>
                <w:sz w:val="24"/>
                <w:szCs w:val="24"/>
              </w:rPr>
              <w:t>光圈：</w:t>
            </w:r>
            <w:r>
              <w:rPr>
                <w:rFonts w:ascii="宋体" w:hAnsi="宋体" w:cs="宋体"/>
                <w:color w:val="auto"/>
                <w:sz w:val="24"/>
                <w:szCs w:val="24"/>
              </w:rPr>
              <w:t>1.6-3.3士10%；</w:t>
            </w:r>
          </w:p>
          <w:p w14:paraId="7F237558">
            <w:pPr>
              <w:numPr>
                <w:ilvl w:val="0"/>
                <w:numId w:val="170"/>
              </w:numPr>
              <w:wordWrap w:val="0"/>
              <w:ind w:firstLine="0"/>
              <w:jc w:val="left"/>
              <w:rPr>
                <w:rFonts w:ascii="宋体" w:hAnsi="宋体" w:cs="宋体"/>
                <w:color w:val="auto"/>
                <w:sz w:val="24"/>
                <w:szCs w:val="24"/>
              </w:rPr>
            </w:pPr>
            <w:r>
              <w:rPr>
                <w:rFonts w:hint="eastAsia" w:ascii="宋体" w:hAnsi="宋体" w:cs="宋体"/>
                <w:color w:val="auto"/>
                <w:sz w:val="24"/>
                <w:szCs w:val="24"/>
              </w:rPr>
              <w:t>焦距：</w:t>
            </w:r>
            <w:r>
              <w:rPr>
                <w:rFonts w:ascii="宋体" w:hAnsi="宋体" w:cs="宋体"/>
                <w:color w:val="auto"/>
                <w:sz w:val="24"/>
                <w:szCs w:val="24"/>
              </w:rPr>
              <w:t>2.8-12mm；</w:t>
            </w:r>
          </w:p>
          <w:p w14:paraId="368320D7">
            <w:pPr>
              <w:numPr>
                <w:ilvl w:val="0"/>
                <w:numId w:val="170"/>
              </w:numPr>
              <w:wordWrap w:val="0"/>
              <w:ind w:firstLine="0"/>
              <w:jc w:val="left"/>
              <w:rPr>
                <w:rFonts w:ascii="宋体" w:hAnsi="宋体" w:cs="宋体"/>
                <w:color w:val="auto"/>
                <w:sz w:val="24"/>
                <w:szCs w:val="24"/>
              </w:rPr>
            </w:pPr>
            <w:r>
              <w:rPr>
                <w:rFonts w:hint="eastAsia" w:ascii="宋体" w:hAnsi="宋体" w:cs="宋体"/>
                <w:color w:val="auto"/>
                <w:sz w:val="24"/>
                <w:szCs w:val="24"/>
              </w:rPr>
              <w:t>自动聚焦：支持；</w:t>
            </w:r>
          </w:p>
          <w:p w14:paraId="24E59CB7">
            <w:pPr>
              <w:pStyle w:val="22"/>
              <w:numPr>
                <w:ilvl w:val="0"/>
                <w:numId w:val="169"/>
              </w:numPr>
              <w:wordWrap w:val="0"/>
              <w:ind w:left="0" w:firstLine="0"/>
              <w:rPr>
                <w:rFonts w:ascii="宋体" w:hAnsi="宋体" w:eastAsia="宋体" w:cs="宋体"/>
                <w:color w:val="auto"/>
                <w:sz w:val="24"/>
                <w:szCs w:val="24"/>
              </w:rPr>
            </w:pPr>
            <w:r>
              <w:rPr>
                <w:rFonts w:hint="eastAsia" w:ascii="宋体" w:hAnsi="宋体" w:eastAsia="宋体" w:cs="宋体"/>
                <w:color w:val="auto"/>
                <w:sz w:val="24"/>
                <w:szCs w:val="24"/>
              </w:rPr>
              <w:t>网络特性：</w:t>
            </w:r>
          </w:p>
          <w:p w14:paraId="37F872EE">
            <w:pPr>
              <w:numPr>
                <w:ilvl w:val="0"/>
                <w:numId w:val="171"/>
              </w:numPr>
              <w:wordWrap w:val="0"/>
              <w:ind w:firstLine="0"/>
              <w:jc w:val="left"/>
              <w:rPr>
                <w:rFonts w:ascii="宋体" w:hAnsi="宋体" w:cs="宋体"/>
                <w:color w:val="auto"/>
                <w:sz w:val="24"/>
                <w:szCs w:val="24"/>
              </w:rPr>
            </w:pPr>
            <w:r>
              <w:rPr>
                <w:rFonts w:hint="eastAsia" w:ascii="宋体" w:hAnsi="宋体" w:cs="宋体"/>
                <w:color w:val="auto"/>
                <w:sz w:val="24"/>
                <w:szCs w:val="24"/>
              </w:rPr>
              <w:t>网络协议：</w:t>
            </w:r>
            <w:r>
              <w:rPr>
                <w:rFonts w:ascii="宋体" w:hAnsi="宋体" w:cs="宋体"/>
                <w:color w:val="auto"/>
                <w:sz w:val="24"/>
                <w:szCs w:val="24"/>
              </w:rPr>
              <w:t>HTTP, TCP, RTSP, RTP, UDP, RTCP, SMTP, FTP, DHCP, DNS, DDNSPPPoE, IPv4/v6, UPnP, NTP；</w:t>
            </w:r>
          </w:p>
          <w:p w14:paraId="303D1A5B">
            <w:pPr>
              <w:numPr>
                <w:ilvl w:val="0"/>
                <w:numId w:val="171"/>
              </w:numPr>
              <w:wordWrap w:val="0"/>
              <w:ind w:firstLine="0"/>
              <w:jc w:val="left"/>
              <w:rPr>
                <w:rFonts w:ascii="宋体" w:hAnsi="宋体" w:cs="宋体"/>
                <w:color w:val="auto"/>
                <w:sz w:val="24"/>
                <w:szCs w:val="24"/>
              </w:rPr>
            </w:pPr>
            <w:r>
              <w:rPr>
                <w:rFonts w:hint="eastAsia" w:ascii="宋体" w:hAnsi="宋体" w:cs="宋体"/>
                <w:color w:val="auto"/>
                <w:sz w:val="24"/>
                <w:szCs w:val="24"/>
              </w:rPr>
              <w:t>协议：</w:t>
            </w:r>
            <w:r>
              <w:rPr>
                <w:rFonts w:ascii="宋体" w:hAnsi="宋体" w:cs="宋体"/>
                <w:color w:val="auto"/>
                <w:sz w:val="24"/>
                <w:szCs w:val="24"/>
              </w:rPr>
              <w:t>Onvif,GB28181,GA/T1400,MQTT, HTTP；</w:t>
            </w:r>
          </w:p>
          <w:p w14:paraId="319637C8">
            <w:pPr>
              <w:pStyle w:val="22"/>
              <w:numPr>
                <w:ilvl w:val="0"/>
                <w:numId w:val="169"/>
              </w:numPr>
              <w:wordWrap w:val="0"/>
              <w:ind w:left="0" w:firstLine="0"/>
              <w:rPr>
                <w:rFonts w:ascii="宋体" w:hAnsi="宋体" w:eastAsia="宋体" w:cs="宋体"/>
                <w:color w:val="auto"/>
                <w:sz w:val="24"/>
                <w:szCs w:val="24"/>
              </w:rPr>
            </w:pPr>
            <w:r>
              <w:rPr>
                <w:rFonts w:hint="eastAsia" w:ascii="宋体" w:hAnsi="宋体" w:eastAsia="宋体" w:cs="宋体"/>
                <w:color w:val="auto"/>
                <w:sz w:val="24"/>
                <w:szCs w:val="24"/>
              </w:rPr>
              <w:t>功能参数：</w:t>
            </w:r>
          </w:p>
          <w:p w14:paraId="712F9DD0">
            <w:pPr>
              <w:numPr>
                <w:ilvl w:val="0"/>
                <w:numId w:val="172"/>
              </w:numPr>
              <w:wordWrap w:val="0"/>
              <w:ind w:firstLine="0"/>
              <w:jc w:val="left"/>
              <w:rPr>
                <w:rFonts w:ascii="宋体" w:hAnsi="宋体" w:cs="宋体"/>
                <w:color w:val="auto"/>
                <w:sz w:val="24"/>
                <w:szCs w:val="24"/>
              </w:rPr>
            </w:pPr>
            <w:r>
              <w:rPr>
                <w:rFonts w:hint="eastAsia" w:ascii="宋体" w:hAnsi="宋体" w:cs="宋体"/>
                <w:color w:val="auto"/>
                <w:sz w:val="24"/>
                <w:szCs w:val="24"/>
              </w:rPr>
              <w:t>通用行为分析：区域入侵</w:t>
            </w:r>
            <w:r>
              <w:rPr>
                <w:rFonts w:ascii="宋体" w:hAnsi="宋体" w:cs="宋体"/>
                <w:color w:val="auto"/>
                <w:sz w:val="24"/>
                <w:szCs w:val="24"/>
              </w:rPr>
              <w:t>,绊线入侵，人数统计；</w:t>
            </w:r>
          </w:p>
          <w:p w14:paraId="1043B547">
            <w:pPr>
              <w:numPr>
                <w:ilvl w:val="0"/>
                <w:numId w:val="172"/>
              </w:numPr>
              <w:wordWrap w:val="0"/>
              <w:ind w:firstLine="0"/>
              <w:jc w:val="left"/>
              <w:rPr>
                <w:rFonts w:ascii="宋体" w:hAnsi="宋体" w:cs="宋体"/>
                <w:color w:val="auto"/>
                <w:sz w:val="24"/>
                <w:szCs w:val="24"/>
              </w:rPr>
            </w:pPr>
            <w:r>
              <w:rPr>
                <w:rFonts w:hint="eastAsia" w:ascii="宋体" w:hAnsi="宋体" w:cs="宋体"/>
                <w:color w:val="auto"/>
                <w:sz w:val="24"/>
                <w:szCs w:val="24"/>
              </w:rPr>
              <w:t>报警功能：声光报警</w:t>
            </w:r>
            <w:r>
              <w:rPr>
                <w:rFonts w:ascii="宋体" w:hAnsi="宋体" w:cs="宋体"/>
                <w:color w:val="auto"/>
                <w:sz w:val="24"/>
                <w:szCs w:val="24"/>
              </w:rPr>
              <w:t>,隐私遮挡报警,移动侦测报警,网络故障报警,语音播报；</w:t>
            </w:r>
          </w:p>
          <w:p w14:paraId="7C9BB8CD">
            <w:pPr>
              <w:numPr>
                <w:ilvl w:val="0"/>
                <w:numId w:val="172"/>
              </w:numPr>
              <w:wordWrap w:val="0"/>
              <w:ind w:firstLine="0"/>
              <w:jc w:val="left"/>
              <w:rPr>
                <w:rFonts w:ascii="宋体" w:hAnsi="宋体" w:cs="宋体"/>
                <w:color w:val="auto"/>
                <w:sz w:val="24"/>
                <w:szCs w:val="24"/>
              </w:rPr>
            </w:pPr>
            <w:r>
              <w:rPr>
                <w:rFonts w:hint="eastAsia" w:ascii="宋体" w:hAnsi="宋体" w:cs="宋体"/>
                <w:color w:val="auto"/>
                <w:sz w:val="24"/>
                <w:szCs w:val="24"/>
              </w:rPr>
              <w:t>录像模式：手动录像</w:t>
            </w:r>
            <w:r>
              <w:rPr>
                <w:rFonts w:ascii="宋体" w:hAnsi="宋体" w:cs="宋体"/>
                <w:color w:val="auto"/>
                <w:sz w:val="24"/>
                <w:szCs w:val="24"/>
              </w:rPr>
              <w:t>,视频事件检测录像，定时录像,报警录像；</w:t>
            </w:r>
          </w:p>
          <w:p w14:paraId="73F6FD82">
            <w:pPr>
              <w:numPr>
                <w:ilvl w:val="0"/>
                <w:numId w:val="172"/>
              </w:numPr>
              <w:wordWrap w:val="0"/>
              <w:ind w:firstLine="0"/>
              <w:jc w:val="left"/>
              <w:rPr>
                <w:rFonts w:ascii="宋体" w:hAnsi="宋体" w:cs="宋体"/>
                <w:color w:val="auto"/>
                <w:sz w:val="24"/>
                <w:szCs w:val="24"/>
              </w:rPr>
            </w:pPr>
            <w:r>
              <w:rPr>
                <w:rFonts w:ascii="宋体" w:hAnsi="宋体" w:cs="宋体"/>
                <w:color w:val="auto"/>
                <w:sz w:val="24"/>
                <w:szCs w:val="24"/>
              </w:rPr>
              <w:t>OSD信息叠加：时间,通道标题，设备名称，支持自定义；</w:t>
            </w:r>
          </w:p>
          <w:p w14:paraId="0BA6C57C">
            <w:pPr>
              <w:numPr>
                <w:ilvl w:val="0"/>
                <w:numId w:val="172"/>
              </w:numPr>
              <w:wordWrap w:val="0"/>
              <w:ind w:firstLine="0"/>
              <w:jc w:val="left"/>
              <w:rPr>
                <w:rFonts w:ascii="宋体" w:hAnsi="宋体" w:cs="宋体"/>
                <w:color w:val="auto"/>
                <w:sz w:val="24"/>
                <w:szCs w:val="24"/>
              </w:rPr>
            </w:pPr>
            <w:r>
              <w:rPr>
                <w:rFonts w:hint="eastAsia" w:ascii="宋体" w:hAnsi="宋体" w:cs="宋体"/>
                <w:color w:val="auto"/>
                <w:sz w:val="24"/>
                <w:szCs w:val="24"/>
              </w:rPr>
              <w:t>日夜模式：白天、夜晚</w:t>
            </w:r>
            <w:r>
              <w:rPr>
                <w:rFonts w:ascii="宋体" w:hAnsi="宋体" w:cs="宋体"/>
                <w:color w:val="auto"/>
                <w:sz w:val="24"/>
                <w:szCs w:val="24"/>
              </w:rPr>
              <w:t>,支持定时转换,手动转换，自动转换；</w:t>
            </w:r>
          </w:p>
          <w:p w14:paraId="1078FDD6">
            <w:pPr>
              <w:numPr>
                <w:ilvl w:val="0"/>
                <w:numId w:val="172"/>
              </w:numPr>
              <w:wordWrap w:val="0"/>
              <w:ind w:firstLine="0"/>
              <w:jc w:val="left"/>
              <w:rPr>
                <w:rFonts w:ascii="宋体" w:hAnsi="宋体" w:cs="宋体"/>
                <w:color w:val="auto"/>
                <w:sz w:val="24"/>
                <w:szCs w:val="24"/>
              </w:rPr>
            </w:pPr>
            <w:r>
              <w:rPr>
                <w:rFonts w:hint="eastAsia" w:ascii="宋体" w:hAnsi="宋体" w:cs="宋体"/>
                <w:color w:val="auto"/>
                <w:sz w:val="24"/>
                <w:szCs w:val="24"/>
              </w:rPr>
              <w:t>隐</w:t>
            </w:r>
            <w:r>
              <w:rPr>
                <w:rFonts w:ascii="宋体" w:hAnsi="宋体" w:cs="宋体"/>
                <w:color w:val="auto"/>
                <w:sz w:val="24"/>
                <w:szCs w:val="24"/>
              </w:rPr>
              <w:t xml:space="preserve"> </w:t>
            </w:r>
            <w:r>
              <w:rPr>
                <w:rFonts w:hint="eastAsia" w:ascii="宋体" w:hAnsi="宋体" w:cs="宋体"/>
                <w:color w:val="auto"/>
                <w:sz w:val="24"/>
                <w:szCs w:val="24"/>
              </w:rPr>
              <w:t>私</w:t>
            </w:r>
            <w:r>
              <w:rPr>
                <w:rFonts w:ascii="宋体" w:hAnsi="宋体" w:cs="宋体"/>
                <w:color w:val="auto"/>
                <w:sz w:val="24"/>
                <w:szCs w:val="24"/>
              </w:rPr>
              <w:t xml:space="preserve"> </w:t>
            </w:r>
            <w:r>
              <w:rPr>
                <w:rFonts w:hint="eastAsia" w:ascii="宋体" w:hAnsi="宋体" w:cs="宋体"/>
                <w:color w:val="auto"/>
                <w:sz w:val="24"/>
                <w:szCs w:val="24"/>
              </w:rPr>
              <w:t>遮</w:t>
            </w:r>
            <w:r>
              <w:rPr>
                <w:rFonts w:ascii="宋体" w:hAnsi="宋体" w:cs="宋体"/>
                <w:color w:val="auto"/>
                <w:sz w:val="24"/>
                <w:szCs w:val="24"/>
              </w:rPr>
              <w:t xml:space="preserve"> </w:t>
            </w:r>
            <w:r>
              <w:rPr>
                <w:rFonts w:hint="eastAsia" w:ascii="宋体" w:hAnsi="宋体" w:cs="宋体"/>
                <w:color w:val="auto"/>
                <w:sz w:val="24"/>
                <w:szCs w:val="24"/>
              </w:rPr>
              <w:t>蔽：支持</w:t>
            </w:r>
            <w:r>
              <w:rPr>
                <w:rFonts w:ascii="宋体" w:hAnsi="宋体" w:cs="宋体"/>
                <w:color w:val="auto"/>
                <w:sz w:val="24"/>
                <w:szCs w:val="24"/>
              </w:rPr>
              <w:t>4个区域设置；</w:t>
            </w:r>
          </w:p>
          <w:p w14:paraId="2A2E22E2">
            <w:pPr>
              <w:numPr>
                <w:ilvl w:val="0"/>
                <w:numId w:val="172"/>
              </w:numPr>
              <w:wordWrap w:val="0"/>
              <w:ind w:firstLine="0"/>
              <w:jc w:val="left"/>
              <w:rPr>
                <w:rFonts w:ascii="宋体" w:hAnsi="宋体" w:cs="宋体"/>
                <w:color w:val="auto"/>
                <w:sz w:val="24"/>
                <w:szCs w:val="24"/>
              </w:rPr>
            </w:pPr>
            <w:r>
              <w:rPr>
                <w:rFonts w:hint="eastAsia" w:ascii="宋体" w:hAnsi="宋体" w:cs="宋体"/>
                <w:color w:val="auto"/>
                <w:sz w:val="24"/>
                <w:szCs w:val="24"/>
              </w:rPr>
              <w:t>镜像：支持</w:t>
            </w:r>
            <w:r>
              <w:rPr>
                <w:rFonts w:ascii="宋体" w:hAnsi="宋体" w:cs="宋体"/>
                <w:color w:val="auto"/>
                <w:sz w:val="24"/>
                <w:szCs w:val="24"/>
              </w:rPr>
              <w:t xml:space="preserve"> 90°/180°图像翻转；</w:t>
            </w:r>
          </w:p>
          <w:p w14:paraId="57F4C542">
            <w:pPr>
              <w:numPr>
                <w:ilvl w:val="0"/>
                <w:numId w:val="172"/>
              </w:numPr>
              <w:wordWrap w:val="0"/>
              <w:ind w:firstLine="0"/>
              <w:jc w:val="left"/>
              <w:rPr>
                <w:rFonts w:ascii="宋体" w:hAnsi="宋体" w:cs="宋体"/>
                <w:color w:val="auto"/>
                <w:sz w:val="24"/>
                <w:szCs w:val="24"/>
              </w:rPr>
            </w:pPr>
            <w:r>
              <w:rPr>
                <w:rFonts w:ascii="宋体" w:hAnsi="宋体" w:cs="宋体"/>
                <w:color w:val="auto"/>
                <w:sz w:val="24"/>
                <w:szCs w:val="24"/>
              </w:rPr>
              <w:t>ROI：支持；</w:t>
            </w:r>
          </w:p>
          <w:p w14:paraId="39070CED">
            <w:pPr>
              <w:pStyle w:val="22"/>
              <w:numPr>
                <w:ilvl w:val="0"/>
                <w:numId w:val="169"/>
              </w:numPr>
              <w:wordWrap w:val="0"/>
              <w:ind w:left="0" w:firstLine="0"/>
              <w:rPr>
                <w:rFonts w:ascii="宋体" w:hAnsi="宋体" w:eastAsia="宋体" w:cs="宋体"/>
                <w:color w:val="auto"/>
                <w:sz w:val="24"/>
                <w:szCs w:val="24"/>
              </w:rPr>
            </w:pPr>
            <w:r>
              <w:rPr>
                <w:rFonts w:hint="eastAsia" w:ascii="宋体" w:hAnsi="宋体" w:eastAsia="宋体" w:cs="宋体"/>
                <w:color w:val="auto"/>
                <w:sz w:val="24"/>
                <w:szCs w:val="24"/>
              </w:rPr>
              <w:t>接口参数：</w:t>
            </w:r>
          </w:p>
          <w:p w14:paraId="14335D62">
            <w:pPr>
              <w:numPr>
                <w:ilvl w:val="0"/>
                <w:numId w:val="173"/>
              </w:numPr>
              <w:wordWrap w:val="0"/>
              <w:ind w:firstLine="0"/>
              <w:jc w:val="left"/>
              <w:rPr>
                <w:rFonts w:ascii="宋体" w:hAnsi="宋体" w:cs="宋体"/>
                <w:color w:val="auto"/>
                <w:sz w:val="24"/>
                <w:szCs w:val="24"/>
              </w:rPr>
            </w:pPr>
            <w:r>
              <w:rPr>
                <w:rFonts w:hint="eastAsia" w:ascii="宋体" w:hAnsi="宋体" w:cs="宋体"/>
                <w:color w:val="auto"/>
                <w:sz w:val="24"/>
                <w:szCs w:val="24"/>
              </w:rPr>
              <w:t>网络接口：</w:t>
            </w:r>
            <w:r>
              <w:rPr>
                <w:rFonts w:ascii="宋体" w:hAnsi="宋体" w:cs="宋体"/>
                <w:color w:val="auto"/>
                <w:sz w:val="24"/>
                <w:szCs w:val="24"/>
              </w:rPr>
              <w:t xml:space="preserve">1个RJ45，10/100M </w:t>
            </w:r>
            <w:r>
              <w:rPr>
                <w:rFonts w:hint="eastAsia" w:ascii="宋体" w:hAnsi="宋体" w:cs="宋体"/>
                <w:color w:val="auto"/>
                <w:sz w:val="24"/>
                <w:szCs w:val="24"/>
              </w:rPr>
              <w:t>自适应以太网口；</w:t>
            </w:r>
          </w:p>
          <w:p w14:paraId="3C2A266B">
            <w:pPr>
              <w:numPr>
                <w:ilvl w:val="0"/>
                <w:numId w:val="173"/>
              </w:numPr>
              <w:wordWrap w:val="0"/>
              <w:ind w:firstLine="0"/>
              <w:jc w:val="left"/>
              <w:rPr>
                <w:rFonts w:ascii="宋体" w:hAnsi="宋体" w:cs="宋体"/>
                <w:color w:val="auto"/>
                <w:sz w:val="24"/>
                <w:szCs w:val="24"/>
              </w:rPr>
            </w:pPr>
            <w:r>
              <w:rPr>
                <w:rFonts w:hint="eastAsia" w:ascii="宋体" w:hAnsi="宋体" w:cs="宋体"/>
                <w:color w:val="auto"/>
                <w:sz w:val="24"/>
                <w:szCs w:val="24"/>
              </w:rPr>
              <w:t>电源接口：</w:t>
            </w:r>
            <w:r>
              <w:rPr>
                <w:rFonts w:ascii="宋体" w:hAnsi="宋体" w:cs="宋体"/>
                <w:color w:val="auto"/>
                <w:sz w:val="24"/>
                <w:szCs w:val="24"/>
              </w:rPr>
              <w:t>DC12V /2A(-15%~+10%)；</w:t>
            </w:r>
          </w:p>
          <w:p w14:paraId="2388CBDB">
            <w:pPr>
              <w:numPr>
                <w:ilvl w:val="0"/>
                <w:numId w:val="173"/>
              </w:numPr>
              <w:wordWrap w:val="0"/>
              <w:ind w:firstLine="0"/>
              <w:jc w:val="left"/>
              <w:rPr>
                <w:rFonts w:ascii="宋体" w:hAnsi="宋体" w:cs="宋体"/>
                <w:color w:val="auto"/>
                <w:sz w:val="24"/>
                <w:szCs w:val="24"/>
              </w:rPr>
            </w:pPr>
            <w:r>
              <w:rPr>
                <w:rFonts w:hint="eastAsia" w:ascii="宋体" w:hAnsi="宋体" w:cs="宋体"/>
                <w:color w:val="auto"/>
                <w:sz w:val="24"/>
                <w:szCs w:val="24"/>
              </w:rPr>
              <w:t>报警接口：</w:t>
            </w:r>
            <w:r>
              <w:rPr>
                <w:rFonts w:ascii="宋体" w:hAnsi="宋体" w:cs="宋体"/>
                <w:color w:val="auto"/>
                <w:sz w:val="24"/>
                <w:szCs w:val="24"/>
              </w:rPr>
              <w:t>1进1出；</w:t>
            </w:r>
          </w:p>
          <w:p w14:paraId="25E03F9E">
            <w:pPr>
              <w:numPr>
                <w:ilvl w:val="0"/>
                <w:numId w:val="173"/>
              </w:numPr>
              <w:wordWrap w:val="0"/>
              <w:ind w:firstLine="0"/>
              <w:jc w:val="left"/>
              <w:rPr>
                <w:rFonts w:ascii="宋体" w:hAnsi="宋体" w:cs="宋体"/>
                <w:color w:val="auto"/>
                <w:sz w:val="24"/>
                <w:szCs w:val="24"/>
              </w:rPr>
            </w:pPr>
            <w:r>
              <w:rPr>
                <w:rFonts w:hint="eastAsia" w:ascii="宋体" w:hAnsi="宋体" w:cs="宋体"/>
                <w:color w:val="auto"/>
                <w:sz w:val="24"/>
                <w:szCs w:val="24"/>
              </w:rPr>
              <w:t>音频接口：路音频输入</w:t>
            </w:r>
            <w:r>
              <w:rPr>
                <w:rFonts w:ascii="宋体" w:hAnsi="宋体" w:cs="宋体"/>
                <w:color w:val="auto"/>
                <w:sz w:val="24"/>
                <w:szCs w:val="24"/>
              </w:rPr>
              <w:t xml:space="preserve">/1路音频输出(RCA </w:t>
            </w:r>
            <w:r>
              <w:rPr>
                <w:rFonts w:hint="eastAsia" w:ascii="宋体" w:hAnsi="宋体" w:cs="宋体"/>
                <w:color w:val="auto"/>
                <w:sz w:val="24"/>
                <w:szCs w:val="24"/>
              </w:rPr>
              <w:t>头</w:t>
            </w:r>
            <w:r>
              <w:rPr>
                <w:rFonts w:ascii="宋体" w:hAnsi="宋体" w:cs="宋体"/>
                <w:color w:val="auto"/>
                <w:sz w:val="24"/>
                <w:szCs w:val="24"/>
              </w:rPr>
              <w:t>)，内置 MIC/扬声器；</w:t>
            </w:r>
          </w:p>
          <w:p w14:paraId="124A4373">
            <w:pPr>
              <w:numPr>
                <w:ilvl w:val="0"/>
                <w:numId w:val="173"/>
              </w:numPr>
              <w:wordWrap w:val="0"/>
              <w:ind w:firstLine="0"/>
              <w:jc w:val="left"/>
              <w:rPr>
                <w:rFonts w:ascii="宋体" w:hAnsi="宋体" w:cs="宋体"/>
                <w:color w:val="auto"/>
                <w:sz w:val="24"/>
                <w:szCs w:val="24"/>
              </w:rPr>
            </w:pPr>
            <w:r>
              <w:rPr>
                <w:rFonts w:ascii="宋体" w:hAnsi="宋体" w:cs="宋体"/>
                <w:color w:val="auto"/>
                <w:sz w:val="24"/>
                <w:szCs w:val="24"/>
              </w:rPr>
              <w:t xml:space="preserve">SD </w:t>
            </w:r>
            <w:r>
              <w:rPr>
                <w:rFonts w:hint="eastAsia" w:ascii="宋体" w:hAnsi="宋体" w:cs="宋体"/>
                <w:color w:val="auto"/>
                <w:sz w:val="24"/>
                <w:szCs w:val="24"/>
              </w:rPr>
              <w:t>卡接口：最大容量</w:t>
            </w:r>
            <w:r>
              <w:rPr>
                <w:rFonts w:ascii="宋体" w:hAnsi="宋体" w:cs="宋体"/>
                <w:color w:val="auto"/>
                <w:sz w:val="24"/>
                <w:szCs w:val="24"/>
              </w:rPr>
              <w:t xml:space="preserve"> 256GB；</w:t>
            </w:r>
          </w:p>
          <w:p w14:paraId="1EF9A91D">
            <w:pPr>
              <w:numPr>
                <w:ilvl w:val="0"/>
                <w:numId w:val="173"/>
              </w:numPr>
              <w:wordWrap w:val="0"/>
              <w:ind w:firstLine="0"/>
              <w:jc w:val="left"/>
              <w:rPr>
                <w:rFonts w:ascii="宋体" w:hAnsi="宋体" w:cs="宋体"/>
                <w:color w:val="auto"/>
                <w:sz w:val="24"/>
                <w:szCs w:val="24"/>
              </w:rPr>
            </w:pPr>
            <w:r>
              <w:rPr>
                <w:rFonts w:hint="eastAsia" w:ascii="宋体" w:hAnsi="宋体" w:cs="宋体"/>
                <w:color w:val="auto"/>
                <w:sz w:val="24"/>
                <w:szCs w:val="24"/>
              </w:rPr>
              <w:t>工作电压：</w:t>
            </w:r>
            <w:r>
              <w:rPr>
                <w:rFonts w:ascii="宋体" w:hAnsi="宋体" w:cs="宋体"/>
                <w:color w:val="auto"/>
                <w:sz w:val="24"/>
                <w:szCs w:val="24"/>
              </w:rPr>
              <w:t>DC12V /2A(-15%~+10%)；</w:t>
            </w:r>
          </w:p>
          <w:p w14:paraId="014467C2">
            <w:pPr>
              <w:numPr>
                <w:ilvl w:val="0"/>
                <w:numId w:val="173"/>
              </w:numPr>
              <w:wordWrap w:val="0"/>
              <w:ind w:firstLine="0"/>
              <w:jc w:val="left"/>
              <w:rPr>
                <w:rFonts w:ascii="宋体" w:hAnsi="宋体" w:cs="宋体"/>
                <w:color w:val="auto"/>
                <w:sz w:val="24"/>
                <w:szCs w:val="24"/>
              </w:rPr>
            </w:pPr>
            <w:r>
              <w:rPr>
                <w:rFonts w:hint="eastAsia" w:ascii="宋体" w:hAnsi="宋体" w:cs="宋体"/>
                <w:color w:val="auto"/>
                <w:sz w:val="24"/>
                <w:szCs w:val="24"/>
              </w:rPr>
              <w:t>功耗：</w:t>
            </w:r>
            <w:r>
              <w:rPr>
                <w:rFonts w:ascii="宋体" w:hAnsi="宋体" w:cs="宋体"/>
                <w:color w:val="auto"/>
                <w:sz w:val="24"/>
                <w:szCs w:val="24"/>
              </w:rPr>
              <w:t>&lt;8W；</w:t>
            </w:r>
          </w:p>
          <w:p w14:paraId="359EFAD6">
            <w:pPr>
              <w:numPr>
                <w:ilvl w:val="0"/>
                <w:numId w:val="173"/>
              </w:numPr>
              <w:wordWrap w:val="0"/>
              <w:ind w:firstLine="0"/>
              <w:jc w:val="left"/>
              <w:rPr>
                <w:rFonts w:ascii="宋体" w:hAnsi="宋体" w:cs="宋体"/>
                <w:color w:val="auto"/>
                <w:sz w:val="24"/>
                <w:szCs w:val="24"/>
              </w:rPr>
            </w:pPr>
            <w:r>
              <w:rPr>
                <w:rFonts w:hint="eastAsia" w:ascii="宋体" w:hAnsi="宋体" w:cs="宋体"/>
                <w:color w:val="auto"/>
                <w:sz w:val="24"/>
                <w:szCs w:val="24"/>
              </w:rPr>
              <w:t>工作温度：</w:t>
            </w:r>
            <w:r>
              <w:rPr>
                <w:rFonts w:ascii="宋体" w:hAnsi="宋体" w:cs="宋体"/>
                <w:color w:val="auto"/>
                <w:sz w:val="24"/>
                <w:szCs w:val="24"/>
              </w:rPr>
              <w:t>-30℃-+60℃；</w:t>
            </w:r>
          </w:p>
          <w:p w14:paraId="4149580C">
            <w:pPr>
              <w:numPr>
                <w:ilvl w:val="0"/>
                <w:numId w:val="173"/>
              </w:numPr>
              <w:wordWrap w:val="0"/>
              <w:ind w:firstLine="0"/>
              <w:jc w:val="left"/>
              <w:rPr>
                <w:rFonts w:ascii="宋体" w:hAnsi="宋体" w:cs="宋体"/>
                <w:color w:val="auto"/>
                <w:sz w:val="24"/>
                <w:szCs w:val="24"/>
              </w:rPr>
            </w:pPr>
            <w:r>
              <w:rPr>
                <w:rFonts w:hint="eastAsia" w:ascii="宋体" w:hAnsi="宋体" w:cs="宋体"/>
                <w:color w:val="auto"/>
                <w:sz w:val="24"/>
                <w:szCs w:val="24"/>
              </w:rPr>
              <w:t>工作湿度：</w:t>
            </w:r>
            <w:r>
              <w:rPr>
                <w:rFonts w:ascii="宋体" w:hAnsi="宋体" w:cs="宋体"/>
                <w:color w:val="auto"/>
                <w:sz w:val="24"/>
                <w:szCs w:val="24"/>
              </w:rPr>
              <w:t>0%~95% RH(无凝结)；</w:t>
            </w:r>
          </w:p>
          <w:p w14:paraId="79CF2E76">
            <w:pPr>
              <w:numPr>
                <w:ilvl w:val="0"/>
                <w:numId w:val="173"/>
              </w:numPr>
              <w:wordWrap w:val="0"/>
              <w:ind w:firstLine="0"/>
              <w:jc w:val="left"/>
              <w:rPr>
                <w:rFonts w:ascii="宋体" w:hAnsi="宋体" w:cs="宋体"/>
                <w:color w:val="auto"/>
                <w:sz w:val="24"/>
                <w:szCs w:val="24"/>
              </w:rPr>
            </w:pPr>
            <w:r>
              <w:rPr>
                <w:rFonts w:hint="eastAsia" w:ascii="宋体" w:hAnsi="宋体" w:cs="宋体"/>
                <w:color w:val="auto"/>
                <w:sz w:val="24"/>
                <w:szCs w:val="24"/>
              </w:rPr>
              <w:t>防护等级：</w:t>
            </w:r>
            <w:r>
              <w:rPr>
                <w:rFonts w:ascii="宋体" w:hAnsi="宋体" w:cs="宋体"/>
                <w:color w:val="auto"/>
                <w:sz w:val="24"/>
                <w:szCs w:val="24"/>
              </w:rPr>
              <w:t>IP66；</w:t>
            </w:r>
          </w:p>
        </w:tc>
        <w:tc>
          <w:tcPr>
            <w:tcW w:w="810" w:type="dxa"/>
            <w:tcBorders>
              <w:top w:val="single" w:color="auto" w:sz="4" w:space="0"/>
              <w:left w:val="single" w:color="auto" w:sz="4" w:space="0"/>
              <w:bottom w:val="single" w:color="auto" w:sz="4" w:space="0"/>
              <w:right w:val="single" w:color="auto" w:sz="4" w:space="0"/>
            </w:tcBorders>
            <w:shd w:val="clear" w:color="auto" w:fill="FFFFFF"/>
            <w:vAlign w:val="center"/>
          </w:tcPr>
          <w:p w14:paraId="74ADF9CE">
            <w:pPr>
              <w:jc w:val="center"/>
              <w:rPr>
                <w:rFonts w:ascii="宋体" w:hAnsi="宋体" w:cs="宋体"/>
                <w:color w:val="auto"/>
                <w:sz w:val="24"/>
                <w:szCs w:val="24"/>
              </w:rPr>
            </w:pPr>
            <w:r>
              <w:rPr>
                <w:rFonts w:hint="eastAsia" w:ascii="宋体" w:hAnsi="宋体" w:cs="宋体"/>
                <w:color w:val="auto"/>
                <w:sz w:val="24"/>
                <w:szCs w:val="24"/>
              </w:rPr>
              <w:t>台</w:t>
            </w:r>
          </w:p>
        </w:tc>
        <w:tc>
          <w:tcPr>
            <w:tcW w:w="795" w:type="dxa"/>
            <w:tcBorders>
              <w:top w:val="single" w:color="auto" w:sz="4" w:space="0"/>
              <w:left w:val="single" w:color="auto" w:sz="4" w:space="0"/>
              <w:bottom w:val="single" w:color="auto" w:sz="4" w:space="0"/>
              <w:right w:val="single" w:color="auto" w:sz="4" w:space="0"/>
            </w:tcBorders>
            <w:shd w:val="clear" w:color="auto" w:fill="FFFFFF"/>
            <w:vAlign w:val="center"/>
          </w:tcPr>
          <w:p w14:paraId="3A8336DF">
            <w:pPr>
              <w:jc w:val="center"/>
              <w:rPr>
                <w:rFonts w:ascii="宋体" w:hAnsi="宋体" w:cs="宋体"/>
                <w:color w:val="auto"/>
                <w:sz w:val="24"/>
                <w:szCs w:val="24"/>
              </w:rPr>
            </w:pPr>
            <w:r>
              <w:rPr>
                <w:rFonts w:hint="eastAsia" w:ascii="宋体" w:hAnsi="宋体" w:cs="宋体"/>
                <w:color w:val="auto"/>
                <w:sz w:val="24"/>
                <w:szCs w:val="24"/>
              </w:rPr>
              <w:t>按需配置并征得采购人书面同意</w:t>
            </w:r>
          </w:p>
        </w:tc>
      </w:tr>
      <w:tr w14:paraId="28C7D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47" w:type="dxa"/>
            <w:tcBorders>
              <w:top w:val="single" w:color="auto" w:sz="4" w:space="0"/>
              <w:left w:val="single" w:color="auto" w:sz="4" w:space="0"/>
              <w:bottom w:val="single" w:color="auto" w:sz="4" w:space="0"/>
              <w:right w:val="single" w:color="auto" w:sz="4" w:space="0"/>
            </w:tcBorders>
            <w:shd w:val="clear" w:color="auto" w:fill="FFFFFF"/>
            <w:vAlign w:val="center"/>
          </w:tcPr>
          <w:p w14:paraId="148FF5AD">
            <w:pPr>
              <w:widowControl/>
              <w:jc w:val="center"/>
              <w:textAlignment w:val="center"/>
              <w:rPr>
                <w:rFonts w:ascii="宋体" w:hAnsi="宋体" w:cs="宋体"/>
                <w:color w:val="auto"/>
                <w:kern w:val="0"/>
                <w:sz w:val="24"/>
                <w:szCs w:val="24"/>
                <w:lang w:bidi="ar"/>
              </w:rPr>
            </w:pPr>
            <w:r>
              <w:rPr>
                <w:rFonts w:ascii="宋体" w:hAnsi="宋体" w:cs="宋体"/>
                <w:color w:val="auto"/>
                <w:kern w:val="0"/>
                <w:sz w:val="24"/>
                <w:szCs w:val="24"/>
                <w:lang w:bidi="ar"/>
              </w:rPr>
              <w:t>16</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14:paraId="61C53D9B">
            <w:pPr>
              <w:jc w:val="center"/>
              <w:rPr>
                <w:rFonts w:ascii="宋体" w:hAnsi="宋体" w:cs="宋体"/>
                <w:color w:val="auto"/>
                <w:sz w:val="24"/>
                <w:szCs w:val="24"/>
              </w:rPr>
            </w:pPr>
            <w:r>
              <w:rPr>
                <w:rFonts w:hint="eastAsia" w:ascii="宋体" w:hAnsi="宋体" w:cs="宋体"/>
                <w:color w:val="auto"/>
                <w:sz w:val="24"/>
                <w:szCs w:val="24"/>
              </w:rPr>
              <w:t>冷库摄像头</w:t>
            </w:r>
          </w:p>
        </w:tc>
        <w:tc>
          <w:tcPr>
            <w:tcW w:w="6114" w:type="dxa"/>
            <w:tcBorders>
              <w:top w:val="single" w:color="auto" w:sz="4" w:space="0"/>
              <w:left w:val="single" w:color="auto" w:sz="4" w:space="0"/>
              <w:bottom w:val="single" w:color="auto" w:sz="4" w:space="0"/>
              <w:right w:val="single" w:color="auto" w:sz="4" w:space="0"/>
            </w:tcBorders>
            <w:shd w:val="clear" w:color="auto" w:fill="FFFFFF"/>
            <w:vAlign w:val="center"/>
          </w:tcPr>
          <w:p w14:paraId="43D2A9EA">
            <w:pPr>
              <w:numPr>
                <w:ilvl w:val="0"/>
                <w:numId w:val="174"/>
              </w:numPr>
              <w:ind w:left="0" w:firstLine="0"/>
              <w:jc w:val="left"/>
              <w:rPr>
                <w:rFonts w:ascii="宋体" w:hAnsi="宋体" w:cs="宋体"/>
                <w:color w:val="auto"/>
                <w:sz w:val="24"/>
                <w:szCs w:val="24"/>
              </w:rPr>
            </w:pPr>
            <w:r>
              <w:rPr>
                <w:rFonts w:hint="eastAsia" w:ascii="宋体" w:hAnsi="宋体" w:cs="宋体"/>
                <w:color w:val="auto"/>
                <w:sz w:val="24"/>
                <w:szCs w:val="24"/>
              </w:rPr>
              <w:t>功能</w:t>
            </w:r>
            <w:r>
              <w:rPr>
                <w:rFonts w:hint="eastAsia" w:ascii="宋体" w:hAnsi="宋体" w:cs="宋体"/>
                <w:color w:val="auto"/>
                <w:kern w:val="0"/>
                <w:sz w:val="24"/>
                <w:szCs w:val="24"/>
                <w:lang w:bidi="ar"/>
              </w:rPr>
              <w:t>描述：</w:t>
            </w:r>
          </w:p>
          <w:p w14:paraId="6C30C934">
            <w:pPr>
              <w:numPr>
                <w:ilvl w:val="0"/>
                <w:numId w:val="175"/>
              </w:numPr>
              <w:ind w:left="0" w:firstLine="0"/>
              <w:jc w:val="left"/>
              <w:rPr>
                <w:rFonts w:ascii="宋体" w:hAnsi="宋体" w:cs="宋体"/>
                <w:color w:val="auto"/>
                <w:sz w:val="24"/>
                <w:szCs w:val="24"/>
              </w:rPr>
            </w:pPr>
            <w:r>
              <w:rPr>
                <w:rFonts w:hint="eastAsia" w:ascii="宋体" w:hAnsi="宋体" w:cs="宋体"/>
                <w:color w:val="auto"/>
                <w:sz w:val="24"/>
                <w:szCs w:val="24"/>
              </w:rPr>
              <w:t>支持本地场景展示、冷库内部画面、语音预警提醒</w:t>
            </w:r>
            <w:r>
              <w:rPr>
                <w:rFonts w:ascii="宋体" w:hAnsi="宋体" w:cs="宋体"/>
                <w:color w:val="auto"/>
                <w:sz w:val="24"/>
                <w:szCs w:val="24"/>
              </w:rPr>
              <w:t>(温度状态、冷库门状态、人员选留)；</w:t>
            </w:r>
          </w:p>
          <w:p w14:paraId="21E94124">
            <w:pPr>
              <w:numPr>
                <w:ilvl w:val="0"/>
                <w:numId w:val="175"/>
              </w:numPr>
              <w:ind w:left="0" w:firstLine="0"/>
              <w:jc w:val="left"/>
              <w:rPr>
                <w:rFonts w:ascii="宋体" w:hAnsi="宋体" w:cs="宋体"/>
                <w:color w:val="auto"/>
                <w:sz w:val="24"/>
                <w:szCs w:val="24"/>
              </w:rPr>
            </w:pPr>
            <w:r>
              <w:rPr>
                <w:rFonts w:hint="eastAsia" w:ascii="宋体" w:hAnsi="宋体" w:cs="宋体"/>
                <w:color w:val="auto"/>
                <w:sz w:val="24"/>
                <w:szCs w:val="24"/>
              </w:rPr>
              <w:t>支持设置预警提醒时间</w:t>
            </w:r>
            <w:r>
              <w:rPr>
                <w:rFonts w:ascii="宋体" w:hAnsi="宋体" w:cs="宋体"/>
                <w:color w:val="auto"/>
                <w:sz w:val="24"/>
                <w:szCs w:val="24"/>
              </w:rPr>
              <w:t>(例:冷库</w:t>
            </w:r>
            <w:r>
              <w:rPr>
                <w:rFonts w:hint="eastAsia" w:ascii="宋体" w:hAnsi="宋体" w:cs="宋体"/>
                <w:color w:val="auto"/>
                <w:sz w:val="24"/>
                <w:szCs w:val="24"/>
              </w:rPr>
              <w:t>门持续未关预警事件</w:t>
            </w:r>
            <w:r>
              <w:rPr>
                <w:rFonts w:ascii="宋体" w:hAnsi="宋体" w:cs="宋体"/>
                <w:color w:val="auto"/>
                <w:sz w:val="24"/>
                <w:szCs w:val="24"/>
              </w:rPr>
              <w:t>)；</w:t>
            </w:r>
          </w:p>
          <w:p w14:paraId="19D24BCD">
            <w:pPr>
              <w:numPr>
                <w:ilvl w:val="0"/>
                <w:numId w:val="175"/>
              </w:numPr>
              <w:ind w:left="0" w:firstLine="0"/>
              <w:jc w:val="left"/>
              <w:rPr>
                <w:rFonts w:ascii="宋体" w:hAnsi="宋体" w:cs="宋体"/>
                <w:color w:val="auto"/>
                <w:sz w:val="24"/>
                <w:szCs w:val="24"/>
              </w:rPr>
            </w:pPr>
            <w:r>
              <w:rPr>
                <w:rFonts w:hint="eastAsia" w:ascii="宋体" w:hAnsi="宋体" w:cs="宋体"/>
                <w:color w:val="auto"/>
                <w:sz w:val="24"/>
                <w:szCs w:val="24"/>
              </w:rPr>
              <w:t>支持后台查看冷库状态数据、物联预警事件数据；</w:t>
            </w:r>
          </w:p>
          <w:p w14:paraId="11707E51">
            <w:pPr>
              <w:numPr>
                <w:ilvl w:val="0"/>
                <w:numId w:val="174"/>
              </w:numPr>
              <w:ind w:left="0" w:firstLine="0"/>
              <w:jc w:val="left"/>
              <w:rPr>
                <w:rFonts w:ascii="宋体" w:hAnsi="宋体" w:cs="宋体"/>
                <w:color w:val="auto"/>
                <w:sz w:val="24"/>
                <w:szCs w:val="24"/>
              </w:rPr>
            </w:pPr>
            <w:r>
              <w:rPr>
                <w:rFonts w:hint="eastAsia" w:ascii="宋体" w:hAnsi="宋体" w:cs="宋体"/>
                <w:color w:val="auto"/>
                <w:sz w:val="24"/>
                <w:szCs w:val="24"/>
              </w:rPr>
              <w:t>物联中控屏设备参数：</w:t>
            </w:r>
          </w:p>
          <w:p w14:paraId="0E79327E">
            <w:pPr>
              <w:pStyle w:val="22"/>
              <w:numPr>
                <w:ilvl w:val="0"/>
                <w:numId w:val="176"/>
              </w:numPr>
              <w:wordWrap w:val="0"/>
              <w:ind w:left="0" w:firstLine="0"/>
              <w:rPr>
                <w:color w:val="auto"/>
              </w:rPr>
            </w:pPr>
            <w:r>
              <w:rPr>
                <w:rFonts w:hint="eastAsia" w:ascii="宋体" w:hAnsi="宋体" w:eastAsia="宋体" w:cs="宋体"/>
                <w:color w:val="auto"/>
                <w:sz w:val="24"/>
                <w:szCs w:val="24"/>
              </w:rPr>
              <w:t>主要参数：</w:t>
            </w:r>
          </w:p>
          <w:p w14:paraId="64F514BD">
            <w:pPr>
              <w:widowControl/>
              <w:numPr>
                <w:ilvl w:val="0"/>
                <w:numId w:val="177"/>
              </w:numPr>
              <w:ind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外壳：前置钢化玻璃</w:t>
            </w:r>
            <w:r>
              <w:rPr>
                <w:rFonts w:ascii="宋体" w:hAnsi="宋体" w:cs="宋体"/>
                <w:color w:val="auto"/>
                <w:kern w:val="0"/>
                <w:sz w:val="24"/>
                <w:szCs w:val="24"/>
                <w:lang w:bidi="ar"/>
              </w:rPr>
              <w:t>+塑胶外壳；</w:t>
            </w:r>
          </w:p>
          <w:p w14:paraId="76A68633">
            <w:pPr>
              <w:widowControl/>
              <w:numPr>
                <w:ilvl w:val="0"/>
                <w:numId w:val="177"/>
              </w:numPr>
              <w:ind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保护面板：钢化玻璃；</w:t>
            </w:r>
          </w:p>
          <w:p w14:paraId="4F3FBA07">
            <w:pPr>
              <w:widowControl/>
              <w:numPr>
                <w:ilvl w:val="0"/>
                <w:numId w:val="177"/>
              </w:numPr>
              <w:ind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尺寸：不低于</w:t>
            </w:r>
            <w:r>
              <w:rPr>
                <w:rFonts w:ascii="宋体" w:hAnsi="宋体" w:cs="宋体"/>
                <w:color w:val="auto"/>
                <w:kern w:val="0"/>
                <w:sz w:val="24"/>
                <w:szCs w:val="24"/>
                <w:lang w:bidi="ar"/>
              </w:rPr>
              <w:t>10.1寸；</w:t>
            </w:r>
          </w:p>
          <w:p w14:paraId="37A88B10">
            <w:pPr>
              <w:widowControl/>
              <w:numPr>
                <w:ilvl w:val="0"/>
                <w:numId w:val="177"/>
              </w:numPr>
              <w:ind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屏幕比例：</w:t>
            </w:r>
            <w:r>
              <w:rPr>
                <w:rFonts w:ascii="宋体" w:hAnsi="宋体" w:cs="宋体"/>
                <w:color w:val="auto"/>
                <w:kern w:val="0"/>
                <w:sz w:val="24"/>
                <w:szCs w:val="24"/>
                <w:lang w:bidi="ar"/>
              </w:rPr>
              <w:t>16:9；</w:t>
            </w:r>
          </w:p>
          <w:p w14:paraId="2220DDF9">
            <w:pPr>
              <w:widowControl/>
              <w:numPr>
                <w:ilvl w:val="0"/>
                <w:numId w:val="177"/>
              </w:numPr>
              <w:ind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摄像头像素：</w:t>
            </w:r>
            <w:r>
              <w:rPr>
                <w:rFonts w:ascii="宋体" w:hAnsi="宋体" w:cs="宋体"/>
                <w:color w:val="auto"/>
                <w:kern w:val="0"/>
                <w:sz w:val="24"/>
                <w:szCs w:val="24"/>
                <w:lang w:bidi="ar"/>
              </w:rPr>
              <w:t>100W；</w:t>
            </w:r>
          </w:p>
          <w:p w14:paraId="77FACDD2">
            <w:pPr>
              <w:widowControl/>
              <w:numPr>
                <w:ilvl w:val="0"/>
                <w:numId w:val="177"/>
              </w:numPr>
              <w:ind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像素间距：</w:t>
            </w:r>
            <w:r>
              <w:rPr>
                <w:rFonts w:ascii="宋体" w:hAnsi="宋体" w:cs="宋体"/>
                <w:color w:val="auto"/>
                <w:kern w:val="0"/>
                <w:sz w:val="24"/>
                <w:szCs w:val="24"/>
                <w:lang w:bidi="ar"/>
              </w:rPr>
              <w:t>0.17925×0.17925mm；</w:t>
            </w:r>
          </w:p>
          <w:p w14:paraId="7EC2FDA1">
            <w:pPr>
              <w:widowControl/>
              <w:numPr>
                <w:ilvl w:val="0"/>
                <w:numId w:val="177"/>
              </w:numPr>
              <w:ind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亮度：</w:t>
            </w:r>
            <w:r>
              <w:rPr>
                <w:rFonts w:ascii="宋体" w:hAnsi="宋体" w:cs="宋体"/>
                <w:color w:val="auto"/>
                <w:kern w:val="0"/>
                <w:sz w:val="24"/>
                <w:szCs w:val="24"/>
                <w:lang w:bidi="ar"/>
              </w:rPr>
              <w:t>350cd/m²可视角度85/85/85/85（左/右/上/下）；</w:t>
            </w:r>
          </w:p>
          <w:p w14:paraId="17C1D776">
            <w:pPr>
              <w:widowControl/>
              <w:numPr>
                <w:ilvl w:val="0"/>
                <w:numId w:val="177"/>
              </w:numPr>
              <w:ind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对比度：</w:t>
            </w:r>
            <w:r>
              <w:rPr>
                <w:rFonts w:ascii="宋体" w:hAnsi="宋体" w:cs="宋体"/>
                <w:color w:val="auto"/>
                <w:kern w:val="0"/>
                <w:sz w:val="24"/>
                <w:szCs w:val="24"/>
                <w:lang w:bidi="ar"/>
              </w:rPr>
              <w:t>1000:1；</w:t>
            </w:r>
          </w:p>
          <w:p w14:paraId="2FDD2130">
            <w:pPr>
              <w:widowControl/>
              <w:numPr>
                <w:ilvl w:val="0"/>
                <w:numId w:val="177"/>
              </w:numPr>
              <w:ind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颜色数：</w:t>
            </w:r>
            <w:r>
              <w:rPr>
                <w:rFonts w:ascii="宋体" w:hAnsi="宋体" w:cs="宋体"/>
                <w:color w:val="auto"/>
                <w:kern w:val="0"/>
                <w:sz w:val="24"/>
                <w:szCs w:val="24"/>
                <w:lang w:bidi="ar"/>
              </w:rPr>
              <w:t>16.7M；</w:t>
            </w:r>
          </w:p>
          <w:p w14:paraId="55061A42">
            <w:pPr>
              <w:widowControl/>
              <w:numPr>
                <w:ilvl w:val="0"/>
                <w:numId w:val="177"/>
              </w:numPr>
              <w:ind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灯管寿命：超过</w:t>
            </w:r>
            <w:r>
              <w:rPr>
                <w:rFonts w:ascii="宋体" w:hAnsi="宋体" w:cs="宋体"/>
                <w:color w:val="auto"/>
                <w:kern w:val="0"/>
                <w:sz w:val="24"/>
                <w:szCs w:val="24"/>
                <w:lang w:bidi="ar"/>
              </w:rPr>
              <w:t>50000小时；</w:t>
            </w:r>
          </w:p>
          <w:p w14:paraId="19C4CD31">
            <w:pPr>
              <w:widowControl/>
              <w:numPr>
                <w:ilvl w:val="0"/>
                <w:numId w:val="177"/>
              </w:numPr>
              <w:ind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操作系统：</w:t>
            </w:r>
            <w:r>
              <w:rPr>
                <w:rFonts w:ascii="宋体" w:hAnsi="宋体" w:cs="宋体"/>
                <w:color w:val="auto"/>
                <w:kern w:val="0"/>
                <w:sz w:val="24"/>
                <w:szCs w:val="24"/>
                <w:lang w:bidi="ar"/>
              </w:rPr>
              <w:t>Android7.1.2；</w:t>
            </w:r>
          </w:p>
          <w:p w14:paraId="7EC2228D">
            <w:pPr>
              <w:widowControl/>
              <w:numPr>
                <w:ilvl w:val="0"/>
                <w:numId w:val="177"/>
              </w:numPr>
              <w:ind w:firstLine="0"/>
              <w:jc w:val="left"/>
              <w:rPr>
                <w:rFonts w:ascii="宋体" w:hAnsi="宋体" w:cs="宋体"/>
                <w:color w:val="auto"/>
                <w:kern w:val="0"/>
                <w:sz w:val="24"/>
                <w:szCs w:val="24"/>
                <w:lang w:bidi="ar"/>
              </w:rPr>
            </w:pPr>
            <w:r>
              <w:rPr>
                <w:rFonts w:ascii="宋体" w:hAnsi="宋体" w:cs="宋体"/>
                <w:color w:val="auto"/>
                <w:kern w:val="0"/>
                <w:sz w:val="24"/>
                <w:szCs w:val="24"/>
                <w:lang w:bidi="ar"/>
              </w:rPr>
              <w:t>CPU：四核；</w:t>
            </w:r>
          </w:p>
          <w:p w14:paraId="28D05219">
            <w:pPr>
              <w:widowControl/>
              <w:numPr>
                <w:ilvl w:val="0"/>
                <w:numId w:val="177"/>
              </w:numPr>
              <w:ind w:firstLine="0"/>
              <w:jc w:val="left"/>
              <w:rPr>
                <w:rFonts w:ascii="宋体" w:hAnsi="宋体" w:cs="宋体"/>
                <w:color w:val="auto"/>
                <w:kern w:val="0"/>
                <w:sz w:val="24"/>
                <w:szCs w:val="24"/>
                <w:lang w:bidi="ar"/>
              </w:rPr>
            </w:pPr>
            <w:r>
              <w:rPr>
                <w:rFonts w:ascii="宋体" w:hAnsi="宋体" w:cs="宋体"/>
                <w:color w:val="auto"/>
                <w:kern w:val="0"/>
                <w:sz w:val="24"/>
                <w:szCs w:val="24"/>
                <w:lang w:bidi="ar"/>
              </w:rPr>
              <w:t>CPU主频：1.8GHz；</w:t>
            </w:r>
          </w:p>
          <w:p w14:paraId="5FE410FB">
            <w:pPr>
              <w:widowControl/>
              <w:numPr>
                <w:ilvl w:val="0"/>
                <w:numId w:val="177"/>
              </w:numPr>
              <w:ind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内存：</w:t>
            </w:r>
            <w:r>
              <w:rPr>
                <w:rFonts w:ascii="宋体" w:hAnsi="宋体" w:cs="宋体"/>
                <w:color w:val="auto"/>
                <w:kern w:val="0"/>
                <w:sz w:val="24"/>
                <w:szCs w:val="24"/>
                <w:lang w:bidi="ar"/>
              </w:rPr>
              <w:t>DDR32G；</w:t>
            </w:r>
          </w:p>
          <w:p w14:paraId="2BEC49E6">
            <w:pPr>
              <w:widowControl/>
              <w:numPr>
                <w:ilvl w:val="0"/>
                <w:numId w:val="177"/>
              </w:numPr>
              <w:ind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内置存储容量：</w:t>
            </w:r>
            <w:r>
              <w:rPr>
                <w:rFonts w:ascii="宋体" w:hAnsi="宋体" w:cs="宋体"/>
                <w:color w:val="auto"/>
                <w:kern w:val="0"/>
                <w:sz w:val="24"/>
                <w:szCs w:val="24"/>
                <w:lang w:bidi="ar"/>
              </w:rPr>
              <w:t>EMMC8G；</w:t>
            </w:r>
          </w:p>
          <w:p w14:paraId="4C6461C0">
            <w:pPr>
              <w:widowControl/>
              <w:numPr>
                <w:ilvl w:val="0"/>
                <w:numId w:val="177"/>
              </w:numPr>
              <w:ind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喇叭：</w:t>
            </w:r>
            <w:r>
              <w:rPr>
                <w:rFonts w:ascii="宋体" w:hAnsi="宋体" w:cs="宋体"/>
                <w:color w:val="auto"/>
                <w:kern w:val="0"/>
                <w:sz w:val="24"/>
                <w:szCs w:val="24"/>
                <w:lang w:bidi="ar"/>
              </w:rPr>
              <w:t>8Ω2W；</w:t>
            </w:r>
          </w:p>
          <w:p w14:paraId="25F0BF60">
            <w:pPr>
              <w:widowControl/>
              <w:numPr>
                <w:ilvl w:val="0"/>
                <w:numId w:val="177"/>
              </w:numPr>
              <w:ind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网络：支持</w:t>
            </w:r>
            <w:r>
              <w:rPr>
                <w:rFonts w:ascii="宋体" w:hAnsi="宋体" w:cs="宋体"/>
                <w:color w:val="auto"/>
                <w:kern w:val="0"/>
                <w:sz w:val="24"/>
                <w:szCs w:val="24"/>
                <w:lang w:bidi="ar"/>
              </w:rPr>
              <w:t>WiFi、BT；</w:t>
            </w:r>
          </w:p>
          <w:p w14:paraId="29A4594E">
            <w:pPr>
              <w:widowControl/>
              <w:numPr>
                <w:ilvl w:val="0"/>
                <w:numId w:val="177"/>
              </w:numPr>
              <w:ind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接口：</w:t>
            </w:r>
            <w:r>
              <w:rPr>
                <w:rFonts w:ascii="宋体" w:hAnsi="宋体" w:cs="宋体"/>
                <w:color w:val="auto"/>
                <w:kern w:val="0"/>
                <w:sz w:val="24"/>
                <w:szCs w:val="24"/>
                <w:lang w:bidi="ar"/>
              </w:rPr>
              <w:t>I/O:2*USB，可扩展2*USB；</w:t>
            </w:r>
          </w:p>
          <w:p w14:paraId="6AA5624E">
            <w:pPr>
              <w:widowControl/>
              <w:numPr>
                <w:ilvl w:val="0"/>
                <w:numId w:val="177"/>
              </w:numPr>
              <w:ind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工作环境温度：</w:t>
            </w:r>
            <w:r>
              <w:rPr>
                <w:rFonts w:ascii="宋体" w:hAnsi="宋体" w:cs="宋体"/>
                <w:color w:val="auto"/>
                <w:kern w:val="0"/>
                <w:sz w:val="24"/>
                <w:szCs w:val="24"/>
                <w:lang w:bidi="ar"/>
              </w:rPr>
              <w:t>0～50摄氏度；</w:t>
            </w:r>
          </w:p>
          <w:p w14:paraId="051D92A3">
            <w:pPr>
              <w:widowControl/>
              <w:numPr>
                <w:ilvl w:val="0"/>
                <w:numId w:val="177"/>
              </w:numPr>
              <w:ind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触摸精度：±</w:t>
            </w:r>
            <w:r>
              <w:rPr>
                <w:rFonts w:ascii="宋体" w:hAnsi="宋体" w:cs="宋体"/>
                <w:color w:val="auto"/>
                <w:kern w:val="0"/>
                <w:sz w:val="24"/>
                <w:szCs w:val="24"/>
                <w:lang w:bidi="ar"/>
              </w:rPr>
              <w:t>2mm；</w:t>
            </w:r>
          </w:p>
          <w:p w14:paraId="6ACDCCDB">
            <w:pPr>
              <w:widowControl/>
              <w:numPr>
                <w:ilvl w:val="0"/>
                <w:numId w:val="177"/>
              </w:numPr>
              <w:ind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响应时间：</w:t>
            </w:r>
            <w:r>
              <w:rPr>
                <w:rFonts w:ascii="宋体" w:hAnsi="宋体" w:cs="宋体"/>
                <w:color w:val="auto"/>
                <w:kern w:val="0"/>
                <w:sz w:val="24"/>
                <w:szCs w:val="24"/>
                <w:lang w:bidi="ar"/>
              </w:rPr>
              <w:t>25ms~30ms；</w:t>
            </w:r>
          </w:p>
          <w:p w14:paraId="02CDD405">
            <w:pPr>
              <w:widowControl/>
              <w:numPr>
                <w:ilvl w:val="0"/>
                <w:numId w:val="177"/>
              </w:numPr>
              <w:ind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可识别物体：手指或者专用触摸笔；</w:t>
            </w:r>
          </w:p>
          <w:p w14:paraId="3C9F2AB3">
            <w:pPr>
              <w:widowControl/>
              <w:numPr>
                <w:ilvl w:val="0"/>
                <w:numId w:val="177"/>
              </w:numPr>
              <w:ind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透明度：≥</w:t>
            </w:r>
            <w:r>
              <w:rPr>
                <w:rFonts w:ascii="宋体" w:hAnsi="宋体" w:cs="宋体"/>
                <w:color w:val="auto"/>
                <w:kern w:val="0"/>
                <w:sz w:val="24"/>
                <w:szCs w:val="24"/>
                <w:lang w:bidi="ar"/>
              </w:rPr>
              <w:t>85％±2％；</w:t>
            </w:r>
          </w:p>
          <w:p w14:paraId="4C016A6D">
            <w:pPr>
              <w:widowControl/>
              <w:numPr>
                <w:ilvl w:val="0"/>
                <w:numId w:val="177"/>
              </w:numPr>
              <w:ind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温度范围：工作温度：</w:t>
            </w:r>
            <w:r>
              <w:rPr>
                <w:rFonts w:ascii="宋体" w:hAnsi="宋体" w:cs="宋体"/>
                <w:color w:val="auto"/>
                <w:kern w:val="0"/>
                <w:sz w:val="24"/>
                <w:szCs w:val="24"/>
                <w:lang w:bidi="ar"/>
              </w:rPr>
              <w:t>-10℃~60℃；</w:t>
            </w:r>
          </w:p>
          <w:p w14:paraId="0CABE048">
            <w:pPr>
              <w:widowControl/>
              <w:numPr>
                <w:ilvl w:val="0"/>
                <w:numId w:val="177"/>
              </w:numPr>
              <w:ind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供电方式：外置</w:t>
            </w:r>
            <w:r>
              <w:rPr>
                <w:rFonts w:ascii="宋体" w:hAnsi="宋体" w:cs="宋体"/>
                <w:color w:val="auto"/>
                <w:kern w:val="0"/>
                <w:sz w:val="24"/>
                <w:szCs w:val="24"/>
                <w:lang w:bidi="ar"/>
              </w:rPr>
              <w:t>12V/2A适配器；</w:t>
            </w:r>
          </w:p>
          <w:p w14:paraId="0FE59FB3">
            <w:pPr>
              <w:widowControl/>
              <w:numPr>
                <w:ilvl w:val="0"/>
                <w:numId w:val="177"/>
              </w:numPr>
              <w:ind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整机功率：</w:t>
            </w:r>
            <w:r>
              <w:rPr>
                <w:rFonts w:ascii="宋体" w:hAnsi="宋体" w:cs="宋体"/>
                <w:color w:val="auto"/>
                <w:kern w:val="0"/>
                <w:sz w:val="24"/>
                <w:szCs w:val="24"/>
                <w:lang w:bidi="ar"/>
              </w:rPr>
              <w:t>15W；</w:t>
            </w:r>
          </w:p>
          <w:p w14:paraId="10929D57">
            <w:pPr>
              <w:widowControl/>
              <w:numPr>
                <w:ilvl w:val="0"/>
                <w:numId w:val="177"/>
              </w:numPr>
              <w:ind w:firstLine="0"/>
              <w:jc w:val="left"/>
              <w:rPr>
                <w:rFonts w:ascii="宋体" w:hAnsi="宋体" w:cs="宋体"/>
                <w:color w:val="auto"/>
                <w:kern w:val="0"/>
                <w:sz w:val="24"/>
                <w:szCs w:val="24"/>
                <w:lang w:bidi="ar"/>
              </w:rPr>
            </w:pPr>
            <w:r>
              <w:rPr>
                <w:rFonts w:hint="eastAsia" w:ascii="宋体" w:hAnsi="宋体" w:cs="宋体"/>
                <w:color w:val="auto"/>
                <w:kern w:val="0"/>
                <w:sz w:val="24"/>
                <w:szCs w:val="24"/>
                <w:lang w:bidi="ar"/>
              </w:rPr>
              <w:t>安装方式：壁挂式；</w:t>
            </w:r>
          </w:p>
          <w:p w14:paraId="2707EB87">
            <w:pPr>
              <w:numPr>
                <w:ilvl w:val="0"/>
                <w:numId w:val="174"/>
              </w:numPr>
              <w:ind w:left="0" w:firstLine="0"/>
              <w:jc w:val="left"/>
              <w:rPr>
                <w:rFonts w:ascii="宋体" w:hAnsi="宋体" w:cs="宋体"/>
                <w:color w:val="auto"/>
                <w:sz w:val="24"/>
                <w:szCs w:val="24"/>
              </w:rPr>
            </w:pPr>
            <w:r>
              <w:rPr>
                <w:rFonts w:hint="eastAsia" w:ascii="宋体" w:hAnsi="宋体" w:cs="宋体"/>
                <w:color w:val="auto"/>
                <w:sz w:val="24"/>
                <w:szCs w:val="24"/>
              </w:rPr>
              <w:t>冷库摄像头设备参数：</w:t>
            </w:r>
          </w:p>
          <w:p w14:paraId="383696C4">
            <w:pPr>
              <w:pStyle w:val="22"/>
              <w:numPr>
                <w:ilvl w:val="0"/>
                <w:numId w:val="178"/>
              </w:numPr>
              <w:wordWrap w:val="0"/>
              <w:ind w:left="0" w:firstLine="0"/>
              <w:rPr>
                <w:color w:val="auto"/>
              </w:rPr>
            </w:pPr>
            <w:r>
              <w:rPr>
                <w:rFonts w:hint="eastAsia" w:ascii="宋体" w:hAnsi="宋体" w:eastAsia="宋体" w:cs="宋体"/>
                <w:color w:val="auto"/>
                <w:sz w:val="24"/>
                <w:szCs w:val="24"/>
              </w:rPr>
              <w:t>主要参数：</w:t>
            </w:r>
          </w:p>
          <w:p w14:paraId="62EAEA32">
            <w:pPr>
              <w:numPr>
                <w:ilvl w:val="0"/>
                <w:numId w:val="179"/>
              </w:numPr>
              <w:ind w:firstLine="0"/>
              <w:jc w:val="left"/>
              <w:rPr>
                <w:rFonts w:ascii="宋体" w:hAnsi="宋体" w:cs="宋体"/>
                <w:color w:val="auto"/>
                <w:sz w:val="24"/>
                <w:szCs w:val="24"/>
              </w:rPr>
            </w:pPr>
            <w:r>
              <w:rPr>
                <w:rFonts w:hint="eastAsia" w:ascii="宋体" w:hAnsi="宋体" w:cs="宋体"/>
                <w:color w:val="auto"/>
                <w:sz w:val="24"/>
                <w:szCs w:val="24"/>
              </w:rPr>
              <w:t>焦距</w:t>
            </w:r>
            <w:r>
              <w:rPr>
                <w:rFonts w:ascii="宋体" w:hAnsi="宋体" w:cs="宋体"/>
                <w:color w:val="auto"/>
                <w:sz w:val="24"/>
                <w:szCs w:val="24"/>
              </w:rPr>
              <w:t>&amp;</w:t>
            </w:r>
            <w:r>
              <w:rPr>
                <w:rFonts w:hint="eastAsia" w:ascii="宋体" w:hAnsi="宋体" w:cs="宋体"/>
                <w:color w:val="auto"/>
                <w:sz w:val="24"/>
                <w:szCs w:val="24"/>
              </w:rPr>
              <w:t>视场角：</w:t>
            </w:r>
            <w:r>
              <w:rPr>
                <w:rFonts w:ascii="宋体" w:hAnsi="宋体" w:cs="宋体"/>
                <w:color w:val="auto"/>
                <w:sz w:val="24"/>
                <w:szCs w:val="24"/>
              </w:rPr>
              <w:t>2.8mm，水平视场角:98.2，垂直视场角:54.2°，对角视场角:114.6°；</w:t>
            </w:r>
          </w:p>
          <w:p w14:paraId="588D624F">
            <w:pPr>
              <w:numPr>
                <w:ilvl w:val="0"/>
                <w:numId w:val="179"/>
              </w:numPr>
              <w:ind w:firstLine="0"/>
              <w:jc w:val="left"/>
              <w:rPr>
                <w:rFonts w:ascii="宋体" w:hAnsi="宋体" w:cs="宋体"/>
                <w:color w:val="auto"/>
                <w:sz w:val="24"/>
                <w:szCs w:val="24"/>
              </w:rPr>
            </w:pPr>
            <w:r>
              <w:rPr>
                <w:rFonts w:ascii="宋体" w:hAnsi="宋体" w:cs="宋体"/>
                <w:color w:val="auto"/>
                <w:sz w:val="24"/>
                <w:szCs w:val="24"/>
              </w:rPr>
              <w:t>6mm，水平视场角：49.1°，垂直视场角:26.3，对角视场角:57.2；</w:t>
            </w:r>
          </w:p>
          <w:p w14:paraId="15DF1498">
            <w:pPr>
              <w:numPr>
                <w:ilvl w:val="0"/>
                <w:numId w:val="179"/>
              </w:numPr>
              <w:ind w:firstLine="0"/>
              <w:jc w:val="left"/>
              <w:rPr>
                <w:rFonts w:ascii="宋体" w:hAnsi="宋体" w:cs="宋体"/>
                <w:color w:val="auto"/>
                <w:sz w:val="24"/>
                <w:szCs w:val="24"/>
              </w:rPr>
            </w:pPr>
            <w:r>
              <w:rPr>
                <w:rFonts w:hint="eastAsia" w:ascii="宋体" w:hAnsi="宋体" w:cs="宋体"/>
                <w:color w:val="auto"/>
                <w:sz w:val="24"/>
                <w:szCs w:val="24"/>
              </w:rPr>
              <w:t>光圈类型：固定光圈；</w:t>
            </w:r>
          </w:p>
          <w:p w14:paraId="0E0CBE40">
            <w:pPr>
              <w:numPr>
                <w:ilvl w:val="0"/>
                <w:numId w:val="179"/>
              </w:numPr>
              <w:wordWrap w:val="0"/>
              <w:ind w:firstLine="0"/>
              <w:jc w:val="left"/>
              <w:rPr>
                <w:rFonts w:ascii="宋体" w:hAnsi="宋体" w:cs="宋体"/>
                <w:color w:val="auto"/>
                <w:sz w:val="24"/>
                <w:szCs w:val="24"/>
              </w:rPr>
            </w:pPr>
            <w:r>
              <w:rPr>
                <w:rFonts w:hint="eastAsia" w:ascii="宋体" w:hAnsi="宋体" w:cs="宋体"/>
                <w:color w:val="auto"/>
                <w:sz w:val="24"/>
                <w:szCs w:val="24"/>
              </w:rPr>
              <w:t>最大光圈数：</w:t>
            </w:r>
            <w:r>
              <w:rPr>
                <w:rFonts w:ascii="宋体" w:hAnsi="宋体" w:cs="宋体"/>
                <w:color w:val="auto"/>
                <w:sz w:val="24"/>
                <w:szCs w:val="24"/>
              </w:rPr>
              <w:t>F1.6；</w:t>
            </w:r>
          </w:p>
          <w:p w14:paraId="53409E40">
            <w:pPr>
              <w:numPr>
                <w:ilvl w:val="0"/>
                <w:numId w:val="179"/>
              </w:numPr>
              <w:wordWrap w:val="0"/>
              <w:ind w:firstLine="0"/>
              <w:jc w:val="left"/>
              <w:rPr>
                <w:rFonts w:ascii="宋体" w:hAnsi="宋体" w:cs="宋体"/>
                <w:color w:val="auto"/>
                <w:sz w:val="24"/>
                <w:szCs w:val="24"/>
              </w:rPr>
            </w:pPr>
            <w:r>
              <w:rPr>
                <w:rFonts w:hint="eastAsia" w:ascii="宋体" w:hAnsi="宋体" w:cs="宋体"/>
                <w:color w:val="auto"/>
                <w:sz w:val="24"/>
                <w:szCs w:val="24"/>
              </w:rPr>
              <w:t>用户管理：最多</w:t>
            </w:r>
            <w:r>
              <w:rPr>
                <w:rFonts w:ascii="宋体" w:hAnsi="宋体" w:cs="宋体"/>
                <w:color w:val="auto"/>
                <w:sz w:val="24"/>
                <w:szCs w:val="24"/>
              </w:rPr>
              <w:t>32个用户，可分3级用户权限管理:管理员，操作员，普通用户；</w:t>
            </w:r>
          </w:p>
          <w:p w14:paraId="5F1FB06D">
            <w:pPr>
              <w:numPr>
                <w:ilvl w:val="0"/>
                <w:numId w:val="179"/>
              </w:numPr>
              <w:wordWrap w:val="0"/>
              <w:ind w:firstLine="0"/>
              <w:jc w:val="left"/>
              <w:rPr>
                <w:rFonts w:ascii="宋体" w:hAnsi="宋体" w:cs="宋体"/>
                <w:color w:val="auto"/>
                <w:sz w:val="24"/>
                <w:szCs w:val="24"/>
              </w:rPr>
            </w:pPr>
            <w:r>
              <w:rPr>
                <w:rFonts w:hint="eastAsia" w:ascii="宋体" w:hAnsi="宋体" w:cs="宋体"/>
                <w:color w:val="auto"/>
                <w:sz w:val="24"/>
                <w:szCs w:val="24"/>
              </w:rPr>
              <w:t>接口协议</w:t>
            </w:r>
            <w:r>
              <w:rPr>
                <w:rFonts w:ascii="宋体" w:hAnsi="宋体" w:cs="宋体"/>
                <w:color w:val="auto"/>
                <w:sz w:val="24"/>
                <w:szCs w:val="24"/>
              </w:rPr>
              <w:t>(API)：开放型网络视频接口，ISAPI，GB28181-2016，ISUP(5.0)，视图库；</w:t>
            </w:r>
          </w:p>
          <w:p w14:paraId="7931EE63">
            <w:pPr>
              <w:numPr>
                <w:ilvl w:val="0"/>
                <w:numId w:val="179"/>
              </w:numPr>
              <w:wordWrap w:val="0"/>
              <w:ind w:firstLine="0"/>
              <w:jc w:val="left"/>
              <w:rPr>
                <w:rFonts w:ascii="宋体" w:hAnsi="宋体" w:cs="宋体"/>
                <w:color w:val="auto"/>
                <w:sz w:val="24"/>
                <w:szCs w:val="24"/>
              </w:rPr>
            </w:pPr>
            <w:r>
              <w:rPr>
                <w:rFonts w:hint="eastAsia" w:ascii="宋体" w:hAnsi="宋体" w:cs="宋体"/>
                <w:color w:val="auto"/>
                <w:sz w:val="24"/>
                <w:szCs w:val="24"/>
              </w:rPr>
              <w:t>网络存储：支持</w:t>
            </w:r>
            <w:r>
              <w:rPr>
                <w:rFonts w:ascii="宋体" w:hAnsi="宋体" w:cs="宋体"/>
                <w:color w:val="auto"/>
                <w:sz w:val="24"/>
                <w:szCs w:val="24"/>
              </w:rPr>
              <w:t>MicrosD/MicroSDHc/MicrosDXC卡(最大256 GB)断网本地存储</w:t>
            </w:r>
            <w:r>
              <w:rPr>
                <w:rFonts w:hint="eastAsia" w:ascii="宋体" w:hAnsi="宋体" w:cs="宋体"/>
                <w:color w:val="auto"/>
                <w:sz w:val="24"/>
                <w:szCs w:val="24"/>
              </w:rPr>
              <w:t>及断网续传，</w:t>
            </w:r>
            <w:r>
              <w:rPr>
                <w:rFonts w:ascii="宋体" w:hAnsi="宋体" w:cs="宋体"/>
                <w:color w:val="auto"/>
                <w:sz w:val="24"/>
                <w:szCs w:val="24"/>
              </w:rPr>
              <w:t>NAS(NFS,SMB/CIFS均支持)，配合海康黑卡支持SD卡加密及SD卡状态检测</w:t>
            </w:r>
          </w:p>
          <w:p w14:paraId="04D56355">
            <w:pPr>
              <w:numPr>
                <w:ilvl w:val="0"/>
                <w:numId w:val="179"/>
              </w:numPr>
              <w:wordWrap w:val="0"/>
              <w:ind w:firstLine="0"/>
              <w:jc w:val="left"/>
              <w:rPr>
                <w:rFonts w:ascii="宋体" w:hAnsi="宋体" w:cs="宋体"/>
                <w:color w:val="auto"/>
                <w:sz w:val="24"/>
                <w:szCs w:val="24"/>
              </w:rPr>
            </w:pPr>
            <w:r>
              <w:rPr>
                <w:rFonts w:hint="eastAsia" w:ascii="宋体" w:hAnsi="宋体" w:cs="宋体"/>
                <w:color w:val="auto"/>
                <w:sz w:val="24"/>
                <w:szCs w:val="24"/>
              </w:rPr>
              <w:t>网络协议：</w:t>
            </w:r>
            <w:r>
              <w:rPr>
                <w:rFonts w:ascii="宋体" w:hAnsi="宋体" w:cs="宋体"/>
                <w:color w:val="auto"/>
                <w:sz w:val="24"/>
                <w:szCs w:val="24"/>
              </w:rPr>
              <w:t>TCP/IP, ICMP, HTTP, HTTPS, FTP, DHCP, DNS, DDNS, RTP, RTSP, RTCP, PPPOE, NTPWPNP,SMTP,SNMP,IGMP,802.1X,QOS,IP6,UDP,Bonjour, sSL/TLs, Websocket.Websockets(-GL机型不支持PPPOE)；</w:t>
            </w:r>
          </w:p>
          <w:p w14:paraId="274EC5DA">
            <w:pPr>
              <w:numPr>
                <w:ilvl w:val="0"/>
                <w:numId w:val="179"/>
              </w:numPr>
              <w:wordWrap w:val="0"/>
              <w:ind w:firstLine="0"/>
              <w:jc w:val="left"/>
              <w:rPr>
                <w:rFonts w:ascii="宋体" w:hAnsi="宋体" w:cs="宋体"/>
                <w:color w:val="auto"/>
                <w:sz w:val="24"/>
                <w:szCs w:val="24"/>
              </w:rPr>
            </w:pPr>
            <w:r>
              <w:rPr>
                <w:rFonts w:hint="eastAsia" w:ascii="宋体" w:hAnsi="宋体" w:cs="宋体"/>
                <w:color w:val="auto"/>
                <w:sz w:val="24"/>
                <w:szCs w:val="24"/>
              </w:rPr>
              <w:t>浏览器</w:t>
            </w:r>
            <w:r>
              <w:rPr>
                <w:rFonts w:ascii="宋体" w:hAnsi="宋体" w:cs="宋体"/>
                <w:color w:val="auto"/>
                <w:sz w:val="24"/>
                <w:szCs w:val="24"/>
              </w:rPr>
              <w:tab/>
            </w:r>
            <w:r>
              <w:rPr>
                <w:rFonts w:hint="eastAsia" w:ascii="宋体" w:hAnsi="宋体" w:cs="宋体"/>
                <w:color w:val="auto"/>
                <w:sz w:val="24"/>
                <w:szCs w:val="24"/>
              </w:rPr>
              <w:t>使用插件预览</w:t>
            </w:r>
            <w:r>
              <w:rPr>
                <w:rFonts w:ascii="宋体" w:hAnsi="宋体" w:cs="宋体"/>
                <w:color w:val="auto"/>
                <w:sz w:val="24"/>
                <w:szCs w:val="24"/>
              </w:rPr>
              <w:t>:IE10，IE11使用本地服务预览:Chrome57.0+，Firefox52.0+无插件预览:Chrome57.0+，Firefox52.0+，Safari12+；</w:t>
            </w:r>
          </w:p>
          <w:p w14:paraId="74FBCAC8">
            <w:pPr>
              <w:numPr>
                <w:ilvl w:val="0"/>
                <w:numId w:val="179"/>
              </w:numPr>
              <w:wordWrap w:val="0"/>
              <w:ind w:firstLine="0"/>
              <w:jc w:val="left"/>
              <w:rPr>
                <w:rFonts w:ascii="宋体" w:hAnsi="宋体" w:cs="宋体"/>
                <w:color w:val="auto"/>
                <w:sz w:val="24"/>
                <w:szCs w:val="24"/>
              </w:rPr>
            </w:pPr>
            <w:r>
              <w:rPr>
                <w:rFonts w:hint="eastAsia" w:ascii="宋体" w:hAnsi="宋体" w:cs="宋体"/>
                <w:color w:val="auto"/>
                <w:sz w:val="24"/>
                <w:szCs w:val="24"/>
              </w:rPr>
              <w:t>客户端：</w:t>
            </w:r>
            <w:r>
              <w:rPr>
                <w:rFonts w:ascii="宋体" w:hAnsi="宋体" w:cs="宋体"/>
                <w:color w:val="auto"/>
                <w:sz w:val="24"/>
                <w:szCs w:val="24"/>
              </w:rPr>
              <w:t>iVMS-4200，</w:t>
            </w:r>
            <w:r>
              <w:rPr>
                <w:rFonts w:hint="eastAsia" w:ascii="宋体" w:hAnsi="宋体" w:cs="宋体"/>
                <w:color w:val="auto"/>
                <w:sz w:val="24"/>
                <w:szCs w:val="24"/>
              </w:rPr>
              <w:t>董石云；</w:t>
            </w:r>
          </w:p>
          <w:p w14:paraId="2258ECF0">
            <w:pPr>
              <w:numPr>
                <w:ilvl w:val="0"/>
                <w:numId w:val="179"/>
              </w:numPr>
              <w:wordWrap w:val="0"/>
              <w:ind w:firstLine="0"/>
              <w:jc w:val="left"/>
              <w:rPr>
                <w:rFonts w:ascii="宋体" w:hAnsi="宋体" w:cs="宋体"/>
                <w:color w:val="auto"/>
                <w:sz w:val="24"/>
                <w:szCs w:val="24"/>
              </w:rPr>
            </w:pPr>
            <w:r>
              <w:rPr>
                <w:rFonts w:hint="eastAsia" w:ascii="宋体" w:hAnsi="宋体" w:cs="宋体"/>
                <w:color w:val="auto"/>
                <w:sz w:val="24"/>
                <w:szCs w:val="24"/>
              </w:rPr>
              <w:t>同时预览路数：</w:t>
            </w:r>
            <w:r>
              <w:rPr>
                <w:rFonts w:ascii="宋体" w:hAnsi="宋体" w:cs="宋体"/>
                <w:color w:val="auto"/>
                <w:sz w:val="24"/>
                <w:szCs w:val="24"/>
              </w:rPr>
              <w:t>20.0；</w:t>
            </w:r>
          </w:p>
          <w:p w14:paraId="5BC37FA7">
            <w:pPr>
              <w:numPr>
                <w:ilvl w:val="0"/>
                <w:numId w:val="179"/>
              </w:numPr>
              <w:wordWrap w:val="0"/>
              <w:ind w:firstLine="0"/>
              <w:jc w:val="left"/>
              <w:rPr>
                <w:rFonts w:ascii="宋体" w:hAnsi="宋体" w:cs="宋体"/>
                <w:color w:val="auto"/>
                <w:sz w:val="24"/>
                <w:szCs w:val="24"/>
              </w:rPr>
            </w:pPr>
            <w:r>
              <w:rPr>
                <w:rFonts w:hint="eastAsia" w:ascii="宋体" w:hAnsi="宋体" w:cs="宋体"/>
                <w:color w:val="auto"/>
                <w:sz w:val="24"/>
                <w:szCs w:val="24"/>
              </w:rPr>
              <w:t>网络：</w:t>
            </w:r>
            <w:r>
              <w:rPr>
                <w:rFonts w:ascii="宋体" w:hAnsi="宋体" w:cs="宋体"/>
                <w:color w:val="auto"/>
                <w:sz w:val="24"/>
                <w:szCs w:val="24"/>
              </w:rPr>
              <w:t>1个RJ45 10 M/100 M自适应以太网口；</w:t>
            </w:r>
          </w:p>
          <w:p w14:paraId="4EF7B2A4">
            <w:pPr>
              <w:numPr>
                <w:ilvl w:val="0"/>
                <w:numId w:val="179"/>
              </w:numPr>
              <w:wordWrap w:val="0"/>
              <w:ind w:firstLine="0"/>
              <w:jc w:val="left"/>
              <w:rPr>
                <w:rFonts w:ascii="宋体" w:hAnsi="宋体" w:cs="宋体"/>
                <w:color w:val="auto"/>
                <w:sz w:val="24"/>
                <w:szCs w:val="24"/>
              </w:rPr>
            </w:pPr>
            <w:r>
              <w:rPr>
                <w:rFonts w:hint="eastAsia" w:ascii="宋体" w:hAnsi="宋体" w:cs="宋体"/>
                <w:color w:val="auto"/>
                <w:sz w:val="24"/>
                <w:szCs w:val="24"/>
              </w:rPr>
              <w:t>音频：</w:t>
            </w:r>
            <w:r>
              <w:rPr>
                <w:rFonts w:ascii="宋体" w:hAnsi="宋体" w:cs="宋体"/>
                <w:color w:val="auto"/>
                <w:sz w:val="24"/>
                <w:szCs w:val="24"/>
              </w:rPr>
              <w:t>1路输入(Linein)，1路输出(Line out)，2个内置麦克风，1个内置扬声器；</w:t>
            </w:r>
          </w:p>
          <w:p w14:paraId="7D322AAA">
            <w:pPr>
              <w:numPr>
                <w:ilvl w:val="0"/>
                <w:numId w:val="179"/>
              </w:numPr>
              <w:wordWrap w:val="0"/>
              <w:ind w:firstLine="0"/>
              <w:jc w:val="left"/>
              <w:rPr>
                <w:rFonts w:ascii="宋体" w:hAnsi="宋体" w:cs="宋体"/>
                <w:color w:val="auto"/>
                <w:sz w:val="24"/>
                <w:szCs w:val="24"/>
              </w:rPr>
            </w:pPr>
            <w:r>
              <w:rPr>
                <w:rFonts w:hint="eastAsia" w:ascii="宋体" w:hAnsi="宋体" w:cs="宋体"/>
                <w:color w:val="auto"/>
                <w:sz w:val="24"/>
                <w:szCs w:val="24"/>
              </w:rPr>
              <w:t>复位：支持；</w:t>
            </w:r>
          </w:p>
          <w:p w14:paraId="58C6B63F">
            <w:pPr>
              <w:numPr>
                <w:ilvl w:val="0"/>
                <w:numId w:val="179"/>
              </w:numPr>
              <w:wordWrap w:val="0"/>
              <w:ind w:firstLine="0"/>
              <w:jc w:val="left"/>
              <w:rPr>
                <w:rFonts w:ascii="宋体" w:hAnsi="宋体" w:cs="宋体"/>
                <w:color w:val="auto"/>
                <w:sz w:val="24"/>
                <w:szCs w:val="24"/>
              </w:rPr>
            </w:pPr>
            <w:r>
              <w:rPr>
                <w:rFonts w:hint="eastAsia" w:ascii="宋体" w:hAnsi="宋体" w:cs="宋体"/>
                <w:color w:val="auto"/>
                <w:sz w:val="24"/>
                <w:szCs w:val="24"/>
              </w:rPr>
              <w:t>接口类型：外甩线；</w:t>
            </w:r>
          </w:p>
          <w:p w14:paraId="1274CE42">
            <w:pPr>
              <w:numPr>
                <w:ilvl w:val="0"/>
                <w:numId w:val="179"/>
              </w:numPr>
              <w:wordWrap w:val="0"/>
              <w:ind w:firstLine="0"/>
              <w:jc w:val="left"/>
              <w:rPr>
                <w:rFonts w:ascii="宋体" w:hAnsi="宋体" w:cs="宋体"/>
                <w:color w:val="auto"/>
                <w:sz w:val="24"/>
                <w:szCs w:val="24"/>
              </w:rPr>
            </w:pPr>
            <w:r>
              <w:rPr>
                <w:rFonts w:hint="eastAsia" w:ascii="宋体" w:hAnsi="宋体" w:cs="宋体"/>
                <w:color w:val="auto"/>
                <w:sz w:val="24"/>
                <w:szCs w:val="24"/>
              </w:rPr>
              <w:t>电源接口类型：</w:t>
            </w:r>
            <w:r>
              <w:rPr>
                <w:rFonts w:ascii="宋体" w:hAnsi="宋体" w:cs="宋体"/>
                <w:color w:val="auto"/>
                <w:sz w:val="24"/>
                <w:szCs w:val="24"/>
              </w:rPr>
              <w:t>3芯接口；</w:t>
            </w:r>
          </w:p>
          <w:p w14:paraId="4DE431BC">
            <w:pPr>
              <w:numPr>
                <w:ilvl w:val="0"/>
                <w:numId w:val="174"/>
              </w:numPr>
              <w:ind w:left="0" w:firstLine="0"/>
              <w:jc w:val="left"/>
              <w:rPr>
                <w:rFonts w:ascii="宋体" w:hAnsi="宋体" w:cs="宋体"/>
                <w:color w:val="auto"/>
                <w:sz w:val="24"/>
                <w:szCs w:val="24"/>
              </w:rPr>
            </w:pPr>
            <w:r>
              <w:rPr>
                <w:rFonts w:ascii="宋体" w:hAnsi="宋体" w:cs="宋体"/>
                <w:color w:val="auto"/>
                <w:sz w:val="24"/>
                <w:szCs w:val="24"/>
              </w:rPr>
              <w:t>IO通讯模块设备参数：</w:t>
            </w:r>
          </w:p>
          <w:p w14:paraId="686AF4CF">
            <w:pPr>
              <w:pStyle w:val="22"/>
              <w:numPr>
                <w:ilvl w:val="0"/>
                <w:numId w:val="180"/>
              </w:numPr>
              <w:wordWrap w:val="0"/>
              <w:ind w:left="0" w:firstLine="0"/>
              <w:rPr>
                <w:color w:val="auto"/>
              </w:rPr>
            </w:pPr>
            <w:r>
              <w:rPr>
                <w:rFonts w:hint="eastAsia" w:ascii="宋体" w:hAnsi="宋体" w:eastAsia="宋体" w:cs="宋体"/>
                <w:color w:val="auto"/>
                <w:sz w:val="24"/>
                <w:szCs w:val="24"/>
              </w:rPr>
              <w:t>主要参数：</w:t>
            </w:r>
          </w:p>
          <w:p w14:paraId="2F2E58FF">
            <w:pPr>
              <w:numPr>
                <w:ilvl w:val="0"/>
                <w:numId w:val="181"/>
              </w:numPr>
              <w:wordWrap w:val="0"/>
              <w:ind w:firstLine="0"/>
              <w:jc w:val="left"/>
              <w:rPr>
                <w:rFonts w:ascii="宋体" w:hAnsi="宋体" w:cs="宋体"/>
                <w:color w:val="auto"/>
                <w:sz w:val="24"/>
                <w:szCs w:val="24"/>
              </w:rPr>
            </w:pPr>
            <w:r>
              <w:rPr>
                <w:rFonts w:ascii="宋体" w:hAnsi="宋体" w:cs="宋体"/>
                <w:color w:val="auto"/>
                <w:sz w:val="24"/>
                <w:szCs w:val="24"/>
              </w:rPr>
              <w:t>触点容量:10A/250VAC</w:t>
            </w:r>
            <w:r>
              <w:rPr>
                <w:rFonts w:hint="eastAsia" w:ascii="宋体" w:hAnsi="宋体" w:cs="宋体"/>
                <w:color w:val="auto"/>
                <w:sz w:val="24"/>
                <w:szCs w:val="24"/>
              </w:rPr>
              <w:t>；</w:t>
            </w:r>
          </w:p>
          <w:p w14:paraId="03624947">
            <w:pPr>
              <w:numPr>
                <w:ilvl w:val="0"/>
                <w:numId w:val="181"/>
              </w:numPr>
              <w:wordWrap w:val="0"/>
              <w:ind w:firstLine="0"/>
              <w:jc w:val="left"/>
              <w:rPr>
                <w:rFonts w:ascii="宋体" w:hAnsi="宋体" w:cs="宋体"/>
                <w:color w:val="auto"/>
                <w:sz w:val="24"/>
                <w:szCs w:val="24"/>
              </w:rPr>
            </w:pPr>
            <w:r>
              <w:rPr>
                <w:rFonts w:ascii="宋体" w:hAnsi="宋体" w:cs="宋体"/>
                <w:color w:val="auto"/>
                <w:sz w:val="24"/>
                <w:szCs w:val="24"/>
              </w:rPr>
              <w:t>耐久性:10万次</w:t>
            </w:r>
            <w:r>
              <w:rPr>
                <w:rFonts w:hint="eastAsia" w:ascii="宋体" w:hAnsi="宋体" w:cs="宋体"/>
                <w:color w:val="auto"/>
                <w:sz w:val="24"/>
                <w:szCs w:val="24"/>
              </w:rPr>
              <w:t>；</w:t>
            </w:r>
          </w:p>
          <w:p w14:paraId="3D1028F7">
            <w:pPr>
              <w:numPr>
                <w:ilvl w:val="0"/>
                <w:numId w:val="181"/>
              </w:numPr>
              <w:wordWrap w:val="0"/>
              <w:ind w:firstLine="0"/>
              <w:jc w:val="left"/>
              <w:rPr>
                <w:rFonts w:ascii="宋体" w:hAnsi="宋体" w:cs="宋体"/>
                <w:color w:val="auto"/>
                <w:sz w:val="24"/>
                <w:szCs w:val="24"/>
              </w:rPr>
            </w:pPr>
            <w:r>
              <w:rPr>
                <w:rFonts w:ascii="宋体" w:hAnsi="宋体" w:cs="宋体"/>
                <w:color w:val="auto"/>
                <w:sz w:val="24"/>
                <w:szCs w:val="24"/>
              </w:rPr>
              <w:t>数据接口:RS232、RS485</w:t>
            </w:r>
            <w:r>
              <w:rPr>
                <w:rFonts w:hint="eastAsia" w:ascii="宋体" w:hAnsi="宋体" w:cs="宋体"/>
                <w:color w:val="auto"/>
                <w:sz w:val="24"/>
                <w:szCs w:val="24"/>
              </w:rPr>
              <w:t>；</w:t>
            </w:r>
          </w:p>
          <w:p w14:paraId="562DE110">
            <w:pPr>
              <w:numPr>
                <w:ilvl w:val="0"/>
                <w:numId w:val="181"/>
              </w:numPr>
              <w:wordWrap w:val="0"/>
              <w:ind w:firstLine="0"/>
              <w:jc w:val="left"/>
              <w:rPr>
                <w:rFonts w:ascii="宋体" w:hAnsi="宋体" w:cs="宋体"/>
                <w:color w:val="auto"/>
                <w:sz w:val="24"/>
                <w:szCs w:val="24"/>
              </w:rPr>
            </w:pPr>
            <w:r>
              <w:rPr>
                <w:rFonts w:ascii="宋体" w:hAnsi="宋体" w:cs="宋体"/>
                <w:color w:val="auto"/>
                <w:sz w:val="24"/>
                <w:szCs w:val="24"/>
              </w:rPr>
              <w:t>额定电压:DC 7-30V</w:t>
            </w:r>
            <w:r>
              <w:rPr>
                <w:rFonts w:hint="eastAsia" w:ascii="宋体" w:hAnsi="宋体" w:cs="宋体"/>
                <w:color w:val="auto"/>
                <w:sz w:val="24"/>
                <w:szCs w:val="24"/>
              </w:rPr>
              <w:t>；</w:t>
            </w:r>
          </w:p>
          <w:p w14:paraId="2E15CE82">
            <w:pPr>
              <w:numPr>
                <w:ilvl w:val="0"/>
                <w:numId w:val="181"/>
              </w:numPr>
              <w:wordWrap w:val="0"/>
              <w:ind w:firstLine="0"/>
              <w:jc w:val="left"/>
              <w:rPr>
                <w:rFonts w:ascii="宋体" w:hAnsi="宋体" w:cs="宋体"/>
                <w:color w:val="auto"/>
                <w:sz w:val="24"/>
                <w:szCs w:val="24"/>
              </w:rPr>
            </w:pPr>
            <w:r>
              <w:rPr>
                <w:rFonts w:ascii="宋体" w:hAnsi="宋体" w:cs="宋体"/>
                <w:color w:val="auto"/>
                <w:sz w:val="24"/>
                <w:szCs w:val="24"/>
              </w:rPr>
              <w:t>电源指示:1路红色 LED 指示(通电时常亮)</w:t>
            </w:r>
            <w:r>
              <w:rPr>
                <w:rFonts w:hint="eastAsia" w:ascii="宋体" w:hAnsi="宋体" w:cs="宋体"/>
                <w:color w:val="auto"/>
                <w:sz w:val="24"/>
                <w:szCs w:val="24"/>
              </w:rPr>
              <w:t>；</w:t>
            </w:r>
          </w:p>
          <w:p w14:paraId="3D1C7B7B">
            <w:pPr>
              <w:numPr>
                <w:ilvl w:val="0"/>
                <w:numId w:val="181"/>
              </w:numPr>
              <w:wordWrap w:val="0"/>
              <w:ind w:firstLine="0"/>
              <w:jc w:val="left"/>
              <w:rPr>
                <w:rFonts w:ascii="宋体" w:hAnsi="宋体" w:cs="宋体"/>
                <w:color w:val="auto"/>
                <w:sz w:val="24"/>
                <w:szCs w:val="24"/>
              </w:rPr>
            </w:pPr>
            <w:r>
              <w:rPr>
                <w:rFonts w:ascii="宋体" w:hAnsi="宋体" w:cs="宋体"/>
                <w:color w:val="auto"/>
                <w:sz w:val="24"/>
                <w:szCs w:val="24"/>
              </w:rPr>
              <w:t>温度范围:工业级，-40℃~85℃</w:t>
            </w:r>
            <w:r>
              <w:rPr>
                <w:rFonts w:hint="eastAsia" w:ascii="宋体" w:hAnsi="宋体" w:cs="宋体"/>
                <w:color w:val="auto"/>
                <w:sz w:val="24"/>
                <w:szCs w:val="24"/>
              </w:rPr>
              <w:t>；</w:t>
            </w:r>
          </w:p>
          <w:p w14:paraId="6533CE84">
            <w:pPr>
              <w:numPr>
                <w:ilvl w:val="0"/>
                <w:numId w:val="181"/>
              </w:numPr>
              <w:wordWrap w:val="0"/>
              <w:ind w:firstLine="0"/>
              <w:jc w:val="left"/>
              <w:rPr>
                <w:rFonts w:ascii="宋体" w:hAnsi="宋体" w:cs="宋体"/>
                <w:color w:val="auto"/>
                <w:sz w:val="24"/>
                <w:szCs w:val="24"/>
              </w:rPr>
            </w:pPr>
            <w:r>
              <w:rPr>
                <w:rFonts w:ascii="宋体" w:hAnsi="宋体" w:cs="宋体"/>
                <w:color w:val="auto"/>
                <w:sz w:val="24"/>
                <w:szCs w:val="24"/>
              </w:rPr>
              <w:t>尺寸:不高于90*150*30mm</w:t>
            </w:r>
            <w:r>
              <w:rPr>
                <w:rFonts w:hint="eastAsia" w:ascii="宋体" w:hAnsi="宋体" w:cs="宋体"/>
                <w:color w:val="auto"/>
                <w:sz w:val="24"/>
                <w:szCs w:val="24"/>
              </w:rPr>
              <w:t>；</w:t>
            </w:r>
          </w:p>
          <w:p w14:paraId="4EBF299C">
            <w:pPr>
              <w:numPr>
                <w:ilvl w:val="0"/>
                <w:numId w:val="181"/>
              </w:numPr>
              <w:wordWrap w:val="0"/>
              <w:ind w:firstLine="0"/>
              <w:jc w:val="left"/>
              <w:rPr>
                <w:rFonts w:ascii="宋体" w:hAnsi="宋体" w:cs="宋体"/>
                <w:color w:val="auto"/>
                <w:sz w:val="24"/>
                <w:szCs w:val="24"/>
              </w:rPr>
            </w:pPr>
            <w:r>
              <w:rPr>
                <w:rFonts w:ascii="宋体" w:hAnsi="宋体" w:cs="宋体"/>
                <w:color w:val="auto"/>
                <w:sz w:val="24"/>
                <w:szCs w:val="24"/>
              </w:rPr>
              <w:t>默认通讯格式:9600,n,8,1</w:t>
            </w:r>
            <w:r>
              <w:rPr>
                <w:rFonts w:hint="eastAsia" w:ascii="宋体" w:hAnsi="宋体" w:cs="宋体"/>
                <w:color w:val="auto"/>
                <w:sz w:val="24"/>
                <w:szCs w:val="24"/>
              </w:rPr>
              <w:t>；</w:t>
            </w:r>
          </w:p>
          <w:p w14:paraId="545A9549">
            <w:pPr>
              <w:numPr>
                <w:ilvl w:val="0"/>
                <w:numId w:val="181"/>
              </w:numPr>
              <w:wordWrap w:val="0"/>
              <w:ind w:firstLine="0"/>
              <w:jc w:val="left"/>
              <w:rPr>
                <w:rFonts w:ascii="宋体" w:hAnsi="宋体" w:cs="宋体"/>
                <w:color w:val="auto"/>
                <w:sz w:val="24"/>
                <w:szCs w:val="24"/>
              </w:rPr>
            </w:pPr>
            <w:r>
              <w:rPr>
                <w:rFonts w:ascii="宋体" w:hAnsi="宋体" w:cs="宋体"/>
                <w:color w:val="auto"/>
                <w:sz w:val="24"/>
                <w:szCs w:val="24"/>
              </w:rPr>
              <w:t>波特率:2400.4800.9600 19200.38400.115200</w:t>
            </w:r>
            <w:r>
              <w:rPr>
                <w:rFonts w:hint="eastAsia" w:ascii="宋体" w:hAnsi="宋体" w:cs="宋体"/>
                <w:color w:val="auto"/>
                <w:sz w:val="24"/>
                <w:szCs w:val="24"/>
              </w:rPr>
              <w:t>；</w:t>
            </w:r>
          </w:p>
          <w:p w14:paraId="0EA73DFC">
            <w:pPr>
              <w:numPr>
                <w:ilvl w:val="0"/>
                <w:numId w:val="181"/>
              </w:numPr>
              <w:wordWrap w:val="0"/>
              <w:ind w:firstLine="0"/>
              <w:jc w:val="left"/>
              <w:rPr>
                <w:rFonts w:ascii="宋体" w:hAnsi="宋体" w:cs="宋体"/>
                <w:color w:val="auto"/>
                <w:sz w:val="24"/>
                <w:szCs w:val="24"/>
              </w:rPr>
            </w:pPr>
            <w:r>
              <w:rPr>
                <w:rFonts w:ascii="宋体" w:hAnsi="宋体" w:cs="宋体"/>
                <w:color w:val="auto"/>
                <w:sz w:val="24"/>
                <w:szCs w:val="24"/>
              </w:rPr>
              <w:t>软件支持:配套配置软件、控制软件；支持各家组态软件；支持Labviewd 等</w:t>
            </w:r>
            <w:r>
              <w:rPr>
                <w:rFonts w:hint="eastAsia" w:ascii="宋体" w:hAnsi="宋体" w:cs="宋体"/>
                <w:color w:val="auto"/>
                <w:sz w:val="24"/>
                <w:szCs w:val="24"/>
              </w:rPr>
              <w:t>；</w:t>
            </w:r>
          </w:p>
          <w:p w14:paraId="4FECC6F6">
            <w:pPr>
              <w:numPr>
                <w:ilvl w:val="0"/>
                <w:numId w:val="174"/>
              </w:numPr>
              <w:ind w:left="0" w:firstLine="0"/>
              <w:jc w:val="left"/>
              <w:rPr>
                <w:rFonts w:ascii="宋体" w:hAnsi="宋体" w:cs="宋体"/>
                <w:color w:val="auto"/>
                <w:sz w:val="24"/>
                <w:szCs w:val="24"/>
              </w:rPr>
            </w:pPr>
            <w:r>
              <w:rPr>
                <w:rFonts w:hint="eastAsia" w:ascii="宋体" w:hAnsi="宋体" w:cs="宋体"/>
                <w:color w:val="auto"/>
                <w:sz w:val="24"/>
                <w:szCs w:val="24"/>
              </w:rPr>
              <w:t>温度变送器设备参数：</w:t>
            </w:r>
          </w:p>
          <w:p w14:paraId="3201B280">
            <w:pPr>
              <w:pStyle w:val="22"/>
              <w:numPr>
                <w:ilvl w:val="0"/>
                <w:numId w:val="182"/>
              </w:numPr>
              <w:wordWrap w:val="0"/>
              <w:ind w:left="0" w:firstLine="0"/>
              <w:rPr>
                <w:color w:val="auto"/>
              </w:rPr>
            </w:pPr>
            <w:r>
              <w:rPr>
                <w:rFonts w:hint="eastAsia" w:ascii="宋体" w:hAnsi="宋体" w:eastAsia="宋体" w:cs="宋体"/>
                <w:color w:val="auto"/>
                <w:sz w:val="24"/>
                <w:szCs w:val="24"/>
              </w:rPr>
              <w:t>主要参数：</w:t>
            </w:r>
          </w:p>
          <w:p w14:paraId="4F1050B8">
            <w:pPr>
              <w:numPr>
                <w:ilvl w:val="0"/>
                <w:numId w:val="183"/>
              </w:numPr>
              <w:wordWrap w:val="0"/>
              <w:ind w:firstLine="0"/>
              <w:jc w:val="left"/>
              <w:rPr>
                <w:rFonts w:ascii="宋体" w:hAnsi="宋体" w:cs="宋体"/>
                <w:color w:val="auto"/>
                <w:sz w:val="24"/>
                <w:szCs w:val="24"/>
              </w:rPr>
            </w:pPr>
            <w:r>
              <w:rPr>
                <w:rFonts w:ascii="宋体" w:hAnsi="宋体" w:cs="宋体"/>
                <w:color w:val="auto"/>
                <w:sz w:val="24"/>
                <w:szCs w:val="24"/>
              </w:rPr>
              <w:t>供电电压</w:t>
            </w:r>
            <w:r>
              <w:rPr>
                <w:rFonts w:hint="eastAsia" w:ascii="宋体" w:hAnsi="宋体" w:cs="宋体"/>
                <w:color w:val="auto"/>
                <w:sz w:val="24"/>
                <w:szCs w:val="24"/>
              </w:rPr>
              <w:t>：</w:t>
            </w:r>
            <w:r>
              <w:rPr>
                <w:rFonts w:ascii="宋体" w:hAnsi="宋体" w:cs="宋体"/>
                <w:color w:val="auto"/>
                <w:sz w:val="24"/>
                <w:szCs w:val="24"/>
              </w:rPr>
              <w:t>最小值DC 10V，标准值DC 12V，最大值DC 30V，条件：-20-70℃</w:t>
            </w:r>
            <w:r>
              <w:rPr>
                <w:rFonts w:hint="eastAsia" w:ascii="宋体" w:hAnsi="宋体" w:cs="宋体"/>
                <w:color w:val="auto"/>
                <w:sz w:val="24"/>
                <w:szCs w:val="24"/>
              </w:rPr>
              <w:t>；</w:t>
            </w:r>
          </w:p>
          <w:p w14:paraId="66C122F6">
            <w:pPr>
              <w:numPr>
                <w:ilvl w:val="0"/>
                <w:numId w:val="183"/>
              </w:numPr>
              <w:wordWrap w:val="0"/>
              <w:ind w:firstLine="0"/>
              <w:jc w:val="left"/>
              <w:rPr>
                <w:rFonts w:ascii="宋体" w:hAnsi="宋体" w:cs="宋体"/>
                <w:color w:val="auto"/>
                <w:sz w:val="24"/>
                <w:szCs w:val="24"/>
              </w:rPr>
            </w:pPr>
            <w:r>
              <w:rPr>
                <w:rFonts w:ascii="宋体" w:hAnsi="宋体" w:cs="宋体"/>
                <w:color w:val="auto"/>
                <w:sz w:val="24"/>
                <w:szCs w:val="24"/>
              </w:rPr>
              <w:t>RS485总线电压</w:t>
            </w:r>
            <w:r>
              <w:rPr>
                <w:rFonts w:hint="eastAsia" w:ascii="宋体" w:hAnsi="宋体" w:cs="宋体"/>
                <w:color w:val="auto"/>
                <w:sz w:val="24"/>
                <w:szCs w:val="24"/>
              </w:rPr>
              <w:t>：</w:t>
            </w:r>
            <w:r>
              <w:rPr>
                <w:rFonts w:ascii="宋体" w:hAnsi="宋体" w:cs="宋体"/>
                <w:color w:val="auto"/>
                <w:sz w:val="24"/>
                <w:szCs w:val="24"/>
              </w:rPr>
              <w:t>最小值4V，标准值4.1V，最大值4.5V，条件：与总线断开</w:t>
            </w:r>
            <w:r>
              <w:rPr>
                <w:rFonts w:hint="eastAsia" w:ascii="宋体" w:hAnsi="宋体" w:cs="宋体"/>
                <w:color w:val="auto"/>
                <w:sz w:val="24"/>
                <w:szCs w:val="24"/>
              </w:rPr>
              <w:t>；</w:t>
            </w:r>
          </w:p>
          <w:p w14:paraId="71572DCB">
            <w:pPr>
              <w:numPr>
                <w:ilvl w:val="0"/>
                <w:numId w:val="183"/>
              </w:numPr>
              <w:wordWrap w:val="0"/>
              <w:ind w:firstLine="0"/>
              <w:jc w:val="left"/>
              <w:rPr>
                <w:rFonts w:ascii="宋体" w:hAnsi="宋体" w:cs="宋体"/>
                <w:color w:val="auto"/>
                <w:sz w:val="24"/>
                <w:szCs w:val="24"/>
              </w:rPr>
            </w:pPr>
            <w:r>
              <w:rPr>
                <w:rFonts w:ascii="宋体" w:hAnsi="宋体" w:cs="宋体"/>
                <w:color w:val="auto"/>
                <w:sz w:val="24"/>
                <w:szCs w:val="24"/>
              </w:rPr>
              <w:t>测量精度</w:t>
            </w:r>
            <w:r>
              <w:rPr>
                <w:rFonts w:hint="eastAsia" w:ascii="宋体" w:hAnsi="宋体" w:cs="宋体"/>
                <w:color w:val="auto"/>
                <w:sz w:val="24"/>
                <w:szCs w:val="24"/>
              </w:rPr>
              <w:t>：</w:t>
            </w:r>
            <w:r>
              <w:rPr>
                <w:rFonts w:ascii="宋体" w:hAnsi="宋体" w:cs="宋体"/>
                <w:color w:val="auto"/>
                <w:sz w:val="24"/>
                <w:szCs w:val="24"/>
              </w:rPr>
              <w:t>热电阻±0.2，热电偶±1 ± 0.02%</w:t>
            </w:r>
            <w:r>
              <w:rPr>
                <w:rFonts w:hint="eastAsia" w:ascii="宋体" w:hAnsi="宋体" w:cs="宋体"/>
                <w:color w:val="auto"/>
                <w:sz w:val="24"/>
                <w:szCs w:val="24"/>
              </w:rPr>
              <w:t>，</w:t>
            </w:r>
            <w:r>
              <w:rPr>
                <w:rFonts w:ascii="宋体" w:hAnsi="宋体" w:cs="宋体"/>
                <w:color w:val="auto"/>
                <w:sz w:val="24"/>
                <w:szCs w:val="24"/>
              </w:rPr>
              <w:t>电流电压±0.02%</w:t>
            </w:r>
            <w:r>
              <w:rPr>
                <w:rFonts w:hint="eastAsia" w:ascii="宋体" w:hAnsi="宋体" w:cs="宋体"/>
                <w:color w:val="auto"/>
                <w:sz w:val="24"/>
                <w:szCs w:val="24"/>
              </w:rPr>
              <w:t>；</w:t>
            </w:r>
          </w:p>
          <w:p w14:paraId="7D1A4F25">
            <w:pPr>
              <w:numPr>
                <w:ilvl w:val="0"/>
                <w:numId w:val="183"/>
              </w:numPr>
              <w:wordWrap w:val="0"/>
              <w:ind w:firstLine="0"/>
              <w:jc w:val="left"/>
              <w:rPr>
                <w:rFonts w:ascii="宋体" w:hAnsi="宋体" w:cs="宋体"/>
                <w:color w:val="auto"/>
                <w:sz w:val="24"/>
                <w:szCs w:val="24"/>
              </w:rPr>
            </w:pPr>
            <w:r>
              <w:rPr>
                <w:rFonts w:ascii="宋体" w:hAnsi="宋体" w:cs="宋体"/>
                <w:color w:val="auto"/>
                <w:sz w:val="24"/>
                <w:szCs w:val="24"/>
              </w:rPr>
              <w:t>通信波特率</w:t>
            </w:r>
            <w:r>
              <w:rPr>
                <w:rFonts w:hint="eastAsia" w:ascii="宋体" w:hAnsi="宋体" w:cs="宋体"/>
                <w:color w:val="auto"/>
                <w:sz w:val="24"/>
                <w:szCs w:val="24"/>
              </w:rPr>
              <w:t>：</w:t>
            </w:r>
            <w:r>
              <w:rPr>
                <w:rFonts w:ascii="宋体" w:hAnsi="宋体" w:cs="宋体"/>
                <w:color w:val="auto"/>
                <w:sz w:val="24"/>
                <w:szCs w:val="24"/>
              </w:rPr>
              <w:t>最小值1200bps</w:t>
            </w:r>
            <w:r>
              <w:rPr>
                <w:rFonts w:hint="eastAsia" w:ascii="宋体" w:hAnsi="宋体" w:cs="宋体"/>
                <w:color w:val="auto"/>
                <w:sz w:val="24"/>
                <w:szCs w:val="24"/>
              </w:rPr>
              <w:t>，</w:t>
            </w:r>
            <w:r>
              <w:rPr>
                <w:rFonts w:ascii="宋体" w:hAnsi="宋体" w:cs="宋体"/>
                <w:color w:val="auto"/>
                <w:sz w:val="24"/>
                <w:szCs w:val="24"/>
              </w:rPr>
              <w:t>标准值9600bps</w:t>
            </w:r>
            <w:r>
              <w:rPr>
                <w:rFonts w:hint="eastAsia" w:ascii="宋体" w:hAnsi="宋体" w:cs="宋体"/>
                <w:color w:val="auto"/>
                <w:sz w:val="24"/>
                <w:szCs w:val="24"/>
              </w:rPr>
              <w:t>，</w:t>
            </w:r>
            <w:r>
              <w:rPr>
                <w:rFonts w:ascii="宋体" w:hAnsi="宋体" w:cs="宋体"/>
                <w:color w:val="auto"/>
                <w:sz w:val="24"/>
                <w:szCs w:val="24"/>
              </w:rPr>
              <w:t>最大值115200bps</w:t>
            </w:r>
            <w:r>
              <w:rPr>
                <w:rFonts w:hint="eastAsia" w:ascii="宋体" w:hAnsi="宋体" w:cs="宋体"/>
                <w:color w:val="auto"/>
                <w:sz w:val="24"/>
                <w:szCs w:val="24"/>
              </w:rPr>
              <w:t>；</w:t>
            </w:r>
          </w:p>
          <w:p w14:paraId="671DE6B1">
            <w:pPr>
              <w:numPr>
                <w:ilvl w:val="0"/>
                <w:numId w:val="174"/>
              </w:numPr>
              <w:ind w:left="0" w:firstLine="0"/>
              <w:jc w:val="left"/>
              <w:rPr>
                <w:rFonts w:ascii="宋体" w:hAnsi="宋体" w:cs="宋体"/>
                <w:color w:val="auto"/>
                <w:sz w:val="24"/>
                <w:szCs w:val="24"/>
              </w:rPr>
            </w:pPr>
            <w:r>
              <w:rPr>
                <w:rFonts w:hint="eastAsia" w:ascii="宋体" w:hAnsi="宋体" w:cs="宋体"/>
                <w:color w:val="auto"/>
                <w:sz w:val="24"/>
                <w:szCs w:val="24"/>
              </w:rPr>
              <w:t>铂热电阻设备参数：</w:t>
            </w:r>
          </w:p>
          <w:p w14:paraId="3CEBD10D">
            <w:pPr>
              <w:pStyle w:val="22"/>
              <w:numPr>
                <w:ilvl w:val="0"/>
                <w:numId w:val="184"/>
              </w:numPr>
              <w:wordWrap w:val="0"/>
              <w:ind w:left="0" w:firstLine="0"/>
              <w:rPr>
                <w:color w:val="auto"/>
              </w:rPr>
            </w:pPr>
            <w:r>
              <w:rPr>
                <w:rFonts w:hint="eastAsia" w:ascii="宋体" w:hAnsi="宋体" w:eastAsia="宋体" w:cs="宋体"/>
                <w:color w:val="auto"/>
                <w:sz w:val="24"/>
                <w:szCs w:val="24"/>
              </w:rPr>
              <w:t>主要参数：</w:t>
            </w:r>
          </w:p>
          <w:p w14:paraId="271AC2B7">
            <w:pPr>
              <w:numPr>
                <w:ilvl w:val="0"/>
                <w:numId w:val="185"/>
              </w:numPr>
              <w:wordWrap w:val="0"/>
              <w:ind w:firstLine="0"/>
              <w:jc w:val="left"/>
              <w:rPr>
                <w:rFonts w:ascii="宋体" w:hAnsi="宋体" w:cs="宋体"/>
                <w:color w:val="auto"/>
                <w:sz w:val="24"/>
                <w:szCs w:val="24"/>
              </w:rPr>
            </w:pPr>
            <w:r>
              <w:rPr>
                <w:rFonts w:ascii="宋体" w:hAnsi="宋体" w:cs="宋体"/>
                <w:color w:val="auto"/>
                <w:sz w:val="24"/>
                <w:szCs w:val="24"/>
              </w:rPr>
              <w:t>分度号</w:t>
            </w:r>
            <w:r>
              <w:rPr>
                <w:rFonts w:hint="eastAsia" w:ascii="宋体" w:hAnsi="宋体" w:cs="宋体"/>
                <w:color w:val="auto"/>
                <w:sz w:val="24"/>
                <w:szCs w:val="24"/>
              </w:rPr>
              <w:t>：</w:t>
            </w:r>
            <w:r>
              <w:rPr>
                <w:rFonts w:ascii="宋体" w:hAnsi="宋体" w:cs="宋体"/>
                <w:color w:val="auto"/>
                <w:sz w:val="24"/>
                <w:szCs w:val="24"/>
              </w:rPr>
              <w:t>Pt100(默认)/K/E/J/T/PL1000等</w:t>
            </w:r>
            <w:r>
              <w:rPr>
                <w:rFonts w:hint="eastAsia" w:ascii="宋体" w:hAnsi="宋体" w:cs="宋体"/>
                <w:color w:val="auto"/>
                <w:sz w:val="24"/>
                <w:szCs w:val="24"/>
              </w:rPr>
              <w:t>；</w:t>
            </w:r>
          </w:p>
          <w:p w14:paraId="1D58C53E">
            <w:pPr>
              <w:numPr>
                <w:ilvl w:val="0"/>
                <w:numId w:val="185"/>
              </w:numPr>
              <w:wordWrap w:val="0"/>
              <w:ind w:firstLine="0"/>
              <w:jc w:val="left"/>
              <w:rPr>
                <w:rFonts w:ascii="宋体" w:hAnsi="宋体" w:cs="宋体"/>
                <w:color w:val="auto"/>
                <w:sz w:val="24"/>
                <w:szCs w:val="24"/>
              </w:rPr>
            </w:pPr>
            <w:r>
              <w:rPr>
                <w:rFonts w:ascii="宋体" w:hAnsi="宋体" w:cs="宋体"/>
                <w:color w:val="auto"/>
                <w:sz w:val="24"/>
                <w:szCs w:val="24"/>
              </w:rPr>
              <w:t>测量范围</w:t>
            </w:r>
            <w:r>
              <w:rPr>
                <w:rFonts w:hint="eastAsia" w:ascii="宋体" w:hAnsi="宋体" w:cs="宋体"/>
                <w:color w:val="auto"/>
                <w:sz w:val="24"/>
                <w:szCs w:val="24"/>
              </w:rPr>
              <w:t>：</w:t>
            </w:r>
            <w:r>
              <w:rPr>
                <w:rFonts w:ascii="宋体" w:hAnsi="宋体" w:cs="宋体"/>
                <w:color w:val="auto"/>
                <w:sz w:val="24"/>
                <w:szCs w:val="24"/>
              </w:rPr>
              <w:t>-50+200℃(Pt100)/0-200℃(0 /0-200℃(E)</w:t>
            </w:r>
            <w:r>
              <w:rPr>
                <w:rFonts w:hint="eastAsia" w:ascii="宋体" w:hAnsi="宋体" w:cs="宋体"/>
                <w:color w:val="auto"/>
                <w:sz w:val="24"/>
                <w:szCs w:val="24"/>
              </w:rPr>
              <w:t>；</w:t>
            </w:r>
          </w:p>
          <w:p w14:paraId="50E0E77F">
            <w:pPr>
              <w:numPr>
                <w:ilvl w:val="0"/>
                <w:numId w:val="185"/>
              </w:numPr>
              <w:wordWrap w:val="0"/>
              <w:ind w:firstLine="0"/>
              <w:jc w:val="left"/>
              <w:rPr>
                <w:rFonts w:ascii="宋体" w:hAnsi="宋体" w:cs="宋体"/>
                <w:color w:val="auto"/>
                <w:sz w:val="24"/>
                <w:szCs w:val="24"/>
              </w:rPr>
            </w:pPr>
            <w:r>
              <w:rPr>
                <w:rFonts w:ascii="宋体" w:hAnsi="宋体" w:cs="宋体"/>
                <w:color w:val="auto"/>
                <w:sz w:val="24"/>
                <w:szCs w:val="24"/>
              </w:rPr>
              <w:t>保护管直径</w:t>
            </w:r>
            <w:r>
              <w:rPr>
                <w:rFonts w:hint="eastAsia" w:ascii="宋体" w:hAnsi="宋体" w:cs="宋体"/>
                <w:color w:val="auto"/>
                <w:sz w:val="24"/>
                <w:szCs w:val="24"/>
              </w:rPr>
              <w:t>：</w:t>
            </w:r>
            <w:r>
              <w:rPr>
                <w:rFonts w:ascii="宋体" w:hAnsi="宋体" w:cs="宋体"/>
                <w:color w:val="auto"/>
                <w:sz w:val="24"/>
                <w:szCs w:val="24"/>
              </w:rPr>
              <w:t>4mm(默认)/另有3mm、5mm.6mm等可选择定制</w:t>
            </w:r>
            <w:r>
              <w:rPr>
                <w:rFonts w:hint="eastAsia" w:ascii="宋体" w:hAnsi="宋体" w:cs="宋体"/>
                <w:color w:val="auto"/>
                <w:sz w:val="24"/>
                <w:szCs w:val="24"/>
              </w:rPr>
              <w:t>；</w:t>
            </w:r>
          </w:p>
          <w:p w14:paraId="6CE56BC9">
            <w:pPr>
              <w:numPr>
                <w:ilvl w:val="0"/>
                <w:numId w:val="185"/>
              </w:numPr>
              <w:wordWrap w:val="0"/>
              <w:ind w:firstLine="0"/>
              <w:jc w:val="left"/>
              <w:rPr>
                <w:rFonts w:ascii="宋体" w:hAnsi="宋体" w:cs="宋体"/>
                <w:color w:val="auto"/>
                <w:sz w:val="24"/>
                <w:szCs w:val="24"/>
              </w:rPr>
            </w:pPr>
            <w:r>
              <w:rPr>
                <w:rFonts w:ascii="宋体" w:hAnsi="宋体" w:cs="宋体"/>
                <w:color w:val="auto"/>
                <w:sz w:val="24"/>
                <w:szCs w:val="24"/>
              </w:rPr>
              <w:t>线材</w:t>
            </w:r>
            <w:r>
              <w:rPr>
                <w:rFonts w:hint="eastAsia" w:ascii="宋体" w:hAnsi="宋体" w:cs="宋体"/>
                <w:color w:val="auto"/>
                <w:sz w:val="24"/>
                <w:szCs w:val="24"/>
              </w:rPr>
              <w:t>：</w:t>
            </w:r>
            <w:r>
              <w:rPr>
                <w:rFonts w:ascii="宋体" w:hAnsi="宋体" w:cs="宋体"/>
                <w:color w:val="auto"/>
                <w:sz w:val="24"/>
                <w:szCs w:val="24"/>
              </w:rPr>
              <w:t>三芯镀银四氟屏蔽线</w:t>
            </w:r>
            <w:r>
              <w:rPr>
                <w:rFonts w:hint="eastAsia" w:ascii="宋体" w:hAnsi="宋体" w:cs="宋体"/>
                <w:color w:val="auto"/>
                <w:sz w:val="24"/>
                <w:szCs w:val="24"/>
              </w:rPr>
              <w:t>；</w:t>
            </w:r>
          </w:p>
          <w:p w14:paraId="2647E414">
            <w:pPr>
              <w:numPr>
                <w:ilvl w:val="0"/>
                <w:numId w:val="185"/>
              </w:numPr>
              <w:wordWrap w:val="0"/>
              <w:ind w:firstLine="0"/>
              <w:jc w:val="left"/>
              <w:rPr>
                <w:rFonts w:ascii="宋体" w:hAnsi="宋体" w:cs="宋体"/>
                <w:color w:val="auto"/>
                <w:sz w:val="24"/>
                <w:szCs w:val="24"/>
              </w:rPr>
            </w:pPr>
            <w:r>
              <w:rPr>
                <w:rFonts w:ascii="宋体" w:hAnsi="宋体" w:cs="宋体"/>
                <w:color w:val="auto"/>
                <w:sz w:val="24"/>
                <w:szCs w:val="24"/>
              </w:rPr>
              <w:t>保护管材质</w:t>
            </w:r>
            <w:r>
              <w:rPr>
                <w:rFonts w:hint="eastAsia" w:ascii="宋体" w:hAnsi="宋体" w:cs="宋体"/>
                <w:color w:val="auto"/>
                <w:sz w:val="24"/>
                <w:szCs w:val="24"/>
              </w:rPr>
              <w:t>：</w:t>
            </w:r>
            <w:r>
              <w:rPr>
                <w:rFonts w:ascii="宋体" w:hAnsi="宋体" w:cs="宋体"/>
                <w:color w:val="auto"/>
                <w:sz w:val="24"/>
                <w:szCs w:val="24"/>
              </w:rPr>
              <w:t>304不锈钢，可定制316或者其他材质</w:t>
            </w:r>
            <w:r>
              <w:rPr>
                <w:rFonts w:hint="eastAsia" w:ascii="宋体" w:hAnsi="宋体" w:cs="宋体"/>
                <w:color w:val="auto"/>
                <w:sz w:val="24"/>
                <w:szCs w:val="24"/>
              </w:rPr>
              <w:t>；</w:t>
            </w:r>
          </w:p>
          <w:p w14:paraId="19ECC534">
            <w:pPr>
              <w:numPr>
                <w:ilvl w:val="0"/>
                <w:numId w:val="185"/>
              </w:numPr>
              <w:wordWrap w:val="0"/>
              <w:ind w:firstLine="0"/>
              <w:jc w:val="left"/>
              <w:rPr>
                <w:rFonts w:ascii="宋体" w:hAnsi="宋体" w:cs="宋体"/>
                <w:color w:val="auto"/>
                <w:sz w:val="24"/>
                <w:szCs w:val="24"/>
              </w:rPr>
            </w:pPr>
            <w:r>
              <w:rPr>
                <w:rFonts w:ascii="宋体" w:hAnsi="宋体" w:cs="宋体"/>
                <w:color w:val="auto"/>
                <w:sz w:val="24"/>
                <w:szCs w:val="24"/>
              </w:rPr>
              <w:t>电阻类型</w:t>
            </w:r>
            <w:r>
              <w:rPr>
                <w:rFonts w:hint="eastAsia" w:ascii="宋体" w:hAnsi="宋体" w:cs="宋体"/>
                <w:color w:val="auto"/>
                <w:sz w:val="24"/>
                <w:szCs w:val="24"/>
              </w:rPr>
              <w:t>：</w:t>
            </w:r>
            <w:r>
              <w:rPr>
                <w:rFonts w:ascii="宋体" w:hAnsi="宋体" w:cs="宋体"/>
                <w:color w:val="auto"/>
                <w:sz w:val="24"/>
                <w:szCs w:val="24"/>
              </w:rPr>
              <w:t>1/3B级、A级、B级、2B级可选</w:t>
            </w:r>
            <w:r>
              <w:rPr>
                <w:rFonts w:hint="eastAsia" w:ascii="宋体" w:hAnsi="宋体" w:cs="宋体"/>
                <w:color w:val="auto"/>
                <w:sz w:val="24"/>
                <w:szCs w:val="24"/>
              </w:rPr>
              <w:t>；</w:t>
            </w:r>
          </w:p>
          <w:p w14:paraId="45F477C6">
            <w:pPr>
              <w:numPr>
                <w:ilvl w:val="0"/>
                <w:numId w:val="185"/>
              </w:numPr>
              <w:wordWrap w:val="0"/>
              <w:ind w:firstLine="0"/>
              <w:jc w:val="left"/>
              <w:rPr>
                <w:rFonts w:ascii="宋体" w:hAnsi="宋体" w:cs="宋体"/>
                <w:color w:val="auto"/>
                <w:sz w:val="24"/>
                <w:szCs w:val="24"/>
              </w:rPr>
            </w:pPr>
            <w:r>
              <w:rPr>
                <w:rFonts w:ascii="宋体" w:hAnsi="宋体" w:cs="宋体"/>
                <w:color w:val="auto"/>
                <w:sz w:val="24"/>
                <w:szCs w:val="24"/>
              </w:rPr>
              <w:t>保护管长度</w:t>
            </w:r>
            <w:r>
              <w:rPr>
                <w:rFonts w:hint="eastAsia" w:ascii="宋体" w:hAnsi="宋体" w:cs="宋体"/>
                <w:color w:val="auto"/>
                <w:sz w:val="24"/>
                <w:szCs w:val="24"/>
              </w:rPr>
              <w:t>：</w:t>
            </w:r>
            <w:r>
              <w:rPr>
                <w:rFonts w:ascii="宋体" w:hAnsi="宋体" w:cs="宋体"/>
                <w:color w:val="auto"/>
                <w:sz w:val="24"/>
                <w:szCs w:val="24"/>
              </w:rPr>
              <w:t>30mm(默认)/另有10/15/20/40/50/60/100/150/200mm等可选择定制</w:t>
            </w:r>
            <w:r>
              <w:rPr>
                <w:rFonts w:hint="eastAsia" w:ascii="宋体" w:hAnsi="宋体" w:cs="宋体"/>
                <w:color w:val="auto"/>
                <w:sz w:val="24"/>
                <w:szCs w:val="24"/>
              </w:rPr>
              <w:t>；</w:t>
            </w:r>
          </w:p>
          <w:p w14:paraId="26108DCF">
            <w:pPr>
              <w:numPr>
                <w:ilvl w:val="0"/>
                <w:numId w:val="185"/>
              </w:numPr>
              <w:wordWrap w:val="0"/>
              <w:ind w:firstLine="0"/>
              <w:jc w:val="left"/>
              <w:rPr>
                <w:rFonts w:ascii="宋体" w:hAnsi="宋体" w:cs="宋体"/>
                <w:color w:val="auto"/>
                <w:sz w:val="24"/>
                <w:szCs w:val="24"/>
              </w:rPr>
            </w:pPr>
            <w:r>
              <w:rPr>
                <w:rFonts w:ascii="宋体" w:hAnsi="宋体" w:cs="宋体"/>
                <w:color w:val="auto"/>
                <w:sz w:val="24"/>
                <w:szCs w:val="24"/>
              </w:rPr>
              <w:t>线长</w:t>
            </w:r>
            <w:r>
              <w:rPr>
                <w:rFonts w:hint="eastAsia" w:ascii="宋体" w:hAnsi="宋体" w:cs="宋体"/>
                <w:color w:val="auto"/>
                <w:sz w:val="24"/>
                <w:szCs w:val="24"/>
              </w:rPr>
              <w:t>：</w:t>
            </w:r>
            <w:r>
              <w:rPr>
                <w:rFonts w:ascii="宋体" w:hAnsi="宋体" w:cs="宋体"/>
                <w:color w:val="auto"/>
                <w:sz w:val="24"/>
                <w:szCs w:val="24"/>
              </w:rPr>
              <w:t>0.5米/1米/1.5米/2米/3米</w:t>
            </w:r>
            <w:r>
              <w:rPr>
                <w:rFonts w:hint="eastAsia" w:ascii="宋体" w:hAnsi="宋体" w:cs="宋体"/>
                <w:color w:val="auto"/>
                <w:sz w:val="24"/>
                <w:szCs w:val="24"/>
              </w:rPr>
              <w:t>，</w:t>
            </w:r>
            <w:r>
              <w:rPr>
                <w:rFonts w:ascii="宋体" w:hAnsi="宋体" w:cs="宋体"/>
                <w:color w:val="auto"/>
                <w:sz w:val="24"/>
                <w:szCs w:val="24"/>
              </w:rPr>
              <w:t>可按要求定制任意线长</w:t>
            </w:r>
            <w:r>
              <w:rPr>
                <w:rFonts w:hint="eastAsia" w:ascii="宋体" w:hAnsi="宋体" w:cs="宋体"/>
                <w:color w:val="auto"/>
                <w:sz w:val="24"/>
                <w:szCs w:val="24"/>
              </w:rPr>
              <w:t>；</w:t>
            </w:r>
          </w:p>
          <w:p w14:paraId="713851BA">
            <w:pPr>
              <w:numPr>
                <w:ilvl w:val="0"/>
                <w:numId w:val="185"/>
              </w:numPr>
              <w:wordWrap w:val="0"/>
              <w:ind w:firstLine="0"/>
              <w:jc w:val="left"/>
              <w:rPr>
                <w:rFonts w:ascii="宋体" w:hAnsi="宋体" w:cs="宋体"/>
                <w:color w:val="auto"/>
                <w:sz w:val="24"/>
                <w:szCs w:val="24"/>
              </w:rPr>
            </w:pPr>
            <w:r>
              <w:rPr>
                <w:rFonts w:ascii="宋体" w:hAnsi="宋体" w:cs="宋体"/>
                <w:color w:val="auto"/>
                <w:sz w:val="24"/>
                <w:szCs w:val="24"/>
              </w:rPr>
              <w:t>接线端子</w:t>
            </w:r>
            <w:r>
              <w:rPr>
                <w:rFonts w:hint="eastAsia" w:ascii="宋体" w:hAnsi="宋体" w:cs="宋体"/>
                <w:color w:val="auto"/>
                <w:sz w:val="24"/>
                <w:szCs w:val="24"/>
              </w:rPr>
              <w:t>：</w:t>
            </w:r>
            <w:r>
              <w:rPr>
                <w:rFonts w:ascii="宋体" w:hAnsi="宋体" w:cs="宋体"/>
                <w:color w:val="auto"/>
                <w:sz w:val="24"/>
                <w:szCs w:val="24"/>
              </w:rPr>
              <w:t>U型端子(默认)/可定制插针端子、小黄插头、航空插头等</w:t>
            </w:r>
            <w:r>
              <w:rPr>
                <w:rFonts w:hint="eastAsia" w:ascii="宋体" w:hAnsi="宋体" w:cs="宋体"/>
                <w:color w:val="auto"/>
                <w:sz w:val="24"/>
                <w:szCs w:val="24"/>
              </w:rPr>
              <w:t>；</w:t>
            </w:r>
          </w:p>
          <w:p w14:paraId="0DF1E1B4">
            <w:pPr>
              <w:numPr>
                <w:ilvl w:val="0"/>
                <w:numId w:val="174"/>
              </w:numPr>
              <w:ind w:left="0" w:firstLine="0"/>
              <w:jc w:val="left"/>
              <w:rPr>
                <w:rFonts w:ascii="宋体" w:hAnsi="宋体" w:cs="宋体"/>
                <w:color w:val="auto"/>
                <w:sz w:val="24"/>
                <w:szCs w:val="24"/>
              </w:rPr>
            </w:pPr>
            <w:r>
              <w:rPr>
                <w:rFonts w:hint="eastAsia" w:ascii="宋体" w:hAnsi="宋体" w:cs="宋体"/>
                <w:color w:val="auto"/>
                <w:sz w:val="24"/>
                <w:szCs w:val="24"/>
              </w:rPr>
              <w:t>挡鼠板门磁设备参数：</w:t>
            </w:r>
          </w:p>
          <w:p w14:paraId="6B3BC049">
            <w:pPr>
              <w:pStyle w:val="22"/>
              <w:numPr>
                <w:ilvl w:val="0"/>
                <w:numId w:val="186"/>
              </w:numPr>
              <w:wordWrap w:val="0"/>
              <w:ind w:left="0" w:firstLine="0"/>
              <w:rPr>
                <w:color w:val="auto"/>
              </w:rPr>
            </w:pPr>
            <w:r>
              <w:rPr>
                <w:rFonts w:hint="eastAsia" w:ascii="宋体" w:hAnsi="宋体" w:eastAsia="宋体" w:cs="宋体"/>
                <w:color w:val="auto"/>
                <w:sz w:val="24"/>
                <w:szCs w:val="24"/>
              </w:rPr>
              <w:t>主要参数：</w:t>
            </w:r>
          </w:p>
          <w:p w14:paraId="6994C36A">
            <w:pPr>
              <w:widowControl/>
              <w:numPr>
                <w:ilvl w:val="0"/>
                <w:numId w:val="187"/>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感应距离：</w:t>
            </w:r>
            <w:r>
              <w:rPr>
                <w:rFonts w:ascii="宋体" w:hAnsi="宋体" w:cs="宋体"/>
                <w:color w:val="auto"/>
                <w:kern w:val="0"/>
                <w:sz w:val="24"/>
                <w:szCs w:val="24"/>
                <w:lang w:bidi="ar"/>
              </w:rPr>
              <w:t>25-35MM；</w:t>
            </w:r>
          </w:p>
          <w:p w14:paraId="5A6FE9F1">
            <w:pPr>
              <w:widowControl/>
              <w:numPr>
                <w:ilvl w:val="0"/>
                <w:numId w:val="187"/>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孔距离：</w:t>
            </w:r>
            <w:r>
              <w:rPr>
                <w:rFonts w:ascii="宋体" w:hAnsi="宋体" w:cs="宋体"/>
                <w:color w:val="auto"/>
                <w:kern w:val="0"/>
                <w:sz w:val="24"/>
                <w:szCs w:val="24"/>
                <w:lang w:bidi="ar"/>
              </w:rPr>
              <w:t>33MM；</w:t>
            </w:r>
          </w:p>
          <w:p w14:paraId="37D40557">
            <w:pPr>
              <w:widowControl/>
              <w:numPr>
                <w:ilvl w:val="0"/>
                <w:numId w:val="187"/>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开关形式：常闭；</w:t>
            </w:r>
          </w:p>
          <w:p w14:paraId="15E4D302">
            <w:pPr>
              <w:widowControl/>
              <w:numPr>
                <w:ilvl w:val="0"/>
                <w:numId w:val="187"/>
              </w:numPr>
              <w:ind w:firstLine="0"/>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参数：最大功率</w:t>
            </w:r>
            <w:r>
              <w:rPr>
                <w:rFonts w:ascii="宋体" w:hAnsi="宋体" w:cs="宋体"/>
                <w:color w:val="auto"/>
                <w:kern w:val="0"/>
                <w:sz w:val="24"/>
                <w:szCs w:val="24"/>
                <w:lang w:bidi="ar"/>
              </w:rPr>
              <w:t>10W，最高电压100V，最大电流0.5A；</w:t>
            </w:r>
          </w:p>
          <w:p w14:paraId="5BD090FA">
            <w:pPr>
              <w:widowControl/>
              <w:numPr>
                <w:ilvl w:val="0"/>
                <w:numId w:val="187"/>
              </w:numPr>
              <w:ind w:firstLine="0"/>
              <w:jc w:val="left"/>
              <w:textAlignment w:val="center"/>
              <w:rPr>
                <w:color w:val="auto"/>
              </w:rPr>
            </w:pPr>
            <w:r>
              <w:rPr>
                <w:rFonts w:hint="eastAsia" w:ascii="宋体" w:hAnsi="宋体" w:cs="宋体"/>
                <w:color w:val="auto"/>
                <w:kern w:val="0"/>
                <w:sz w:val="24"/>
                <w:szCs w:val="24"/>
                <w:lang w:bidi="ar"/>
              </w:rPr>
              <w:t>外壳材质：锌合金，银灰电镀；</w:t>
            </w:r>
          </w:p>
        </w:tc>
        <w:tc>
          <w:tcPr>
            <w:tcW w:w="810" w:type="dxa"/>
            <w:tcBorders>
              <w:top w:val="single" w:color="auto" w:sz="4" w:space="0"/>
              <w:left w:val="single" w:color="auto" w:sz="4" w:space="0"/>
              <w:bottom w:val="single" w:color="auto" w:sz="4" w:space="0"/>
              <w:right w:val="single" w:color="auto" w:sz="4" w:space="0"/>
            </w:tcBorders>
            <w:shd w:val="clear" w:color="auto" w:fill="FFFFFF"/>
            <w:vAlign w:val="center"/>
          </w:tcPr>
          <w:p w14:paraId="687316F5">
            <w:pPr>
              <w:jc w:val="center"/>
              <w:rPr>
                <w:rFonts w:ascii="宋体" w:hAnsi="宋体" w:cs="宋体"/>
                <w:color w:val="auto"/>
                <w:sz w:val="24"/>
                <w:szCs w:val="24"/>
              </w:rPr>
            </w:pPr>
            <w:r>
              <w:rPr>
                <w:rFonts w:hint="eastAsia" w:ascii="宋体" w:hAnsi="宋体" w:cs="宋体"/>
                <w:color w:val="auto"/>
                <w:sz w:val="24"/>
                <w:szCs w:val="24"/>
              </w:rPr>
              <w:t>套</w:t>
            </w:r>
          </w:p>
        </w:tc>
        <w:tc>
          <w:tcPr>
            <w:tcW w:w="795" w:type="dxa"/>
            <w:tcBorders>
              <w:top w:val="single" w:color="auto" w:sz="4" w:space="0"/>
              <w:left w:val="single" w:color="auto" w:sz="4" w:space="0"/>
              <w:bottom w:val="single" w:color="auto" w:sz="4" w:space="0"/>
              <w:right w:val="single" w:color="auto" w:sz="4" w:space="0"/>
            </w:tcBorders>
            <w:shd w:val="clear" w:color="auto" w:fill="FFFFFF"/>
            <w:vAlign w:val="center"/>
          </w:tcPr>
          <w:p w14:paraId="3DA88E66">
            <w:pPr>
              <w:jc w:val="center"/>
              <w:rPr>
                <w:rFonts w:ascii="宋体" w:hAnsi="宋体" w:cs="宋体"/>
                <w:color w:val="auto"/>
                <w:sz w:val="24"/>
                <w:szCs w:val="24"/>
              </w:rPr>
            </w:pPr>
            <w:r>
              <w:rPr>
                <w:rFonts w:hint="eastAsia" w:ascii="宋体" w:hAnsi="宋体" w:cs="宋体"/>
                <w:color w:val="auto"/>
                <w:sz w:val="24"/>
                <w:szCs w:val="24"/>
              </w:rPr>
              <w:t>按需配置并征得采购人书面同意</w:t>
            </w:r>
          </w:p>
        </w:tc>
      </w:tr>
      <w:tr w14:paraId="43597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47" w:type="dxa"/>
            <w:tcBorders>
              <w:top w:val="single" w:color="auto" w:sz="4" w:space="0"/>
              <w:left w:val="single" w:color="auto" w:sz="4" w:space="0"/>
              <w:bottom w:val="single" w:color="auto" w:sz="4" w:space="0"/>
              <w:right w:val="single" w:color="auto" w:sz="4" w:space="0"/>
            </w:tcBorders>
            <w:shd w:val="clear" w:color="auto" w:fill="FFFFFF"/>
            <w:vAlign w:val="center"/>
          </w:tcPr>
          <w:p w14:paraId="349A1B05">
            <w:pPr>
              <w:widowControl/>
              <w:jc w:val="center"/>
              <w:textAlignment w:val="center"/>
              <w:rPr>
                <w:rFonts w:ascii="宋体" w:hAnsi="宋体" w:cs="宋体"/>
                <w:color w:val="auto"/>
                <w:kern w:val="0"/>
                <w:sz w:val="24"/>
                <w:szCs w:val="24"/>
                <w:lang w:bidi="ar"/>
              </w:rPr>
            </w:pPr>
            <w:r>
              <w:rPr>
                <w:rFonts w:ascii="宋体" w:hAnsi="宋体" w:cs="宋体"/>
                <w:color w:val="auto"/>
                <w:kern w:val="0"/>
                <w:sz w:val="24"/>
                <w:szCs w:val="24"/>
                <w:lang w:bidi="ar"/>
              </w:rPr>
              <w:t>17</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14:paraId="6F0CE698">
            <w:pPr>
              <w:jc w:val="center"/>
              <w:rPr>
                <w:rFonts w:ascii="宋体" w:hAnsi="宋体" w:cs="宋体"/>
                <w:color w:val="auto"/>
                <w:sz w:val="24"/>
                <w:szCs w:val="24"/>
              </w:rPr>
            </w:pPr>
            <w:r>
              <w:rPr>
                <w:rFonts w:hint="eastAsia" w:ascii="宋体" w:hAnsi="宋体" w:cs="宋体"/>
                <w:color w:val="auto"/>
                <w:sz w:val="24"/>
                <w:szCs w:val="24"/>
              </w:rPr>
              <w:t>水电能耗监管</w:t>
            </w:r>
          </w:p>
        </w:tc>
        <w:tc>
          <w:tcPr>
            <w:tcW w:w="6114" w:type="dxa"/>
            <w:tcBorders>
              <w:top w:val="single" w:color="auto" w:sz="4" w:space="0"/>
              <w:left w:val="single" w:color="auto" w:sz="4" w:space="0"/>
              <w:bottom w:val="single" w:color="auto" w:sz="4" w:space="0"/>
              <w:right w:val="single" w:color="auto" w:sz="4" w:space="0"/>
            </w:tcBorders>
            <w:shd w:val="clear" w:color="auto" w:fill="FFFFFF"/>
            <w:vAlign w:val="center"/>
          </w:tcPr>
          <w:p w14:paraId="2665D6D8">
            <w:pPr>
              <w:numPr>
                <w:ilvl w:val="0"/>
                <w:numId w:val="188"/>
              </w:numPr>
              <w:ind w:left="0" w:firstLine="0"/>
              <w:jc w:val="left"/>
              <w:rPr>
                <w:rFonts w:ascii="宋体" w:hAnsi="宋体" w:cs="宋体"/>
                <w:color w:val="auto"/>
                <w:sz w:val="24"/>
                <w:szCs w:val="24"/>
              </w:rPr>
            </w:pPr>
            <w:r>
              <w:rPr>
                <w:rFonts w:hint="eastAsia" w:ascii="宋体" w:hAnsi="宋体" w:cs="宋体"/>
                <w:color w:val="auto"/>
                <w:sz w:val="24"/>
                <w:szCs w:val="24"/>
              </w:rPr>
              <w:t>功能</w:t>
            </w:r>
            <w:r>
              <w:rPr>
                <w:rFonts w:hint="eastAsia" w:ascii="宋体" w:hAnsi="宋体" w:cs="宋体"/>
                <w:color w:val="auto"/>
                <w:kern w:val="0"/>
                <w:sz w:val="24"/>
                <w:szCs w:val="24"/>
                <w:lang w:bidi="ar"/>
              </w:rPr>
              <w:t>描述：</w:t>
            </w:r>
          </w:p>
          <w:p w14:paraId="65F0A4B8">
            <w:pPr>
              <w:pStyle w:val="22"/>
              <w:numPr>
                <w:ilvl w:val="0"/>
                <w:numId w:val="189"/>
              </w:numPr>
              <w:ind w:left="0" w:firstLine="0"/>
              <w:rPr>
                <w:rFonts w:ascii="宋体" w:hAnsi="宋体" w:eastAsia="宋体" w:cs="宋体"/>
                <w:color w:val="auto"/>
                <w:sz w:val="24"/>
                <w:szCs w:val="24"/>
              </w:rPr>
            </w:pPr>
            <w:r>
              <w:rPr>
                <w:rFonts w:hint="eastAsia" w:ascii="宋体" w:hAnsi="宋体" w:eastAsia="宋体" w:cs="宋体"/>
                <w:color w:val="auto"/>
                <w:sz w:val="24"/>
                <w:szCs w:val="24"/>
              </w:rPr>
              <w:t>支持实时用水量、电量监测，设置用电预警提醒；</w:t>
            </w:r>
          </w:p>
          <w:p w14:paraId="4CDDBBB4">
            <w:pPr>
              <w:pStyle w:val="22"/>
              <w:numPr>
                <w:ilvl w:val="0"/>
                <w:numId w:val="189"/>
              </w:numPr>
              <w:ind w:left="0" w:firstLine="0"/>
              <w:rPr>
                <w:rFonts w:ascii="宋体" w:hAnsi="宋体" w:eastAsia="宋体" w:cs="宋体"/>
                <w:color w:val="auto"/>
                <w:sz w:val="24"/>
                <w:szCs w:val="24"/>
              </w:rPr>
            </w:pPr>
            <w:r>
              <w:rPr>
                <w:rFonts w:hint="eastAsia" w:ascii="宋体" w:hAnsi="宋体" w:eastAsia="宋体" w:cs="宋体"/>
                <w:color w:val="auto"/>
                <w:sz w:val="24"/>
                <w:szCs w:val="24"/>
              </w:rPr>
              <w:t>支持每日用水、用电数据记录、对比；</w:t>
            </w:r>
          </w:p>
          <w:p w14:paraId="77C6A309">
            <w:pPr>
              <w:pStyle w:val="22"/>
              <w:numPr>
                <w:ilvl w:val="0"/>
                <w:numId w:val="189"/>
              </w:numPr>
              <w:ind w:left="0" w:firstLine="0"/>
              <w:rPr>
                <w:rFonts w:ascii="宋体" w:hAnsi="宋体" w:eastAsia="宋体" w:cs="宋体"/>
                <w:color w:val="auto"/>
                <w:sz w:val="24"/>
                <w:szCs w:val="24"/>
              </w:rPr>
            </w:pPr>
            <w:r>
              <w:rPr>
                <w:rFonts w:hint="eastAsia" w:ascii="宋体" w:hAnsi="宋体" w:eastAsia="宋体" w:cs="宋体"/>
                <w:color w:val="auto"/>
                <w:sz w:val="24"/>
                <w:szCs w:val="24"/>
              </w:rPr>
              <w:t>支持依据不同场所设置总表、分表，进行数据统计；</w:t>
            </w:r>
          </w:p>
          <w:p w14:paraId="2A6E72C4">
            <w:pPr>
              <w:numPr>
                <w:ilvl w:val="0"/>
                <w:numId w:val="188"/>
              </w:numPr>
              <w:ind w:left="0" w:firstLine="0"/>
              <w:jc w:val="left"/>
              <w:rPr>
                <w:rFonts w:ascii="宋体" w:hAnsi="宋体" w:cs="宋体"/>
                <w:color w:val="auto"/>
                <w:sz w:val="24"/>
                <w:szCs w:val="24"/>
              </w:rPr>
            </w:pPr>
            <w:r>
              <w:rPr>
                <w:rFonts w:hint="eastAsia" w:ascii="宋体" w:hAnsi="宋体" w:cs="宋体"/>
                <w:color w:val="auto"/>
                <w:sz w:val="24"/>
                <w:szCs w:val="24"/>
              </w:rPr>
              <w:t>用电管理设备参数：</w:t>
            </w:r>
          </w:p>
          <w:p w14:paraId="1C2CA930">
            <w:pPr>
              <w:pStyle w:val="22"/>
              <w:numPr>
                <w:ilvl w:val="0"/>
                <w:numId w:val="190"/>
              </w:numPr>
              <w:ind w:left="0" w:firstLine="0"/>
              <w:rPr>
                <w:rFonts w:ascii="宋体" w:hAnsi="宋体" w:eastAsia="宋体" w:cs="宋体"/>
                <w:color w:val="auto"/>
                <w:sz w:val="24"/>
                <w:szCs w:val="24"/>
              </w:rPr>
            </w:pPr>
            <w:r>
              <w:rPr>
                <w:rFonts w:ascii="宋体" w:hAnsi="宋体" w:eastAsia="宋体" w:cs="宋体"/>
                <w:color w:val="auto"/>
                <w:sz w:val="24"/>
                <w:szCs w:val="24"/>
              </w:rPr>
              <w:t>IO通讯模块主要参数：</w:t>
            </w:r>
          </w:p>
          <w:p w14:paraId="25F46FF4">
            <w:pPr>
              <w:numPr>
                <w:ilvl w:val="0"/>
                <w:numId w:val="191"/>
              </w:numPr>
              <w:wordWrap w:val="0"/>
              <w:ind w:firstLine="0"/>
              <w:jc w:val="left"/>
              <w:rPr>
                <w:rFonts w:ascii="宋体" w:hAnsi="宋体" w:cs="宋体"/>
                <w:color w:val="auto"/>
                <w:sz w:val="24"/>
                <w:szCs w:val="24"/>
              </w:rPr>
            </w:pPr>
            <w:r>
              <w:rPr>
                <w:rFonts w:ascii="宋体" w:hAnsi="宋体" w:cs="宋体"/>
                <w:color w:val="auto"/>
                <w:sz w:val="24"/>
                <w:szCs w:val="24"/>
              </w:rPr>
              <w:t>触点容量:10A/250VAC</w:t>
            </w:r>
            <w:r>
              <w:rPr>
                <w:rFonts w:hint="eastAsia" w:ascii="宋体" w:hAnsi="宋体" w:cs="宋体"/>
                <w:color w:val="auto"/>
                <w:sz w:val="24"/>
                <w:szCs w:val="24"/>
              </w:rPr>
              <w:t>；</w:t>
            </w:r>
          </w:p>
          <w:p w14:paraId="11ACE078">
            <w:pPr>
              <w:numPr>
                <w:ilvl w:val="0"/>
                <w:numId w:val="191"/>
              </w:numPr>
              <w:wordWrap w:val="0"/>
              <w:ind w:firstLine="0"/>
              <w:jc w:val="left"/>
              <w:rPr>
                <w:rFonts w:ascii="宋体" w:hAnsi="宋体" w:cs="宋体"/>
                <w:color w:val="auto"/>
                <w:sz w:val="24"/>
                <w:szCs w:val="24"/>
              </w:rPr>
            </w:pPr>
            <w:r>
              <w:rPr>
                <w:rFonts w:ascii="宋体" w:hAnsi="宋体" w:cs="宋体"/>
                <w:color w:val="auto"/>
                <w:sz w:val="24"/>
                <w:szCs w:val="24"/>
              </w:rPr>
              <w:t>耐久性:10万次</w:t>
            </w:r>
            <w:r>
              <w:rPr>
                <w:rFonts w:hint="eastAsia" w:ascii="宋体" w:hAnsi="宋体" w:cs="宋体"/>
                <w:color w:val="auto"/>
                <w:sz w:val="24"/>
                <w:szCs w:val="24"/>
              </w:rPr>
              <w:t>；</w:t>
            </w:r>
          </w:p>
          <w:p w14:paraId="630158E9">
            <w:pPr>
              <w:numPr>
                <w:ilvl w:val="0"/>
                <w:numId w:val="191"/>
              </w:numPr>
              <w:wordWrap w:val="0"/>
              <w:ind w:firstLine="0"/>
              <w:jc w:val="left"/>
              <w:rPr>
                <w:rFonts w:ascii="宋体" w:hAnsi="宋体" w:cs="宋体"/>
                <w:color w:val="auto"/>
                <w:sz w:val="24"/>
                <w:szCs w:val="24"/>
              </w:rPr>
            </w:pPr>
            <w:r>
              <w:rPr>
                <w:rFonts w:ascii="宋体" w:hAnsi="宋体" w:cs="宋体"/>
                <w:color w:val="auto"/>
                <w:sz w:val="24"/>
                <w:szCs w:val="24"/>
              </w:rPr>
              <w:t>数据接口:RS232、RS485</w:t>
            </w:r>
            <w:r>
              <w:rPr>
                <w:rFonts w:hint="eastAsia" w:ascii="宋体" w:hAnsi="宋体" w:cs="宋体"/>
                <w:color w:val="auto"/>
                <w:sz w:val="24"/>
                <w:szCs w:val="24"/>
              </w:rPr>
              <w:t>；</w:t>
            </w:r>
          </w:p>
          <w:p w14:paraId="721A0A00">
            <w:pPr>
              <w:numPr>
                <w:ilvl w:val="0"/>
                <w:numId w:val="191"/>
              </w:numPr>
              <w:wordWrap w:val="0"/>
              <w:ind w:firstLine="0"/>
              <w:jc w:val="left"/>
              <w:rPr>
                <w:rFonts w:ascii="宋体" w:hAnsi="宋体" w:cs="宋体"/>
                <w:color w:val="auto"/>
                <w:sz w:val="24"/>
                <w:szCs w:val="24"/>
              </w:rPr>
            </w:pPr>
            <w:r>
              <w:rPr>
                <w:rFonts w:ascii="宋体" w:hAnsi="宋体" w:cs="宋体"/>
                <w:color w:val="auto"/>
                <w:sz w:val="24"/>
                <w:szCs w:val="24"/>
              </w:rPr>
              <w:t>额定电压:DC 7-30V</w:t>
            </w:r>
            <w:r>
              <w:rPr>
                <w:rFonts w:hint="eastAsia" w:ascii="宋体" w:hAnsi="宋体" w:cs="宋体"/>
                <w:color w:val="auto"/>
                <w:sz w:val="24"/>
                <w:szCs w:val="24"/>
              </w:rPr>
              <w:t>；</w:t>
            </w:r>
          </w:p>
          <w:p w14:paraId="46B273A4">
            <w:pPr>
              <w:numPr>
                <w:ilvl w:val="0"/>
                <w:numId w:val="191"/>
              </w:numPr>
              <w:wordWrap w:val="0"/>
              <w:ind w:firstLine="0"/>
              <w:jc w:val="left"/>
              <w:rPr>
                <w:rFonts w:ascii="宋体" w:hAnsi="宋体" w:cs="宋体"/>
                <w:color w:val="auto"/>
                <w:sz w:val="24"/>
                <w:szCs w:val="24"/>
              </w:rPr>
            </w:pPr>
            <w:r>
              <w:rPr>
                <w:rFonts w:ascii="宋体" w:hAnsi="宋体" w:cs="宋体"/>
                <w:color w:val="auto"/>
                <w:sz w:val="24"/>
                <w:szCs w:val="24"/>
              </w:rPr>
              <w:t>电源指示:1路红色 LED 指示(通电时常亮)</w:t>
            </w:r>
            <w:r>
              <w:rPr>
                <w:rFonts w:hint="eastAsia" w:ascii="宋体" w:hAnsi="宋体" w:cs="宋体"/>
                <w:color w:val="auto"/>
                <w:sz w:val="24"/>
                <w:szCs w:val="24"/>
              </w:rPr>
              <w:t>；</w:t>
            </w:r>
          </w:p>
          <w:p w14:paraId="0B885568">
            <w:pPr>
              <w:numPr>
                <w:ilvl w:val="0"/>
                <w:numId w:val="191"/>
              </w:numPr>
              <w:wordWrap w:val="0"/>
              <w:ind w:firstLine="0"/>
              <w:jc w:val="left"/>
              <w:rPr>
                <w:rFonts w:ascii="宋体" w:hAnsi="宋体" w:cs="宋体"/>
                <w:color w:val="auto"/>
                <w:sz w:val="24"/>
                <w:szCs w:val="24"/>
              </w:rPr>
            </w:pPr>
            <w:r>
              <w:rPr>
                <w:rFonts w:ascii="宋体" w:hAnsi="宋体" w:cs="宋体"/>
                <w:color w:val="auto"/>
                <w:sz w:val="24"/>
                <w:szCs w:val="24"/>
              </w:rPr>
              <w:t>温度范围:工业级，-40℃~85℃</w:t>
            </w:r>
            <w:r>
              <w:rPr>
                <w:rFonts w:hint="eastAsia" w:ascii="宋体" w:hAnsi="宋体" w:cs="宋体"/>
                <w:color w:val="auto"/>
                <w:sz w:val="24"/>
                <w:szCs w:val="24"/>
              </w:rPr>
              <w:t>；</w:t>
            </w:r>
          </w:p>
          <w:p w14:paraId="4DF63EDE">
            <w:pPr>
              <w:numPr>
                <w:ilvl w:val="0"/>
                <w:numId w:val="191"/>
              </w:numPr>
              <w:wordWrap w:val="0"/>
              <w:ind w:firstLine="0"/>
              <w:jc w:val="left"/>
              <w:rPr>
                <w:rFonts w:ascii="宋体" w:hAnsi="宋体" w:cs="宋体"/>
                <w:color w:val="auto"/>
                <w:sz w:val="24"/>
                <w:szCs w:val="24"/>
              </w:rPr>
            </w:pPr>
            <w:r>
              <w:rPr>
                <w:rFonts w:ascii="宋体" w:hAnsi="宋体" w:cs="宋体"/>
                <w:color w:val="auto"/>
                <w:sz w:val="24"/>
                <w:szCs w:val="24"/>
              </w:rPr>
              <w:t>尺寸:不高于90*150*30mm</w:t>
            </w:r>
            <w:r>
              <w:rPr>
                <w:rFonts w:hint="eastAsia" w:ascii="宋体" w:hAnsi="宋体" w:cs="宋体"/>
                <w:color w:val="auto"/>
                <w:sz w:val="24"/>
                <w:szCs w:val="24"/>
              </w:rPr>
              <w:t>；</w:t>
            </w:r>
          </w:p>
          <w:p w14:paraId="29EBFC29">
            <w:pPr>
              <w:numPr>
                <w:ilvl w:val="0"/>
                <w:numId w:val="191"/>
              </w:numPr>
              <w:wordWrap w:val="0"/>
              <w:ind w:firstLine="0"/>
              <w:jc w:val="left"/>
              <w:rPr>
                <w:rFonts w:ascii="宋体" w:hAnsi="宋体" w:cs="宋体"/>
                <w:color w:val="auto"/>
                <w:sz w:val="24"/>
                <w:szCs w:val="24"/>
              </w:rPr>
            </w:pPr>
            <w:r>
              <w:rPr>
                <w:rFonts w:ascii="宋体" w:hAnsi="宋体" w:cs="宋体"/>
                <w:color w:val="auto"/>
                <w:sz w:val="24"/>
                <w:szCs w:val="24"/>
              </w:rPr>
              <w:t>默认通讯格式:9600,n,8,1</w:t>
            </w:r>
            <w:r>
              <w:rPr>
                <w:rFonts w:hint="eastAsia" w:ascii="宋体" w:hAnsi="宋体" w:cs="宋体"/>
                <w:color w:val="auto"/>
                <w:sz w:val="24"/>
                <w:szCs w:val="24"/>
              </w:rPr>
              <w:t>；</w:t>
            </w:r>
          </w:p>
          <w:p w14:paraId="34F14974">
            <w:pPr>
              <w:numPr>
                <w:ilvl w:val="0"/>
                <w:numId w:val="191"/>
              </w:numPr>
              <w:wordWrap w:val="0"/>
              <w:ind w:firstLine="0"/>
              <w:jc w:val="left"/>
              <w:rPr>
                <w:rFonts w:ascii="宋体" w:hAnsi="宋体" w:cs="宋体"/>
                <w:color w:val="auto"/>
                <w:sz w:val="24"/>
                <w:szCs w:val="24"/>
              </w:rPr>
            </w:pPr>
            <w:r>
              <w:rPr>
                <w:rFonts w:ascii="宋体" w:hAnsi="宋体" w:cs="宋体"/>
                <w:color w:val="auto"/>
                <w:sz w:val="24"/>
                <w:szCs w:val="24"/>
              </w:rPr>
              <w:t>波特率:2400.4800.9600 19200.38400.115200</w:t>
            </w:r>
            <w:r>
              <w:rPr>
                <w:rFonts w:hint="eastAsia" w:ascii="宋体" w:hAnsi="宋体" w:cs="宋体"/>
                <w:color w:val="auto"/>
                <w:sz w:val="24"/>
                <w:szCs w:val="24"/>
              </w:rPr>
              <w:t>；</w:t>
            </w:r>
          </w:p>
          <w:p w14:paraId="7A51816E">
            <w:pPr>
              <w:numPr>
                <w:ilvl w:val="0"/>
                <w:numId w:val="191"/>
              </w:numPr>
              <w:wordWrap w:val="0"/>
              <w:ind w:firstLine="0"/>
              <w:jc w:val="left"/>
              <w:rPr>
                <w:color w:val="auto"/>
              </w:rPr>
            </w:pPr>
            <w:r>
              <w:rPr>
                <w:rFonts w:ascii="宋体" w:hAnsi="宋体" w:cs="宋体"/>
                <w:color w:val="auto"/>
                <w:sz w:val="24"/>
                <w:szCs w:val="24"/>
              </w:rPr>
              <w:t>软件支持:配套配置软件、控制软件；支持各家组态软件；支持Labviewd 等</w:t>
            </w:r>
            <w:r>
              <w:rPr>
                <w:rFonts w:hint="eastAsia" w:ascii="宋体" w:hAnsi="宋体" w:cs="宋体"/>
                <w:color w:val="auto"/>
                <w:sz w:val="24"/>
                <w:szCs w:val="24"/>
              </w:rPr>
              <w:t>；</w:t>
            </w:r>
          </w:p>
          <w:p w14:paraId="2C4A9984">
            <w:pPr>
              <w:pStyle w:val="22"/>
              <w:numPr>
                <w:ilvl w:val="0"/>
                <w:numId w:val="190"/>
              </w:numPr>
              <w:ind w:left="0" w:firstLine="0"/>
              <w:rPr>
                <w:rFonts w:ascii="宋体" w:hAnsi="宋体" w:eastAsia="宋体" w:cs="宋体"/>
                <w:color w:val="auto"/>
                <w:sz w:val="24"/>
                <w:szCs w:val="24"/>
              </w:rPr>
            </w:pPr>
            <w:r>
              <w:rPr>
                <w:rFonts w:hint="eastAsia" w:ascii="宋体" w:hAnsi="宋体" w:eastAsia="宋体" w:cs="宋体"/>
                <w:color w:val="auto"/>
                <w:sz w:val="24"/>
                <w:szCs w:val="24"/>
              </w:rPr>
              <w:t>能耗监管</w:t>
            </w:r>
            <w:r>
              <w:rPr>
                <w:rFonts w:ascii="宋体" w:hAnsi="宋体" w:eastAsia="宋体" w:cs="宋体"/>
                <w:color w:val="auto"/>
                <w:sz w:val="24"/>
                <w:szCs w:val="24"/>
              </w:rPr>
              <w:t>-</w:t>
            </w:r>
            <w:r>
              <w:rPr>
                <w:rFonts w:hint="eastAsia" w:ascii="宋体" w:hAnsi="宋体" w:eastAsia="宋体" w:cs="宋体"/>
                <w:color w:val="auto"/>
                <w:sz w:val="24"/>
                <w:szCs w:val="24"/>
              </w:rPr>
              <w:t>电主要参数：</w:t>
            </w:r>
          </w:p>
          <w:p w14:paraId="01CE0A23">
            <w:pPr>
              <w:numPr>
                <w:ilvl w:val="0"/>
                <w:numId w:val="192"/>
              </w:numPr>
              <w:wordWrap w:val="0"/>
              <w:ind w:firstLine="0"/>
              <w:jc w:val="left"/>
              <w:rPr>
                <w:rFonts w:ascii="宋体" w:hAnsi="宋体" w:cs="宋体"/>
                <w:color w:val="auto"/>
                <w:sz w:val="24"/>
                <w:szCs w:val="24"/>
              </w:rPr>
            </w:pPr>
            <w:r>
              <w:rPr>
                <w:rFonts w:hint="eastAsia" w:ascii="宋体" w:hAnsi="宋体" w:cs="宋体"/>
                <w:color w:val="auto"/>
                <w:sz w:val="24"/>
                <w:szCs w:val="24"/>
              </w:rPr>
              <w:t>精度等级：有功</w:t>
            </w:r>
            <w:r>
              <w:rPr>
                <w:rFonts w:ascii="宋体" w:hAnsi="宋体" w:cs="宋体"/>
                <w:color w:val="auto"/>
                <w:sz w:val="24"/>
                <w:szCs w:val="24"/>
              </w:rPr>
              <w:t>1级；</w:t>
            </w:r>
          </w:p>
          <w:p w14:paraId="4DA60100">
            <w:pPr>
              <w:numPr>
                <w:ilvl w:val="0"/>
                <w:numId w:val="192"/>
              </w:numPr>
              <w:wordWrap w:val="0"/>
              <w:ind w:firstLine="0"/>
              <w:jc w:val="left"/>
              <w:rPr>
                <w:rFonts w:ascii="宋体" w:hAnsi="宋体" w:cs="宋体"/>
                <w:color w:val="auto"/>
                <w:sz w:val="24"/>
                <w:szCs w:val="24"/>
              </w:rPr>
            </w:pPr>
            <w:r>
              <w:rPr>
                <w:rFonts w:hint="eastAsia" w:ascii="宋体" w:hAnsi="宋体" w:cs="宋体"/>
                <w:color w:val="auto"/>
                <w:sz w:val="24"/>
                <w:szCs w:val="24"/>
              </w:rPr>
              <w:t>参比电压：</w:t>
            </w:r>
            <w:r>
              <w:rPr>
                <w:rFonts w:ascii="宋体" w:hAnsi="宋体" w:cs="宋体"/>
                <w:color w:val="auto"/>
                <w:sz w:val="24"/>
                <w:szCs w:val="24"/>
              </w:rPr>
              <w:t>AC 220V±20%；</w:t>
            </w:r>
          </w:p>
          <w:p w14:paraId="2F7B702D">
            <w:pPr>
              <w:numPr>
                <w:ilvl w:val="0"/>
                <w:numId w:val="192"/>
              </w:numPr>
              <w:wordWrap w:val="0"/>
              <w:ind w:firstLine="0"/>
              <w:jc w:val="left"/>
              <w:rPr>
                <w:rFonts w:ascii="宋体" w:hAnsi="宋体" w:cs="宋体"/>
                <w:color w:val="auto"/>
                <w:sz w:val="24"/>
                <w:szCs w:val="24"/>
              </w:rPr>
            </w:pPr>
            <w:r>
              <w:rPr>
                <w:rFonts w:hint="eastAsia" w:ascii="宋体" w:hAnsi="宋体" w:cs="宋体"/>
                <w:color w:val="auto"/>
                <w:sz w:val="24"/>
                <w:szCs w:val="24"/>
              </w:rPr>
              <w:t>电流规格：</w:t>
            </w:r>
            <w:r>
              <w:rPr>
                <w:rFonts w:ascii="宋体" w:hAnsi="宋体" w:cs="宋体"/>
                <w:color w:val="auto"/>
                <w:sz w:val="24"/>
                <w:szCs w:val="24"/>
              </w:rPr>
              <w:t>5(40)A，10(40)A，5(60)A,20(80)A，10(100)A；</w:t>
            </w:r>
          </w:p>
          <w:p w14:paraId="32572709">
            <w:pPr>
              <w:numPr>
                <w:ilvl w:val="0"/>
                <w:numId w:val="192"/>
              </w:numPr>
              <w:wordWrap w:val="0"/>
              <w:ind w:firstLine="0"/>
              <w:jc w:val="left"/>
              <w:rPr>
                <w:rFonts w:ascii="宋体" w:hAnsi="宋体" w:cs="宋体"/>
                <w:color w:val="auto"/>
                <w:sz w:val="24"/>
                <w:szCs w:val="24"/>
              </w:rPr>
            </w:pPr>
            <w:r>
              <w:rPr>
                <w:rFonts w:hint="eastAsia" w:ascii="宋体" w:hAnsi="宋体" w:cs="宋体"/>
                <w:color w:val="auto"/>
                <w:sz w:val="24"/>
                <w:szCs w:val="24"/>
              </w:rPr>
              <w:t>整机功耗：≤</w:t>
            </w:r>
            <w:r>
              <w:rPr>
                <w:rFonts w:ascii="宋体" w:hAnsi="宋体" w:cs="宋体"/>
                <w:color w:val="auto"/>
                <w:sz w:val="24"/>
                <w:szCs w:val="24"/>
              </w:rPr>
              <w:t>1W/8VA；</w:t>
            </w:r>
          </w:p>
          <w:p w14:paraId="577543A6">
            <w:pPr>
              <w:numPr>
                <w:ilvl w:val="0"/>
                <w:numId w:val="192"/>
              </w:numPr>
              <w:wordWrap w:val="0"/>
              <w:ind w:firstLine="0"/>
              <w:jc w:val="left"/>
              <w:rPr>
                <w:rFonts w:ascii="宋体" w:hAnsi="宋体" w:cs="宋体"/>
                <w:color w:val="auto"/>
                <w:sz w:val="24"/>
                <w:szCs w:val="24"/>
              </w:rPr>
            </w:pPr>
            <w:r>
              <w:rPr>
                <w:rFonts w:hint="eastAsia" w:ascii="宋体" w:hAnsi="宋体" w:cs="宋体"/>
                <w:color w:val="auto"/>
                <w:sz w:val="24"/>
                <w:szCs w:val="24"/>
              </w:rPr>
              <w:t>参比频率：</w:t>
            </w:r>
            <w:r>
              <w:rPr>
                <w:rFonts w:ascii="宋体" w:hAnsi="宋体" w:cs="宋体"/>
                <w:color w:val="auto"/>
                <w:sz w:val="24"/>
                <w:szCs w:val="24"/>
              </w:rPr>
              <w:t>50HZ；</w:t>
            </w:r>
          </w:p>
          <w:p w14:paraId="4F3A5AC1">
            <w:pPr>
              <w:numPr>
                <w:ilvl w:val="0"/>
                <w:numId w:val="192"/>
              </w:numPr>
              <w:wordWrap w:val="0"/>
              <w:ind w:firstLine="0"/>
              <w:jc w:val="left"/>
              <w:rPr>
                <w:rFonts w:ascii="宋体" w:hAnsi="宋体" w:cs="宋体"/>
                <w:color w:val="auto"/>
                <w:sz w:val="24"/>
                <w:szCs w:val="24"/>
              </w:rPr>
            </w:pPr>
            <w:r>
              <w:rPr>
                <w:rFonts w:hint="eastAsia" w:ascii="宋体" w:hAnsi="宋体" w:cs="宋体"/>
                <w:color w:val="auto"/>
                <w:sz w:val="24"/>
                <w:szCs w:val="24"/>
              </w:rPr>
              <w:t>工作电压范围：</w:t>
            </w:r>
            <w:r>
              <w:rPr>
                <w:rFonts w:ascii="宋体" w:hAnsi="宋体" w:cs="宋体"/>
                <w:color w:val="auto"/>
                <w:sz w:val="24"/>
                <w:szCs w:val="24"/>
              </w:rPr>
              <w:t>70%Un-115%Un；</w:t>
            </w:r>
          </w:p>
          <w:p w14:paraId="3DF8327D">
            <w:pPr>
              <w:numPr>
                <w:ilvl w:val="0"/>
                <w:numId w:val="192"/>
              </w:numPr>
              <w:wordWrap w:val="0"/>
              <w:ind w:firstLine="0"/>
              <w:jc w:val="left"/>
              <w:rPr>
                <w:rFonts w:ascii="宋体" w:hAnsi="宋体" w:cs="宋体"/>
                <w:color w:val="auto"/>
                <w:sz w:val="24"/>
                <w:szCs w:val="24"/>
              </w:rPr>
            </w:pPr>
            <w:r>
              <w:rPr>
                <w:rFonts w:hint="eastAsia" w:ascii="宋体" w:hAnsi="宋体" w:cs="宋体"/>
                <w:color w:val="auto"/>
                <w:sz w:val="24"/>
                <w:szCs w:val="24"/>
              </w:rPr>
              <w:t>工作温度：</w:t>
            </w:r>
            <w:r>
              <w:rPr>
                <w:rFonts w:ascii="宋体" w:hAnsi="宋体" w:cs="宋体"/>
                <w:color w:val="auto"/>
                <w:sz w:val="24"/>
                <w:szCs w:val="24"/>
              </w:rPr>
              <w:t>-20℃-+55℃；</w:t>
            </w:r>
          </w:p>
          <w:p w14:paraId="0F1B086C">
            <w:pPr>
              <w:numPr>
                <w:ilvl w:val="0"/>
                <w:numId w:val="192"/>
              </w:numPr>
              <w:wordWrap w:val="0"/>
              <w:ind w:firstLine="0"/>
              <w:jc w:val="left"/>
              <w:rPr>
                <w:rFonts w:ascii="宋体" w:hAnsi="宋体" w:cs="宋体"/>
                <w:color w:val="auto"/>
                <w:sz w:val="24"/>
                <w:szCs w:val="24"/>
              </w:rPr>
            </w:pPr>
            <w:r>
              <w:rPr>
                <w:rFonts w:hint="eastAsia" w:ascii="宋体" w:hAnsi="宋体" w:cs="宋体"/>
                <w:color w:val="auto"/>
                <w:sz w:val="24"/>
                <w:szCs w:val="24"/>
              </w:rPr>
              <w:t>极限工作温度：</w:t>
            </w:r>
            <w:r>
              <w:rPr>
                <w:rFonts w:ascii="宋体" w:hAnsi="宋体" w:cs="宋体"/>
                <w:color w:val="auto"/>
                <w:sz w:val="24"/>
                <w:szCs w:val="24"/>
              </w:rPr>
              <w:t>-25℃-+70℃；</w:t>
            </w:r>
          </w:p>
          <w:p w14:paraId="522B8FDC">
            <w:pPr>
              <w:numPr>
                <w:ilvl w:val="0"/>
                <w:numId w:val="192"/>
              </w:numPr>
              <w:wordWrap w:val="0"/>
              <w:ind w:firstLine="0"/>
              <w:jc w:val="left"/>
              <w:rPr>
                <w:rFonts w:ascii="宋体" w:hAnsi="宋体" w:cs="宋体"/>
                <w:color w:val="auto"/>
                <w:sz w:val="24"/>
                <w:szCs w:val="24"/>
              </w:rPr>
            </w:pPr>
            <w:r>
              <w:rPr>
                <w:rFonts w:hint="eastAsia" w:ascii="宋体" w:hAnsi="宋体" w:cs="宋体"/>
                <w:color w:val="auto"/>
                <w:sz w:val="24"/>
                <w:szCs w:val="24"/>
              </w:rPr>
              <w:t>产品标准：</w:t>
            </w:r>
            <w:r>
              <w:rPr>
                <w:rFonts w:ascii="宋体" w:hAnsi="宋体" w:cs="宋体"/>
                <w:color w:val="auto"/>
                <w:sz w:val="24"/>
                <w:szCs w:val="24"/>
              </w:rPr>
              <w:t>GB/T17215.321；</w:t>
            </w:r>
          </w:p>
          <w:p w14:paraId="08D7136F">
            <w:pPr>
              <w:numPr>
                <w:ilvl w:val="0"/>
                <w:numId w:val="192"/>
              </w:numPr>
              <w:wordWrap w:val="0"/>
              <w:ind w:firstLine="0"/>
              <w:jc w:val="left"/>
              <w:rPr>
                <w:rFonts w:ascii="宋体" w:hAnsi="宋体" w:cs="宋体"/>
                <w:color w:val="auto"/>
                <w:sz w:val="24"/>
                <w:szCs w:val="24"/>
              </w:rPr>
            </w:pPr>
            <w:r>
              <w:rPr>
                <w:rFonts w:ascii="宋体" w:hAnsi="宋体" w:cs="宋体"/>
                <w:color w:val="auto"/>
                <w:sz w:val="24"/>
                <w:szCs w:val="24"/>
              </w:rPr>
              <w:t>RS485串口：DL/T645-2007，DL/T645-1997为偶校验，Modbus-RTU为无校验；</w:t>
            </w:r>
          </w:p>
          <w:p w14:paraId="15BE654F">
            <w:pPr>
              <w:numPr>
                <w:ilvl w:val="0"/>
                <w:numId w:val="192"/>
              </w:numPr>
              <w:wordWrap w:val="0"/>
              <w:ind w:firstLine="0"/>
              <w:jc w:val="left"/>
              <w:rPr>
                <w:rFonts w:ascii="宋体" w:hAnsi="宋体" w:cs="宋体"/>
                <w:color w:val="auto"/>
                <w:sz w:val="24"/>
                <w:szCs w:val="24"/>
              </w:rPr>
            </w:pPr>
            <w:r>
              <w:rPr>
                <w:rFonts w:hint="eastAsia" w:ascii="宋体" w:hAnsi="宋体" w:cs="宋体"/>
                <w:color w:val="auto"/>
                <w:sz w:val="24"/>
                <w:szCs w:val="24"/>
              </w:rPr>
              <w:t>外形尺寸</w:t>
            </w:r>
            <w:r>
              <w:rPr>
                <w:rFonts w:ascii="宋体" w:hAnsi="宋体" w:cs="宋体"/>
                <w:color w:val="auto"/>
                <w:sz w:val="24"/>
                <w:szCs w:val="24"/>
              </w:rPr>
              <w:t>(mm)：不高于145x105x51mm；</w:t>
            </w:r>
          </w:p>
          <w:p w14:paraId="01C833C2">
            <w:pPr>
              <w:numPr>
                <w:ilvl w:val="0"/>
                <w:numId w:val="188"/>
              </w:numPr>
              <w:ind w:left="0" w:firstLine="0"/>
              <w:jc w:val="left"/>
              <w:rPr>
                <w:rFonts w:ascii="宋体" w:hAnsi="宋体" w:cs="宋体"/>
                <w:color w:val="auto"/>
                <w:sz w:val="24"/>
                <w:szCs w:val="24"/>
              </w:rPr>
            </w:pPr>
            <w:r>
              <w:rPr>
                <w:rFonts w:hint="eastAsia" w:ascii="宋体" w:hAnsi="宋体" w:cs="宋体"/>
                <w:color w:val="auto"/>
                <w:sz w:val="24"/>
                <w:szCs w:val="24"/>
              </w:rPr>
              <w:t>用水管理设备参数：</w:t>
            </w:r>
          </w:p>
          <w:p w14:paraId="60411DD5">
            <w:pPr>
              <w:pStyle w:val="22"/>
              <w:numPr>
                <w:ilvl w:val="0"/>
                <w:numId w:val="193"/>
              </w:numPr>
              <w:ind w:left="0" w:firstLine="0"/>
              <w:rPr>
                <w:rFonts w:ascii="宋体" w:hAnsi="宋体" w:eastAsia="宋体" w:cs="宋体"/>
                <w:color w:val="auto"/>
                <w:sz w:val="24"/>
                <w:szCs w:val="24"/>
              </w:rPr>
            </w:pPr>
            <w:r>
              <w:rPr>
                <w:rFonts w:ascii="宋体" w:hAnsi="宋体" w:eastAsia="宋体" w:cs="宋体"/>
                <w:color w:val="auto"/>
                <w:sz w:val="24"/>
                <w:szCs w:val="24"/>
              </w:rPr>
              <w:t>IO通讯模块主要参数：</w:t>
            </w:r>
          </w:p>
          <w:p w14:paraId="1C0EFA78">
            <w:pPr>
              <w:numPr>
                <w:ilvl w:val="0"/>
                <w:numId w:val="194"/>
              </w:numPr>
              <w:wordWrap w:val="0"/>
              <w:ind w:firstLine="0"/>
              <w:jc w:val="left"/>
              <w:rPr>
                <w:rFonts w:ascii="宋体" w:hAnsi="宋体" w:cs="宋体"/>
                <w:color w:val="auto"/>
                <w:sz w:val="24"/>
                <w:szCs w:val="24"/>
              </w:rPr>
            </w:pPr>
            <w:r>
              <w:rPr>
                <w:rFonts w:ascii="宋体" w:hAnsi="宋体" w:cs="宋体"/>
                <w:color w:val="auto"/>
                <w:sz w:val="24"/>
                <w:szCs w:val="24"/>
              </w:rPr>
              <w:t>触点容量:10A/250VAC</w:t>
            </w:r>
            <w:r>
              <w:rPr>
                <w:rFonts w:hint="eastAsia" w:ascii="宋体" w:hAnsi="宋体" w:cs="宋体"/>
                <w:color w:val="auto"/>
                <w:sz w:val="24"/>
                <w:szCs w:val="24"/>
              </w:rPr>
              <w:t>；</w:t>
            </w:r>
          </w:p>
          <w:p w14:paraId="3ADB7F62">
            <w:pPr>
              <w:numPr>
                <w:ilvl w:val="0"/>
                <w:numId w:val="194"/>
              </w:numPr>
              <w:wordWrap w:val="0"/>
              <w:ind w:firstLine="0"/>
              <w:jc w:val="left"/>
              <w:rPr>
                <w:rFonts w:ascii="宋体" w:hAnsi="宋体" w:cs="宋体"/>
                <w:color w:val="auto"/>
                <w:sz w:val="24"/>
                <w:szCs w:val="24"/>
              </w:rPr>
            </w:pPr>
            <w:r>
              <w:rPr>
                <w:rFonts w:ascii="宋体" w:hAnsi="宋体" w:cs="宋体"/>
                <w:color w:val="auto"/>
                <w:sz w:val="24"/>
                <w:szCs w:val="24"/>
              </w:rPr>
              <w:t>耐久性:10万次</w:t>
            </w:r>
            <w:r>
              <w:rPr>
                <w:rFonts w:hint="eastAsia" w:ascii="宋体" w:hAnsi="宋体" w:cs="宋体"/>
                <w:color w:val="auto"/>
                <w:sz w:val="24"/>
                <w:szCs w:val="24"/>
              </w:rPr>
              <w:t>；</w:t>
            </w:r>
          </w:p>
          <w:p w14:paraId="0BA82E2F">
            <w:pPr>
              <w:numPr>
                <w:ilvl w:val="0"/>
                <w:numId w:val="194"/>
              </w:numPr>
              <w:wordWrap w:val="0"/>
              <w:ind w:firstLine="0"/>
              <w:jc w:val="left"/>
              <w:rPr>
                <w:rFonts w:ascii="宋体" w:hAnsi="宋体" w:cs="宋体"/>
                <w:color w:val="auto"/>
                <w:sz w:val="24"/>
                <w:szCs w:val="24"/>
              </w:rPr>
            </w:pPr>
            <w:r>
              <w:rPr>
                <w:rFonts w:ascii="宋体" w:hAnsi="宋体" w:cs="宋体"/>
                <w:color w:val="auto"/>
                <w:sz w:val="24"/>
                <w:szCs w:val="24"/>
              </w:rPr>
              <w:t>数据接口:RS232、RS485</w:t>
            </w:r>
            <w:r>
              <w:rPr>
                <w:rFonts w:hint="eastAsia" w:ascii="宋体" w:hAnsi="宋体" w:cs="宋体"/>
                <w:color w:val="auto"/>
                <w:sz w:val="24"/>
                <w:szCs w:val="24"/>
              </w:rPr>
              <w:t>；</w:t>
            </w:r>
          </w:p>
          <w:p w14:paraId="73DFD50E">
            <w:pPr>
              <w:numPr>
                <w:ilvl w:val="0"/>
                <w:numId w:val="194"/>
              </w:numPr>
              <w:wordWrap w:val="0"/>
              <w:ind w:firstLine="0"/>
              <w:jc w:val="left"/>
              <w:rPr>
                <w:rFonts w:ascii="宋体" w:hAnsi="宋体" w:cs="宋体"/>
                <w:color w:val="auto"/>
                <w:sz w:val="24"/>
                <w:szCs w:val="24"/>
              </w:rPr>
            </w:pPr>
            <w:r>
              <w:rPr>
                <w:rFonts w:ascii="宋体" w:hAnsi="宋体" w:cs="宋体"/>
                <w:color w:val="auto"/>
                <w:sz w:val="24"/>
                <w:szCs w:val="24"/>
              </w:rPr>
              <w:t>额定电压:DC 7-30V</w:t>
            </w:r>
            <w:r>
              <w:rPr>
                <w:rFonts w:hint="eastAsia" w:ascii="宋体" w:hAnsi="宋体" w:cs="宋体"/>
                <w:color w:val="auto"/>
                <w:sz w:val="24"/>
                <w:szCs w:val="24"/>
              </w:rPr>
              <w:t>；</w:t>
            </w:r>
          </w:p>
          <w:p w14:paraId="4C2E366E">
            <w:pPr>
              <w:numPr>
                <w:ilvl w:val="0"/>
                <w:numId w:val="194"/>
              </w:numPr>
              <w:wordWrap w:val="0"/>
              <w:ind w:firstLine="0"/>
              <w:jc w:val="left"/>
              <w:rPr>
                <w:rFonts w:ascii="宋体" w:hAnsi="宋体" w:cs="宋体"/>
                <w:color w:val="auto"/>
                <w:sz w:val="24"/>
                <w:szCs w:val="24"/>
              </w:rPr>
            </w:pPr>
            <w:r>
              <w:rPr>
                <w:rFonts w:ascii="宋体" w:hAnsi="宋体" w:cs="宋体"/>
                <w:color w:val="auto"/>
                <w:sz w:val="24"/>
                <w:szCs w:val="24"/>
              </w:rPr>
              <w:t>电源指示:1路红色 LED 指示(通电时常亮)</w:t>
            </w:r>
            <w:r>
              <w:rPr>
                <w:rFonts w:hint="eastAsia" w:ascii="宋体" w:hAnsi="宋体" w:cs="宋体"/>
                <w:color w:val="auto"/>
                <w:sz w:val="24"/>
                <w:szCs w:val="24"/>
              </w:rPr>
              <w:t>；</w:t>
            </w:r>
          </w:p>
          <w:p w14:paraId="5D9E427D">
            <w:pPr>
              <w:numPr>
                <w:ilvl w:val="0"/>
                <w:numId w:val="194"/>
              </w:numPr>
              <w:wordWrap w:val="0"/>
              <w:ind w:firstLine="0"/>
              <w:jc w:val="left"/>
              <w:rPr>
                <w:rFonts w:ascii="宋体" w:hAnsi="宋体" w:cs="宋体"/>
                <w:color w:val="auto"/>
                <w:sz w:val="24"/>
                <w:szCs w:val="24"/>
              </w:rPr>
            </w:pPr>
            <w:r>
              <w:rPr>
                <w:rFonts w:ascii="宋体" w:hAnsi="宋体" w:cs="宋体"/>
                <w:color w:val="auto"/>
                <w:sz w:val="24"/>
                <w:szCs w:val="24"/>
              </w:rPr>
              <w:t>温度范围:工业级，-40℃~85℃</w:t>
            </w:r>
            <w:r>
              <w:rPr>
                <w:rFonts w:hint="eastAsia" w:ascii="宋体" w:hAnsi="宋体" w:cs="宋体"/>
                <w:color w:val="auto"/>
                <w:sz w:val="24"/>
                <w:szCs w:val="24"/>
              </w:rPr>
              <w:t>；</w:t>
            </w:r>
          </w:p>
          <w:p w14:paraId="1BFE70B3">
            <w:pPr>
              <w:numPr>
                <w:ilvl w:val="0"/>
                <w:numId w:val="194"/>
              </w:numPr>
              <w:wordWrap w:val="0"/>
              <w:ind w:firstLine="0"/>
              <w:jc w:val="left"/>
              <w:rPr>
                <w:rFonts w:ascii="宋体" w:hAnsi="宋体" w:cs="宋体"/>
                <w:color w:val="auto"/>
                <w:sz w:val="24"/>
                <w:szCs w:val="24"/>
              </w:rPr>
            </w:pPr>
            <w:r>
              <w:rPr>
                <w:rFonts w:ascii="宋体" w:hAnsi="宋体" w:cs="宋体"/>
                <w:color w:val="auto"/>
                <w:sz w:val="24"/>
                <w:szCs w:val="24"/>
              </w:rPr>
              <w:t>尺寸:不高于90*150*30mm</w:t>
            </w:r>
            <w:r>
              <w:rPr>
                <w:rFonts w:hint="eastAsia" w:ascii="宋体" w:hAnsi="宋体" w:cs="宋体"/>
                <w:color w:val="auto"/>
                <w:sz w:val="24"/>
                <w:szCs w:val="24"/>
              </w:rPr>
              <w:t>；</w:t>
            </w:r>
          </w:p>
          <w:p w14:paraId="2BD25B89">
            <w:pPr>
              <w:numPr>
                <w:ilvl w:val="0"/>
                <w:numId w:val="194"/>
              </w:numPr>
              <w:wordWrap w:val="0"/>
              <w:ind w:firstLine="0"/>
              <w:jc w:val="left"/>
              <w:rPr>
                <w:rFonts w:ascii="宋体" w:hAnsi="宋体" w:cs="宋体"/>
                <w:color w:val="auto"/>
                <w:sz w:val="24"/>
                <w:szCs w:val="24"/>
              </w:rPr>
            </w:pPr>
            <w:r>
              <w:rPr>
                <w:rFonts w:ascii="宋体" w:hAnsi="宋体" w:cs="宋体"/>
                <w:color w:val="auto"/>
                <w:sz w:val="24"/>
                <w:szCs w:val="24"/>
              </w:rPr>
              <w:t>默认通讯格式:9600,n,8,1</w:t>
            </w:r>
            <w:r>
              <w:rPr>
                <w:rFonts w:hint="eastAsia" w:ascii="宋体" w:hAnsi="宋体" w:cs="宋体"/>
                <w:color w:val="auto"/>
                <w:sz w:val="24"/>
                <w:szCs w:val="24"/>
              </w:rPr>
              <w:t>；</w:t>
            </w:r>
          </w:p>
          <w:p w14:paraId="6B4C05A2">
            <w:pPr>
              <w:numPr>
                <w:ilvl w:val="0"/>
                <w:numId w:val="194"/>
              </w:numPr>
              <w:wordWrap w:val="0"/>
              <w:ind w:firstLine="0"/>
              <w:jc w:val="left"/>
              <w:rPr>
                <w:rFonts w:ascii="宋体" w:hAnsi="宋体" w:cs="宋体"/>
                <w:color w:val="auto"/>
                <w:sz w:val="24"/>
                <w:szCs w:val="24"/>
              </w:rPr>
            </w:pPr>
            <w:r>
              <w:rPr>
                <w:rFonts w:ascii="宋体" w:hAnsi="宋体" w:cs="宋体"/>
                <w:color w:val="auto"/>
                <w:sz w:val="24"/>
                <w:szCs w:val="24"/>
              </w:rPr>
              <w:t>波特率:2400.4800.9600 19200.38400.115200</w:t>
            </w:r>
            <w:r>
              <w:rPr>
                <w:rFonts w:hint="eastAsia" w:ascii="宋体" w:hAnsi="宋体" w:cs="宋体"/>
                <w:color w:val="auto"/>
                <w:sz w:val="24"/>
                <w:szCs w:val="24"/>
              </w:rPr>
              <w:t>；</w:t>
            </w:r>
          </w:p>
          <w:p w14:paraId="43C86DB5">
            <w:pPr>
              <w:numPr>
                <w:ilvl w:val="0"/>
                <w:numId w:val="194"/>
              </w:numPr>
              <w:wordWrap w:val="0"/>
              <w:ind w:firstLine="0"/>
              <w:jc w:val="left"/>
              <w:rPr>
                <w:color w:val="auto"/>
              </w:rPr>
            </w:pPr>
            <w:r>
              <w:rPr>
                <w:rFonts w:ascii="宋体" w:hAnsi="宋体" w:cs="宋体"/>
                <w:color w:val="auto"/>
                <w:sz w:val="24"/>
                <w:szCs w:val="24"/>
              </w:rPr>
              <w:t>软件支持:配套配置软件、控制软件；支持各家组态软件；支持Labviewd 等</w:t>
            </w:r>
            <w:r>
              <w:rPr>
                <w:rFonts w:hint="eastAsia" w:ascii="宋体" w:hAnsi="宋体" w:cs="宋体"/>
                <w:color w:val="auto"/>
                <w:sz w:val="24"/>
                <w:szCs w:val="24"/>
              </w:rPr>
              <w:t>；</w:t>
            </w:r>
          </w:p>
          <w:p w14:paraId="5AB4DC16">
            <w:pPr>
              <w:pStyle w:val="22"/>
              <w:numPr>
                <w:ilvl w:val="0"/>
                <w:numId w:val="193"/>
              </w:numPr>
              <w:ind w:left="0" w:firstLine="0"/>
              <w:rPr>
                <w:rFonts w:ascii="宋体" w:hAnsi="宋体" w:eastAsia="宋体" w:cs="宋体"/>
                <w:color w:val="auto"/>
                <w:sz w:val="24"/>
                <w:szCs w:val="24"/>
              </w:rPr>
            </w:pPr>
            <w:r>
              <w:rPr>
                <w:rFonts w:hint="eastAsia" w:ascii="宋体" w:hAnsi="宋体" w:eastAsia="宋体" w:cs="宋体"/>
                <w:color w:val="auto"/>
                <w:sz w:val="24"/>
                <w:szCs w:val="24"/>
              </w:rPr>
              <w:t>能耗监管</w:t>
            </w:r>
            <w:r>
              <w:rPr>
                <w:rFonts w:ascii="宋体" w:hAnsi="宋体" w:eastAsia="宋体" w:cs="宋体"/>
                <w:color w:val="auto"/>
                <w:sz w:val="24"/>
                <w:szCs w:val="24"/>
              </w:rPr>
              <w:t>-水主要参数：</w:t>
            </w:r>
          </w:p>
          <w:p w14:paraId="1FD18EE4">
            <w:pPr>
              <w:numPr>
                <w:ilvl w:val="0"/>
                <w:numId w:val="195"/>
              </w:numPr>
              <w:wordWrap w:val="0"/>
              <w:ind w:firstLine="0"/>
              <w:jc w:val="left"/>
              <w:rPr>
                <w:rFonts w:ascii="宋体" w:hAnsi="宋体" w:cs="宋体"/>
                <w:color w:val="auto"/>
                <w:sz w:val="24"/>
                <w:szCs w:val="24"/>
              </w:rPr>
            </w:pPr>
            <w:r>
              <w:rPr>
                <w:rFonts w:hint="eastAsia" w:ascii="宋体" w:hAnsi="宋体" w:cs="宋体"/>
                <w:color w:val="auto"/>
                <w:sz w:val="24"/>
                <w:szCs w:val="24"/>
              </w:rPr>
              <w:t>抄表工作电流</w:t>
            </w:r>
            <w:r>
              <w:rPr>
                <w:rFonts w:ascii="宋体" w:hAnsi="宋体" w:cs="宋体"/>
                <w:color w:val="auto"/>
                <w:sz w:val="24"/>
                <w:szCs w:val="24"/>
              </w:rPr>
              <w:t>:M-bus通讯接口:≤10.0mA，RS-485通讯接口：≤1.5 mA，直读大口径水表：≤5.0mA；</w:t>
            </w:r>
          </w:p>
          <w:p w14:paraId="4D9287D1">
            <w:pPr>
              <w:numPr>
                <w:ilvl w:val="0"/>
                <w:numId w:val="195"/>
              </w:numPr>
              <w:wordWrap w:val="0"/>
              <w:ind w:firstLine="0"/>
              <w:jc w:val="left"/>
              <w:rPr>
                <w:rFonts w:ascii="宋体" w:hAnsi="宋体" w:cs="宋体"/>
                <w:color w:val="auto"/>
                <w:sz w:val="24"/>
                <w:szCs w:val="24"/>
              </w:rPr>
            </w:pPr>
            <w:r>
              <w:rPr>
                <w:rFonts w:hint="eastAsia" w:ascii="宋体" w:hAnsi="宋体" w:cs="宋体"/>
                <w:color w:val="auto"/>
                <w:sz w:val="24"/>
                <w:szCs w:val="24"/>
              </w:rPr>
              <w:t>静态工作电流：</w:t>
            </w:r>
            <w:r>
              <w:rPr>
                <w:rFonts w:ascii="宋体" w:hAnsi="宋体" w:cs="宋体"/>
                <w:color w:val="auto"/>
                <w:sz w:val="24"/>
                <w:szCs w:val="24"/>
              </w:rPr>
              <w:t>M-bus通讯接口：≤1.0mA，RS-485通讯接口：&lt;</w:t>
            </w:r>
            <w:r>
              <w:rPr>
                <w:rFonts w:hint="eastAsia" w:ascii="宋体" w:hAnsi="宋体" w:cs="宋体"/>
                <w:color w:val="auto"/>
                <w:sz w:val="24"/>
                <w:szCs w:val="24"/>
              </w:rPr>
              <w:t>≤</w:t>
            </w:r>
            <w:r>
              <w:rPr>
                <w:rFonts w:ascii="宋体" w:hAnsi="宋体" w:cs="宋体"/>
                <w:color w:val="auto"/>
                <w:sz w:val="24"/>
                <w:szCs w:val="24"/>
              </w:rPr>
              <w:t>.0mA，直读大口径水表：≤1.3mA；</w:t>
            </w:r>
          </w:p>
          <w:p w14:paraId="40AF76A9">
            <w:pPr>
              <w:numPr>
                <w:ilvl w:val="0"/>
                <w:numId w:val="195"/>
              </w:numPr>
              <w:wordWrap w:val="0"/>
              <w:ind w:firstLine="0"/>
              <w:jc w:val="left"/>
              <w:rPr>
                <w:rFonts w:ascii="宋体" w:hAnsi="宋体" w:cs="宋体"/>
                <w:color w:val="auto"/>
                <w:sz w:val="24"/>
                <w:szCs w:val="24"/>
              </w:rPr>
            </w:pPr>
            <w:r>
              <w:rPr>
                <w:rFonts w:hint="eastAsia" w:ascii="宋体" w:hAnsi="宋体" w:cs="宋体"/>
                <w:color w:val="auto"/>
                <w:sz w:val="24"/>
                <w:szCs w:val="24"/>
              </w:rPr>
              <w:t>工作环境：温度范围：</w:t>
            </w:r>
            <w:r>
              <w:rPr>
                <w:rFonts w:ascii="宋体" w:hAnsi="宋体" w:cs="宋体"/>
                <w:color w:val="auto"/>
                <w:sz w:val="24"/>
                <w:szCs w:val="24"/>
              </w:rPr>
              <w:t>+0.1℃~+55℃，存储温度：-25℃-+65℃；</w:t>
            </w:r>
          </w:p>
          <w:p w14:paraId="6172EAB7">
            <w:pPr>
              <w:numPr>
                <w:ilvl w:val="0"/>
                <w:numId w:val="195"/>
              </w:numPr>
              <w:wordWrap w:val="0"/>
              <w:ind w:firstLine="0"/>
              <w:jc w:val="left"/>
              <w:rPr>
                <w:rFonts w:ascii="宋体" w:hAnsi="宋体" w:cs="宋体"/>
                <w:color w:val="auto"/>
                <w:sz w:val="24"/>
                <w:szCs w:val="24"/>
              </w:rPr>
            </w:pPr>
            <w:r>
              <w:rPr>
                <w:rFonts w:hint="eastAsia" w:ascii="宋体" w:hAnsi="宋体" w:cs="宋体"/>
                <w:color w:val="auto"/>
                <w:sz w:val="24"/>
                <w:szCs w:val="24"/>
              </w:rPr>
              <w:t>通信规约：</w:t>
            </w:r>
            <w:r>
              <w:rPr>
                <w:rFonts w:ascii="宋体" w:hAnsi="宋体" w:cs="宋体"/>
                <w:color w:val="auto"/>
                <w:sz w:val="24"/>
                <w:szCs w:val="24"/>
              </w:rPr>
              <w:t>DL/T645、CJ/T 188、MODBUS、TTL、内部或用户指定协议</w:t>
            </w:r>
          </w:p>
          <w:p w14:paraId="1E96467B">
            <w:pPr>
              <w:numPr>
                <w:ilvl w:val="0"/>
                <w:numId w:val="195"/>
              </w:numPr>
              <w:wordWrap w:val="0"/>
              <w:ind w:firstLine="0"/>
              <w:jc w:val="left"/>
              <w:rPr>
                <w:rFonts w:ascii="宋体" w:hAnsi="宋体" w:cs="宋体"/>
                <w:color w:val="auto"/>
                <w:sz w:val="24"/>
                <w:szCs w:val="24"/>
              </w:rPr>
            </w:pPr>
            <w:r>
              <w:rPr>
                <w:rFonts w:hint="eastAsia" w:ascii="宋体" w:hAnsi="宋体" w:cs="宋体"/>
                <w:color w:val="auto"/>
                <w:sz w:val="24"/>
                <w:szCs w:val="24"/>
              </w:rPr>
              <w:t>工作电压：</w:t>
            </w:r>
            <w:r>
              <w:rPr>
                <w:rFonts w:ascii="宋体" w:hAnsi="宋体" w:cs="宋体"/>
                <w:color w:val="auto"/>
                <w:sz w:val="24"/>
                <w:szCs w:val="24"/>
              </w:rPr>
              <w:t>M-bus通讯接口：DC36V，RS-485通讯接口：DC12V~24V；</w:t>
            </w:r>
          </w:p>
          <w:p w14:paraId="2261DDDD">
            <w:pPr>
              <w:numPr>
                <w:ilvl w:val="0"/>
                <w:numId w:val="195"/>
              </w:numPr>
              <w:wordWrap w:val="0"/>
              <w:ind w:firstLine="0"/>
              <w:jc w:val="left"/>
              <w:rPr>
                <w:rFonts w:ascii="宋体" w:hAnsi="宋体" w:cs="宋体"/>
                <w:color w:val="auto"/>
                <w:sz w:val="24"/>
                <w:szCs w:val="24"/>
              </w:rPr>
            </w:pPr>
            <w:r>
              <w:rPr>
                <w:rFonts w:hint="eastAsia" w:ascii="宋体" w:hAnsi="宋体" w:cs="宋体"/>
                <w:color w:val="auto"/>
                <w:sz w:val="24"/>
                <w:szCs w:val="24"/>
              </w:rPr>
              <w:t>温度等级：</w:t>
            </w:r>
            <w:r>
              <w:rPr>
                <w:rFonts w:ascii="宋体" w:hAnsi="宋体" w:cs="宋体"/>
                <w:color w:val="auto"/>
                <w:sz w:val="24"/>
                <w:szCs w:val="24"/>
              </w:rPr>
              <w:t>T30(冷水表) T90(热水表)；</w:t>
            </w:r>
          </w:p>
          <w:p w14:paraId="2A2DD0D8">
            <w:pPr>
              <w:numPr>
                <w:ilvl w:val="0"/>
                <w:numId w:val="195"/>
              </w:numPr>
              <w:wordWrap w:val="0"/>
              <w:ind w:firstLine="0"/>
              <w:jc w:val="left"/>
              <w:rPr>
                <w:rFonts w:ascii="宋体" w:hAnsi="宋体" w:cs="宋体"/>
                <w:color w:val="auto"/>
                <w:sz w:val="24"/>
                <w:szCs w:val="24"/>
              </w:rPr>
            </w:pPr>
            <w:r>
              <w:rPr>
                <w:rFonts w:hint="eastAsia" w:ascii="宋体" w:hAnsi="宋体" w:cs="宋体"/>
                <w:color w:val="auto"/>
                <w:sz w:val="24"/>
                <w:szCs w:val="24"/>
              </w:rPr>
              <w:t>工作压力：≤</w:t>
            </w:r>
            <w:r>
              <w:rPr>
                <w:rFonts w:ascii="宋体" w:hAnsi="宋体" w:cs="宋体"/>
                <w:color w:val="auto"/>
                <w:sz w:val="24"/>
                <w:szCs w:val="24"/>
              </w:rPr>
              <w:t>1.0 MPa；</w:t>
            </w:r>
          </w:p>
          <w:p w14:paraId="55EE744A">
            <w:pPr>
              <w:numPr>
                <w:ilvl w:val="0"/>
                <w:numId w:val="195"/>
              </w:numPr>
              <w:wordWrap w:val="0"/>
              <w:ind w:firstLine="0"/>
              <w:jc w:val="left"/>
              <w:rPr>
                <w:rFonts w:ascii="宋体" w:hAnsi="宋体" w:cs="宋体"/>
                <w:color w:val="auto"/>
                <w:sz w:val="24"/>
                <w:szCs w:val="24"/>
              </w:rPr>
            </w:pPr>
            <w:r>
              <w:rPr>
                <w:rFonts w:hint="eastAsia" w:ascii="宋体" w:hAnsi="宋体" w:cs="宋体"/>
                <w:color w:val="auto"/>
                <w:sz w:val="24"/>
                <w:szCs w:val="24"/>
              </w:rPr>
              <w:t>压力损失等级：△</w:t>
            </w:r>
            <w:r>
              <w:rPr>
                <w:rFonts w:ascii="宋体" w:hAnsi="宋体" w:cs="宋体"/>
                <w:color w:val="auto"/>
                <w:sz w:val="24"/>
                <w:szCs w:val="24"/>
              </w:rPr>
              <w:t>P63；</w:t>
            </w:r>
          </w:p>
          <w:p w14:paraId="55617F3B">
            <w:pPr>
              <w:numPr>
                <w:ilvl w:val="0"/>
                <w:numId w:val="195"/>
              </w:numPr>
              <w:wordWrap w:val="0"/>
              <w:ind w:firstLine="0"/>
              <w:jc w:val="left"/>
              <w:rPr>
                <w:rFonts w:ascii="宋体" w:hAnsi="宋体" w:cs="宋体"/>
                <w:color w:val="auto"/>
                <w:sz w:val="24"/>
                <w:szCs w:val="24"/>
              </w:rPr>
            </w:pPr>
            <w:r>
              <w:rPr>
                <w:rFonts w:hint="eastAsia" w:ascii="宋体" w:hAnsi="宋体" w:cs="宋体"/>
                <w:color w:val="auto"/>
                <w:sz w:val="24"/>
                <w:szCs w:val="24"/>
              </w:rPr>
              <w:t>与上位机通讯方式：</w:t>
            </w:r>
            <w:r>
              <w:rPr>
                <w:rFonts w:ascii="宋体" w:hAnsi="宋体" w:cs="宋体"/>
                <w:color w:val="auto"/>
                <w:sz w:val="24"/>
                <w:szCs w:val="24"/>
              </w:rPr>
              <w:t xml:space="preserve">RS-485/M-bus </w:t>
            </w:r>
            <w:r>
              <w:rPr>
                <w:rFonts w:hint="eastAsia" w:ascii="宋体" w:hAnsi="宋体" w:cs="宋体"/>
                <w:color w:val="auto"/>
                <w:sz w:val="24"/>
                <w:szCs w:val="24"/>
              </w:rPr>
              <w:t>总线；</w:t>
            </w:r>
          </w:p>
          <w:p w14:paraId="6B3A0AEE">
            <w:pPr>
              <w:numPr>
                <w:ilvl w:val="0"/>
                <w:numId w:val="195"/>
              </w:numPr>
              <w:wordWrap w:val="0"/>
              <w:ind w:firstLine="0"/>
              <w:jc w:val="left"/>
              <w:rPr>
                <w:rFonts w:ascii="宋体" w:hAnsi="宋体" w:cs="宋体"/>
                <w:color w:val="auto"/>
                <w:sz w:val="24"/>
                <w:szCs w:val="24"/>
              </w:rPr>
            </w:pPr>
            <w:r>
              <w:rPr>
                <w:rFonts w:hint="eastAsia" w:ascii="宋体" w:hAnsi="宋体" w:cs="宋体"/>
                <w:color w:val="auto"/>
                <w:sz w:val="24"/>
                <w:szCs w:val="24"/>
              </w:rPr>
              <w:t>准确度等级：</w:t>
            </w:r>
            <w:r>
              <w:rPr>
                <w:rFonts w:ascii="宋体" w:hAnsi="宋体" w:cs="宋体"/>
                <w:color w:val="auto"/>
                <w:sz w:val="24"/>
                <w:szCs w:val="24"/>
              </w:rPr>
              <w:t>2级；</w:t>
            </w:r>
          </w:p>
          <w:p w14:paraId="15BD5D1D">
            <w:pPr>
              <w:numPr>
                <w:ilvl w:val="0"/>
                <w:numId w:val="195"/>
              </w:numPr>
              <w:wordWrap w:val="0"/>
              <w:ind w:firstLine="0"/>
              <w:jc w:val="left"/>
              <w:rPr>
                <w:rFonts w:ascii="宋体" w:hAnsi="宋体" w:cs="宋体"/>
                <w:color w:val="auto"/>
                <w:sz w:val="24"/>
                <w:szCs w:val="24"/>
              </w:rPr>
            </w:pPr>
            <w:r>
              <w:rPr>
                <w:rFonts w:hint="eastAsia" w:ascii="宋体" w:hAnsi="宋体" w:cs="宋体"/>
                <w:color w:val="auto"/>
                <w:sz w:val="24"/>
                <w:szCs w:val="24"/>
              </w:rPr>
              <w:t>通讯传输最大距离：</w:t>
            </w:r>
            <w:r>
              <w:rPr>
                <w:rFonts w:ascii="宋体" w:hAnsi="宋体" w:cs="宋体"/>
                <w:color w:val="auto"/>
                <w:sz w:val="24"/>
                <w:szCs w:val="24"/>
              </w:rPr>
              <w:t>300m；</w:t>
            </w:r>
          </w:p>
          <w:p w14:paraId="3874C6D7">
            <w:pPr>
              <w:numPr>
                <w:ilvl w:val="0"/>
                <w:numId w:val="195"/>
              </w:numPr>
              <w:wordWrap w:val="0"/>
              <w:ind w:firstLine="0"/>
              <w:jc w:val="left"/>
              <w:rPr>
                <w:rFonts w:ascii="宋体" w:hAnsi="宋体" w:cs="宋体"/>
                <w:color w:val="auto"/>
                <w:sz w:val="24"/>
                <w:szCs w:val="24"/>
              </w:rPr>
            </w:pPr>
            <w:r>
              <w:rPr>
                <w:rFonts w:hint="eastAsia" w:ascii="宋体" w:hAnsi="宋体" w:cs="宋体"/>
                <w:color w:val="auto"/>
                <w:sz w:val="24"/>
                <w:szCs w:val="24"/>
              </w:rPr>
              <w:t>通讯传输速率：</w:t>
            </w:r>
            <w:r>
              <w:rPr>
                <w:rFonts w:ascii="宋体" w:hAnsi="宋体" w:cs="宋体"/>
                <w:color w:val="auto"/>
                <w:sz w:val="24"/>
                <w:szCs w:val="24"/>
              </w:rPr>
              <w:t>1200/2400/48009600bps；</w:t>
            </w:r>
          </w:p>
        </w:tc>
        <w:tc>
          <w:tcPr>
            <w:tcW w:w="810" w:type="dxa"/>
            <w:tcBorders>
              <w:top w:val="single" w:color="auto" w:sz="4" w:space="0"/>
              <w:left w:val="single" w:color="auto" w:sz="4" w:space="0"/>
              <w:bottom w:val="single" w:color="auto" w:sz="4" w:space="0"/>
              <w:right w:val="single" w:color="auto" w:sz="4" w:space="0"/>
            </w:tcBorders>
            <w:shd w:val="clear" w:color="auto" w:fill="FFFFFF"/>
            <w:vAlign w:val="center"/>
          </w:tcPr>
          <w:p w14:paraId="0A680724">
            <w:pPr>
              <w:jc w:val="center"/>
              <w:rPr>
                <w:rFonts w:ascii="宋体" w:hAnsi="宋体" w:cs="宋体"/>
                <w:color w:val="auto"/>
                <w:sz w:val="24"/>
                <w:szCs w:val="24"/>
              </w:rPr>
            </w:pPr>
            <w:r>
              <w:rPr>
                <w:rFonts w:hint="eastAsia" w:ascii="宋体" w:hAnsi="宋体" w:cs="宋体"/>
                <w:color w:val="auto"/>
                <w:sz w:val="24"/>
                <w:szCs w:val="24"/>
              </w:rPr>
              <w:t>套</w:t>
            </w:r>
          </w:p>
        </w:tc>
        <w:tc>
          <w:tcPr>
            <w:tcW w:w="795" w:type="dxa"/>
            <w:tcBorders>
              <w:top w:val="single" w:color="auto" w:sz="4" w:space="0"/>
              <w:left w:val="single" w:color="auto" w:sz="4" w:space="0"/>
              <w:bottom w:val="single" w:color="auto" w:sz="4" w:space="0"/>
              <w:right w:val="single" w:color="auto" w:sz="4" w:space="0"/>
            </w:tcBorders>
            <w:shd w:val="clear" w:color="auto" w:fill="FFFFFF"/>
            <w:vAlign w:val="center"/>
          </w:tcPr>
          <w:p w14:paraId="505E5357">
            <w:pPr>
              <w:jc w:val="center"/>
              <w:rPr>
                <w:rFonts w:ascii="宋体" w:hAnsi="宋体" w:cs="宋体"/>
                <w:color w:val="auto"/>
                <w:sz w:val="24"/>
                <w:szCs w:val="24"/>
              </w:rPr>
            </w:pPr>
            <w:r>
              <w:rPr>
                <w:rFonts w:hint="eastAsia" w:ascii="宋体" w:hAnsi="宋体" w:cs="宋体"/>
                <w:color w:val="auto"/>
                <w:sz w:val="24"/>
                <w:szCs w:val="24"/>
              </w:rPr>
              <w:t>按需配置并征得采购人书面同意</w:t>
            </w:r>
          </w:p>
        </w:tc>
      </w:tr>
      <w:tr w14:paraId="3A849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47" w:type="dxa"/>
            <w:tcBorders>
              <w:top w:val="single" w:color="auto" w:sz="4" w:space="0"/>
              <w:left w:val="single" w:color="auto" w:sz="4" w:space="0"/>
              <w:bottom w:val="single" w:color="auto" w:sz="4" w:space="0"/>
              <w:right w:val="single" w:color="auto" w:sz="4" w:space="0"/>
            </w:tcBorders>
            <w:shd w:val="clear" w:color="auto" w:fill="FFFFFF"/>
            <w:vAlign w:val="center"/>
          </w:tcPr>
          <w:p w14:paraId="4193C714">
            <w:pPr>
              <w:widowControl/>
              <w:jc w:val="center"/>
              <w:textAlignment w:val="center"/>
              <w:rPr>
                <w:rFonts w:ascii="宋体" w:hAnsi="宋体" w:cs="宋体"/>
                <w:color w:val="auto"/>
                <w:kern w:val="0"/>
                <w:sz w:val="24"/>
                <w:szCs w:val="24"/>
                <w:lang w:bidi="ar"/>
              </w:rPr>
            </w:pPr>
            <w:r>
              <w:rPr>
                <w:rFonts w:ascii="宋体" w:hAnsi="宋体" w:cs="宋体"/>
                <w:color w:val="auto"/>
                <w:kern w:val="0"/>
                <w:sz w:val="24"/>
                <w:szCs w:val="24"/>
                <w:lang w:bidi="ar"/>
              </w:rPr>
              <w:t>18</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14:paraId="6B3F451E">
            <w:pPr>
              <w:jc w:val="center"/>
              <w:rPr>
                <w:rFonts w:ascii="宋体" w:hAnsi="宋体" w:cs="宋体"/>
                <w:color w:val="auto"/>
                <w:sz w:val="24"/>
                <w:szCs w:val="24"/>
              </w:rPr>
            </w:pPr>
            <w:r>
              <w:rPr>
                <w:rFonts w:hint="eastAsia" w:ascii="宋体" w:hAnsi="宋体" w:cs="宋体"/>
                <w:color w:val="auto"/>
                <w:sz w:val="24"/>
                <w:szCs w:val="24"/>
              </w:rPr>
              <w:t>明厨亮灶</w:t>
            </w:r>
          </w:p>
        </w:tc>
        <w:tc>
          <w:tcPr>
            <w:tcW w:w="6114" w:type="dxa"/>
            <w:tcBorders>
              <w:top w:val="single" w:color="auto" w:sz="4" w:space="0"/>
              <w:left w:val="single" w:color="auto" w:sz="4" w:space="0"/>
              <w:bottom w:val="single" w:color="auto" w:sz="4" w:space="0"/>
              <w:right w:val="single" w:color="auto" w:sz="4" w:space="0"/>
            </w:tcBorders>
            <w:shd w:val="clear" w:color="auto" w:fill="FFFFFF"/>
            <w:vAlign w:val="center"/>
          </w:tcPr>
          <w:p w14:paraId="08EE1A35">
            <w:pPr>
              <w:jc w:val="left"/>
              <w:rPr>
                <w:rFonts w:ascii="宋体" w:hAnsi="宋体" w:cs="宋体"/>
                <w:color w:val="auto"/>
                <w:sz w:val="24"/>
                <w:szCs w:val="24"/>
              </w:rPr>
            </w:pPr>
            <w:r>
              <w:rPr>
                <w:rFonts w:hint="eastAsia" w:ascii="宋体" w:hAnsi="宋体" w:cs="宋体"/>
                <w:color w:val="auto"/>
                <w:sz w:val="24"/>
                <w:szCs w:val="24"/>
              </w:rPr>
              <w:t>实现食堂所有区域全覆盖，无死角，摄像头像素不低于</w:t>
            </w:r>
            <w:r>
              <w:rPr>
                <w:rFonts w:ascii="宋体" w:hAnsi="宋体" w:cs="宋体"/>
                <w:color w:val="auto"/>
                <w:sz w:val="24"/>
                <w:szCs w:val="24"/>
              </w:rPr>
              <w:t>600</w:t>
            </w:r>
            <w:r>
              <w:rPr>
                <w:rFonts w:hint="eastAsia" w:ascii="宋体" w:hAnsi="宋体" w:cs="宋体"/>
                <w:color w:val="auto"/>
                <w:sz w:val="24"/>
                <w:szCs w:val="24"/>
              </w:rPr>
              <w:t>万像素。按相关要求接入市场监管单位和学校安防系统。存储时长不低于</w:t>
            </w:r>
            <w:r>
              <w:rPr>
                <w:rFonts w:ascii="宋体" w:hAnsi="宋体" w:cs="宋体"/>
                <w:color w:val="auto"/>
                <w:sz w:val="24"/>
                <w:szCs w:val="24"/>
              </w:rPr>
              <w:t>90天。</w:t>
            </w:r>
          </w:p>
        </w:tc>
        <w:tc>
          <w:tcPr>
            <w:tcW w:w="810" w:type="dxa"/>
            <w:tcBorders>
              <w:top w:val="single" w:color="auto" w:sz="4" w:space="0"/>
              <w:left w:val="single" w:color="auto" w:sz="4" w:space="0"/>
              <w:bottom w:val="single" w:color="auto" w:sz="4" w:space="0"/>
              <w:right w:val="single" w:color="auto" w:sz="4" w:space="0"/>
            </w:tcBorders>
            <w:shd w:val="clear" w:color="auto" w:fill="FFFFFF"/>
            <w:vAlign w:val="center"/>
          </w:tcPr>
          <w:p w14:paraId="4297DC6D">
            <w:pPr>
              <w:jc w:val="center"/>
              <w:rPr>
                <w:rFonts w:ascii="宋体" w:hAnsi="宋体" w:cs="宋体"/>
                <w:color w:val="auto"/>
                <w:sz w:val="24"/>
                <w:szCs w:val="24"/>
              </w:rPr>
            </w:pPr>
            <w:r>
              <w:rPr>
                <w:rFonts w:hint="eastAsia" w:ascii="宋体" w:hAnsi="宋体" w:cs="宋体"/>
                <w:color w:val="auto"/>
                <w:sz w:val="24"/>
                <w:szCs w:val="24"/>
              </w:rPr>
              <w:t>套</w:t>
            </w:r>
          </w:p>
        </w:tc>
        <w:tc>
          <w:tcPr>
            <w:tcW w:w="795" w:type="dxa"/>
            <w:tcBorders>
              <w:top w:val="single" w:color="auto" w:sz="4" w:space="0"/>
              <w:left w:val="single" w:color="auto" w:sz="4" w:space="0"/>
              <w:bottom w:val="single" w:color="auto" w:sz="4" w:space="0"/>
              <w:right w:val="single" w:color="auto" w:sz="4" w:space="0"/>
            </w:tcBorders>
            <w:shd w:val="clear" w:color="auto" w:fill="FFFFFF"/>
            <w:vAlign w:val="center"/>
          </w:tcPr>
          <w:p w14:paraId="15CC3785">
            <w:pPr>
              <w:jc w:val="center"/>
              <w:rPr>
                <w:rFonts w:ascii="宋体" w:hAnsi="宋体" w:cs="宋体"/>
                <w:color w:val="auto"/>
                <w:sz w:val="24"/>
                <w:szCs w:val="24"/>
              </w:rPr>
            </w:pPr>
            <w:r>
              <w:rPr>
                <w:rFonts w:hint="eastAsia" w:ascii="宋体" w:hAnsi="宋体" w:cs="宋体"/>
                <w:color w:val="auto"/>
                <w:sz w:val="24"/>
                <w:szCs w:val="24"/>
              </w:rPr>
              <w:t>按需配置并征得采购人书面同意</w:t>
            </w:r>
          </w:p>
        </w:tc>
      </w:tr>
      <w:tr w14:paraId="4485D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747" w:type="dxa"/>
            <w:tcBorders>
              <w:top w:val="single" w:color="auto" w:sz="4" w:space="0"/>
              <w:left w:val="single" w:color="auto" w:sz="4" w:space="0"/>
              <w:bottom w:val="single" w:color="auto" w:sz="4" w:space="0"/>
              <w:right w:val="single" w:color="auto" w:sz="4" w:space="0"/>
            </w:tcBorders>
            <w:shd w:val="clear" w:color="auto" w:fill="FFFFFF"/>
            <w:vAlign w:val="center"/>
          </w:tcPr>
          <w:p w14:paraId="3EAD286E">
            <w:pPr>
              <w:widowControl/>
              <w:jc w:val="center"/>
              <w:textAlignment w:val="center"/>
              <w:rPr>
                <w:rFonts w:ascii="宋体" w:hAnsi="宋体" w:cs="宋体"/>
                <w:color w:val="auto"/>
                <w:kern w:val="0"/>
                <w:sz w:val="24"/>
                <w:szCs w:val="24"/>
                <w:lang w:bidi="ar"/>
              </w:rPr>
            </w:pPr>
            <w:r>
              <w:rPr>
                <w:rFonts w:ascii="宋体" w:hAnsi="宋体" w:cs="宋体"/>
                <w:color w:val="auto"/>
                <w:kern w:val="0"/>
                <w:sz w:val="24"/>
                <w:szCs w:val="24"/>
                <w:lang w:bidi="ar"/>
              </w:rPr>
              <w:t>19</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14:paraId="0558A727">
            <w:pPr>
              <w:jc w:val="center"/>
              <w:rPr>
                <w:rFonts w:ascii="宋体" w:hAnsi="宋体" w:cs="宋体"/>
                <w:color w:val="auto"/>
                <w:sz w:val="24"/>
                <w:szCs w:val="24"/>
              </w:rPr>
            </w:pPr>
            <w:r>
              <w:rPr>
                <w:rFonts w:hint="eastAsia" w:ascii="宋体" w:hAnsi="宋体" w:cs="宋体"/>
                <w:color w:val="auto"/>
                <w:sz w:val="24"/>
                <w:szCs w:val="24"/>
              </w:rPr>
              <w:t>设备实施安装</w:t>
            </w:r>
          </w:p>
        </w:tc>
        <w:tc>
          <w:tcPr>
            <w:tcW w:w="6114" w:type="dxa"/>
            <w:tcBorders>
              <w:top w:val="single" w:color="auto" w:sz="4" w:space="0"/>
              <w:left w:val="single" w:color="auto" w:sz="4" w:space="0"/>
              <w:bottom w:val="single" w:color="auto" w:sz="4" w:space="0"/>
              <w:right w:val="single" w:color="auto" w:sz="4" w:space="0"/>
            </w:tcBorders>
            <w:shd w:val="clear" w:color="auto" w:fill="FFFFFF"/>
            <w:vAlign w:val="center"/>
          </w:tcPr>
          <w:p w14:paraId="0BFB51C1">
            <w:pPr>
              <w:numPr>
                <w:ilvl w:val="0"/>
                <w:numId w:val="196"/>
              </w:numPr>
              <w:ind w:left="0" w:firstLine="0"/>
              <w:jc w:val="left"/>
              <w:rPr>
                <w:rFonts w:ascii="宋体" w:hAnsi="宋体" w:cs="宋体"/>
                <w:color w:val="auto"/>
                <w:sz w:val="24"/>
                <w:szCs w:val="24"/>
              </w:rPr>
            </w:pPr>
            <w:r>
              <w:rPr>
                <w:rFonts w:hint="eastAsia" w:ascii="宋体" w:hAnsi="宋体" w:cs="宋体"/>
                <w:color w:val="auto"/>
                <w:sz w:val="24"/>
                <w:szCs w:val="24"/>
              </w:rPr>
              <w:t>硬件设备部署耗材、施工、安装、调试：</w:t>
            </w:r>
          </w:p>
          <w:p w14:paraId="6708F62E">
            <w:pPr>
              <w:numPr>
                <w:ilvl w:val="0"/>
                <w:numId w:val="197"/>
              </w:numPr>
              <w:ind w:left="0" w:firstLine="0"/>
              <w:jc w:val="left"/>
              <w:rPr>
                <w:rFonts w:ascii="宋体" w:hAnsi="宋体" w:cs="宋体"/>
                <w:color w:val="auto"/>
                <w:sz w:val="24"/>
                <w:szCs w:val="24"/>
              </w:rPr>
            </w:pPr>
            <w:r>
              <w:rPr>
                <w:rFonts w:hint="eastAsia" w:ascii="宋体" w:hAnsi="宋体" w:cs="宋体"/>
                <w:color w:val="auto"/>
                <w:sz w:val="24"/>
                <w:szCs w:val="24"/>
              </w:rPr>
              <w:t>主体设备安装调试含：主要耗材</w:t>
            </w:r>
            <w:r>
              <w:rPr>
                <w:rFonts w:ascii="宋体" w:hAnsi="宋体" w:cs="宋体"/>
                <w:color w:val="auto"/>
                <w:sz w:val="24"/>
                <w:szCs w:val="24"/>
              </w:rPr>
              <w:t>+网线+电源线、PVC管材（根据实际需求提供）；主要辅材含水晶头、排插、卡扣、转接头等；</w:t>
            </w:r>
          </w:p>
        </w:tc>
        <w:tc>
          <w:tcPr>
            <w:tcW w:w="810" w:type="dxa"/>
            <w:tcBorders>
              <w:top w:val="single" w:color="auto" w:sz="4" w:space="0"/>
              <w:left w:val="single" w:color="auto" w:sz="4" w:space="0"/>
              <w:bottom w:val="single" w:color="auto" w:sz="4" w:space="0"/>
              <w:right w:val="single" w:color="auto" w:sz="4" w:space="0"/>
            </w:tcBorders>
            <w:shd w:val="clear" w:color="auto" w:fill="FFFFFF"/>
            <w:vAlign w:val="center"/>
          </w:tcPr>
          <w:p w14:paraId="1C211105">
            <w:pPr>
              <w:jc w:val="center"/>
              <w:rPr>
                <w:rFonts w:ascii="宋体" w:hAnsi="宋体" w:cs="宋体"/>
                <w:color w:val="auto"/>
                <w:sz w:val="24"/>
                <w:szCs w:val="24"/>
              </w:rPr>
            </w:pPr>
            <w:r>
              <w:rPr>
                <w:rFonts w:hint="eastAsia" w:ascii="宋体" w:hAnsi="宋体" w:cs="宋体"/>
                <w:color w:val="auto"/>
                <w:sz w:val="24"/>
                <w:szCs w:val="24"/>
              </w:rPr>
              <w:t>套</w:t>
            </w:r>
          </w:p>
        </w:tc>
        <w:tc>
          <w:tcPr>
            <w:tcW w:w="795" w:type="dxa"/>
            <w:tcBorders>
              <w:top w:val="single" w:color="auto" w:sz="4" w:space="0"/>
              <w:left w:val="single" w:color="auto" w:sz="4" w:space="0"/>
              <w:bottom w:val="single" w:color="auto" w:sz="4" w:space="0"/>
              <w:right w:val="single" w:color="auto" w:sz="4" w:space="0"/>
            </w:tcBorders>
            <w:shd w:val="clear" w:color="auto" w:fill="FFFFFF"/>
            <w:vAlign w:val="center"/>
          </w:tcPr>
          <w:p w14:paraId="3D978B13">
            <w:pPr>
              <w:jc w:val="center"/>
              <w:rPr>
                <w:rFonts w:ascii="宋体" w:hAnsi="宋体" w:cs="宋体"/>
                <w:color w:val="auto"/>
                <w:sz w:val="24"/>
                <w:szCs w:val="24"/>
              </w:rPr>
            </w:pPr>
            <w:r>
              <w:rPr>
                <w:rFonts w:hint="eastAsia" w:ascii="宋体" w:hAnsi="宋体" w:cs="宋体"/>
                <w:color w:val="auto"/>
                <w:sz w:val="24"/>
                <w:szCs w:val="24"/>
              </w:rPr>
              <w:t>按需配置并征得采购人书面同意</w:t>
            </w:r>
          </w:p>
        </w:tc>
      </w:tr>
      <w:bookmarkEnd w:id="43"/>
      <w:bookmarkEnd w:id="44"/>
      <w:bookmarkEnd w:id="45"/>
      <w:bookmarkEnd w:id="66"/>
    </w:tbl>
    <w:p w14:paraId="47DA86FC">
      <w:pPr>
        <w:pStyle w:val="3"/>
        <w:spacing w:line="400" w:lineRule="exact"/>
        <w:rPr>
          <w:b w:val="0"/>
          <w:color w:val="auto"/>
        </w:rPr>
      </w:pPr>
      <w:bookmarkStart w:id="71" w:name="_Toc25663"/>
      <w:bookmarkStart w:id="72" w:name="_Toc42780316"/>
      <w:bookmarkStart w:id="73" w:name="_Toc186919400"/>
      <w:bookmarkStart w:id="74" w:name="_Toc10296"/>
      <w:bookmarkStart w:id="75" w:name="_Toc4476"/>
      <w:bookmarkStart w:id="76" w:name="_Toc41986736"/>
      <w:bookmarkStart w:id="77" w:name="_Toc41457498"/>
      <w:r>
        <w:rPr>
          <w:b w:val="0"/>
          <w:color w:val="auto"/>
        </w:rPr>
        <w:t>*</w:t>
      </w:r>
      <w:r>
        <w:rPr>
          <w:rFonts w:hint="eastAsia"/>
          <w:b w:val="0"/>
          <w:color w:val="auto"/>
        </w:rPr>
        <w:t>六、项目管理班子要求</w:t>
      </w:r>
      <w:bookmarkEnd w:id="71"/>
    </w:p>
    <w:p w14:paraId="784CBEA5">
      <w:pPr>
        <w:spacing w:line="400" w:lineRule="exact"/>
        <w:ind w:firstLine="480" w:firstLineChars="200"/>
        <w:rPr>
          <w:rFonts w:ascii="宋体" w:hAnsi="宋体" w:cs="宋体"/>
          <w:color w:val="auto"/>
          <w:sz w:val="24"/>
          <w:szCs w:val="28"/>
          <w:u w:val="single"/>
        </w:rPr>
      </w:pPr>
      <w:r>
        <w:rPr>
          <w:rFonts w:hint="eastAsia" w:ascii="宋体" w:hAnsi="宋体" w:cs="宋体"/>
          <w:color w:val="auto"/>
          <w:sz w:val="24"/>
          <w:szCs w:val="28"/>
        </w:rPr>
        <w:t>供应商为</w:t>
      </w:r>
      <w:r>
        <w:rPr>
          <w:rFonts w:hint="eastAsia" w:ascii="宋体" w:hAnsi="宋体" w:cs="宋体"/>
          <w:color w:val="auto"/>
          <w:sz w:val="24"/>
          <w:szCs w:val="28"/>
          <w:lang w:val="zh-CN"/>
        </w:rPr>
        <w:t>本项目配置科学合理的管理服务团队，并要求管理服务团队素质高、经验丰富、人员充足，管理服务制度健全。</w:t>
      </w:r>
      <w:r>
        <w:rPr>
          <w:rFonts w:hint="eastAsia" w:ascii="宋体" w:hAnsi="宋体" w:cs="宋体"/>
          <w:color w:val="auto"/>
          <w:sz w:val="24"/>
          <w:szCs w:val="28"/>
        </w:rPr>
        <w:t>各食堂</w:t>
      </w:r>
      <w:r>
        <w:rPr>
          <w:rFonts w:hint="eastAsia" w:ascii="宋体" w:hAnsi="宋体" w:cs="宋体"/>
          <w:color w:val="auto"/>
          <w:sz w:val="24"/>
          <w:szCs w:val="28"/>
          <w:lang w:val="zh-CN"/>
        </w:rPr>
        <w:t>必须配备项目负责人、厨师、食品安全总监、消防安全人员各</w:t>
      </w:r>
      <w:r>
        <w:rPr>
          <w:rFonts w:ascii="宋体" w:hAnsi="宋体" w:cs="宋体"/>
          <w:color w:val="auto"/>
          <w:sz w:val="24"/>
          <w:szCs w:val="28"/>
          <w:lang w:val="zh-CN"/>
        </w:rPr>
        <w:t>1名（</w:t>
      </w:r>
      <w:r>
        <w:rPr>
          <w:rFonts w:hint="eastAsia" w:ascii="宋体" w:hAnsi="宋体" w:cs="宋体"/>
          <w:color w:val="auto"/>
          <w:sz w:val="24"/>
          <w:szCs w:val="28"/>
        </w:rPr>
        <w:t>该人员必须具备消防设施操作证</w:t>
      </w:r>
      <w:r>
        <w:rPr>
          <w:rFonts w:hint="eastAsia" w:ascii="宋体" w:hAnsi="宋体" w:cs="宋体"/>
          <w:color w:val="auto"/>
          <w:sz w:val="24"/>
          <w:szCs w:val="28"/>
          <w:lang w:val="zh-CN"/>
        </w:rPr>
        <w:t>），食品安全员</w:t>
      </w:r>
      <w:r>
        <w:rPr>
          <w:rFonts w:hint="eastAsia" w:ascii="宋体" w:hAnsi="宋体" w:cs="宋体"/>
          <w:color w:val="auto"/>
          <w:sz w:val="24"/>
          <w:szCs w:val="28"/>
        </w:rPr>
        <w:t>各</w:t>
      </w:r>
      <w:r>
        <w:rPr>
          <w:rFonts w:ascii="宋体" w:hAnsi="宋体" w:cs="宋体"/>
          <w:color w:val="auto"/>
          <w:sz w:val="24"/>
          <w:szCs w:val="28"/>
          <w:lang w:val="zh-CN"/>
        </w:rPr>
        <w:t>2名</w:t>
      </w:r>
      <w:r>
        <w:rPr>
          <w:rFonts w:hint="eastAsia" w:ascii="宋体" w:hAnsi="宋体" w:cs="宋体"/>
          <w:color w:val="auto"/>
          <w:sz w:val="24"/>
          <w:szCs w:val="28"/>
          <w:lang w:val="zh-CN"/>
        </w:rPr>
        <w:t>，</w:t>
      </w:r>
      <w:r>
        <w:rPr>
          <w:rFonts w:ascii="宋体" w:hAnsi="宋体" w:cs="宋体"/>
          <w:color w:val="auto"/>
          <w:sz w:val="24"/>
          <w:szCs w:val="28"/>
          <w:lang w:val="zh-CN"/>
        </w:rPr>
        <w:t>提供项目</w:t>
      </w:r>
      <w:r>
        <w:rPr>
          <w:rFonts w:hint="eastAsia" w:ascii="宋体" w:hAnsi="宋体" w:cs="宋体"/>
          <w:color w:val="auto"/>
          <w:sz w:val="24"/>
          <w:szCs w:val="28"/>
          <w:lang w:val="zh-CN"/>
        </w:rPr>
        <w:t>管理班子所有成员及职务清单，加盖供应商公章（具体见</w:t>
      </w:r>
      <w:r>
        <w:rPr>
          <w:rFonts w:hint="eastAsia" w:ascii="宋体" w:hAnsi="宋体" w:cs="宋体"/>
          <w:color w:val="auto"/>
          <w:sz w:val="24"/>
          <w:szCs w:val="28"/>
        </w:rPr>
        <w:t>附件</w:t>
      </w:r>
      <w:r>
        <w:rPr>
          <w:rFonts w:hint="eastAsia" w:ascii="宋体" w:hAnsi="宋体" w:cs="宋体"/>
          <w:color w:val="auto"/>
          <w:sz w:val="24"/>
          <w:szCs w:val="28"/>
          <w:lang w:val="zh-CN"/>
        </w:rPr>
        <w:t>项目全部人员组成表），项目负责人、厨师、食品安全总监、食品安全员必须持有市场监督管理局颁发的食品安全知识考试合格证书，</w:t>
      </w:r>
      <w:bookmarkStart w:id="78" w:name="OLE_LINK1"/>
      <w:bookmarkStart w:id="79" w:name="OLE_LINK2"/>
      <w:r>
        <w:rPr>
          <w:rFonts w:hint="eastAsia" w:ascii="宋体" w:hAnsi="宋体" w:cs="宋体"/>
          <w:color w:val="auto"/>
          <w:sz w:val="24"/>
          <w:szCs w:val="28"/>
          <w:lang w:val="zh-CN"/>
        </w:rPr>
        <w:t>且项目负责人</w:t>
      </w:r>
      <w:bookmarkEnd w:id="78"/>
      <w:bookmarkEnd w:id="79"/>
      <w:r>
        <w:rPr>
          <w:rFonts w:hint="eastAsia" w:ascii="宋体" w:hAnsi="宋体" w:cs="宋体"/>
          <w:color w:val="auto"/>
          <w:sz w:val="24"/>
          <w:szCs w:val="28"/>
          <w:lang w:val="zh-CN"/>
        </w:rPr>
        <w:t>、食品安全总监、食品安全员必须为投标单位员工（提供劳动合同和</w:t>
      </w:r>
      <w:r>
        <w:rPr>
          <w:rFonts w:ascii="宋体" w:hAnsi="宋体" w:cs="宋体"/>
          <w:color w:val="auto"/>
          <w:sz w:val="24"/>
          <w:szCs w:val="28"/>
          <w:lang w:val="zh-CN"/>
        </w:rPr>
        <w:t>202</w:t>
      </w:r>
      <w:r>
        <w:rPr>
          <w:rFonts w:ascii="宋体" w:hAnsi="宋体" w:cs="宋体"/>
          <w:color w:val="auto"/>
          <w:sz w:val="24"/>
          <w:szCs w:val="28"/>
        </w:rPr>
        <w:t>5</w:t>
      </w:r>
      <w:r>
        <w:rPr>
          <w:rFonts w:hint="eastAsia" w:ascii="宋体" w:hAnsi="宋体" w:cs="宋体"/>
          <w:color w:val="auto"/>
          <w:sz w:val="24"/>
          <w:szCs w:val="28"/>
          <w:lang w:val="zh-CN"/>
        </w:rPr>
        <w:t>年</w:t>
      </w:r>
      <w:r>
        <w:rPr>
          <w:rFonts w:ascii="宋体" w:hAnsi="宋体" w:cs="宋体"/>
          <w:color w:val="auto"/>
          <w:sz w:val="24"/>
          <w:szCs w:val="28"/>
        </w:rPr>
        <w:t>1</w:t>
      </w:r>
      <w:r>
        <w:rPr>
          <w:rFonts w:hint="eastAsia" w:ascii="宋体" w:hAnsi="宋体" w:cs="宋体"/>
          <w:color w:val="auto"/>
          <w:sz w:val="24"/>
          <w:szCs w:val="28"/>
          <w:lang w:val="zh-CN"/>
        </w:rPr>
        <w:t>月至</w:t>
      </w:r>
      <w:r>
        <w:rPr>
          <w:rFonts w:ascii="宋体" w:hAnsi="宋体" w:cs="宋体"/>
          <w:color w:val="auto"/>
          <w:sz w:val="24"/>
          <w:szCs w:val="28"/>
        </w:rPr>
        <w:t>5</w:t>
      </w:r>
      <w:r>
        <w:rPr>
          <w:rFonts w:hint="eastAsia" w:ascii="宋体" w:hAnsi="宋体" w:cs="宋体"/>
          <w:color w:val="auto"/>
          <w:sz w:val="24"/>
          <w:szCs w:val="28"/>
          <w:lang w:val="zh-CN"/>
        </w:rPr>
        <w:t>月连续的养老保险证明复印件加盖供应商公章，原件现场备查）。</w:t>
      </w:r>
      <w:r>
        <w:rPr>
          <w:rFonts w:hint="eastAsia" w:ascii="宋体" w:hAnsi="宋体" w:cs="宋体"/>
          <w:color w:val="auto"/>
          <w:sz w:val="24"/>
          <w:szCs w:val="28"/>
          <w:u w:val="single"/>
          <w:lang w:val="zh-CN"/>
        </w:rPr>
        <w:t>本项目负责人应当具备国民教育专科及以上文化程度。</w:t>
      </w:r>
      <w:r>
        <w:rPr>
          <w:rFonts w:hint="eastAsia" w:ascii="宋体" w:hAnsi="宋体" w:cs="宋体"/>
          <w:color w:val="auto"/>
          <w:sz w:val="24"/>
          <w:szCs w:val="28"/>
          <w:lang w:val="zh-CN"/>
        </w:rPr>
        <w:t>实际到岗履职的项目</w:t>
      </w:r>
      <w:r>
        <w:rPr>
          <w:rFonts w:hint="eastAsia" w:ascii="宋体" w:hAnsi="宋体" w:cs="宋体"/>
          <w:color w:val="auto"/>
          <w:sz w:val="24"/>
          <w:szCs w:val="28"/>
        </w:rPr>
        <w:t>管理</w:t>
      </w:r>
      <w:r>
        <w:rPr>
          <w:rFonts w:hint="eastAsia" w:ascii="宋体" w:hAnsi="宋体" w:cs="宋体"/>
          <w:color w:val="auto"/>
          <w:sz w:val="24"/>
          <w:szCs w:val="28"/>
          <w:lang w:val="zh-CN"/>
        </w:rPr>
        <w:t>班子成员应与投标文件中的一致，不得擅自更换</w:t>
      </w:r>
      <w:r>
        <w:rPr>
          <w:rFonts w:hint="eastAsia" w:ascii="宋体" w:hAnsi="宋体" w:cs="宋体"/>
          <w:color w:val="auto"/>
          <w:sz w:val="24"/>
          <w:szCs w:val="28"/>
          <w:u w:val="single"/>
          <w:lang w:val="zh-CN"/>
        </w:rPr>
        <w:t>。特殊情况经采购人书面同意，以上岗位人员方可调整。如未经采购人书面同意擅自更换人员，每擅自更换一次成交商需向采购人支付违约金</w:t>
      </w:r>
      <w:r>
        <w:rPr>
          <w:rFonts w:ascii="宋体" w:hAnsi="宋体" w:cs="宋体"/>
          <w:color w:val="auto"/>
          <w:sz w:val="24"/>
          <w:szCs w:val="28"/>
          <w:u w:val="single"/>
          <w:lang w:val="zh-CN"/>
        </w:rPr>
        <w:t>50000元/人/次。</w:t>
      </w:r>
      <w:r>
        <w:rPr>
          <w:rFonts w:hint="eastAsia" w:ascii="宋体" w:hAnsi="宋体" w:cs="宋体"/>
          <w:color w:val="auto"/>
          <w:sz w:val="24"/>
          <w:szCs w:val="28"/>
          <w:u w:val="single"/>
        </w:rPr>
        <w:t>如项目管理班子未按照要求配备配齐相应人员或未配备相应资格的人员视为违约，</w:t>
      </w:r>
      <w:r>
        <w:rPr>
          <w:rFonts w:hint="eastAsia" w:ascii="宋体" w:hAnsi="宋体" w:cs="宋体"/>
          <w:color w:val="auto"/>
          <w:sz w:val="24"/>
          <w:szCs w:val="28"/>
        </w:rPr>
        <w:t>采购人扣罚成交商违约金1</w:t>
      </w:r>
      <w:r>
        <w:rPr>
          <w:rFonts w:ascii="宋体" w:hAnsi="宋体" w:cs="宋体"/>
          <w:color w:val="auto"/>
          <w:sz w:val="24"/>
          <w:szCs w:val="28"/>
        </w:rPr>
        <w:t>0000元</w:t>
      </w:r>
      <w:r>
        <w:rPr>
          <w:rFonts w:ascii="宋体" w:hAnsi="宋体" w:cs="宋体"/>
          <w:color w:val="auto"/>
          <w:sz w:val="24"/>
          <w:szCs w:val="28"/>
          <w:u w:val="single"/>
          <w:lang w:val="zh-CN"/>
        </w:rPr>
        <w:t>/人/</w:t>
      </w:r>
      <w:r>
        <w:rPr>
          <w:rFonts w:ascii="宋体" w:hAnsi="宋体" w:cs="宋体"/>
          <w:color w:val="auto"/>
          <w:sz w:val="24"/>
          <w:szCs w:val="28"/>
        </w:rPr>
        <w:t>次。</w:t>
      </w:r>
    </w:p>
    <w:p w14:paraId="17BB5F5E">
      <w:pPr>
        <w:pStyle w:val="3"/>
        <w:spacing w:line="400" w:lineRule="exact"/>
        <w:rPr>
          <w:b w:val="0"/>
          <w:color w:val="auto"/>
        </w:rPr>
      </w:pPr>
      <w:bookmarkStart w:id="80" w:name="_Toc16961"/>
      <w:r>
        <w:rPr>
          <w:b w:val="0"/>
          <w:color w:val="auto"/>
        </w:rPr>
        <w:t>*</w:t>
      </w:r>
      <w:r>
        <w:rPr>
          <w:rFonts w:hint="eastAsia"/>
          <w:b w:val="0"/>
          <w:color w:val="auto"/>
        </w:rPr>
        <w:t>七、</w:t>
      </w:r>
      <w:bookmarkStart w:id="81" w:name="_Toc12673"/>
      <w:r>
        <w:rPr>
          <w:rFonts w:hint="eastAsia"/>
          <w:b w:val="0"/>
          <w:color w:val="auto"/>
        </w:rPr>
        <w:t>考核管理</w:t>
      </w:r>
      <w:bookmarkEnd w:id="80"/>
    </w:p>
    <w:bookmarkEnd w:id="81"/>
    <w:p w14:paraId="5BC15916">
      <w:pPr>
        <w:snapToGrid w:val="0"/>
        <w:spacing w:line="400" w:lineRule="exact"/>
        <w:ind w:firstLine="480" w:firstLineChars="200"/>
        <w:rPr>
          <w:color w:val="auto"/>
        </w:rPr>
      </w:pPr>
      <w:r>
        <w:rPr>
          <w:rFonts w:hint="eastAsia" w:ascii="宋体" w:hAnsi="宋体" w:cs="宋体"/>
          <w:color w:val="auto"/>
          <w:sz w:val="24"/>
          <w:szCs w:val="24"/>
        </w:rPr>
        <w:t>为调动成交商经营积极性，确保师生餐饮的品质和质量，采购人按照成交商投标承诺收取考核费，采取学期考核和日常考核相结合的方式建立考核机制，根据考核结果实施奖惩。</w:t>
      </w:r>
      <w:r>
        <w:rPr>
          <w:color w:val="auto"/>
        </w:rPr>
        <w:t xml:space="preserve"> </w:t>
      </w:r>
    </w:p>
    <w:p w14:paraId="4BDA5B10">
      <w:pPr>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（一）日常考核</w:t>
      </w:r>
    </w:p>
    <w:p w14:paraId="705C773D">
      <w:pPr>
        <w:jc w:val="center"/>
        <w:rPr>
          <w:color w:val="auto"/>
        </w:rPr>
      </w:pPr>
      <w:r>
        <w:rPr>
          <w:rFonts w:hint="eastAsia"/>
          <w:color w:val="auto"/>
        </w:rPr>
        <w:t>重庆文理学院学生食堂委托经营管理日常考核实施细则</w:t>
      </w:r>
    </w:p>
    <w:tbl>
      <w:tblPr>
        <w:tblStyle w:val="59"/>
        <w:tblW w:w="9923" w:type="dxa"/>
        <w:jc w:val="center"/>
        <w:tblLayout w:type="fixed"/>
        <w:tblCellMar>
          <w:top w:w="0" w:type="dxa"/>
          <w:left w:w="108" w:type="dxa"/>
          <w:bottom w:w="0" w:type="dxa"/>
          <w:right w:w="108" w:type="dxa"/>
        </w:tblCellMar>
      </w:tblPr>
      <w:tblGrid>
        <w:gridCol w:w="499"/>
        <w:gridCol w:w="636"/>
        <w:gridCol w:w="477"/>
        <w:gridCol w:w="3350"/>
        <w:gridCol w:w="709"/>
        <w:gridCol w:w="2693"/>
        <w:gridCol w:w="1559"/>
      </w:tblGrid>
      <w:tr w14:paraId="085620F0">
        <w:tblPrEx>
          <w:tblCellMar>
            <w:top w:w="0" w:type="dxa"/>
            <w:left w:w="108" w:type="dxa"/>
            <w:bottom w:w="0" w:type="dxa"/>
            <w:right w:w="108" w:type="dxa"/>
          </w:tblCellMar>
        </w:tblPrEx>
        <w:trPr>
          <w:trHeight w:val="480" w:hRule="atLeast"/>
          <w:jc w:val="center"/>
        </w:trPr>
        <w:tc>
          <w:tcPr>
            <w:tcW w:w="499" w:type="dxa"/>
            <w:tcBorders>
              <w:top w:val="single" w:color="auto" w:sz="4" w:space="0"/>
              <w:left w:val="single" w:color="auto" w:sz="4" w:space="0"/>
              <w:bottom w:val="single" w:color="auto" w:sz="4" w:space="0"/>
              <w:right w:val="single" w:color="auto" w:sz="4" w:space="0"/>
            </w:tcBorders>
            <w:vAlign w:val="center"/>
          </w:tcPr>
          <w:p w14:paraId="0F8DB049">
            <w:pPr>
              <w:rPr>
                <w:rFonts w:ascii="宋体" w:hAnsi="宋体" w:cs="宋体"/>
                <w:color w:val="auto"/>
                <w:sz w:val="18"/>
                <w:szCs w:val="18"/>
              </w:rPr>
            </w:pPr>
            <w:r>
              <w:rPr>
                <w:rFonts w:hint="eastAsia" w:ascii="宋体" w:hAnsi="宋体" w:cs="宋体"/>
                <w:color w:val="auto"/>
                <w:sz w:val="18"/>
                <w:szCs w:val="18"/>
              </w:rPr>
              <w:t>序号</w:t>
            </w:r>
          </w:p>
        </w:tc>
        <w:tc>
          <w:tcPr>
            <w:tcW w:w="636" w:type="dxa"/>
            <w:tcBorders>
              <w:top w:val="single" w:color="auto" w:sz="4" w:space="0"/>
              <w:left w:val="single" w:color="auto" w:sz="4" w:space="0"/>
              <w:bottom w:val="single" w:color="auto" w:sz="4" w:space="0"/>
              <w:right w:val="single" w:color="auto" w:sz="4" w:space="0"/>
            </w:tcBorders>
            <w:vAlign w:val="center"/>
          </w:tcPr>
          <w:p w14:paraId="3A84C5DC">
            <w:pPr>
              <w:rPr>
                <w:rFonts w:ascii="宋体" w:hAnsi="宋体" w:cs="宋体"/>
                <w:color w:val="auto"/>
                <w:sz w:val="18"/>
                <w:szCs w:val="18"/>
              </w:rPr>
            </w:pPr>
            <w:r>
              <w:rPr>
                <w:rFonts w:hint="eastAsia" w:ascii="宋体" w:hAnsi="宋体" w:cs="宋体"/>
                <w:color w:val="auto"/>
                <w:sz w:val="18"/>
                <w:szCs w:val="18"/>
              </w:rPr>
              <w:t>考核项目</w:t>
            </w:r>
          </w:p>
        </w:tc>
        <w:tc>
          <w:tcPr>
            <w:tcW w:w="3827" w:type="dxa"/>
            <w:gridSpan w:val="2"/>
            <w:tcBorders>
              <w:top w:val="single" w:color="auto" w:sz="4" w:space="0"/>
              <w:left w:val="single" w:color="auto" w:sz="4" w:space="0"/>
              <w:bottom w:val="single" w:color="auto" w:sz="4" w:space="0"/>
              <w:right w:val="single" w:color="auto" w:sz="4" w:space="0"/>
            </w:tcBorders>
            <w:vAlign w:val="center"/>
          </w:tcPr>
          <w:p w14:paraId="246F9C20">
            <w:pPr>
              <w:rPr>
                <w:rFonts w:ascii="宋体" w:hAnsi="宋体" w:cs="宋体"/>
                <w:color w:val="auto"/>
                <w:sz w:val="18"/>
                <w:szCs w:val="18"/>
              </w:rPr>
            </w:pPr>
            <w:r>
              <w:rPr>
                <w:rFonts w:hint="eastAsia" w:ascii="宋体" w:hAnsi="宋体" w:cs="宋体"/>
                <w:color w:val="auto"/>
                <w:sz w:val="18"/>
                <w:szCs w:val="18"/>
              </w:rPr>
              <w:t>规范要求</w:t>
            </w:r>
          </w:p>
        </w:tc>
        <w:tc>
          <w:tcPr>
            <w:tcW w:w="709" w:type="dxa"/>
            <w:tcBorders>
              <w:top w:val="single" w:color="auto" w:sz="4" w:space="0"/>
              <w:left w:val="single" w:color="auto" w:sz="4" w:space="0"/>
              <w:bottom w:val="single" w:color="auto" w:sz="4" w:space="0"/>
              <w:right w:val="single" w:color="auto" w:sz="4" w:space="0"/>
            </w:tcBorders>
            <w:vAlign w:val="center"/>
          </w:tcPr>
          <w:p w14:paraId="5C4FB7C0">
            <w:pPr>
              <w:rPr>
                <w:rFonts w:ascii="宋体" w:hAnsi="宋体" w:cs="宋体"/>
                <w:color w:val="auto"/>
                <w:sz w:val="18"/>
                <w:szCs w:val="18"/>
              </w:rPr>
            </w:pPr>
            <w:r>
              <w:rPr>
                <w:rFonts w:hint="eastAsia" w:ascii="宋体" w:hAnsi="宋体" w:cs="宋体"/>
                <w:color w:val="auto"/>
                <w:sz w:val="18"/>
                <w:szCs w:val="18"/>
              </w:rPr>
              <w:t>考核方式</w:t>
            </w:r>
          </w:p>
        </w:tc>
        <w:tc>
          <w:tcPr>
            <w:tcW w:w="2693" w:type="dxa"/>
            <w:tcBorders>
              <w:top w:val="single" w:color="auto" w:sz="4" w:space="0"/>
              <w:left w:val="single" w:color="auto" w:sz="4" w:space="0"/>
              <w:bottom w:val="single" w:color="auto" w:sz="4" w:space="0"/>
              <w:right w:val="single" w:color="auto" w:sz="4" w:space="0"/>
            </w:tcBorders>
            <w:vAlign w:val="center"/>
          </w:tcPr>
          <w:p w14:paraId="42649D1D">
            <w:pPr>
              <w:rPr>
                <w:rFonts w:ascii="宋体" w:hAnsi="宋体" w:cs="宋体"/>
                <w:color w:val="auto"/>
                <w:sz w:val="18"/>
                <w:szCs w:val="18"/>
              </w:rPr>
            </w:pPr>
            <w:r>
              <w:rPr>
                <w:rFonts w:hint="eastAsia" w:ascii="宋体" w:hAnsi="宋体" w:cs="宋体"/>
                <w:color w:val="auto"/>
                <w:sz w:val="18"/>
                <w:szCs w:val="18"/>
              </w:rPr>
              <w:t>支付违约金标准</w:t>
            </w:r>
          </w:p>
        </w:tc>
        <w:tc>
          <w:tcPr>
            <w:tcW w:w="1559" w:type="dxa"/>
            <w:tcBorders>
              <w:top w:val="single" w:color="auto" w:sz="4" w:space="0"/>
              <w:left w:val="single" w:color="auto" w:sz="4" w:space="0"/>
              <w:bottom w:val="single" w:color="auto" w:sz="4" w:space="0"/>
              <w:right w:val="single" w:color="auto" w:sz="4" w:space="0"/>
            </w:tcBorders>
            <w:vAlign w:val="center"/>
          </w:tcPr>
          <w:p w14:paraId="752DFBF0">
            <w:pPr>
              <w:rPr>
                <w:rFonts w:ascii="宋体" w:hAnsi="宋体" w:cs="宋体"/>
                <w:color w:val="auto"/>
                <w:sz w:val="18"/>
                <w:szCs w:val="18"/>
              </w:rPr>
            </w:pPr>
            <w:r>
              <w:rPr>
                <w:rFonts w:hint="eastAsia" w:ascii="宋体" w:hAnsi="宋体" w:cs="宋体"/>
                <w:color w:val="auto"/>
                <w:sz w:val="18"/>
                <w:szCs w:val="18"/>
              </w:rPr>
              <w:t>扣分标准</w:t>
            </w:r>
          </w:p>
        </w:tc>
      </w:tr>
      <w:tr w14:paraId="2998E666">
        <w:tblPrEx>
          <w:tblCellMar>
            <w:top w:w="0" w:type="dxa"/>
            <w:left w:w="108" w:type="dxa"/>
            <w:bottom w:w="0" w:type="dxa"/>
            <w:right w:w="108" w:type="dxa"/>
          </w:tblCellMar>
        </w:tblPrEx>
        <w:trPr>
          <w:trHeight w:val="480" w:hRule="atLeast"/>
          <w:jc w:val="center"/>
        </w:trPr>
        <w:tc>
          <w:tcPr>
            <w:tcW w:w="499" w:type="dxa"/>
            <w:vMerge w:val="restart"/>
            <w:tcBorders>
              <w:top w:val="single" w:color="auto" w:sz="4" w:space="0"/>
              <w:left w:val="single" w:color="auto" w:sz="4" w:space="0"/>
              <w:bottom w:val="single" w:color="auto" w:sz="4" w:space="0"/>
              <w:right w:val="single" w:color="auto" w:sz="4" w:space="0"/>
            </w:tcBorders>
            <w:vAlign w:val="center"/>
          </w:tcPr>
          <w:p w14:paraId="76C04358">
            <w:pPr>
              <w:rPr>
                <w:rFonts w:ascii="宋体" w:hAnsi="宋体" w:cs="宋体"/>
                <w:color w:val="auto"/>
                <w:sz w:val="18"/>
                <w:szCs w:val="18"/>
              </w:rPr>
            </w:pPr>
            <w:r>
              <w:rPr>
                <w:rFonts w:hint="eastAsia" w:ascii="宋体" w:hAnsi="宋体" w:cs="宋体"/>
                <w:color w:val="auto"/>
                <w:sz w:val="18"/>
                <w:szCs w:val="18"/>
              </w:rPr>
              <w:t>一</w:t>
            </w:r>
          </w:p>
        </w:tc>
        <w:tc>
          <w:tcPr>
            <w:tcW w:w="636" w:type="dxa"/>
            <w:vMerge w:val="restart"/>
            <w:tcBorders>
              <w:top w:val="single" w:color="auto" w:sz="4" w:space="0"/>
              <w:left w:val="single" w:color="auto" w:sz="4" w:space="0"/>
              <w:bottom w:val="single" w:color="auto" w:sz="4" w:space="0"/>
              <w:right w:val="single" w:color="auto" w:sz="4" w:space="0"/>
            </w:tcBorders>
            <w:textDirection w:val="tbRlV"/>
            <w:vAlign w:val="center"/>
          </w:tcPr>
          <w:p w14:paraId="0695B248">
            <w:pPr>
              <w:jc w:val="center"/>
              <w:rPr>
                <w:rFonts w:ascii="宋体" w:hAnsi="宋体" w:cs="宋体"/>
                <w:color w:val="auto"/>
                <w:sz w:val="18"/>
                <w:szCs w:val="18"/>
              </w:rPr>
            </w:pPr>
            <w:r>
              <w:rPr>
                <w:rFonts w:hint="eastAsia" w:ascii="宋体" w:hAnsi="宋体" w:cs="宋体"/>
                <w:color w:val="auto"/>
                <w:sz w:val="18"/>
                <w:szCs w:val="18"/>
              </w:rPr>
              <w:t>安全管理</w:t>
            </w:r>
          </w:p>
        </w:tc>
        <w:tc>
          <w:tcPr>
            <w:tcW w:w="477" w:type="dxa"/>
            <w:vMerge w:val="restart"/>
            <w:tcBorders>
              <w:top w:val="single" w:color="auto" w:sz="4" w:space="0"/>
              <w:left w:val="single" w:color="auto" w:sz="4" w:space="0"/>
              <w:bottom w:val="single" w:color="auto" w:sz="4" w:space="0"/>
              <w:right w:val="single" w:color="auto" w:sz="4" w:space="0"/>
            </w:tcBorders>
            <w:textDirection w:val="tbRlV"/>
            <w:vAlign w:val="center"/>
          </w:tcPr>
          <w:p w14:paraId="499566E4">
            <w:pPr>
              <w:jc w:val="center"/>
              <w:rPr>
                <w:rFonts w:ascii="宋体" w:hAnsi="宋体" w:cs="宋体"/>
                <w:color w:val="auto"/>
                <w:sz w:val="18"/>
                <w:szCs w:val="18"/>
              </w:rPr>
            </w:pPr>
            <w:r>
              <w:rPr>
                <w:rFonts w:hint="eastAsia" w:ascii="宋体" w:hAnsi="宋体" w:cs="宋体"/>
                <w:color w:val="auto"/>
                <w:sz w:val="18"/>
                <w:szCs w:val="18"/>
              </w:rPr>
              <w:t>食品卫生安全</w:t>
            </w:r>
          </w:p>
        </w:tc>
        <w:tc>
          <w:tcPr>
            <w:tcW w:w="3350" w:type="dxa"/>
            <w:tcBorders>
              <w:top w:val="single" w:color="auto" w:sz="4" w:space="0"/>
              <w:left w:val="single" w:color="auto" w:sz="4" w:space="0"/>
              <w:bottom w:val="single" w:color="auto" w:sz="4" w:space="0"/>
              <w:right w:val="single" w:color="auto" w:sz="4" w:space="0"/>
            </w:tcBorders>
            <w:vAlign w:val="center"/>
          </w:tcPr>
          <w:p w14:paraId="6EC21A9E">
            <w:pPr>
              <w:rPr>
                <w:rFonts w:ascii="宋体" w:hAnsi="宋体" w:cs="宋体"/>
                <w:color w:val="auto"/>
                <w:sz w:val="18"/>
                <w:szCs w:val="18"/>
              </w:rPr>
            </w:pPr>
            <w:r>
              <w:rPr>
                <w:rFonts w:ascii="宋体" w:hAnsi="宋体" w:cs="宋体"/>
                <w:color w:val="auto"/>
                <w:sz w:val="18"/>
                <w:szCs w:val="18"/>
              </w:rPr>
              <w:t>1.应建有针对性的各岗位职责及工作流程制度</w:t>
            </w:r>
          </w:p>
        </w:tc>
        <w:tc>
          <w:tcPr>
            <w:tcW w:w="709" w:type="dxa"/>
            <w:tcBorders>
              <w:top w:val="single" w:color="auto" w:sz="4" w:space="0"/>
              <w:left w:val="single" w:color="auto" w:sz="4" w:space="0"/>
              <w:bottom w:val="single" w:color="auto" w:sz="4" w:space="0"/>
              <w:right w:val="single" w:color="auto" w:sz="4" w:space="0"/>
            </w:tcBorders>
            <w:vAlign w:val="center"/>
          </w:tcPr>
          <w:p w14:paraId="77C99496">
            <w:pPr>
              <w:rPr>
                <w:rFonts w:ascii="宋体" w:hAnsi="宋体" w:cs="宋体"/>
                <w:color w:val="auto"/>
                <w:sz w:val="18"/>
                <w:szCs w:val="18"/>
              </w:rPr>
            </w:pPr>
            <w:r>
              <w:rPr>
                <w:rFonts w:hint="eastAsia" w:ascii="宋体" w:hAnsi="宋体" w:cs="宋体"/>
                <w:color w:val="auto"/>
                <w:sz w:val="18"/>
                <w:szCs w:val="18"/>
              </w:rPr>
              <w:t>查看制度</w:t>
            </w:r>
          </w:p>
        </w:tc>
        <w:tc>
          <w:tcPr>
            <w:tcW w:w="2693" w:type="dxa"/>
            <w:tcBorders>
              <w:top w:val="single" w:color="auto" w:sz="4" w:space="0"/>
              <w:left w:val="single" w:color="auto" w:sz="4" w:space="0"/>
              <w:bottom w:val="single" w:color="auto" w:sz="4" w:space="0"/>
              <w:right w:val="single" w:color="auto" w:sz="4" w:space="0"/>
            </w:tcBorders>
            <w:vAlign w:val="center"/>
          </w:tcPr>
          <w:p w14:paraId="63CB787B">
            <w:pPr>
              <w:rPr>
                <w:rFonts w:ascii="宋体" w:hAnsi="宋体" w:cs="宋体"/>
                <w:color w:val="auto"/>
                <w:sz w:val="18"/>
                <w:szCs w:val="18"/>
              </w:rPr>
            </w:pPr>
            <w:r>
              <w:rPr>
                <w:rFonts w:hint="eastAsia" w:ascii="宋体" w:hAnsi="宋体" w:cs="宋体"/>
                <w:color w:val="auto"/>
                <w:sz w:val="18"/>
                <w:szCs w:val="18"/>
              </w:rPr>
              <w:t>缺一项制度每次支付违约金</w:t>
            </w:r>
            <w:r>
              <w:rPr>
                <w:rFonts w:ascii="宋体" w:hAnsi="宋体" w:cs="宋体"/>
                <w:color w:val="auto"/>
                <w:sz w:val="18"/>
                <w:szCs w:val="18"/>
              </w:rPr>
              <w:t>1000元</w:t>
            </w:r>
          </w:p>
        </w:tc>
        <w:tc>
          <w:tcPr>
            <w:tcW w:w="1559" w:type="dxa"/>
            <w:tcBorders>
              <w:top w:val="single" w:color="auto" w:sz="4" w:space="0"/>
              <w:left w:val="single" w:color="auto" w:sz="4" w:space="0"/>
              <w:bottom w:val="single" w:color="auto" w:sz="4" w:space="0"/>
              <w:right w:val="single" w:color="auto" w:sz="4" w:space="0"/>
            </w:tcBorders>
            <w:vAlign w:val="center"/>
          </w:tcPr>
          <w:p w14:paraId="6D575FB8">
            <w:pPr>
              <w:rPr>
                <w:rFonts w:ascii="宋体" w:hAnsi="宋体" w:cs="宋体"/>
                <w:color w:val="auto"/>
                <w:sz w:val="18"/>
                <w:szCs w:val="18"/>
              </w:rPr>
            </w:pPr>
            <w:r>
              <w:rPr>
                <w:rFonts w:hint="eastAsia" w:ascii="宋体" w:hAnsi="宋体" w:cs="宋体"/>
                <w:color w:val="auto"/>
                <w:sz w:val="18"/>
                <w:szCs w:val="18"/>
              </w:rPr>
              <w:t>缺一项每次扣</w:t>
            </w:r>
            <w:r>
              <w:rPr>
                <w:rFonts w:ascii="宋体" w:hAnsi="宋体" w:cs="宋体"/>
                <w:color w:val="auto"/>
                <w:sz w:val="18"/>
                <w:szCs w:val="18"/>
              </w:rPr>
              <w:t>1分</w:t>
            </w:r>
          </w:p>
        </w:tc>
      </w:tr>
      <w:tr w14:paraId="440393DD">
        <w:tblPrEx>
          <w:tblCellMar>
            <w:top w:w="0" w:type="dxa"/>
            <w:left w:w="108" w:type="dxa"/>
            <w:bottom w:w="0" w:type="dxa"/>
            <w:right w:w="108" w:type="dxa"/>
          </w:tblCellMar>
        </w:tblPrEx>
        <w:trPr>
          <w:trHeight w:val="480" w:hRule="atLeast"/>
          <w:jc w:val="center"/>
        </w:trPr>
        <w:tc>
          <w:tcPr>
            <w:tcW w:w="499" w:type="dxa"/>
            <w:vMerge w:val="continue"/>
            <w:tcBorders>
              <w:top w:val="single" w:color="auto" w:sz="4" w:space="0"/>
              <w:left w:val="single" w:color="auto" w:sz="4" w:space="0"/>
              <w:bottom w:val="single" w:color="auto" w:sz="4" w:space="0"/>
              <w:right w:val="single" w:color="auto" w:sz="4" w:space="0"/>
            </w:tcBorders>
            <w:vAlign w:val="center"/>
          </w:tcPr>
          <w:p w14:paraId="4BA55FDF">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vAlign w:val="center"/>
          </w:tcPr>
          <w:p w14:paraId="2A83F13A">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vAlign w:val="center"/>
          </w:tcPr>
          <w:p w14:paraId="22E86237">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vAlign w:val="center"/>
          </w:tcPr>
          <w:p w14:paraId="32230EEA">
            <w:pPr>
              <w:rPr>
                <w:rFonts w:ascii="宋体" w:hAnsi="宋体" w:cs="宋体"/>
                <w:color w:val="auto"/>
                <w:sz w:val="18"/>
                <w:szCs w:val="18"/>
              </w:rPr>
            </w:pPr>
            <w:r>
              <w:rPr>
                <w:rFonts w:ascii="宋体" w:hAnsi="宋体" w:cs="宋体"/>
                <w:color w:val="auto"/>
                <w:sz w:val="18"/>
                <w:szCs w:val="18"/>
              </w:rPr>
              <w:t>2.应建有卫生与安全责任制度和责任追究制度</w:t>
            </w:r>
          </w:p>
        </w:tc>
        <w:tc>
          <w:tcPr>
            <w:tcW w:w="709" w:type="dxa"/>
            <w:tcBorders>
              <w:top w:val="single" w:color="auto" w:sz="4" w:space="0"/>
              <w:left w:val="single" w:color="auto" w:sz="4" w:space="0"/>
              <w:bottom w:val="single" w:color="auto" w:sz="4" w:space="0"/>
              <w:right w:val="single" w:color="auto" w:sz="4" w:space="0"/>
            </w:tcBorders>
            <w:vAlign w:val="center"/>
          </w:tcPr>
          <w:p w14:paraId="531248A2">
            <w:pPr>
              <w:rPr>
                <w:rFonts w:ascii="宋体" w:hAnsi="宋体" w:cs="宋体"/>
                <w:color w:val="auto"/>
                <w:sz w:val="18"/>
                <w:szCs w:val="18"/>
              </w:rPr>
            </w:pPr>
            <w:r>
              <w:rPr>
                <w:rFonts w:hint="eastAsia" w:ascii="宋体" w:hAnsi="宋体" w:cs="宋体"/>
                <w:color w:val="auto"/>
                <w:sz w:val="18"/>
                <w:szCs w:val="18"/>
              </w:rPr>
              <w:t>查看制度</w:t>
            </w:r>
          </w:p>
        </w:tc>
        <w:tc>
          <w:tcPr>
            <w:tcW w:w="2693" w:type="dxa"/>
            <w:tcBorders>
              <w:top w:val="single" w:color="auto" w:sz="4" w:space="0"/>
              <w:left w:val="single" w:color="auto" w:sz="4" w:space="0"/>
              <w:bottom w:val="single" w:color="auto" w:sz="4" w:space="0"/>
              <w:right w:val="single" w:color="auto" w:sz="4" w:space="0"/>
            </w:tcBorders>
            <w:vAlign w:val="center"/>
          </w:tcPr>
          <w:p w14:paraId="5F8A3703">
            <w:pPr>
              <w:rPr>
                <w:rFonts w:ascii="宋体" w:hAnsi="宋体" w:cs="宋体"/>
                <w:color w:val="auto"/>
                <w:sz w:val="18"/>
                <w:szCs w:val="18"/>
              </w:rPr>
            </w:pPr>
            <w:r>
              <w:rPr>
                <w:rFonts w:hint="eastAsia" w:ascii="宋体" w:hAnsi="宋体" w:cs="宋体"/>
                <w:color w:val="auto"/>
                <w:sz w:val="18"/>
                <w:szCs w:val="18"/>
              </w:rPr>
              <w:t>缺一项制度每次支付违约金</w:t>
            </w:r>
            <w:r>
              <w:rPr>
                <w:rFonts w:ascii="宋体" w:hAnsi="宋体" w:cs="宋体"/>
                <w:color w:val="auto"/>
                <w:sz w:val="18"/>
                <w:szCs w:val="18"/>
              </w:rPr>
              <w:t>1000元</w:t>
            </w:r>
          </w:p>
        </w:tc>
        <w:tc>
          <w:tcPr>
            <w:tcW w:w="1559" w:type="dxa"/>
            <w:tcBorders>
              <w:top w:val="single" w:color="auto" w:sz="4" w:space="0"/>
              <w:left w:val="single" w:color="auto" w:sz="4" w:space="0"/>
              <w:bottom w:val="single" w:color="auto" w:sz="4" w:space="0"/>
              <w:right w:val="single" w:color="auto" w:sz="4" w:space="0"/>
            </w:tcBorders>
            <w:vAlign w:val="center"/>
          </w:tcPr>
          <w:p w14:paraId="7DB8794E">
            <w:pPr>
              <w:rPr>
                <w:rFonts w:ascii="宋体" w:hAnsi="宋体" w:cs="宋体"/>
                <w:color w:val="auto"/>
                <w:sz w:val="18"/>
                <w:szCs w:val="18"/>
              </w:rPr>
            </w:pPr>
            <w:r>
              <w:rPr>
                <w:rFonts w:hint="eastAsia" w:ascii="宋体" w:hAnsi="宋体" w:cs="宋体"/>
                <w:color w:val="auto"/>
                <w:sz w:val="18"/>
                <w:szCs w:val="18"/>
              </w:rPr>
              <w:t>缺一项每次扣</w:t>
            </w:r>
            <w:r>
              <w:rPr>
                <w:rFonts w:ascii="宋体" w:hAnsi="宋体" w:cs="宋体"/>
                <w:color w:val="auto"/>
                <w:sz w:val="18"/>
                <w:szCs w:val="18"/>
              </w:rPr>
              <w:t>1分</w:t>
            </w:r>
          </w:p>
        </w:tc>
      </w:tr>
      <w:tr w14:paraId="6F30E576">
        <w:tblPrEx>
          <w:tblCellMar>
            <w:top w:w="0" w:type="dxa"/>
            <w:left w:w="108" w:type="dxa"/>
            <w:bottom w:w="0" w:type="dxa"/>
            <w:right w:w="108" w:type="dxa"/>
          </w:tblCellMar>
        </w:tblPrEx>
        <w:trPr>
          <w:trHeight w:val="960" w:hRule="atLeast"/>
          <w:jc w:val="center"/>
        </w:trPr>
        <w:tc>
          <w:tcPr>
            <w:tcW w:w="499" w:type="dxa"/>
            <w:vMerge w:val="continue"/>
            <w:tcBorders>
              <w:top w:val="single" w:color="auto" w:sz="4" w:space="0"/>
              <w:left w:val="single" w:color="auto" w:sz="4" w:space="0"/>
              <w:bottom w:val="single" w:color="auto" w:sz="4" w:space="0"/>
              <w:right w:val="single" w:color="auto" w:sz="4" w:space="0"/>
            </w:tcBorders>
            <w:vAlign w:val="center"/>
          </w:tcPr>
          <w:p w14:paraId="1E8393DD">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vAlign w:val="center"/>
          </w:tcPr>
          <w:p w14:paraId="15C920F9">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vAlign w:val="center"/>
          </w:tcPr>
          <w:p w14:paraId="6C7FB49C">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vAlign w:val="center"/>
          </w:tcPr>
          <w:p w14:paraId="1C54312C">
            <w:pPr>
              <w:rPr>
                <w:rFonts w:ascii="宋体" w:hAnsi="宋体" w:cs="宋体"/>
                <w:color w:val="auto"/>
                <w:sz w:val="18"/>
                <w:szCs w:val="18"/>
              </w:rPr>
            </w:pPr>
            <w:r>
              <w:rPr>
                <w:rFonts w:ascii="宋体" w:hAnsi="宋体" w:cs="宋体"/>
                <w:color w:val="auto"/>
                <w:sz w:val="18"/>
                <w:szCs w:val="18"/>
              </w:rPr>
              <w:t>3.应持有效证件经营</w:t>
            </w:r>
          </w:p>
        </w:tc>
        <w:tc>
          <w:tcPr>
            <w:tcW w:w="709" w:type="dxa"/>
            <w:tcBorders>
              <w:top w:val="single" w:color="auto" w:sz="4" w:space="0"/>
              <w:left w:val="single" w:color="auto" w:sz="4" w:space="0"/>
              <w:bottom w:val="single" w:color="auto" w:sz="4" w:space="0"/>
              <w:right w:val="single" w:color="auto" w:sz="4" w:space="0"/>
            </w:tcBorders>
            <w:vAlign w:val="center"/>
          </w:tcPr>
          <w:p w14:paraId="1594B52E">
            <w:pPr>
              <w:rPr>
                <w:rFonts w:ascii="宋体" w:hAnsi="宋体" w:cs="宋体"/>
                <w:color w:val="auto"/>
                <w:sz w:val="18"/>
                <w:szCs w:val="18"/>
              </w:rPr>
            </w:pPr>
            <w:r>
              <w:rPr>
                <w:rFonts w:hint="eastAsia" w:ascii="宋体" w:hAnsi="宋体" w:cs="宋体"/>
                <w:color w:val="auto"/>
                <w:sz w:val="18"/>
                <w:szCs w:val="18"/>
              </w:rPr>
              <w:t>现场检查</w:t>
            </w:r>
          </w:p>
        </w:tc>
        <w:tc>
          <w:tcPr>
            <w:tcW w:w="2693" w:type="dxa"/>
            <w:tcBorders>
              <w:top w:val="single" w:color="auto" w:sz="4" w:space="0"/>
              <w:left w:val="single" w:color="auto" w:sz="4" w:space="0"/>
              <w:bottom w:val="single" w:color="auto" w:sz="4" w:space="0"/>
              <w:right w:val="single" w:color="auto" w:sz="4" w:space="0"/>
            </w:tcBorders>
            <w:vAlign w:val="center"/>
          </w:tcPr>
          <w:p w14:paraId="42514417">
            <w:pPr>
              <w:rPr>
                <w:rFonts w:ascii="宋体" w:hAnsi="宋体" w:cs="宋体"/>
                <w:color w:val="auto"/>
                <w:sz w:val="18"/>
                <w:szCs w:val="18"/>
              </w:rPr>
            </w:pPr>
            <w:r>
              <w:rPr>
                <w:rFonts w:hint="eastAsia" w:ascii="宋体" w:hAnsi="宋体" w:cs="宋体"/>
                <w:color w:val="auto"/>
                <w:sz w:val="18"/>
                <w:szCs w:val="18"/>
              </w:rPr>
              <w:t>无证经营或证件无效除由经营者支付相关主管部门的罚款外，学校将按</w:t>
            </w:r>
            <w:r>
              <w:rPr>
                <w:rFonts w:ascii="宋体" w:hAnsi="宋体" w:cs="宋体"/>
                <w:color w:val="auto"/>
                <w:sz w:val="18"/>
                <w:szCs w:val="18"/>
              </w:rPr>
              <w:t>5000—50000元进行处罚并有权解除经营管理合同</w:t>
            </w:r>
          </w:p>
        </w:tc>
        <w:tc>
          <w:tcPr>
            <w:tcW w:w="1559" w:type="dxa"/>
            <w:tcBorders>
              <w:top w:val="single" w:color="auto" w:sz="4" w:space="0"/>
              <w:left w:val="single" w:color="auto" w:sz="4" w:space="0"/>
              <w:bottom w:val="single" w:color="auto" w:sz="4" w:space="0"/>
              <w:right w:val="single" w:color="auto" w:sz="4" w:space="0"/>
            </w:tcBorders>
            <w:vAlign w:val="center"/>
          </w:tcPr>
          <w:p w14:paraId="47FB6E5A">
            <w:pPr>
              <w:rPr>
                <w:rFonts w:ascii="宋体" w:hAnsi="宋体" w:cs="宋体"/>
                <w:color w:val="auto"/>
                <w:sz w:val="18"/>
                <w:szCs w:val="18"/>
              </w:rPr>
            </w:pPr>
            <w:r>
              <w:rPr>
                <w:rFonts w:hint="eastAsia" w:ascii="宋体" w:hAnsi="宋体" w:cs="宋体"/>
                <w:color w:val="auto"/>
                <w:sz w:val="18"/>
                <w:szCs w:val="18"/>
              </w:rPr>
              <w:t>无证经营或证件无效扣</w:t>
            </w:r>
            <w:r>
              <w:rPr>
                <w:rFonts w:ascii="宋体" w:hAnsi="宋体" w:cs="宋体"/>
                <w:color w:val="auto"/>
                <w:sz w:val="18"/>
                <w:szCs w:val="18"/>
              </w:rPr>
              <w:t>5分</w:t>
            </w:r>
          </w:p>
        </w:tc>
      </w:tr>
      <w:tr w14:paraId="0A4E9BD9">
        <w:tblPrEx>
          <w:tblCellMar>
            <w:top w:w="0" w:type="dxa"/>
            <w:left w:w="108" w:type="dxa"/>
            <w:bottom w:w="0" w:type="dxa"/>
            <w:right w:w="108" w:type="dxa"/>
          </w:tblCellMar>
        </w:tblPrEx>
        <w:trPr>
          <w:trHeight w:val="480" w:hRule="atLeast"/>
          <w:jc w:val="center"/>
        </w:trPr>
        <w:tc>
          <w:tcPr>
            <w:tcW w:w="499" w:type="dxa"/>
            <w:vMerge w:val="continue"/>
            <w:tcBorders>
              <w:top w:val="single" w:color="auto" w:sz="4" w:space="0"/>
              <w:left w:val="single" w:color="auto" w:sz="4" w:space="0"/>
              <w:bottom w:val="single" w:color="auto" w:sz="4" w:space="0"/>
              <w:right w:val="single" w:color="auto" w:sz="4" w:space="0"/>
            </w:tcBorders>
            <w:vAlign w:val="center"/>
          </w:tcPr>
          <w:p w14:paraId="4351AE5F">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vAlign w:val="center"/>
          </w:tcPr>
          <w:p w14:paraId="3EADECD0">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vAlign w:val="center"/>
          </w:tcPr>
          <w:p w14:paraId="41E12E72">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vAlign w:val="center"/>
          </w:tcPr>
          <w:p w14:paraId="6F61497F">
            <w:pPr>
              <w:rPr>
                <w:rFonts w:ascii="宋体" w:hAnsi="宋体" w:cs="宋体"/>
                <w:color w:val="auto"/>
                <w:sz w:val="18"/>
                <w:szCs w:val="18"/>
              </w:rPr>
            </w:pPr>
            <w:r>
              <w:rPr>
                <w:rFonts w:ascii="宋体" w:hAnsi="宋体" w:cs="宋体"/>
                <w:color w:val="auto"/>
                <w:sz w:val="18"/>
                <w:szCs w:val="18"/>
              </w:rPr>
              <w:t>4．建立并执行从业人员资格审查和健康管理制度。从业人员入职时应提供真实有效的无犯罪记录证明、心理健康测试报告和健康证。入职后，按要求开展资格审查和健康管理。</w:t>
            </w:r>
          </w:p>
        </w:tc>
        <w:tc>
          <w:tcPr>
            <w:tcW w:w="709" w:type="dxa"/>
            <w:tcBorders>
              <w:top w:val="single" w:color="auto" w:sz="4" w:space="0"/>
              <w:left w:val="single" w:color="auto" w:sz="4" w:space="0"/>
              <w:bottom w:val="single" w:color="auto" w:sz="4" w:space="0"/>
              <w:right w:val="single" w:color="auto" w:sz="4" w:space="0"/>
            </w:tcBorders>
            <w:vAlign w:val="center"/>
          </w:tcPr>
          <w:p w14:paraId="3F242C01">
            <w:pPr>
              <w:rPr>
                <w:rFonts w:ascii="宋体" w:hAnsi="宋体" w:cs="宋体"/>
                <w:color w:val="auto"/>
                <w:sz w:val="18"/>
                <w:szCs w:val="18"/>
              </w:rPr>
            </w:pPr>
            <w:r>
              <w:rPr>
                <w:rFonts w:hint="eastAsia" w:ascii="宋体" w:hAnsi="宋体" w:cs="宋体"/>
                <w:color w:val="auto"/>
                <w:sz w:val="18"/>
                <w:szCs w:val="18"/>
              </w:rPr>
              <w:t>现场</w:t>
            </w:r>
          </w:p>
          <w:p w14:paraId="5AEE1461">
            <w:pPr>
              <w:rPr>
                <w:rFonts w:ascii="宋体" w:hAnsi="宋体" w:cs="宋体"/>
                <w:color w:val="auto"/>
                <w:sz w:val="18"/>
                <w:szCs w:val="18"/>
              </w:rPr>
            </w:pPr>
            <w:r>
              <w:rPr>
                <w:rFonts w:hint="eastAsia" w:ascii="宋体" w:hAnsi="宋体" w:cs="宋体"/>
                <w:color w:val="auto"/>
                <w:sz w:val="18"/>
                <w:szCs w:val="18"/>
              </w:rPr>
              <w:t>检查</w:t>
            </w:r>
          </w:p>
        </w:tc>
        <w:tc>
          <w:tcPr>
            <w:tcW w:w="2693" w:type="dxa"/>
            <w:tcBorders>
              <w:top w:val="single" w:color="auto" w:sz="4" w:space="0"/>
              <w:left w:val="single" w:color="auto" w:sz="4" w:space="0"/>
              <w:bottom w:val="single" w:color="auto" w:sz="4" w:space="0"/>
              <w:right w:val="single" w:color="auto" w:sz="4" w:space="0"/>
            </w:tcBorders>
            <w:vAlign w:val="center"/>
          </w:tcPr>
          <w:p w14:paraId="1E9199B7">
            <w:pPr>
              <w:rPr>
                <w:rFonts w:ascii="宋体" w:hAnsi="宋体" w:cs="宋体"/>
                <w:color w:val="auto"/>
                <w:sz w:val="18"/>
                <w:szCs w:val="18"/>
              </w:rPr>
            </w:pPr>
            <w:r>
              <w:rPr>
                <w:rFonts w:hint="eastAsia" w:ascii="宋体" w:hAnsi="宋体" w:cs="宋体"/>
                <w:color w:val="auto"/>
                <w:sz w:val="18"/>
                <w:szCs w:val="18"/>
              </w:rPr>
              <w:t>缺制度的支付违约金</w:t>
            </w:r>
            <w:r>
              <w:rPr>
                <w:rFonts w:ascii="宋体" w:hAnsi="宋体" w:cs="宋体"/>
                <w:color w:val="auto"/>
                <w:sz w:val="18"/>
                <w:szCs w:val="18"/>
              </w:rPr>
              <w:t>1000元/项/次，制度未落实到位支付违约金2000元/人次</w:t>
            </w:r>
          </w:p>
        </w:tc>
        <w:tc>
          <w:tcPr>
            <w:tcW w:w="1559" w:type="dxa"/>
            <w:tcBorders>
              <w:top w:val="single" w:color="auto" w:sz="4" w:space="0"/>
              <w:left w:val="single" w:color="auto" w:sz="4" w:space="0"/>
              <w:bottom w:val="single" w:color="auto" w:sz="4" w:space="0"/>
              <w:right w:val="single" w:color="auto" w:sz="4" w:space="0"/>
            </w:tcBorders>
            <w:vAlign w:val="center"/>
          </w:tcPr>
          <w:p w14:paraId="733AD2E1">
            <w:pPr>
              <w:rPr>
                <w:rFonts w:ascii="宋体" w:hAnsi="宋体" w:cs="宋体"/>
                <w:color w:val="auto"/>
                <w:sz w:val="18"/>
                <w:szCs w:val="18"/>
              </w:rPr>
            </w:pPr>
            <w:r>
              <w:rPr>
                <w:rFonts w:hint="eastAsia" w:ascii="宋体" w:hAnsi="宋体" w:cs="宋体"/>
                <w:color w:val="auto"/>
                <w:sz w:val="18"/>
                <w:szCs w:val="18"/>
              </w:rPr>
              <w:t>未建有相应制度扣</w:t>
            </w:r>
            <w:r>
              <w:rPr>
                <w:rFonts w:ascii="宋体" w:hAnsi="宋体" w:cs="宋体"/>
                <w:color w:val="auto"/>
                <w:sz w:val="18"/>
                <w:szCs w:val="18"/>
              </w:rPr>
              <w:t>0.5分/次；制度未落实到位的扣1分/次</w:t>
            </w:r>
          </w:p>
        </w:tc>
      </w:tr>
      <w:tr w14:paraId="1CF0EB19">
        <w:tblPrEx>
          <w:tblCellMar>
            <w:top w:w="0" w:type="dxa"/>
            <w:left w:w="108" w:type="dxa"/>
            <w:bottom w:w="0" w:type="dxa"/>
            <w:right w:w="108" w:type="dxa"/>
          </w:tblCellMar>
        </w:tblPrEx>
        <w:trPr>
          <w:trHeight w:val="720" w:hRule="atLeast"/>
          <w:jc w:val="center"/>
        </w:trPr>
        <w:tc>
          <w:tcPr>
            <w:tcW w:w="499" w:type="dxa"/>
            <w:vMerge w:val="continue"/>
            <w:tcBorders>
              <w:top w:val="single" w:color="auto" w:sz="4" w:space="0"/>
              <w:left w:val="single" w:color="auto" w:sz="4" w:space="0"/>
              <w:bottom w:val="single" w:color="auto" w:sz="4" w:space="0"/>
              <w:right w:val="single" w:color="auto" w:sz="4" w:space="0"/>
            </w:tcBorders>
            <w:vAlign w:val="center"/>
          </w:tcPr>
          <w:p w14:paraId="2189132A">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vAlign w:val="center"/>
          </w:tcPr>
          <w:p w14:paraId="5BEB07D6">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vAlign w:val="center"/>
          </w:tcPr>
          <w:p w14:paraId="10AEFD0D">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vAlign w:val="center"/>
          </w:tcPr>
          <w:p w14:paraId="23F30D2A">
            <w:pPr>
              <w:rPr>
                <w:rFonts w:ascii="宋体" w:hAnsi="宋体" w:cs="宋体"/>
                <w:color w:val="auto"/>
                <w:sz w:val="18"/>
                <w:szCs w:val="18"/>
              </w:rPr>
            </w:pPr>
            <w:r>
              <w:rPr>
                <w:rFonts w:ascii="宋体" w:hAnsi="宋体" w:cs="宋体"/>
                <w:color w:val="auto"/>
                <w:sz w:val="18"/>
                <w:szCs w:val="18"/>
              </w:rPr>
              <w:t>5.应严格执行食品卫生法律、法规，无投毒或食物中毒事故或肠道传染病发生</w:t>
            </w:r>
          </w:p>
        </w:tc>
        <w:tc>
          <w:tcPr>
            <w:tcW w:w="709" w:type="dxa"/>
            <w:tcBorders>
              <w:top w:val="single" w:color="auto" w:sz="4" w:space="0"/>
              <w:left w:val="single" w:color="auto" w:sz="4" w:space="0"/>
              <w:bottom w:val="single" w:color="auto" w:sz="4" w:space="0"/>
              <w:right w:val="single" w:color="auto" w:sz="4" w:space="0"/>
            </w:tcBorders>
            <w:vAlign w:val="center"/>
          </w:tcPr>
          <w:p w14:paraId="3C5F07A1">
            <w:pPr>
              <w:rPr>
                <w:rFonts w:ascii="宋体" w:hAnsi="宋体" w:cs="宋体"/>
                <w:color w:val="auto"/>
                <w:sz w:val="18"/>
                <w:szCs w:val="18"/>
              </w:rPr>
            </w:pPr>
            <w:r>
              <w:rPr>
                <w:rFonts w:hint="eastAsia" w:ascii="宋体" w:hAnsi="宋体" w:cs="宋体"/>
                <w:color w:val="auto"/>
                <w:sz w:val="18"/>
                <w:szCs w:val="18"/>
              </w:rPr>
              <w:t>现场检查</w:t>
            </w:r>
          </w:p>
        </w:tc>
        <w:tc>
          <w:tcPr>
            <w:tcW w:w="2693" w:type="dxa"/>
            <w:tcBorders>
              <w:top w:val="single" w:color="auto" w:sz="4" w:space="0"/>
              <w:left w:val="single" w:color="auto" w:sz="4" w:space="0"/>
              <w:bottom w:val="single" w:color="auto" w:sz="4" w:space="0"/>
              <w:right w:val="single" w:color="auto" w:sz="4" w:space="0"/>
            </w:tcBorders>
            <w:vAlign w:val="center"/>
          </w:tcPr>
          <w:p w14:paraId="1EDD5B6C">
            <w:pPr>
              <w:rPr>
                <w:rFonts w:ascii="宋体" w:hAnsi="宋体" w:cs="宋体"/>
                <w:color w:val="auto"/>
                <w:sz w:val="18"/>
                <w:szCs w:val="18"/>
              </w:rPr>
            </w:pPr>
            <w:r>
              <w:rPr>
                <w:rFonts w:hint="eastAsia" w:ascii="宋体" w:hAnsi="宋体" w:cs="宋体"/>
                <w:color w:val="auto"/>
                <w:sz w:val="18"/>
                <w:szCs w:val="18"/>
              </w:rPr>
              <w:t>发生投毒或食物中毒或肠道传染病事件，情节严重者，采购人除不退还履约保证金外，还应承担</w:t>
            </w:r>
            <w:r>
              <w:rPr>
                <w:rFonts w:ascii="宋体" w:hAnsi="宋体" w:cs="宋体"/>
                <w:color w:val="auto"/>
                <w:sz w:val="18"/>
                <w:szCs w:val="18"/>
              </w:rPr>
              <w:t>50000元/次的合同违约金，由此造成的所有责任</w:t>
            </w:r>
            <w:r>
              <w:rPr>
                <w:rFonts w:hint="eastAsia" w:ascii="宋体" w:hAnsi="宋体" w:cs="宋体"/>
                <w:color w:val="auto"/>
                <w:sz w:val="18"/>
                <w:szCs w:val="18"/>
              </w:rPr>
              <w:t>由成交商承担（包括对采购人相关管理人员的经济处罚），且采购人有权解除合同</w:t>
            </w:r>
          </w:p>
        </w:tc>
        <w:tc>
          <w:tcPr>
            <w:tcW w:w="1559" w:type="dxa"/>
            <w:tcBorders>
              <w:top w:val="single" w:color="auto" w:sz="4" w:space="0"/>
              <w:left w:val="single" w:color="auto" w:sz="4" w:space="0"/>
              <w:bottom w:val="single" w:color="auto" w:sz="4" w:space="0"/>
              <w:right w:val="single" w:color="auto" w:sz="4" w:space="0"/>
            </w:tcBorders>
            <w:vAlign w:val="center"/>
          </w:tcPr>
          <w:p w14:paraId="1E9669F9">
            <w:pPr>
              <w:rPr>
                <w:rFonts w:ascii="宋体" w:hAnsi="宋体" w:cs="宋体"/>
                <w:color w:val="auto"/>
                <w:sz w:val="18"/>
                <w:szCs w:val="18"/>
              </w:rPr>
            </w:pPr>
            <w:r>
              <w:rPr>
                <w:rFonts w:hint="eastAsia" w:ascii="宋体" w:hAnsi="宋体" w:cs="宋体"/>
                <w:color w:val="auto"/>
                <w:sz w:val="18"/>
                <w:szCs w:val="18"/>
              </w:rPr>
              <w:t>发生投毒或食物中毒或肠道传染病事件，涉事当学期考核直接为不合格</w:t>
            </w:r>
          </w:p>
        </w:tc>
      </w:tr>
      <w:tr w14:paraId="5932067C">
        <w:tblPrEx>
          <w:tblCellMar>
            <w:top w:w="0" w:type="dxa"/>
            <w:left w:w="108" w:type="dxa"/>
            <w:bottom w:w="0" w:type="dxa"/>
            <w:right w:w="108" w:type="dxa"/>
          </w:tblCellMar>
        </w:tblPrEx>
        <w:trPr>
          <w:trHeight w:val="480" w:hRule="atLeast"/>
          <w:jc w:val="center"/>
        </w:trPr>
        <w:tc>
          <w:tcPr>
            <w:tcW w:w="499" w:type="dxa"/>
            <w:vMerge w:val="continue"/>
            <w:tcBorders>
              <w:top w:val="single" w:color="auto" w:sz="4" w:space="0"/>
              <w:left w:val="single" w:color="auto" w:sz="4" w:space="0"/>
              <w:bottom w:val="single" w:color="auto" w:sz="4" w:space="0"/>
              <w:right w:val="single" w:color="auto" w:sz="4" w:space="0"/>
            </w:tcBorders>
            <w:vAlign w:val="center"/>
          </w:tcPr>
          <w:p w14:paraId="279A62CD">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vAlign w:val="center"/>
          </w:tcPr>
          <w:p w14:paraId="1E0CB2E9">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vAlign w:val="center"/>
          </w:tcPr>
          <w:p w14:paraId="52A897A7">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vAlign w:val="center"/>
          </w:tcPr>
          <w:p w14:paraId="712F6C10">
            <w:pPr>
              <w:rPr>
                <w:rFonts w:ascii="宋体" w:hAnsi="宋体" w:cs="宋体"/>
                <w:color w:val="auto"/>
                <w:sz w:val="18"/>
                <w:szCs w:val="18"/>
              </w:rPr>
            </w:pPr>
            <w:r>
              <w:rPr>
                <w:rFonts w:ascii="宋体" w:hAnsi="宋体" w:cs="宋体"/>
                <w:color w:val="auto"/>
                <w:sz w:val="18"/>
                <w:szCs w:val="18"/>
              </w:rPr>
              <w:t>6.应坚持《食品及食品原辅材料进货检查验收制度》，建立出入库电子与纸质双台账，如实准确记录名称、规格、数量、生产日期或者生产批号、保质期、进货日期以及供货者名称、地址、联系方式等内容，并保留载有上述信息的相关凭证。</w:t>
            </w:r>
          </w:p>
        </w:tc>
        <w:tc>
          <w:tcPr>
            <w:tcW w:w="709" w:type="dxa"/>
            <w:tcBorders>
              <w:top w:val="single" w:color="auto" w:sz="4" w:space="0"/>
              <w:left w:val="single" w:color="auto" w:sz="4" w:space="0"/>
              <w:bottom w:val="single" w:color="auto" w:sz="4" w:space="0"/>
              <w:right w:val="single" w:color="auto" w:sz="4" w:space="0"/>
            </w:tcBorders>
            <w:vAlign w:val="center"/>
          </w:tcPr>
          <w:p w14:paraId="00C41ED5">
            <w:pPr>
              <w:rPr>
                <w:rFonts w:ascii="宋体" w:hAnsi="宋体" w:cs="宋体"/>
                <w:color w:val="auto"/>
                <w:sz w:val="18"/>
                <w:szCs w:val="18"/>
              </w:rPr>
            </w:pPr>
            <w:r>
              <w:rPr>
                <w:rFonts w:hint="eastAsia" w:ascii="宋体" w:hAnsi="宋体" w:cs="宋体"/>
                <w:color w:val="auto"/>
                <w:sz w:val="18"/>
                <w:szCs w:val="18"/>
              </w:rPr>
              <w:t>现场检查</w:t>
            </w:r>
          </w:p>
        </w:tc>
        <w:tc>
          <w:tcPr>
            <w:tcW w:w="2693" w:type="dxa"/>
            <w:tcBorders>
              <w:top w:val="single" w:color="auto" w:sz="4" w:space="0"/>
              <w:left w:val="single" w:color="auto" w:sz="4" w:space="0"/>
              <w:bottom w:val="single" w:color="auto" w:sz="4" w:space="0"/>
              <w:right w:val="single" w:color="auto" w:sz="4" w:space="0"/>
            </w:tcBorders>
            <w:vAlign w:val="center"/>
          </w:tcPr>
          <w:p w14:paraId="408B82B3">
            <w:pPr>
              <w:rPr>
                <w:rFonts w:ascii="宋体" w:hAnsi="宋体" w:cs="宋体"/>
                <w:color w:val="auto"/>
                <w:sz w:val="18"/>
                <w:szCs w:val="18"/>
              </w:rPr>
            </w:pPr>
            <w:r>
              <w:rPr>
                <w:rFonts w:hint="eastAsia" w:ascii="宋体" w:hAnsi="宋体" w:cs="宋体"/>
                <w:color w:val="auto"/>
                <w:sz w:val="18"/>
                <w:szCs w:val="18"/>
              </w:rPr>
              <w:t>进货未查验每次支付违约金</w:t>
            </w:r>
            <w:r>
              <w:rPr>
                <w:rFonts w:ascii="宋体" w:hAnsi="宋体" w:cs="宋体"/>
                <w:color w:val="auto"/>
                <w:sz w:val="18"/>
                <w:szCs w:val="18"/>
              </w:rPr>
              <w:t>1000元，无台账或台账不全每次支付违约金10000元</w:t>
            </w:r>
          </w:p>
        </w:tc>
        <w:tc>
          <w:tcPr>
            <w:tcW w:w="1559" w:type="dxa"/>
            <w:tcBorders>
              <w:top w:val="single" w:color="auto" w:sz="4" w:space="0"/>
              <w:left w:val="single" w:color="auto" w:sz="4" w:space="0"/>
              <w:bottom w:val="single" w:color="auto" w:sz="4" w:space="0"/>
              <w:right w:val="single" w:color="auto" w:sz="4" w:space="0"/>
            </w:tcBorders>
            <w:vAlign w:val="center"/>
          </w:tcPr>
          <w:p w14:paraId="2A55B962">
            <w:pPr>
              <w:rPr>
                <w:rFonts w:ascii="宋体" w:hAnsi="宋体" w:cs="宋体"/>
                <w:color w:val="auto"/>
                <w:sz w:val="18"/>
                <w:szCs w:val="18"/>
              </w:rPr>
            </w:pPr>
            <w:r>
              <w:rPr>
                <w:rFonts w:hint="eastAsia" w:ascii="宋体" w:hAnsi="宋体" w:cs="宋体"/>
                <w:color w:val="auto"/>
                <w:sz w:val="18"/>
                <w:szCs w:val="18"/>
              </w:rPr>
              <w:t>未查验每次扣</w:t>
            </w:r>
            <w:r>
              <w:rPr>
                <w:rFonts w:ascii="宋体" w:hAnsi="宋体" w:cs="宋体"/>
                <w:color w:val="auto"/>
                <w:sz w:val="18"/>
                <w:szCs w:val="18"/>
              </w:rPr>
              <w:t>1分，无台账或台帐不全每次扣1分</w:t>
            </w:r>
          </w:p>
        </w:tc>
      </w:tr>
      <w:tr w14:paraId="6064F26D">
        <w:tblPrEx>
          <w:tblCellMar>
            <w:top w:w="0" w:type="dxa"/>
            <w:left w:w="108" w:type="dxa"/>
            <w:bottom w:w="0" w:type="dxa"/>
            <w:right w:w="108" w:type="dxa"/>
          </w:tblCellMar>
        </w:tblPrEx>
        <w:trPr>
          <w:trHeight w:val="480" w:hRule="atLeast"/>
          <w:jc w:val="center"/>
        </w:trPr>
        <w:tc>
          <w:tcPr>
            <w:tcW w:w="499" w:type="dxa"/>
            <w:vMerge w:val="continue"/>
            <w:tcBorders>
              <w:top w:val="single" w:color="auto" w:sz="4" w:space="0"/>
              <w:left w:val="single" w:color="auto" w:sz="4" w:space="0"/>
              <w:bottom w:val="single" w:color="auto" w:sz="4" w:space="0"/>
              <w:right w:val="single" w:color="auto" w:sz="4" w:space="0"/>
            </w:tcBorders>
            <w:vAlign w:val="center"/>
          </w:tcPr>
          <w:p w14:paraId="19E5DFF0">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vAlign w:val="center"/>
          </w:tcPr>
          <w:p w14:paraId="4B28A901">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vAlign w:val="center"/>
          </w:tcPr>
          <w:p w14:paraId="675DBD37">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shd w:val="clear" w:color="auto" w:fill="auto"/>
            <w:vAlign w:val="center"/>
          </w:tcPr>
          <w:p w14:paraId="772FFA64">
            <w:pPr>
              <w:rPr>
                <w:rFonts w:ascii="宋体" w:hAnsi="宋体" w:cs="宋体"/>
                <w:color w:val="auto"/>
                <w:sz w:val="18"/>
                <w:szCs w:val="18"/>
              </w:rPr>
            </w:pPr>
            <w:r>
              <w:rPr>
                <w:rFonts w:ascii="宋体" w:hAnsi="宋体" w:cs="宋体"/>
                <w:color w:val="auto"/>
                <w:sz w:val="18"/>
                <w:szCs w:val="18"/>
              </w:rPr>
              <w:t>7.建立食品安全自查制度，定期对食品安全状况进行检查评价。</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13888E82">
            <w:pPr>
              <w:rPr>
                <w:rFonts w:ascii="宋体" w:hAnsi="宋体" w:cs="宋体"/>
                <w:color w:val="auto"/>
                <w:sz w:val="18"/>
                <w:szCs w:val="18"/>
              </w:rPr>
            </w:pPr>
            <w:r>
              <w:rPr>
                <w:rFonts w:hint="eastAsia" w:ascii="宋体" w:hAnsi="宋体" w:cs="宋体"/>
                <w:color w:val="auto"/>
                <w:sz w:val="18"/>
                <w:szCs w:val="18"/>
              </w:rPr>
              <w:t>现场</w:t>
            </w:r>
          </w:p>
          <w:p w14:paraId="34E870AE">
            <w:pPr>
              <w:rPr>
                <w:rFonts w:ascii="宋体" w:hAnsi="宋体" w:cs="宋体"/>
                <w:color w:val="auto"/>
                <w:sz w:val="18"/>
                <w:szCs w:val="18"/>
              </w:rPr>
            </w:pPr>
            <w:r>
              <w:rPr>
                <w:rFonts w:hint="eastAsia" w:ascii="宋体" w:hAnsi="宋体" w:cs="宋体"/>
                <w:color w:val="auto"/>
                <w:sz w:val="18"/>
                <w:szCs w:val="18"/>
              </w:rPr>
              <w:t>检查</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tcPr>
          <w:p w14:paraId="25CA67E7">
            <w:pPr>
              <w:rPr>
                <w:rFonts w:ascii="宋体" w:hAnsi="宋体" w:cs="宋体"/>
                <w:color w:val="auto"/>
                <w:sz w:val="18"/>
                <w:szCs w:val="18"/>
              </w:rPr>
            </w:pPr>
            <w:r>
              <w:rPr>
                <w:rFonts w:hint="eastAsia" w:ascii="宋体" w:hAnsi="宋体" w:cs="宋体"/>
                <w:color w:val="auto"/>
                <w:sz w:val="18"/>
                <w:szCs w:val="18"/>
              </w:rPr>
              <w:t>缺制度的支付违约金</w:t>
            </w:r>
            <w:r>
              <w:rPr>
                <w:rFonts w:ascii="宋体" w:hAnsi="宋体" w:cs="宋体"/>
                <w:color w:val="auto"/>
                <w:sz w:val="18"/>
                <w:szCs w:val="18"/>
              </w:rPr>
              <w:t>1000元/次，制度未落实到位支付违约金2000元/次</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6F563D9A">
            <w:pPr>
              <w:rPr>
                <w:rFonts w:ascii="宋体" w:hAnsi="宋体" w:cs="宋体"/>
                <w:color w:val="auto"/>
                <w:sz w:val="18"/>
                <w:szCs w:val="18"/>
              </w:rPr>
            </w:pPr>
            <w:r>
              <w:rPr>
                <w:rFonts w:hint="eastAsia" w:ascii="宋体" w:hAnsi="宋体" w:cs="宋体"/>
                <w:color w:val="auto"/>
                <w:sz w:val="18"/>
                <w:szCs w:val="18"/>
              </w:rPr>
              <w:t>未建有相应制度扣</w:t>
            </w:r>
            <w:r>
              <w:rPr>
                <w:rFonts w:ascii="宋体" w:hAnsi="宋体" w:cs="宋体"/>
                <w:color w:val="auto"/>
                <w:sz w:val="18"/>
                <w:szCs w:val="18"/>
              </w:rPr>
              <w:t>1分/次；制度未落实到位的扣1分/次</w:t>
            </w:r>
          </w:p>
        </w:tc>
      </w:tr>
      <w:tr w14:paraId="7F111766">
        <w:tblPrEx>
          <w:tblCellMar>
            <w:top w:w="0" w:type="dxa"/>
            <w:left w:w="108" w:type="dxa"/>
            <w:bottom w:w="0" w:type="dxa"/>
            <w:right w:w="108" w:type="dxa"/>
          </w:tblCellMar>
        </w:tblPrEx>
        <w:trPr>
          <w:trHeight w:val="480" w:hRule="atLeast"/>
          <w:jc w:val="center"/>
        </w:trPr>
        <w:tc>
          <w:tcPr>
            <w:tcW w:w="499" w:type="dxa"/>
            <w:vMerge w:val="continue"/>
            <w:tcBorders>
              <w:top w:val="single" w:color="auto" w:sz="4" w:space="0"/>
              <w:left w:val="single" w:color="auto" w:sz="4" w:space="0"/>
              <w:bottom w:val="single" w:color="auto" w:sz="4" w:space="0"/>
              <w:right w:val="single" w:color="auto" w:sz="4" w:space="0"/>
            </w:tcBorders>
            <w:vAlign w:val="center"/>
          </w:tcPr>
          <w:p w14:paraId="67D80C3A">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vAlign w:val="center"/>
          </w:tcPr>
          <w:p w14:paraId="16BB87F9">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vAlign w:val="center"/>
          </w:tcPr>
          <w:p w14:paraId="406FDAC2">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shd w:val="clear" w:color="auto" w:fill="auto"/>
            <w:vAlign w:val="center"/>
          </w:tcPr>
          <w:p w14:paraId="26D2A11B">
            <w:pPr>
              <w:rPr>
                <w:rFonts w:ascii="宋体" w:hAnsi="宋体" w:cs="宋体"/>
                <w:color w:val="auto"/>
                <w:sz w:val="18"/>
                <w:szCs w:val="18"/>
              </w:rPr>
            </w:pPr>
            <w:r>
              <w:rPr>
                <w:rFonts w:ascii="宋体" w:hAnsi="宋体" w:cs="宋体"/>
                <w:color w:val="auto"/>
                <w:sz w:val="18"/>
                <w:szCs w:val="18"/>
              </w:rPr>
              <w:t>8.建立健全食品安全管理制度，依法从事生产经营活动。应配备食品安全总监和食品安全员，经考核不具备食品安全管理能力的，不得上岗。实施危害分析与关键控制点体系，提高食品安全管理水平。</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582D211B">
            <w:pPr>
              <w:rPr>
                <w:rFonts w:ascii="宋体" w:hAnsi="宋体" w:cs="宋体"/>
                <w:color w:val="auto"/>
                <w:sz w:val="18"/>
                <w:szCs w:val="18"/>
              </w:rPr>
            </w:pPr>
            <w:r>
              <w:rPr>
                <w:rFonts w:ascii="宋体" w:hAnsi="宋体" w:cs="宋体"/>
                <w:color w:val="auto"/>
                <w:sz w:val="18"/>
                <w:szCs w:val="18"/>
              </w:rPr>
              <w:t>现场</w:t>
            </w:r>
          </w:p>
          <w:p w14:paraId="1A76580C">
            <w:pPr>
              <w:rPr>
                <w:rFonts w:ascii="宋体" w:hAnsi="宋体" w:cs="宋体"/>
                <w:color w:val="auto"/>
                <w:sz w:val="18"/>
                <w:szCs w:val="18"/>
              </w:rPr>
            </w:pPr>
            <w:r>
              <w:rPr>
                <w:rFonts w:ascii="宋体" w:hAnsi="宋体" w:cs="宋体"/>
                <w:color w:val="auto"/>
                <w:sz w:val="18"/>
                <w:szCs w:val="18"/>
              </w:rPr>
              <w:t>检查</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tcPr>
          <w:p w14:paraId="522EB761">
            <w:pPr>
              <w:rPr>
                <w:rFonts w:ascii="宋体" w:hAnsi="宋体" w:cs="宋体"/>
                <w:color w:val="auto"/>
                <w:sz w:val="18"/>
                <w:szCs w:val="18"/>
              </w:rPr>
            </w:pPr>
            <w:r>
              <w:rPr>
                <w:rFonts w:ascii="宋体" w:hAnsi="宋体" w:cs="宋体"/>
                <w:color w:val="auto"/>
                <w:sz w:val="18"/>
                <w:szCs w:val="18"/>
              </w:rPr>
              <w:t>未建有相应制度</w:t>
            </w:r>
            <w:r>
              <w:rPr>
                <w:rFonts w:hint="eastAsia" w:ascii="宋体" w:hAnsi="宋体" w:cs="宋体"/>
                <w:color w:val="auto"/>
                <w:sz w:val="18"/>
                <w:szCs w:val="18"/>
              </w:rPr>
              <w:t>或制度建立不全</w:t>
            </w:r>
            <w:r>
              <w:rPr>
                <w:rFonts w:ascii="宋体" w:hAnsi="宋体" w:cs="宋体"/>
                <w:color w:val="auto"/>
                <w:sz w:val="18"/>
                <w:szCs w:val="18"/>
              </w:rPr>
              <w:t>的</w:t>
            </w:r>
            <w:r>
              <w:rPr>
                <w:rFonts w:hint="eastAsia" w:ascii="宋体" w:hAnsi="宋体" w:cs="宋体"/>
                <w:color w:val="auto"/>
                <w:sz w:val="18"/>
                <w:szCs w:val="18"/>
              </w:rPr>
              <w:t>支付违约金</w:t>
            </w:r>
            <w:r>
              <w:rPr>
                <w:rFonts w:ascii="宋体" w:hAnsi="宋体" w:cs="宋体"/>
                <w:color w:val="auto"/>
                <w:sz w:val="18"/>
                <w:szCs w:val="18"/>
              </w:rPr>
              <w:t>2000元/次，制度未落实到位</w:t>
            </w:r>
            <w:r>
              <w:rPr>
                <w:rFonts w:hint="eastAsia" w:ascii="宋体" w:hAnsi="宋体" w:cs="宋体"/>
                <w:color w:val="auto"/>
                <w:sz w:val="18"/>
                <w:szCs w:val="18"/>
              </w:rPr>
              <w:t>支付违约金</w:t>
            </w:r>
            <w:r>
              <w:rPr>
                <w:rFonts w:ascii="宋体" w:hAnsi="宋体" w:cs="宋体"/>
                <w:color w:val="auto"/>
                <w:sz w:val="18"/>
                <w:szCs w:val="18"/>
              </w:rPr>
              <w:t>1000元/次</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13B565DC">
            <w:pPr>
              <w:rPr>
                <w:rFonts w:ascii="宋体" w:hAnsi="宋体" w:cs="宋体"/>
                <w:color w:val="auto"/>
                <w:sz w:val="18"/>
                <w:szCs w:val="18"/>
              </w:rPr>
            </w:pPr>
            <w:r>
              <w:rPr>
                <w:rFonts w:ascii="宋体" w:hAnsi="宋体" w:cs="宋体"/>
                <w:color w:val="auto"/>
                <w:sz w:val="18"/>
                <w:szCs w:val="18"/>
              </w:rPr>
              <w:t>未建有相应制度</w:t>
            </w:r>
            <w:r>
              <w:rPr>
                <w:rFonts w:hint="eastAsia" w:ascii="宋体" w:hAnsi="宋体" w:cs="宋体"/>
                <w:color w:val="auto"/>
                <w:sz w:val="18"/>
                <w:szCs w:val="18"/>
              </w:rPr>
              <w:t>或制度建立不全</w:t>
            </w:r>
            <w:r>
              <w:rPr>
                <w:rFonts w:ascii="宋体" w:hAnsi="宋体" w:cs="宋体"/>
                <w:color w:val="auto"/>
                <w:sz w:val="18"/>
                <w:szCs w:val="18"/>
              </w:rPr>
              <w:t>扣2分/次；制度未落实到位的扣1分/次</w:t>
            </w:r>
          </w:p>
        </w:tc>
      </w:tr>
      <w:tr w14:paraId="5D5FF067">
        <w:tblPrEx>
          <w:tblCellMar>
            <w:top w:w="0" w:type="dxa"/>
            <w:left w:w="108" w:type="dxa"/>
            <w:bottom w:w="0" w:type="dxa"/>
            <w:right w:w="108" w:type="dxa"/>
          </w:tblCellMar>
        </w:tblPrEx>
        <w:trPr>
          <w:trHeight w:val="480" w:hRule="atLeast"/>
          <w:jc w:val="center"/>
        </w:trPr>
        <w:tc>
          <w:tcPr>
            <w:tcW w:w="499" w:type="dxa"/>
            <w:vMerge w:val="continue"/>
            <w:tcBorders>
              <w:top w:val="single" w:color="auto" w:sz="4" w:space="0"/>
              <w:left w:val="single" w:color="auto" w:sz="4" w:space="0"/>
              <w:bottom w:val="single" w:color="auto" w:sz="4" w:space="0"/>
              <w:right w:val="single" w:color="auto" w:sz="4" w:space="0"/>
            </w:tcBorders>
            <w:vAlign w:val="center"/>
          </w:tcPr>
          <w:p w14:paraId="42F2E6D7">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vAlign w:val="center"/>
          </w:tcPr>
          <w:p w14:paraId="3C38678A">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vAlign w:val="center"/>
          </w:tcPr>
          <w:p w14:paraId="41CECB5C">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shd w:val="clear" w:color="auto" w:fill="auto"/>
            <w:vAlign w:val="center"/>
          </w:tcPr>
          <w:p w14:paraId="6D71F324">
            <w:pPr>
              <w:rPr>
                <w:rFonts w:ascii="宋体" w:hAnsi="宋体" w:cs="宋体"/>
                <w:color w:val="auto"/>
                <w:sz w:val="18"/>
                <w:szCs w:val="18"/>
              </w:rPr>
            </w:pPr>
            <w:r>
              <w:rPr>
                <w:rFonts w:ascii="宋体" w:hAnsi="宋体" w:cs="宋体"/>
                <w:color w:val="auto"/>
                <w:sz w:val="18"/>
                <w:szCs w:val="18"/>
              </w:rPr>
              <w:t>9.项目管理班子成员配置齐全，并明确职责。</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66054A54">
            <w:pPr>
              <w:rPr>
                <w:rFonts w:ascii="宋体" w:hAnsi="宋体" w:cs="宋体"/>
                <w:color w:val="auto"/>
                <w:sz w:val="18"/>
                <w:szCs w:val="18"/>
              </w:rPr>
            </w:pPr>
            <w:r>
              <w:rPr>
                <w:rFonts w:hint="eastAsia" w:ascii="宋体" w:hAnsi="宋体" w:cs="宋体"/>
                <w:color w:val="auto"/>
                <w:sz w:val="18"/>
                <w:szCs w:val="18"/>
              </w:rPr>
              <w:t>现场检查</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tcPr>
          <w:p w14:paraId="5F5FDD41">
            <w:pPr>
              <w:rPr>
                <w:rFonts w:ascii="宋体" w:hAnsi="宋体" w:cs="宋体"/>
                <w:color w:val="auto"/>
                <w:sz w:val="18"/>
                <w:szCs w:val="18"/>
              </w:rPr>
            </w:pPr>
            <w:r>
              <w:rPr>
                <w:rFonts w:hint="eastAsia" w:ascii="宋体" w:hAnsi="宋体" w:cs="宋体"/>
                <w:color w:val="auto"/>
                <w:sz w:val="18"/>
                <w:szCs w:val="18"/>
              </w:rPr>
              <w:t>未配置齐全或擅自更换项目管理班子成员每次支付违约金</w:t>
            </w:r>
            <w:r>
              <w:rPr>
                <w:rFonts w:ascii="宋体" w:hAnsi="宋体" w:cs="宋体"/>
                <w:color w:val="auto"/>
                <w:sz w:val="18"/>
                <w:szCs w:val="18"/>
              </w:rPr>
              <w:t>50000元/人</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5D7CAB15">
            <w:pPr>
              <w:rPr>
                <w:rFonts w:ascii="宋体" w:hAnsi="宋体" w:cs="宋体"/>
                <w:color w:val="auto"/>
                <w:sz w:val="18"/>
                <w:szCs w:val="18"/>
              </w:rPr>
            </w:pPr>
            <w:r>
              <w:rPr>
                <w:rFonts w:hint="eastAsia" w:ascii="宋体" w:hAnsi="宋体" w:cs="宋体"/>
                <w:color w:val="auto"/>
                <w:sz w:val="18"/>
                <w:szCs w:val="18"/>
              </w:rPr>
              <w:t>未配置齐全或擅自更换项目管理班子成员每次扣</w:t>
            </w:r>
            <w:r>
              <w:rPr>
                <w:rFonts w:ascii="宋体" w:hAnsi="宋体" w:cs="宋体"/>
                <w:color w:val="auto"/>
                <w:sz w:val="18"/>
                <w:szCs w:val="18"/>
              </w:rPr>
              <w:t>5分/人</w:t>
            </w:r>
          </w:p>
        </w:tc>
      </w:tr>
      <w:tr w14:paraId="3D041923">
        <w:tblPrEx>
          <w:tblCellMar>
            <w:top w:w="0" w:type="dxa"/>
            <w:left w:w="108" w:type="dxa"/>
            <w:bottom w:w="0" w:type="dxa"/>
            <w:right w:w="108" w:type="dxa"/>
          </w:tblCellMar>
        </w:tblPrEx>
        <w:trPr>
          <w:trHeight w:val="480" w:hRule="atLeast"/>
          <w:jc w:val="center"/>
        </w:trPr>
        <w:tc>
          <w:tcPr>
            <w:tcW w:w="499" w:type="dxa"/>
            <w:vMerge w:val="continue"/>
            <w:tcBorders>
              <w:top w:val="single" w:color="auto" w:sz="4" w:space="0"/>
              <w:left w:val="single" w:color="auto" w:sz="4" w:space="0"/>
              <w:bottom w:val="single" w:color="auto" w:sz="4" w:space="0"/>
              <w:right w:val="single" w:color="auto" w:sz="4" w:space="0"/>
            </w:tcBorders>
            <w:vAlign w:val="center"/>
          </w:tcPr>
          <w:p w14:paraId="327EF9B3">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vAlign w:val="center"/>
          </w:tcPr>
          <w:p w14:paraId="1B8D72C8">
            <w:pPr>
              <w:rPr>
                <w:rFonts w:ascii="宋体" w:hAnsi="宋体" w:cs="宋体"/>
                <w:color w:val="auto"/>
                <w:sz w:val="18"/>
                <w:szCs w:val="18"/>
              </w:rPr>
            </w:pPr>
          </w:p>
        </w:tc>
        <w:tc>
          <w:tcPr>
            <w:tcW w:w="477" w:type="dxa"/>
            <w:vMerge w:val="restart"/>
            <w:tcBorders>
              <w:top w:val="single" w:color="auto" w:sz="4" w:space="0"/>
              <w:left w:val="single" w:color="auto" w:sz="4" w:space="0"/>
              <w:bottom w:val="single" w:color="auto" w:sz="4" w:space="0"/>
              <w:right w:val="single" w:color="auto" w:sz="4" w:space="0"/>
            </w:tcBorders>
            <w:vAlign w:val="center"/>
          </w:tcPr>
          <w:p w14:paraId="4C53A96B">
            <w:pPr>
              <w:rPr>
                <w:rFonts w:ascii="宋体" w:hAnsi="宋体" w:cs="宋体"/>
                <w:color w:val="auto"/>
                <w:sz w:val="18"/>
                <w:szCs w:val="18"/>
              </w:rPr>
            </w:pPr>
            <w:r>
              <w:rPr>
                <w:rFonts w:hint="eastAsia" w:ascii="宋体" w:hAnsi="宋体" w:cs="宋体"/>
                <w:color w:val="auto"/>
                <w:sz w:val="18"/>
                <w:szCs w:val="18"/>
              </w:rPr>
              <w:t>消防安全</w:t>
            </w:r>
          </w:p>
        </w:tc>
        <w:tc>
          <w:tcPr>
            <w:tcW w:w="3350" w:type="dxa"/>
            <w:tcBorders>
              <w:top w:val="single" w:color="auto" w:sz="4" w:space="0"/>
              <w:left w:val="single" w:color="auto" w:sz="4" w:space="0"/>
              <w:bottom w:val="single" w:color="auto" w:sz="4" w:space="0"/>
              <w:right w:val="single" w:color="auto" w:sz="4" w:space="0"/>
            </w:tcBorders>
            <w:vAlign w:val="center"/>
          </w:tcPr>
          <w:p w14:paraId="7CB76FC6">
            <w:pPr>
              <w:rPr>
                <w:rFonts w:ascii="宋体" w:hAnsi="宋体" w:cs="宋体"/>
                <w:color w:val="auto"/>
                <w:sz w:val="18"/>
                <w:szCs w:val="18"/>
              </w:rPr>
            </w:pPr>
            <w:r>
              <w:rPr>
                <w:rFonts w:ascii="宋体" w:hAnsi="宋体" w:cs="宋体"/>
                <w:color w:val="auto"/>
                <w:sz w:val="18"/>
                <w:szCs w:val="18"/>
              </w:rPr>
              <w:t>10.应保障食堂各项消防设施齐全、完好，每天进行检查并作好检查记录。</w:t>
            </w:r>
          </w:p>
        </w:tc>
        <w:tc>
          <w:tcPr>
            <w:tcW w:w="709" w:type="dxa"/>
            <w:tcBorders>
              <w:top w:val="single" w:color="auto" w:sz="4" w:space="0"/>
              <w:left w:val="single" w:color="auto" w:sz="4" w:space="0"/>
              <w:bottom w:val="single" w:color="auto" w:sz="4" w:space="0"/>
              <w:right w:val="single" w:color="auto" w:sz="4" w:space="0"/>
            </w:tcBorders>
            <w:vAlign w:val="center"/>
          </w:tcPr>
          <w:p w14:paraId="73C6FC64">
            <w:pPr>
              <w:rPr>
                <w:rFonts w:ascii="宋体" w:hAnsi="宋体" w:cs="宋体"/>
                <w:color w:val="auto"/>
                <w:sz w:val="18"/>
                <w:szCs w:val="18"/>
              </w:rPr>
            </w:pPr>
            <w:r>
              <w:rPr>
                <w:rFonts w:hint="eastAsia" w:ascii="宋体" w:hAnsi="宋体" w:cs="宋体"/>
                <w:color w:val="auto"/>
                <w:sz w:val="18"/>
                <w:szCs w:val="18"/>
              </w:rPr>
              <w:t>现场检查</w:t>
            </w:r>
          </w:p>
        </w:tc>
        <w:tc>
          <w:tcPr>
            <w:tcW w:w="2693" w:type="dxa"/>
            <w:tcBorders>
              <w:top w:val="single" w:color="auto" w:sz="4" w:space="0"/>
              <w:left w:val="single" w:color="auto" w:sz="4" w:space="0"/>
              <w:bottom w:val="single" w:color="auto" w:sz="4" w:space="0"/>
              <w:right w:val="single" w:color="auto" w:sz="4" w:space="0"/>
            </w:tcBorders>
            <w:vAlign w:val="center"/>
          </w:tcPr>
          <w:p w14:paraId="00AF2C53">
            <w:pPr>
              <w:rPr>
                <w:rFonts w:ascii="宋体" w:hAnsi="宋体" w:cs="宋体"/>
                <w:color w:val="auto"/>
                <w:sz w:val="18"/>
                <w:szCs w:val="18"/>
              </w:rPr>
            </w:pPr>
            <w:r>
              <w:rPr>
                <w:rFonts w:hint="eastAsia" w:ascii="宋体" w:hAnsi="宋体" w:cs="宋体"/>
                <w:color w:val="auto"/>
                <w:sz w:val="18"/>
                <w:szCs w:val="18"/>
              </w:rPr>
              <w:t>设施损坏或无检查记录或记录不全支付违约金</w:t>
            </w:r>
            <w:r>
              <w:rPr>
                <w:rFonts w:ascii="宋体" w:hAnsi="宋体" w:cs="宋体"/>
                <w:color w:val="auto"/>
                <w:sz w:val="18"/>
                <w:szCs w:val="18"/>
              </w:rPr>
              <w:t>1000元/次</w:t>
            </w:r>
          </w:p>
        </w:tc>
        <w:tc>
          <w:tcPr>
            <w:tcW w:w="1559" w:type="dxa"/>
            <w:tcBorders>
              <w:top w:val="single" w:color="auto" w:sz="4" w:space="0"/>
              <w:left w:val="single" w:color="auto" w:sz="4" w:space="0"/>
              <w:bottom w:val="single" w:color="auto" w:sz="4" w:space="0"/>
              <w:right w:val="single" w:color="auto" w:sz="4" w:space="0"/>
            </w:tcBorders>
            <w:vAlign w:val="center"/>
          </w:tcPr>
          <w:p w14:paraId="7B83DCDB">
            <w:pPr>
              <w:rPr>
                <w:rFonts w:ascii="宋体" w:hAnsi="宋体" w:cs="宋体"/>
                <w:color w:val="auto"/>
                <w:sz w:val="18"/>
                <w:szCs w:val="18"/>
              </w:rPr>
            </w:pPr>
            <w:r>
              <w:rPr>
                <w:rFonts w:hint="eastAsia" w:ascii="宋体" w:hAnsi="宋体" w:cs="宋体"/>
                <w:color w:val="auto"/>
                <w:sz w:val="18"/>
                <w:szCs w:val="18"/>
              </w:rPr>
              <w:t>设施损坏或无检查记录或记录不全扣</w:t>
            </w:r>
            <w:r>
              <w:rPr>
                <w:rFonts w:ascii="宋体" w:hAnsi="宋体" w:cs="宋体"/>
                <w:color w:val="auto"/>
                <w:sz w:val="18"/>
                <w:szCs w:val="18"/>
              </w:rPr>
              <w:t>1分/次</w:t>
            </w:r>
          </w:p>
        </w:tc>
      </w:tr>
      <w:tr w14:paraId="13E954DC">
        <w:tblPrEx>
          <w:tblCellMar>
            <w:top w:w="0" w:type="dxa"/>
            <w:left w:w="108" w:type="dxa"/>
            <w:bottom w:w="0" w:type="dxa"/>
            <w:right w:w="108" w:type="dxa"/>
          </w:tblCellMar>
        </w:tblPrEx>
        <w:trPr>
          <w:trHeight w:val="480" w:hRule="atLeast"/>
          <w:jc w:val="center"/>
        </w:trPr>
        <w:tc>
          <w:tcPr>
            <w:tcW w:w="499" w:type="dxa"/>
            <w:vMerge w:val="continue"/>
            <w:tcBorders>
              <w:top w:val="single" w:color="auto" w:sz="4" w:space="0"/>
              <w:left w:val="single" w:color="auto" w:sz="4" w:space="0"/>
              <w:bottom w:val="single" w:color="auto" w:sz="4" w:space="0"/>
              <w:right w:val="single" w:color="auto" w:sz="4" w:space="0"/>
            </w:tcBorders>
            <w:vAlign w:val="center"/>
          </w:tcPr>
          <w:p w14:paraId="3ACACBD6">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vAlign w:val="center"/>
          </w:tcPr>
          <w:p w14:paraId="50E72FAD">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vAlign w:val="center"/>
          </w:tcPr>
          <w:p w14:paraId="1EEDBDA0">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vAlign w:val="center"/>
          </w:tcPr>
          <w:p w14:paraId="20D21054">
            <w:pPr>
              <w:rPr>
                <w:rFonts w:ascii="宋体" w:hAnsi="宋体" w:cs="宋体"/>
                <w:color w:val="auto"/>
                <w:sz w:val="18"/>
                <w:szCs w:val="18"/>
              </w:rPr>
            </w:pPr>
            <w:r>
              <w:rPr>
                <w:rFonts w:ascii="宋体" w:hAnsi="宋体" w:cs="宋体"/>
                <w:color w:val="auto"/>
                <w:sz w:val="18"/>
                <w:szCs w:val="18"/>
              </w:rPr>
              <w:t>11.应规范、安全用电，严禁私拉电线</w:t>
            </w:r>
          </w:p>
        </w:tc>
        <w:tc>
          <w:tcPr>
            <w:tcW w:w="709" w:type="dxa"/>
            <w:tcBorders>
              <w:top w:val="single" w:color="auto" w:sz="4" w:space="0"/>
              <w:left w:val="single" w:color="auto" w:sz="4" w:space="0"/>
              <w:bottom w:val="single" w:color="auto" w:sz="4" w:space="0"/>
              <w:right w:val="single" w:color="auto" w:sz="4" w:space="0"/>
            </w:tcBorders>
            <w:vAlign w:val="center"/>
          </w:tcPr>
          <w:p w14:paraId="5B5F9B7B">
            <w:pPr>
              <w:rPr>
                <w:rFonts w:ascii="宋体" w:hAnsi="宋体" w:cs="宋体"/>
                <w:color w:val="auto"/>
                <w:sz w:val="18"/>
                <w:szCs w:val="18"/>
              </w:rPr>
            </w:pPr>
            <w:r>
              <w:rPr>
                <w:rFonts w:hint="eastAsia" w:ascii="宋体" w:hAnsi="宋体" w:cs="宋体"/>
                <w:color w:val="auto"/>
                <w:sz w:val="18"/>
                <w:szCs w:val="18"/>
              </w:rPr>
              <w:t>现场检查</w:t>
            </w:r>
          </w:p>
        </w:tc>
        <w:tc>
          <w:tcPr>
            <w:tcW w:w="2693" w:type="dxa"/>
            <w:tcBorders>
              <w:top w:val="single" w:color="auto" w:sz="4" w:space="0"/>
              <w:left w:val="single" w:color="auto" w:sz="4" w:space="0"/>
              <w:bottom w:val="single" w:color="auto" w:sz="4" w:space="0"/>
              <w:right w:val="single" w:color="auto" w:sz="4" w:space="0"/>
            </w:tcBorders>
            <w:vAlign w:val="center"/>
          </w:tcPr>
          <w:p w14:paraId="30409B8A">
            <w:pPr>
              <w:rPr>
                <w:rFonts w:ascii="宋体" w:hAnsi="宋体" w:cs="宋体"/>
                <w:color w:val="auto"/>
                <w:sz w:val="18"/>
                <w:szCs w:val="18"/>
              </w:rPr>
            </w:pPr>
            <w:r>
              <w:rPr>
                <w:rFonts w:hint="eastAsia" w:ascii="宋体" w:hAnsi="宋体" w:cs="宋体"/>
                <w:color w:val="auto"/>
                <w:sz w:val="18"/>
                <w:szCs w:val="18"/>
              </w:rPr>
              <w:t>私拉电线每次支付违约金</w:t>
            </w:r>
            <w:r>
              <w:rPr>
                <w:rFonts w:ascii="宋体" w:hAnsi="宋体" w:cs="宋体"/>
                <w:color w:val="auto"/>
                <w:sz w:val="18"/>
                <w:szCs w:val="18"/>
              </w:rPr>
              <w:t>1000元/处</w:t>
            </w:r>
          </w:p>
        </w:tc>
        <w:tc>
          <w:tcPr>
            <w:tcW w:w="1559" w:type="dxa"/>
            <w:tcBorders>
              <w:top w:val="single" w:color="auto" w:sz="4" w:space="0"/>
              <w:left w:val="single" w:color="auto" w:sz="4" w:space="0"/>
              <w:bottom w:val="single" w:color="auto" w:sz="4" w:space="0"/>
              <w:right w:val="single" w:color="auto" w:sz="4" w:space="0"/>
            </w:tcBorders>
            <w:vAlign w:val="center"/>
          </w:tcPr>
          <w:p w14:paraId="00571DC1">
            <w:pPr>
              <w:rPr>
                <w:rFonts w:ascii="宋体" w:hAnsi="宋体" w:cs="宋体"/>
                <w:color w:val="auto"/>
                <w:sz w:val="18"/>
                <w:szCs w:val="18"/>
              </w:rPr>
            </w:pPr>
            <w:r>
              <w:rPr>
                <w:rFonts w:hint="eastAsia" w:ascii="宋体" w:hAnsi="宋体" w:cs="宋体"/>
                <w:color w:val="auto"/>
                <w:sz w:val="18"/>
                <w:szCs w:val="18"/>
              </w:rPr>
              <w:t>私拉电线每次扣</w:t>
            </w:r>
            <w:r>
              <w:rPr>
                <w:rFonts w:ascii="宋体" w:hAnsi="宋体" w:cs="宋体"/>
                <w:color w:val="auto"/>
                <w:sz w:val="18"/>
                <w:szCs w:val="18"/>
              </w:rPr>
              <w:t>1分/处</w:t>
            </w:r>
          </w:p>
        </w:tc>
      </w:tr>
      <w:tr w14:paraId="230E26D6">
        <w:tblPrEx>
          <w:tblCellMar>
            <w:top w:w="0" w:type="dxa"/>
            <w:left w:w="108" w:type="dxa"/>
            <w:bottom w:w="0" w:type="dxa"/>
            <w:right w:w="108" w:type="dxa"/>
          </w:tblCellMar>
        </w:tblPrEx>
        <w:trPr>
          <w:trHeight w:val="480" w:hRule="atLeast"/>
          <w:jc w:val="center"/>
        </w:trPr>
        <w:tc>
          <w:tcPr>
            <w:tcW w:w="499" w:type="dxa"/>
            <w:vMerge w:val="continue"/>
            <w:tcBorders>
              <w:top w:val="single" w:color="auto" w:sz="4" w:space="0"/>
              <w:left w:val="single" w:color="auto" w:sz="4" w:space="0"/>
              <w:bottom w:val="single" w:color="auto" w:sz="4" w:space="0"/>
              <w:right w:val="single" w:color="auto" w:sz="4" w:space="0"/>
            </w:tcBorders>
            <w:vAlign w:val="center"/>
          </w:tcPr>
          <w:p w14:paraId="127AB493">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vAlign w:val="center"/>
          </w:tcPr>
          <w:p w14:paraId="3FF4799F">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vAlign w:val="center"/>
          </w:tcPr>
          <w:p w14:paraId="33BAE4FD">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vAlign w:val="center"/>
          </w:tcPr>
          <w:p w14:paraId="4D7D50FC">
            <w:pPr>
              <w:rPr>
                <w:rFonts w:ascii="宋体" w:hAnsi="宋体" w:cs="宋体"/>
                <w:color w:val="auto"/>
                <w:sz w:val="18"/>
                <w:szCs w:val="18"/>
              </w:rPr>
            </w:pPr>
            <w:r>
              <w:rPr>
                <w:rFonts w:ascii="宋体" w:hAnsi="宋体" w:cs="宋体"/>
                <w:color w:val="auto"/>
                <w:sz w:val="18"/>
                <w:szCs w:val="18"/>
              </w:rPr>
              <w:t>12.应培训员工掌握正确使用天然气的方法，注意防漏、防爆、防火，使用后关好气阀，确保安全</w:t>
            </w:r>
          </w:p>
        </w:tc>
        <w:tc>
          <w:tcPr>
            <w:tcW w:w="709" w:type="dxa"/>
            <w:tcBorders>
              <w:top w:val="single" w:color="auto" w:sz="4" w:space="0"/>
              <w:left w:val="single" w:color="auto" w:sz="4" w:space="0"/>
              <w:bottom w:val="single" w:color="auto" w:sz="4" w:space="0"/>
              <w:right w:val="single" w:color="auto" w:sz="4" w:space="0"/>
            </w:tcBorders>
            <w:vAlign w:val="center"/>
          </w:tcPr>
          <w:p w14:paraId="30020C8B">
            <w:pPr>
              <w:rPr>
                <w:rFonts w:ascii="宋体" w:hAnsi="宋体" w:cs="宋体"/>
                <w:color w:val="auto"/>
                <w:sz w:val="18"/>
                <w:szCs w:val="18"/>
              </w:rPr>
            </w:pPr>
            <w:r>
              <w:rPr>
                <w:rFonts w:hint="eastAsia" w:ascii="宋体" w:hAnsi="宋体" w:cs="宋体"/>
                <w:color w:val="auto"/>
                <w:sz w:val="18"/>
                <w:szCs w:val="18"/>
              </w:rPr>
              <w:t>现场检查</w:t>
            </w:r>
          </w:p>
        </w:tc>
        <w:tc>
          <w:tcPr>
            <w:tcW w:w="2693" w:type="dxa"/>
            <w:tcBorders>
              <w:top w:val="single" w:color="auto" w:sz="4" w:space="0"/>
              <w:left w:val="single" w:color="auto" w:sz="4" w:space="0"/>
              <w:bottom w:val="single" w:color="auto" w:sz="4" w:space="0"/>
              <w:right w:val="single" w:color="auto" w:sz="4" w:space="0"/>
            </w:tcBorders>
            <w:vAlign w:val="center"/>
          </w:tcPr>
          <w:p w14:paraId="488A09FA">
            <w:pPr>
              <w:rPr>
                <w:rFonts w:ascii="宋体" w:hAnsi="宋体" w:cs="宋体"/>
                <w:color w:val="auto"/>
                <w:sz w:val="18"/>
                <w:szCs w:val="18"/>
              </w:rPr>
            </w:pPr>
            <w:r>
              <w:rPr>
                <w:rFonts w:hint="eastAsia" w:ascii="宋体" w:hAnsi="宋体" w:cs="宋体"/>
                <w:color w:val="auto"/>
                <w:sz w:val="18"/>
                <w:szCs w:val="18"/>
              </w:rPr>
              <w:t>食堂出现用气安全事故一次支付违约金不低于</w:t>
            </w:r>
            <w:r>
              <w:rPr>
                <w:rFonts w:ascii="宋体" w:hAnsi="宋体" w:cs="宋体"/>
                <w:color w:val="auto"/>
                <w:sz w:val="18"/>
                <w:szCs w:val="18"/>
              </w:rPr>
              <w:t>10000元，食堂出现一般起火一次支付违约金10000元。出现较大消防安全事故的，</w:t>
            </w:r>
            <w:r>
              <w:rPr>
                <w:rFonts w:hint="eastAsia" w:ascii="宋体" w:hAnsi="宋体" w:cs="宋体"/>
                <w:color w:val="auto"/>
                <w:sz w:val="18"/>
                <w:szCs w:val="18"/>
              </w:rPr>
              <w:t>成交商受到政府职能部门行政处罚的，应向采购人支付</w:t>
            </w:r>
            <w:r>
              <w:rPr>
                <w:rFonts w:ascii="宋体" w:hAnsi="宋体" w:cs="宋体"/>
                <w:color w:val="auto"/>
                <w:sz w:val="18"/>
                <w:szCs w:val="18"/>
              </w:rPr>
              <w:t>10000元/次的合同违约金；若同时受到经济处罚的，应向采购人支付同等金额的合同违约金。还应再承担违约金20000元/次，采购人有权追究相关责任人经济和法律责任。</w:t>
            </w:r>
          </w:p>
        </w:tc>
        <w:tc>
          <w:tcPr>
            <w:tcW w:w="1559" w:type="dxa"/>
            <w:tcBorders>
              <w:top w:val="single" w:color="auto" w:sz="4" w:space="0"/>
              <w:left w:val="single" w:color="auto" w:sz="4" w:space="0"/>
              <w:bottom w:val="single" w:color="auto" w:sz="4" w:space="0"/>
              <w:right w:val="single" w:color="auto" w:sz="4" w:space="0"/>
            </w:tcBorders>
            <w:vAlign w:val="center"/>
          </w:tcPr>
          <w:p w14:paraId="1D17E7C0">
            <w:pPr>
              <w:rPr>
                <w:rFonts w:ascii="宋体" w:hAnsi="宋体" w:cs="宋体"/>
                <w:color w:val="auto"/>
                <w:sz w:val="18"/>
                <w:szCs w:val="18"/>
              </w:rPr>
            </w:pPr>
            <w:r>
              <w:rPr>
                <w:rFonts w:hint="eastAsia" w:ascii="宋体" w:hAnsi="宋体" w:cs="宋体"/>
                <w:color w:val="auto"/>
                <w:sz w:val="18"/>
                <w:szCs w:val="18"/>
              </w:rPr>
              <w:t>一般起火：未造成损失且未出动消防部门每次扣</w:t>
            </w:r>
            <w:r>
              <w:rPr>
                <w:rFonts w:ascii="宋体" w:hAnsi="宋体" w:cs="宋体"/>
                <w:color w:val="auto"/>
                <w:sz w:val="18"/>
                <w:szCs w:val="18"/>
              </w:rPr>
              <w:t>5分。</w:t>
            </w:r>
          </w:p>
          <w:p w14:paraId="0AF5F591">
            <w:pPr>
              <w:rPr>
                <w:rFonts w:ascii="宋体" w:hAnsi="宋体" w:cs="宋体"/>
                <w:color w:val="auto"/>
                <w:sz w:val="18"/>
                <w:szCs w:val="18"/>
              </w:rPr>
            </w:pPr>
            <w:r>
              <w:rPr>
                <w:rFonts w:hint="eastAsia" w:ascii="宋体" w:hAnsi="宋体" w:cs="宋体"/>
                <w:color w:val="auto"/>
                <w:sz w:val="18"/>
                <w:szCs w:val="18"/>
              </w:rPr>
              <w:t>较大消防安全事故：造成损失或出动消防部门，涉事当学期考核直接为不合格。</w:t>
            </w:r>
          </w:p>
        </w:tc>
      </w:tr>
      <w:tr w14:paraId="1DEB6E93">
        <w:tblPrEx>
          <w:tblCellMar>
            <w:top w:w="0" w:type="dxa"/>
            <w:left w:w="108" w:type="dxa"/>
            <w:bottom w:w="0" w:type="dxa"/>
            <w:right w:w="108" w:type="dxa"/>
          </w:tblCellMar>
        </w:tblPrEx>
        <w:trPr>
          <w:trHeight w:val="480" w:hRule="atLeast"/>
          <w:jc w:val="center"/>
        </w:trPr>
        <w:tc>
          <w:tcPr>
            <w:tcW w:w="499" w:type="dxa"/>
            <w:vMerge w:val="continue"/>
            <w:tcBorders>
              <w:top w:val="single" w:color="auto" w:sz="4" w:space="0"/>
              <w:left w:val="single" w:color="auto" w:sz="4" w:space="0"/>
              <w:bottom w:val="single" w:color="auto" w:sz="4" w:space="0"/>
              <w:right w:val="single" w:color="auto" w:sz="4" w:space="0"/>
            </w:tcBorders>
            <w:vAlign w:val="center"/>
          </w:tcPr>
          <w:p w14:paraId="073C9FF4">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vAlign w:val="center"/>
          </w:tcPr>
          <w:p w14:paraId="199DB80C">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vAlign w:val="center"/>
          </w:tcPr>
          <w:p w14:paraId="76EC52C5">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vAlign w:val="center"/>
          </w:tcPr>
          <w:p w14:paraId="63C3EF6A">
            <w:pPr>
              <w:rPr>
                <w:rFonts w:ascii="宋体" w:hAnsi="宋体" w:cs="宋体"/>
                <w:color w:val="auto"/>
                <w:sz w:val="18"/>
                <w:szCs w:val="18"/>
              </w:rPr>
            </w:pPr>
            <w:r>
              <w:rPr>
                <w:rFonts w:ascii="宋体" w:hAnsi="宋体" w:cs="宋体"/>
                <w:color w:val="auto"/>
                <w:sz w:val="18"/>
                <w:szCs w:val="18"/>
              </w:rPr>
              <w:t>13、应组织员工培训消防自防自救常识和安全逃生技能，不断提升员工消防应</w:t>
            </w:r>
            <w:r>
              <w:rPr>
                <w:rFonts w:hint="eastAsia" w:ascii="宋体" w:hAnsi="宋体" w:cs="宋体"/>
                <w:color w:val="auto"/>
                <w:sz w:val="18"/>
                <w:szCs w:val="18"/>
              </w:rPr>
              <w:t>急处置能力，每学期应至少组织一次消防实战演练和考核。</w:t>
            </w:r>
          </w:p>
        </w:tc>
        <w:tc>
          <w:tcPr>
            <w:tcW w:w="709" w:type="dxa"/>
            <w:tcBorders>
              <w:top w:val="single" w:color="auto" w:sz="4" w:space="0"/>
              <w:left w:val="single" w:color="auto" w:sz="4" w:space="0"/>
              <w:bottom w:val="single" w:color="auto" w:sz="4" w:space="0"/>
              <w:right w:val="single" w:color="auto" w:sz="4" w:space="0"/>
            </w:tcBorders>
            <w:vAlign w:val="center"/>
          </w:tcPr>
          <w:p w14:paraId="3E56200D">
            <w:pPr>
              <w:rPr>
                <w:rFonts w:ascii="宋体" w:hAnsi="宋体" w:cs="宋体"/>
                <w:color w:val="auto"/>
                <w:sz w:val="18"/>
                <w:szCs w:val="18"/>
              </w:rPr>
            </w:pPr>
            <w:r>
              <w:rPr>
                <w:rFonts w:hint="eastAsia" w:ascii="宋体" w:hAnsi="宋体" w:cs="宋体"/>
                <w:color w:val="auto"/>
                <w:sz w:val="18"/>
                <w:szCs w:val="18"/>
              </w:rPr>
              <w:t>查看记录</w:t>
            </w:r>
          </w:p>
        </w:tc>
        <w:tc>
          <w:tcPr>
            <w:tcW w:w="2693" w:type="dxa"/>
            <w:tcBorders>
              <w:top w:val="single" w:color="auto" w:sz="4" w:space="0"/>
              <w:left w:val="single" w:color="auto" w:sz="4" w:space="0"/>
              <w:bottom w:val="single" w:color="auto" w:sz="4" w:space="0"/>
              <w:right w:val="single" w:color="auto" w:sz="4" w:space="0"/>
            </w:tcBorders>
            <w:vAlign w:val="center"/>
          </w:tcPr>
          <w:p w14:paraId="3366351D">
            <w:pPr>
              <w:rPr>
                <w:rFonts w:ascii="宋体" w:hAnsi="宋体" w:cs="宋体"/>
                <w:color w:val="auto"/>
                <w:sz w:val="18"/>
                <w:szCs w:val="18"/>
              </w:rPr>
            </w:pPr>
            <w:r>
              <w:rPr>
                <w:rFonts w:hint="eastAsia" w:ascii="宋体" w:hAnsi="宋体" w:cs="宋体"/>
                <w:color w:val="auto"/>
                <w:sz w:val="18"/>
                <w:szCs w:val="18"/>
              </w:rPr>
              <w:t>无培训记录的支付违约金</w:t>
            </w:r>
            <w:r>
              <w:rPr>
                <w:rFonts w:ascii="宋体" w:hAnsi="宋体" w:cs="宋体"/>
                <w:color w:val="auto"/>
                <w:sz w:val="18"/>
                <w:szCs w:val="18"/>
              </w:rPr>
              <w:t>1000元，无消防演练材料支付违约金5000元</w:t>
            </w:r>
          </w:p>
        </w:tc>
        <w:tc>
          <w:tcPr>
            <w:tcW w:w="1559" w:type="dxa"/>
            <w:tcBorders>
              <w:top w:val="single" w:color="auto" w:sz="4" w:space="0"/>
              <w:left w:val="single" w:color="auto" w:sz="4" w:space="0"/>
              <w:bottom w:val="single" w:color="auto" w:sz="4" w:space="0"/>
              <w:right w:val="single" w:color="auto" w:sz="4" w:space="0"/>
            </w:tcBorders>
            <w:vAlign w:val="center"/>
          </w:tcPr>
          <w:p w14:paraId="0E77AF38">
            <w:pPr>
              <w:rPr>
                <w:rFonts w:ascii="宋体" w:hAnsi="宋体" w:cs="宋体"/>
                <w:color w:val="auto"/>
                <w:sz w:val="18"/>
                <w:szCs w:val="18"/>
              </w:rPr>
            </w:pPr>
            <w:r>
              <w:rPr>
                <w:rFonts w:hint="eastAsia" w:ascii="宋体" w:hAnsi="宋体" w:cs="宋体"/>
                <w:color w:val="auto"/>
                <w:sz w:val="18"/>
                <w:szCs w:val="18"/>
              </w:rPr>
              <w:t>无培训记录或记录不全每次扣</w:t>
            </w:r>
            <w:r>
              <w:rPr>
                <w:rFonts w:ascii="宋体" w:hAnsi="宋体" w:cs="宋体"/>
                <w:color w:val="auto"/>
                <w:sz w:val="18"/>
                <w:szCs w:val="18"/>
              </w:rPr>
              <w:t>1</w:t>
            </w:r>
            <w:r>
              <w:rPr>
                <w:rFonts w:hint="eastAsia" w:ascii="宋体" w:hAnsi="宋体" w:cs="宋体"/>
                <w:color w:val="auto"/>
                <w:sz w:val="18"/>
                <w:szCs w:val="18"/>
              </w:rPr>
              <w:t>分，无消防演练材料或消防演练材料不全每次扣</w:t>
            </w:r>
            <w:r>
              <w:rPr>
                <w:rFonts w:ascii="宋体" w:hAnsi="宋体" w:cs="宋体"/>
                <w:color w:val="auto"/>
                <w:sz w:val="18"/>
                <w:szCs w:val="18"/>
              </w:rPr>
              <w:t>5分</w:t>
            </w:r>
          </w:p>
        </w:tc>
      </w:tr>
      <w:tr w14:paraId="3D722288">
        <w:tblPrEx>
          <w:tblCellMar>
            <w:top w:w="0" w:type="dxa"/>
            <w:left w:w="108" w:type="dxa"/>
            <w:bottom w:w="0" w:type="dxa"/>
            <w:right w:w="108" w:type="dxa"/>
          </w:tblCellMar>
        </w:tblPrEx>
        <w:trPr>
          <w:trHeight w:val="960" w:hRule="atLeast"/>
          <w:jc w:val="center"/>
        </w:trPr>
        <w:tc>
          <w:tcPr>
            <w:tcW w:w="499" w:type="dxa"/>
            <w:vMerge w:val="continue"/>
            <w:tcBorders>
              <w:top w:val="single" w:color="auto" w:sz="4" w:space="0"/>
              <w:left w:val="single" w:color="auto" w:sz="4" w:space="0"/>
              <w:bottom w:val="single" w:color="auto" w:sz="4" w:space="0"/>
              <w:right w:val="single" w:color="auto" w:sz="4" w:space="0"/>
            </w:tcBorders>
            <w:vAlign w:val="center"/>
          </w:tcPr>
          <w:p w14:paraId="0ADE6BAD">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vAlign w:val="center"/>
          </w:tcPr>
          <w:p w14:paraId="676BEA88">
            <w:pPr>
              <w:rPr>
                <w:rFonts w:ascii="宋体" w:hAnsi="宋体" w:cs="宋体"/>
                <w:color w:val="auto"/>
                <w:sz w:val="18"/>
                <w:szCs w:val="18"/>
              </w:rPr>
            </w:pPr>
          </w:p>
        </w:tc>
        <w:tc>
          <w:tcPr>
            <w:tcW w:w="477" w:type="dxa"/>
            <w:tcBorders>
              <w:top w:val="single" w:color="auto" w:sz="4" w:space="0"/>
              <w:left w:val="single" w:color="auto" w:sz="4" w:space="0"/>
              <w:bottom w:val="single" w:color="auto" w:sz="4" w:space="0"/>
              <w:right w:val="single" w:color="auto" w:sz="4" w:space="0"/>
            </w:tcBorders>
            <w:vAlign w:val="center"/>
          </w:tcPr>
          <w:p w14:paraId="36F92712">
            <w:pPr>
              <w:rPr>
                <w:rFonts w:ascii="宋体" w:hAnsi="宋体" w:cs="宋体"/>
                <w:color w:val="auto"/>
                <w:sz w:val="18"/>
                <w:szCs w:val="18"/>
              </w:rPr>
            </w:pPr>
            <w:r>
              <w:rPr>
                <w:rFonts w:hint="eastAsia" w:ascii="宋体" w:hAnsi="宋体" w:cs="宋体"/>
                <w:color w:val="auto"/>
                <w:sz w:val="18"/>
                <w:szCs w:val="18"/>
              </w:rPr>
              <w:t>其他安全</w:t>
            </w:r>
          </w:p>
        </w:tc>
        <w:tc>
          <w:tcPr>
            <w:tcW w:w="3350" w:type="dxa"/>
            <w:tcBorders>
              <w:top w:val="single" w:color="auto" w:sz="4" w:space="0"/>
              <w:left w:val="single" w:color="auto" w:sz="4" w:space="0"/>
              <w:bottom w:val="single" w:color="auto" w:sz="4" w:space="0"/>
              <w:right w:val="single" w:color="auto" w:sz="4" w:space="0"/>
            </w:tcBorders>
            <w:vAlign w:val="center"/>
          </w:tcPr>
          <w:p w14:paraId="5363E7B4">
            <w:pPr>
              <w:rPr>
                <w:rFonts w:ascii="宋体" w:hAnsi="宋体" w:cs="宋体"/>
                <w:color w:val="auto"/>
                <w:sz w:val="18"/>
                <w:szCs w:val="18"/>
              </w:rPr>
            </w:pPr>
            <w:r>
              <w:rPr>
                <w:rFonts w:ascii="宋体" w:hAnsi="宋体" w:cs="宋体"/>
                <w:color w:val="auto"/>
                <w:sz w:val="18"/>
                <w:szCs w:val="18"/>
              </w:rPr>
              <w:t>14.应安排专人管理和保护好学校固定资产的安全</w:t>
            </w:r>
          </w:p>
        </w:tc>
        <w:tc>
          <w:tcPr>
            <w:tcW w:w="709" w:type="dxa"/>
            <w:tcBorders>
              <w:top w:val="single" w:color="auto" w:sz="4" w:space="0"/>
              <w:left w:val="single" w:color="auto" w:sz="4" w:space="0"/>
              <w:bottom w:val="single" w:color="auto" w:sz="4" w:space="0"/>
              <w:right w:val="single" w:color="auto" w:sz="4" w:space="0"/>
            </w:tcBorders>
            <w:vAlign w:val="center"/>
          </w:tcPr>
          <w:p w14:paraId="771FFA99">
            <w:pPr>
              <w:rPr>
                <w:rFonts w:ascii="宋体" w:hAnsi="宋体" w:cs="宋体"/>
                <w:color w:val="auto"/>
                <w:sz w:val="18"/>
                <w:szCs w:val="18"/>
              </w:rPr>
            </w:pPr>
            <w:r>
              <w:rPr>
                <w:rFonts w:hint="eastAsia" w:ascii="宋体" w:hAnsi="宋体" w:cs="宋体"/>
                <w:color w:val="auto"/>
                <w:sz w:val="18"/>
                <w:szCs w:val="18"/>
              </w:rPr>
              <w:t>现场检查</w:t>
            </w:r>
          </w:p>
        </w:tc>
        <w:tc>
          <w:tcPr>
            <w:tcW w:w="2693" w:type="dxa"/>
            <w:tcBorders>
              <w:top w:val="single" w:color="auto" w:sz="4" w:space="0"/>
              <w:left w:val="single" w:color="auto" w:sz="4" w:space="0"/>
              <w:bottom w:val="single" w:color="auto" w:sz="4" w:space="0"/>
              <w:right w:val="single" w:color="auto" w:sz="4" w:space="0"/>
            </w:tcBorders>
            <w:vAlign w:val="center"/>
          </w:tcPr>
          <w:p w14:paraId="726EC85E">
            <w:pPr>
              <w:rPr>
                <w:rFonts w:ascii="宋体" w:hAnsi="宋体" w:cs="宋体"/>
                <w:color w:val="auto"/>
                <w:sz w:val="18"/>
                <w:szCs w:val="18"/>
              </w:rPr>
            </w:pPr>
            <w:r>
              <w:rPr>
                <w:rFonts w:hint="eastAsia" w:ascii="宋体" w:hAnsi="宋体" w:cs="宋体"/>
                <w:color w:val="auto"/>
                <w:sz w:val="18"/>
                <w:szCs w:val="18"/>
              </w:rPr>
              <w:t>资产损坏未及时修复的支付违约金</w:t>
            </w:r>
            <w:r>
              <w:rPr>
                <w:rFonts w:ascii="宋体" w:hAnsi="宋体" w:cs="宋体"/>
                <w:color w:val="auto"/>
                <w:sz w:val="18"/>
                <w:szCs w:val="18"/>
              </w:rPr>
              <w:t>1000元/件</w:t>
            </w:r>
          </w:p>
          <w:p w14:paraId="50866F6E">
            <w:pPr>
              <w:rPr>
                <w:rFonts w:ascii="宋体" w:hAnsi="宋体" w:cs="宋体"/>
                <w:color w:val="auto"/>
                <w:sz w:val="18"/>
                <w:szCs w:val="18"/>
              </w:rPr>
            </w:pPr>
            <w:r>
              <w:rPr>
                <w:rFonts w:hint="eastAsia" w:ascii="宋体" w:hAnsi="宋体" w:cs="宋体"/>
                <w:color w:val="auto"/>
                <w:sz w:val="18"/>
                <w:szCs w:val="18"/>
              </w:rPr>
              <w:t>按照学校有关固定资产的相关规定除赔偿损失外，另支付违约金</w:t>
            </w:r>
            <w:r>
              <w:rPr>
                <w:rFonts w:ascii="宋体" w:hAnsi="宋体" w:cs="宋体"/>
                <w:color w:val="auto"/>
                <w:sz w:val="18"/>
                <w:szCs w:val="18"/>
              </w:rPr>
              <w:t>2000元/件</w:t>
            </w:r>
          </w:p>
        </w:tc>
        <w:tc>
          <w:tcPr>
            <w:tcW w:w="1559" w:type="dxa"/>
            <w:tcBorders>
              <w:top w:val="single" w:color="auto" w:sz="4" w:space="0"/>
              <w:left w:val="single" w:color="auto" w:sz="4" w:space="0"/>
              <w:bottom w:val="single" w:color="auto" w:sz="4" w:space="0"/>
              <w:right w:val="single" w:color="auto" w:sz="4" w:space="0"/>
            </w:tcBorders>
            <w:vAlign w:val="center"/>
          </w:tcPr>
          <w:p w14:paraId="7D67DD27">
            <w:pPr>
              <w:rPr>
                <w:rFonts w:ascii="宋体" w:hAnsi="宋体" w:cs="宋体"/>
                <w:color w:val="auto"/>
                <w:sz w:val="18"/>
                <w:szCs w:val="18"/>
              </w:rPr>
            </w:pPr>
            <w:r>
              <w:rPr>
                <w:rFonts w:hint="eastAsia" w:ascii="宋体" w:hAnsi="宋体" w:cs="宋体"/>
                <w:color w:val="auto"/>
                <w:sz w:val="18"/>
                <w:szCs w:val="18"/>
              </w:rPr>
              <w:t>资产损坏未及时修复的扣</w:t>
            </w:r>
            <w:r>
              <w:rPr>
                <w:rFonts w:ascii="宋体" w:hAnsi="宋体" w:cs="宋体"/>
                <w:color w:val="auto"/>
                <w:sz w:val="18"/>
                <w:szCs w:val="18"/>
              </w:rPr>
              <w:t xml:space="preserve">1分/件，资产遗失的扣2分/件 </w:t>
            </w:r>
          </w:p>
        </w:tc>
      </w:tr>
      <w:tr w14:paraId="0C15D616">
        <w:tblPrEx>
          <w:tblCellMar>
            <w:top w:w="0" w:type="dxa"/>
            <w:left w:w="108" w:type="dxa"/>
            <w:bottom w:w="0" w:type="dxa"/>
            <w:right w:w="108" w:type="dxa"/>
          </w:tblCellMar>
        </w:tblPrEx>
        <w:trPr>
          <w:trHeight w:val="480" w:hRule="atLeast"/>
          <w:jc w:val="center"/>
        </w:trPr>
        <w:tc>
          <w:tcPr>
            <w:tcW w:w="499" w:type="dxa"/>
            <w:vMerge w:val="continue"/>
            <w:tcBorders>
              <w:top w:val="single" w:color="auto" w:sz="4" w:space="0"/>
              <w:left w:val="single" w:color="auto" w:sz="4" w:space="0"/>
              <w:bottom w:val="single" w:color="auto" w:sz="4" w:space="0"/>
              <w:right w:val="single" w:color="auto" w:sz="4" w:space="0"/>
            </w:tcBorders>
            <w:vAlign w:val="center"/>
          </w:tcPr>
          <w:p w14:paraId="33444A4B">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vAlign w:val="center"/>
          </w:tcPr>
          <w:p w14:paraId="2ADF3E6B">
            <w:pPr>
              <w:rPr>
                <w:rFonts w:ascii="宋体" w:hAnsi="宋体" w:cs="宋体"/>
                <w:color w:val="auto"/>
                <w:sz w:val="18"/>
                <w:szCs w:val="18"/>
              </w:rPr>
            </w:pPr>
          </w:p>
        </w:tc>
        <w:tc>
          <w:tcPr>
            <w:tcW w:w="477" w:type="dxa"/>
            <w:vMerge w:val="restart"/>
            <w:tcBorders>
              <w:top w:val="single" w:color="auto" w:sz="4" w:space="0"/>
              <w:left w:val="single" w:color="auto" w:sz="4" w:space="0"/>
              <w:bottom w:val="single" w:color="auto" w:sz="4" w:space="0"/>
              <w:right w:val="single" w:color="auto" w:sz="4" w:space="0"/>
            </w:tcBorders>
            <w:vAlign w:val="center"/>
          </w:tcPr>
          <w:p w14:paraId="0A6317DA">
            <w:pPr>
              <w:rPr>
                <w:rFonts w:ascii="宋体" w:hAnsi="宋体" w:cs="宋体"/>
                <w:color w:val="auto"/>
                <w:sz w:val="18"/>
                <w:szCs w:val="18"/>
              </w:rPr>
            </w:pPr>
            <w:r>
              <w:rPr>
                <w:rFonts w:hint="eastAsia" w:ascii="宋体" w:hAnsi="宋体" w:cs="宋体"/>
                <w:color w:val="auto"/>
                <w:sz w:val="18"/>
                <w:szCs w:val="18"/>
              </w:rPr>
              <w:t>事故预防制度</w:t>
            </w:r>
          </w:p>
        </w:tc>
        <w:tc>
          <w:tcPr>
            <w:tcW w:w="3350" w:type="dxa"/>
            <w:tcBorders>
              <w:top w:val="single" w:color="auto" w:sz="4" w:space="0"/>
              <w:left w:val="single" w:color="auto" w:sz="4" w:space="0"/>
              <w:bottom w:val="single" w:color="auto" w:sz="4" w:space="0"/>
              <w:right w:val="single" w:color="auto" w:sz="4" w:space="0"/>
            </w:tcBorders>
            <w:vAlign w:val="center"/>
          </w:tcPr>
          <w:p w14:paraId="4F2C022F">
            <w:pPr>
              <w:rPr>
                <w:rFonts w:ascii="宋体" w:hAnsi="宋体" w:cs="宋体"/>
                <w:color w:val="auto"/>
                <w:sz w:val="18"/>
                <w:szCs w:val="18"/>
              </w:rPr>
            </w:pPr>
            <w:r>
              <w:rPr>
                <w:rFonts w:ascii="宋体" w:hAnsi="宋体" w:cs="宋体"/>
                <w:color w:val="auto"/>
                <w:sz w:val="18"/>
                <w:szCs w:val="18"/>
              </w:rPr>
              <w:t>15.应对从业人员进行卫生安全知识培训，建有预防食物中毒事故预案及突发安全事件预案</w:t>
            </w:r>
          </w:p>
        </w:tc>
        <w:tc>
          <w:tcPr>
            <w:tcW w:w="709" w:type="dxa"/>
            <w:tcBorders>
              <w:top w:val="single" w:color="auto" w:sz="4" w:space="0"/>
              <w:left w:val="single" w:color="auto" w:sz="4" w:space="0"/>
              <w:bottom w:val="single" w:color="auto" w:sz="4" w:space="0"/>
              <w:right w:val="single" w:color="auto" w:sz="4" w:space="0"/>
            </w:tcBorders>
            <w:vAlign w:val="center"/>
          </w:tcPr>
          <w:p w14:paraId="42462296">
            <w:pPr>
              <w:rPr>
                <w:rFonts w:ascii="宋体" w:hAnsi="宋体" w:cs="宋体"/>
                <w:color w:val="auto"/>
                <w:sz w:val="18"/>
                <w:szCs w:val="18"/>
              </w:rPr>
            </w:pPr>
            <w:r>
              <w:rPr>
                <w:rFonts w:hint="eastAsia" w:ascii="宋体" w:hAnsi="宋体" w:cs="宋体"/>
                <w:color w:val="auto"/>
                <w:sz w:val="18"/>
                <w:szCs w:val="18"/>
              </w:rPr>
              <w:t>查看制度</w:t>
            </w:r>
          </w:p>
        </w:tc>
        <w:tc>
          <w:tcPr>
            <w:tcW w:w="2693" w:type="dxa"/>
            <w:tcBorders>
              <w:top w:val="single" w:color="auto" w:sz="4" w:space="0"/>
              <w:left w:val="single" w:color="auto" w:sz="4" w:space="0"/>
              <w:bottom w:val="single" w:color="auto" w:sz="4" w:space="0"/>
              <w:right w:val="single" w:color="auto" w:sz="4" w:space="0"/>
            </w:tcBorders>
            <w:vAlign w:val="center"/>
          </w:tcPr>
          <w:p w14:paraId="6600178A">
            <w:pPr>
              <w:rPr>
                <w:rFonts w:ascii="宋体" w:hAnsi="宋体" w:cs="宋体"/>
                <w:color w:val="auto"/>
                <w:sz w:val="18"/>
                <w:szCs w:val="18"/>
              </w:rPr>
            </w:pPr>
            <w:r>
              <w:rPr>
                <w:rFonts w:hint="eastAsia" w:ascii="宋体" w:hAnsi="宋体" w:cs="宋体"/>
                <w:color w:val="auto"/>
                <w:sz w:val="18"/>
                <w:szCs w:val="18"/>
              </w:rPr>
              <w:t>缺预案、未按要求开展培训和培训不到位的支付违约金</w:t>
            </w:r>
            <w:r>
              <w:rPr>
                <w:rFonts w:ascii="宋体" w:hAnsi="宋体" w:cs="宋体"/>
                <w:color w:val="auto"/>
                <w:sz w:val="18"/>
                <w:szCs w:val="18"/>
              </w:rPr>
              <w:t>1000元/次</w:t>
            </w:r>
          </w:p>
        </w:tc>
        <w:tc>
          <w:tcPr>
            <w:tcW w:w="1559" w:type="dxa"/>
            <w:tcBorders>
              <w:top w:val="single" w:color="auto" w:sz="4" w:space="0"/>
              <w:left w:val="single" w:color="auto" w:sz="4" w:space="0"/>
              <w:bottom w:val="single" w:color="auto" w:sz="4" w:space="0"/>
              <w:right w:val="single" w:color="auto" w:sz="4" w:space="0"/>
            </w:tcBorders>
            <w:vAlign w:val="center"/>
          </w:tcPr>
          <w:p w14:paraId="69F5D288">
            <w:pPr>
              <w:rPr>
                <w:rFonts w:ascii="宋体" w:hAnsi="宋体" w:cs="宋体"/>
                <w:color w:val="auto"/>
                <w:sz w:val="18"/>
                <w:szCs w:val="18"/>
              </w:rPr>
            </w:pPr>
            <w:r>
              <w:rPr>
                <w:rFonts w:hint="eastAsia" w:ascii="宋体" w:hAnsi="宋体" w:cs="宋体"/>
                <w:color w:val="auto"/>
                <w:sz w:val="18"/>
                <w:szCs w:val="18"/>
              </w:rPr>
              <w:t>缺预案、未按要求开展培训和培训不到位扣</w:t>
            </w:r>
            <w:r>
              <w:rPr>
                <w:rFonts w:ascii="宋体" w:hAnsi="宋体" w:cs="宋体"/>
                <w:color w:val="auto"/>
                <w:sz w:val="18"/>
                <w:szCs w:val="18"/>
              </w:rPr>
              <w:t>1分/次</w:t>
            </w:r>
          </w:p>
        </w:tc>
      </w:tr>
      <w:tr w14:paraId="7D2E6FE6">
        <w:tblPrEx>
          <w:tblCellMar>
            <w:top w:w="0" w:type="dxa"/>
            <w:left w:w="108" w:type="dxa"/>
            <w:bottom w:w="0" w:type="dxa"/>
            <w:right w:w="108" w:type="dxa"/>
          </w:tblCellMar>
        </w:tblPrEx>
        <w:trPr>
          <w:trHeight w:val="720" w:hRule="atLeast"/>
          <w:jc w:val="center"/>
        </w:trPr>
        <w:tc>
          <w:tcPr>
            <w:tcW w:w="499" w:type="dxa"/>
            <w:vMerge w:val="continue"/>
            <w:tcBorders>
              <w:top w:val="single" w:color="auto" w:sz="4" w:space="0"/>
              <w:left w:val="single" w:color="auto" w:sz="4" w:space="0"/>
              <w:bottom w:val="single" w:color="auto" w:sz="4" w:space="0"/>
              <w:right w:val="single" w:color="auto" w:sz="4" w:space="0"/>
            </w:tcBorders>
            <w:vAlign w:val="center"/>
          </w:tcPr>
          <w:p w14:paraId="65A7D2CE">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vAlign w:val="center"/>
          </w:tcPr>
          <w:p w14:paraId="5D36B48C">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vAlign w:val="center"/>
          </w:tcPr>
          <w:p w14:paraId="02220C24">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vAlign w:val="center"/>
          </w:tcPr>
          <w:p w14:paraId="5BEAA02B">
            <w:pPr>
              <w:rPr>
                <w:rFonts w:ascii="宋体" w:hAnsi="宋体" w:cs="宋体"/>
                <w:color w:val="auto"/>
                <w:sz w:val="18"/>
                <w:szCs w:val="18"/>
              </w:rPr>
            </w:pPr>
            <w:r>
              <w:rPr>
                <w:rFonts w:ascii="宋体" w:hAnsi="宋体" w:cs="宋体"/>
                <w:color w:val="auto"/>
                <w:sz w:val="18"/>
                <w:szCs w:val="18"/>
              </w:rPr>
              <w:t>16.应对从业人员进行消防安全知识培训，建有因电气、燃气、油锅着火应急处理机制及预案</w:t>
            </w:r>
          </w:p>
        </w:tc>
        <w:tc>
          <w:tcPr>
            <w:tcW w:w="709" w:type="dxa"/>
            <w:tcBorders>
              <w:top w:val="single" w:color="auto" w:sz="4" w:space="0"/>
              <w:left w:val="single" w:color="auto" w:sz="4" w:space="0"/>
              <w:bottom w:val="single" w:color="auto" w:sz="4" w:space="0"/>
              <w:right w:val="single" w:color="auto" w:sz="4" w:space="0"/>
            </w:tcBorders>
            <w:vAlign w:val="center"/>
          </w:tcPr>
          <w:p w14:paraId="715F7957">
            <w:pPr>
              <w:rPr>
                <w:rFonts w:ascii="宋体" w:hAnsi="宋体" w:cs="宋体"/>
                <w:color w:val="auto"/>
                <w:sz w:val="18"/>
                <w:szCs w:val="18"/>
              </w:rPr>
            </w:pPr>
            <w:r>
              <w:rPr>
                <w:rFonts w:hint="eastAsia" w:ascii="宋体" w:hAnsi="宋体" w:cs="宋体"/>
                <w:color w:val="auto"/>
                <w:sz w:val="18"/>
                <w:szCs w:val="18"/>
              </w:rPr>
              <w:t>查看制度</w:t>
            </w:r>
          </w:p>
        </w:tc>
        <w:tc>
          <w:tcPr>
            <w:tcW w:w="2693" w:type="dxa"/>
            <w:tcBorders>
              <w:top w:val="single" w:color="auto" w:sz="4" w:space="0"/>
              <w:left w:val="single" w:color="auto" w:sz="4" w:space="0"/>
              <w:bottom w:val="single" w:color="auto" w:sz="4" w:space="0"/>
              <w:right w:val="single" w:color="auto" w:sz="4" w:space="0"/>
            </w:tcBorders>
            <w:vAlign w:val="center"/>
          </w:tcPr>
          <w:p w14:paraId="400AF657">
            <w:pPr>
              <w:rPr>
                <w:rFonts w:ascii="宋体" w:hAnsi="宋体" w:cs="宋体"/>
                <w:color w:val="auto"/>
                <w:sz w:val="18"/>
                <w:szCs w:val="18"/>
              </w:rPr>
            </w:pPr>
            <w:r>
              <w:rPr>
                <w:rFonts w:hint="eastAsia" w:ascii="宋体" w:hAnsi="宋体" w:cs="宋体"/>
                <w:color w:val="auto"/>
                <w:sz w:val="18"/>
                <w:szCs w:val="18"/>
              </w:rPr>
              <w:t>缺一项预案支付违约金</w:t>
            </w:r>
            <w:r>
              <w:rPr>
                <w:rFonts w:ascii="宋体" w:hAnsi="宋体" w:cs="宋体"/>
                <w:color w:val="auto"/>
                <w:sz w:val="18"/>
                <w:szCs w:val="18"/>
              </w:rPr>
              <w:t>1000元/次</w:t>
            </w:r>
          </w:p>
        </w:tc>
        <w:tc>
          <w:tcPr>
            <w:tcW w:w="1559" w:type="dxa"/>
            <w:tcBorders>
              <w:top w:val="single" w:color="auto" w:sz="4" w:space="0"/>
              <w:left w:val="single" w:color="auto" w:sz="4" w:space="0"/>
              <w:bottom w:val="single" w:color="auto" w:sz="4" w:space="0"/>
              <w:right w:val="single" w:color="auto" w:sz="4" w:space="0"/>
            </w:tcBorders>
            <w:vAlign w:val="center"/>
          </w:tcPr>
          <w:p w14:paraId="27129818">
            <w:pPr>
              <w:rPr>
                <w:rFonts w:ascii="宋体" w:hAnsi="宋体" w:cs="宋体"/>
                <w:color w:val="auto"/>
                <w:sz w:val="18"/>
                <w:szCs w:val="18"/>
              </w:rPr>
            </w:pPr>
            <w:r>
              <w:rPr>
                <w:rFonts w:hint="eastAsia" w:ascii="宋体" w:hAnsi="宋体" w:cs="宋体"/>
                <w:color w:val="auto"/>
                <w:sz w:val="18"/>
                <w:szCs w:val="18"/>
              </w:rPr>
              <w:t>缺一项预案扣</w:t>
            </w:r>
            <w:r>
              <w:rPr>
                <w:rFonts w:ascii="宋体" w:hAnsi="宋体" w:cs="宋体"/>
                <w:color w:val="auto"/>
                <w:sz w:val="18"/>
                <w:szCs w:val="18"/>
              </w:rPr>
              <w:t>1分/次</w:t>
            </w:r>
          </w:p>
        </w:tc>
      </w:tr>
      <w:tr w14:paraId="6D4B68FD">
        <w:tblPrEx>
          <w:tblCellMar>
            <w:top w:w="0" w:type="dxa"/>
            <w:left w:w="108" w:type="dxa"/>
            <w:bottom w:w="0" w:type="dxa"/>
            <w:right w:w="108" w:type="dxa"/>
          </w:tblCellMar>
        </w:tblPrEx>
        <w:trPr>
          <w:trHeight w:val="720" w:hRule="atLeast"/>
          <w:jc w:val="center"/>
        </w:trPr>
        <w:tc>
          <w:tcPr>
            <w:tcW w:w="499" w:type="dxa"/>
            <w:vMerge w:val="continue"/>
            <w:tcBorders>
              <w:top w:val="single" w:color="auto" w:sz="4" w:space="0"/>
              <w:left w:val="single" w:color="auto" w:sz="4" w:space="0"/>
              <w:bottom w:val="single" w:color="auto" w:sz="4" w:space="0"/>
              <w:right w:val="single" w:color="auto" w:sz="4" w:space="0"/>
            </w:tcBorders>
            <w:vAlign w:val="center"/>
          </w:tcPr>
          <w:p w14:paraId="48528C28">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vAlign w:val="center"/>
          </w:tcPr>
          <w:p w14:paraId="720524CB">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vAlign w:val="center"/>
          </w:tcPr>
          <w:p w14:paraId="54C1BED0">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vAlign w:val="center"/>
          </w:tcPr>
          <w:p w14:paraId="7EB01BDD">
            <w:pPr>
              <w:rPr>
                <w:rFonts w:ascii="宋体" w:hAnsi="宋体" w:cs="宋体"/>
                <w:color w:val="auto"/>
                <w:sz w:val="18"/>
                <w:szCs w:val="18"/>
              </w:rPr>
            </w:pPr>
            <w:r>
              <w:rPr>
                <w:rFonts w:ascii="宋体" w:hAnsi="宋体" w:cs="宋体"/>
                <w:color w:val="auto"/>
                <w:sz w:val="18"/>
                <w:szCs w:val="18"/>
              </w:rPr>
              <w:t>17.应对从业人员进行设备使用培训，建有机械设备、用电、用气(汽)安全操作规程</w:t>
            </w:r>
          </w:p>
        </w:tc>
        <w:tc>
          <w:tcPr>
            <w:tcW w:w="709" w:type="dxa"/>
            <w:tcBorders>
              <w:top w:val="single" w:color="auto" w:sz="4" w:space="0"/>
              <w:left w:val="single" w:color="auto" w:sz="4" w:space="0"/>
              <w:bottom w:val="single" w:color="auto" w:sz="4" w:space="0"/>
              <w:right w:val="single" w:color="auto" w:sz="4" w:space="0"/>
            </w:tcBorders>
            <w:vAlign w:val="center"/>
          </w:tcPr>
          <w:p w14:paraId="3B59D83C">
            <w:pPr>
              <w:rPr>
                <w:rFonts w:ascii="宋体" w:hAnsi="宋体" w:cs="宋体"/>
                <w:color w:val="auto"/>
                <w:sz w:val="18"/>
                <w:szCs w:val="18"/>
              </w:rPr>
            </w:pPr>
            <w:r>
              <w:rPr>
                <w:rFonts w:hint="eastAsia" w:ascii="宋体" w:hAnsi="宋体" w:cs="宋体"/>
                <w:color w:val="auto"/>
                <w:sz w:val="18"/>
                <w:szCs w:val="18"/>
              </w:rPr>
              <w:t>现场检查</w:t>
            </w:r>
          </w:p>
        </w:tc>
        <w:tc>
          <w:tcPr>
            <w:tcW w:w="2693" w:type="dxa"/>
            <w:tcBorders>
              <w:top w:val="single" w:color="auto" w:sz="4" w:space="0"/>
              <w:left w:val="single" w:color="auto" w:sz="4" w:space="0"/>
              <w:bottom w:val="single" w:color="auto" w:sz="4" w:space="0"/>
              <w:right w:val="single" w:color="auto" w:sz="4" w:space="0"/>
            </w:tcBorders>
            <w:vAlign w:val="center"/>
          </w:tcPr>
          <w:p w14:paraId="4A1DC396">
            <w:pPr>
              <w:rPr>
                <w:rFonts w:ascii="宋体" w:hAnsi="宋体" w:cs="宋体"/>
                <w:color w:val="auto"/>
                <w:sz w:val="18"/>
                <w:szCs w:val="18"/>
              </w:rPr>
            </w:pPr>
            <w:r>
              <w:rPr>
                <w:rFonts w:hint="eastAsia" w:ascii="宋体" w:hAnsi="宋体" w:cs="宋体"/>
                <w:color w:val="auto"/>
                <w:sz w:val="18"/>
                <w:szCs w:val="18"/>
              </w:rPr>
              <w:t>缺一项操作规程支付违约金</w:t>
            </w:r>
            <w:r>
              <w:rPr>
                <w:rFonts w:ascii="宋体" w:hAnsi="宋体" w:cs="宋体"/>
                <w:color w:val="auto"/>
                <w:sz w:val="18"/>
                <w:szCs w:val="18"/>
              </w:rPr>
              <w:t>1000元/次</w:t>
            </w:r>
          </w:p>
          <w:p w14:paraId="0AC352D2">
            <w:pPr>
              <w:rPr>
                <w:rFonts w:ascii="宋体" w:hAnsi="宋体" w:cs="宋体"/>
                <w:color w:val="auto"/>
                <w:sz w:val="18"/>
                <w:szCs w:val="18"/>
              </w:rPr>
            </w:pPr>
            <w:r>
              <w:rPr>
                <w:rFonts w:hint="eastAsia" w:ascii="宋体" w:hAnsi="宋体" w:cs="宋体"/>
                <w:color w:val="auto"/>
                <w:sz w:val="18"/>
                <w:szCs w:val="18"/>
              </w:rPr>
              <w:t>违规操作支付违约金</w:t>
            </w:r>
            <w:r>
              <w:rPr>
                <w:rFonts w:ascii="宋体" w:hAnsi="宋体" w:cs="宋体"/>
                <w:color w:val="auto"/>
                <w:sz w:val="18"/>
                <w:szCs w:val="18"/>
              </w:rPr>
              <w:t>5000元/次</w:t>
            </w:r>
          </w:p>
        </w:tc>
        <w:tc>
          <w:tcPr>
            <w:tcW w:w="1559" w:type="dxa"/>
            <w:tcBorders>
              <w:top w:val="single" w:color="auto" w:sz="4" w:space="0"/>
              <w:left w:val="single" w:color="auto" w:sz="4" w:space="0"/>
              <w:bottom w:val="single" w:color="auto" w:sz="4" w:space="0"/>
              <w:right w:val="single" w:color="auto" w:sz="4" w:space="0"/>
            </w:tcBorders>
            <w:vAlign w:val="center"/>
          </w:tcPr>
          <w:p w14:paraId="5B8DFAED">
            <w:pPr>
              <w:rPr>
                <w:rFonts w:ascii="宋体" w:hAnsi="宋体" w:cs="宋体"/>
                <w:color w:val="auto"/>
                <w:sz w:val="18"/>
                <w:szCs w:val="18"/>
              </w:rPr>
            </w:pPr>
            <w:r>
              <w:rPr>
                <w:rFonts w:hint="eastAsia" w:ascii="宋体" w:hAnsi="宋体" w:cs="宋体"/>
                <w:color w:val="auto"/>
                <w:sz w:val="18"/>
                <w:szCs w:val="18"/>
              </w:rPr>
              <w:t>缺一项操作规程扣</w:t>
            </w:r>
            <w:r>
              <w:rPr>
                <w:rFonts w:ascii="宋体" w:hAnsi="宋体" w:cs="宋体"/>
                <w:color w:val="auto"/>
                <w:sz w:val="18"/>
                <w:szCs w:val="18"/>
              </w:rPr>
              <w:t>1分/次</w:t>
            </w:r>
          </w:p>
          <w:p w14:paraId="7DAEF77A">
            <w:pPr>
              <w:rPr>
                <w:rFonts w:ascii="宋体" w:hAnsi="宋体" w:cs="宋体"/>
                <w:color w:val="auto"/>
                <w:sz w:val="18"/>
                <w:szCs w:val="18"/>
              </w:rPr>
            </w:pPr>
            <w:r>
              <w:rPr>
                <w:rFonts w:hint="eastAsia" w:ascii="宋体" w:hAnsi="宋体" w:cs="宋体"/>
                <w:color w:val="auto"/>
                <w:sz w:val="18"/>
                <w:szCs w:val="18"/>
              </w:rPr>
              <w:t>违规操作扣</w:t>
            </w:r>
            <w:r>
              <w:rPr>
                <w:rFonts w:ascii="宋体" w:hAnsi="宋体" w:cs="宋体"/>
                <w:color w:val="auto"/>
                <w:sz w:val="18"/>
                <w:szCs w:val="18"/>
              </w:rPr>
              <w:t>2分/次</w:t>
            </w:r>
          </w:p>
        </w:tc>
      </w:tr>
      <w:tr w14:paraId="78929F2D">
        <w:tblPrEx>
          <w:tblCellMar>
            <w:top w:w="0" w:type="dxa"/>
            <w:left w:w="108" w:type="dxa"/>
            <w:bottom w:w="0" w:type="dxa"/>
            <w:right w:w="108" w:type="dxa"/>
          </w:tblCellMar>
        </w:tblPrEx>
        <w:trPr>
          <w:trHeight w:val="960" w:hRule="atLeast"/>
          <w:jc w:val="center"/>
        </w:trPr>
        <w:tc>
          <w:tcPr>
            <w:tcW w:w="499" w:type="dxa"/>
            <w:vMerge w:val="restart"/>
            <w:tcBorders>
              <w:top w:val="single" w:color="auto" w:sz="4" w:space="0"/>
              <w:left w:val="single" w:color="auto" w:sz="4" w:space="0"/>
              <w:bottom w:val="single" w:color="auto" w:sz="4" w:space="0"/>
              <w:right w:val="single" w:color="auto" w:sz="4" w:space="0"/>
            </w:tcBorders>
            <w:vAlign w:val="center"/>
          </w:tcPr>
          <w:p w14:paraId="678FCB6D">
            <w:pPr>
              <w:rPr>
                <w:rFonts w:ascii="宋体" w:hAnsi="宋体" w:cs="宋体"/>
                <w:color w:val="auto"/>
                <w:sz w:val="18"/>
                <w:szCs w:val="18"/>
              </w:rPr>
            </w:pPr>
            <w:r>
              <w:rPr>
                <w:rFonts w:hint="eastAsia" w:ascii="宋体" w:hAnsi="宋体" w:cs="宋体"/>
                <w:color w:val="auto"/>
                <w:sz w:val="18"/>
                <w:szCs w:val="18"/>
              </w:rPr>
              <w:t>二</w:t>
            </w:r>
          </w:p>
        </w:tc>
        <w:tc>
          <w:tcPr>
            <w:tcW w:w="636" w:type="dxa"/>
            <w:vMerge w:val="restart"/>
            <w:tcBorders>
              <w:top w:val="single" w:color="auto" w:sz="4" w:space="0"/>
              <w:left w:val="single" w:color="auto" w:sz="4" w:space="0"/>
              <w:bottom w:val="single" w:color="auto" w:sz="4" w:space="0"/>
              <w:right w:val="single" w:color="auto" w:sz="4" w:space="0"/>
            </w:tcBorders>
            <w:textDirection w:val="tbRlV"/>
            <w:vAlign w:val="center"/>
          </w:tcPr>
          <w:p w14:paraId="093C5B4C">
            <w:pPr>
              <w:rPr>
                <w:rFonts w:ascii="宋体" w:hAnsi="宋体" w:cs="宋体"/>
                <w:color w:val="auto"/>
                <w:sz w:val="18"/>
                <w:szCs w:val="18"/>
              </w:rPr>
            </w:pPr>
            <w:r>
              <w:rPr>
                <w:rFonts w:hint="eastAsia" w:ascii="宋体" w:hAnsi="宋体" w:cs="宋体"/>
                <w:color w:val="auto"/>
                <w:sz w:val="18"/>
                <w:szCs w:val="18"/>
              </w:rPr>
              <w:t>食品管理</w:t>
            </w:r>
          </w:p>
        </w:tc>
        <w:tc>
          <w:tcPr>
            <w:tcW w:w="477" w:type="dxa"/>
            <w:vMerge w:val="restart"/>
            <w:tcBorders>
              <w:top w:val="single" w:color="auto" w:sz="4" w:space="0"/>
              <w:left w:val="single" w:color="auto" w:sz="4" w:space="0"/>
              <w:bottom w:val="single" w:color="auto" w:sz="4" w:space="0"/>
              <w:right w:val="single" w:color="auto" w:sz="4" w:space="0"/>
            </w:tcBorders>
            <w:textDirection w:val="tbRlV"/>
            <w:vAlign w:val="center"/>
          </w:tcPr>
          <w:p w14:paraId="791BC34F">
            <w:pPr>
              <w:jc w:val="center"/>
              <w:rPr>
                <w:rFonts w:ascii="宋体" w:hAnsi="宋体" w:cs="宋体"/>
                <w:color w:val="auto"/>
                <w:sz w:val="18"/>
                <w:szCs w:val="18"/>
              </w:rPr>
            </w:pPr>
            <w:r>
              <w:rPr>
                <w:rFonts w:hint="eastAsia" w:ascii="宋体" w:hAnsi="宋体" w:cs="宋体"/>
                <w:color w:val="auto"/>
                <w:sz w:val="18"/>
                <w:szCs w:val="18"/>
              </w:rPr>
              <w:t>采购</w:t>
            </w:r>
          </w:p>
        </w:tc>
        <w:tc>
          <w:tcPr>
            <w:tcW w:w="3350" w:type="dxa"/>
            <w:tcBorders>
              <w:top w:val="single" w:color="auto" w:sz="4" w:space="0"/>
              <w:left w:val="single" w:color="auto" w:sz="4" w:space="0"/>
              <w:bottom w:val="single" w:color="auto" w:sz="4" w:space="0"/>
              <w:right w:val="single" w:color="auto" w:sz="4" w:space="0"/>
            </w:tcBorders>
            <w:shd w:val="clear" w:color="auto" w:fill="auto"/>
            <w:vAlign w:val="center"/>
          </w:tcPr>
          <w:p w14:paraId="6E644ABE">
            <w:pPr>
              <w:rPr>
                <w:rFonts w:ascii="宋体" w:hAnsi="宋体" w:cs="宋体"/>
                <w:color w:val="auto"/>
                <w:sz w:val="18"/>
                <w:szCs w:val="18"/>
              </w:rPr>
            </w:pPr>
            <w:r>
              <w:rPr>
                <w:rFonts w:ascii="宋体" w:hAnsi="宋体" w:cs="宋体"/>
                <w:color w:val="auto"/>
                <w:sz w:val="18"/>
                <w:szCs w:val="18"/>
              </w:rPr>
              <w:t>18.建立食品安全追溯体系，保证食品可追溯。必须落实原材料公司统一、集中定点采购制度，食品原材料采购应符合国家有关规定以及学校要求，不得采购临期和过期食品。</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2BCA2D66">
            <w:pPr>
              <w:rPr>
                <w:rFonts w:ascii="宋体" w:hAnsi="宋体" w:cs="宋体"/>
                <w:color w:val="auto"/>
                <w:sz w:val="18"/>
                <w:szCs w:val="18"/>
              </w:rPr>
            </w:pPr>
            <w:r>
              <w:rPr>
                <w:rFonts w:hint="eastAsia" w:ascii="宋体" w:hAnsi="宋体" w:cs="宋体"/>
                <w:color w:val="auto"/>
                <w:sz w:val="18"/>
                <w:szCs w:val="18"/>
              </w:rPr>
              <w:t>现场</w:t>
            </w:r>
          </w:p>
          <w:p w14:paraId="75CC3E3B">
            <w:pPr>
              <w:rPr>
                <w:rFonts w:ascii="宋体" w:hAnsi="宋体" w:cs="宋体"/>
                <w:color w:val="auto"/>
                <w:sz w:val="18"/>
                <w:szCs w:val="18"/>
              </w:rPr>
            </w:pPr>
            <w:r>
              <w:rPr>
                <w:rFonts w:hint="eastAsia" w:ascii="宋体" w:hAnsi="宋体" w:cs="宋体"/>
                <w:color w:val="auto"/>
                <w:sz w:val="18"/>
                <w:szCs w:val="18"/>
              </w:rPr>
              <w:t>检查</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tcPr>
          <w:p w14:paraId="3D83B06E">
            <w:pPr>
              <w:rPr>
                <w:rFonts w:ascii="宋体" w:hAnsi="宋体" w:cs="宋体"/>
                <w:color w:val="auto"/>
                <w:sz w:val="18"/>
                <w:szCs w:val="18"/>
              </w:rPr>
            </w:pPr>
            <w:r>
              <w:rPr>
                <w:rFonts w:hint="eastAsia" w:ascii="宋体" w:hAnsi="宋体" w:cs="宋体"/>
                <w:color w:val="auto"/>
                <w:sz w:val="18"/>
                <w:szCs w:val="18"/>
              </w:rPr>
              <w:t>违规采购的支付违约金</w:t>
            </w:r>
            <w:r>
              <w:rPr>
                <w:rFonts w:ascii="宋体" w:hAnsi="宋体" w:cs="宋体"/>
                <w:color w:val="auto"/>
                <w:sz w:val="18"/>
                <w:szCs w:val="18"/>
              </w:rPr>
              <w:t>10000元/次</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44392C9D">
            <w:pPr>
              <w:rPr>
                <w:rFonts w:ascii="宋体" w:hAnsi="宋体" w:cs="宋体"/>
                <w:color w:val="auto"/>
                <w:sz w:val="18"/>
                <w:szCs w:val="18"/>
              </w:rPr>
            </w:pPr>
            <w:r>
              <w:rPr>
                <w:rFonts w:hint="eastAsia" w:ascii="宋体" w:hAnsi="宋体" w:cs="宋体"/>
                <w:color w:val="auto"/>
                <w:sz w:val="18"/>
                <w:szCs w:val="18"/>
              </w:rPr>
              <w:t>违规采购的扣</w:t>
            </w:r>
            <w:r>
              <w:rPr>
                <w:rFonts w:ascii="宋体" w:hAnsi="宋体" w:cs="宋体"/>
                <w:color w:val="auto"/>
                <w:sz w:val="18"/>
                <w:szCs w:val="18"/>
              </w:rPr>
              <w:t>5分/次</w:t>
            </w:r>
          </w:p>
        </w:tc>
      </w:tr>
      <w:tr w14:paraId="41B4B0DF">
        <w:tblPrEx>
          <w:tblCellMar>
            <w:top w:w="0" w:type="dxa"/>
            <w:left w:w="108" w:type="dxa"/>
            <w:bottom w:w="0" w:type="dxa"/>
            <w:right w:w="108" w:type="dxa"/>
          </w:tblCellMar>
        </w:tblPrEx>
        <w:trPr>
          <w:trHeight w:val="960" w:hRule="atLeast"/>
          <w:jc w:val="center"/>
        </w:trPr>
        <w:tc>
          <w:tcPr>
            <w:tcW w:w="499" w:type="dxa"/>
            <w:vMerge w:val="continue"/>
            <w:tcBorders>
              <w:top w:val="single" w:color="auto" w:sz="4" w:space="0"/>
              <w:left w:val="single" w:color="auto" w:sz="4" w:space="0"/>
              <w:bottom w:val="single" w:color="auto" w:sz="4" w:space="0"/>
              <w:right w:val="single" w:color="auto" w:sz="4" w:space="0"/>
            </w:tcBorders>
            <w:vAlign w:val="center"/>
          </w:tcPr>
          <w:p w14:paraId="095901B9">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textDirection w:val="tbRlV"/>
            <w:vAlign w:val="center"/>
          </w:tcPr>
          <w:p w14:paraId="0119314B">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textDirection w:val="tbRlV"/>
            <w:vAlign w:val="center"/>
          </w:tcPr>
          <w:p w14:paraId="6B2188BF">
            <w:pPr>
              <w:jc w:val="cente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shd w:val="clear" w:color="auto" w:fill="auto"/>
            <w:vAlign w:val="center"/>
          </w:tcPr>
          <w:p w14:paraId="312796A3">
            <w:pPr>
              <w:rPr>
                <w:rFonts w:ascii="宋体" w:hAnsi="宋体" w:cs="宋体"/>
                <w:color w:val="auto"/>
                <w:sz w:val="18"/>
                <w:szCs w:val="18"/>
              </w:rPr>
            </w:pPr>
            <w:r>
              <w:rPr>
                <w:rFonts w:ascii="宋体" w:hAnsi="宋体" w:cs="宋体"/>
                <w:color w:val="auto"/>
                <w:sz w:val="18"/>
                <w:szCs w:val="18"/>
              </w:rPr>
              <w:t>19.主要原材料应建立定点供货单位及采购品种备案制度，供货单位必须持有营业执照、卫生许可证、动植物检疫合格证等相关证件并建立台帐。</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113AB486">
            <w:pPr>
              <w:rPr>
                <w:rFonts w:ascii="宋体" w:hAnsi="宋体" w:cs="宋体"/>
                <w:color w:val="auto"/>
                <w:sz w:val="18"/>
                <w:szCs w:val="18"/>
              </w:rPr>
            </w:pPr>
            <w:r>
              <w:rPr>
                <w:rFonts w:hint="eastAsia" w:ascii="宋体" w:hAnsi="宋体" w:cs="宋体"/>
                <w:color w:val="auto"/>
                <w:sz w:val="18"/>
                <w:szCs w:val="18"/>
              </w:rPr>
              <w:t>查看证件</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tcPr>
          <w:p w14:paraId="69469D97">
            <w:pPr>
              <w:rPr>
                <w:rFonts w:ascii="宋体" w:hAnsi="宋体" w:cs="宋体"/>
                <w:color w:val="auto"/>
                <w:sz w:val="18"/>
                <w:szCs w:val="18"/>
              </w:rPr>
            </w:pPr>
            <w:r>
              <w:rPr>
                <w:rFonts w:hint="eastAsia" w:ascii="宋体" w:hAnsi="宋体" w:cs="宋体"/>
                <w:color w:val="auto"/>
                <w:sz w:val="18"/>
                <w:szCs w:val="18"/>
              </w:rPr>
              <w:t>无采购合同备案及相关证件的每缺一项支付违约金</w:t>
            </w:r>
            <w:r>
              <w:rPr>
                <w:rFonts w:ascii="宋体" w:hAnsi="宋体" w:cs="宋体"/>
                <w:color w:val="auto"/>
                <w:sz w:val="18"/>
                <w:szCs w:val="18"/>
              </w:rPr>
              <w:t>10000元/次</w:t>
            </w:r>
          </w:p>
        </w:tc>
        <w:tc>
          <w:tcPr>
            <w:tcW w:w="1559" w:type="dxa"/>
            <w:tcBorders>
              <w:top w:val="single" w:color="auto" w:sz="4" w:space="0"/>
              <w:left w:val="single" w:color="auto" w:sz="4" w:space="0"/>
              <w:bottom w:val="single" w:color="auto" w:sz="4" w:space="0"/>
              <w:right w:val="single" w:color="auto" w:sz="4" w:space="0"/>
            </w:tcBorders>
            <w:vAlign w:val="center"/>
          </w:tcPr>
          <w:p w14:paraId="065A2E29">
            <w:pPr>
              <w:rPr>
                <w:rFonts w:ascii="宋体" w:hAnsi="宋体" w:cs="宋体"/>
                <w:color w:val="auto"/>
                <w:sz w:val="18"/>
                <w:szCs w:val="18"/>
              </w:rPr>
            </w:pPr>
            <w:r>
              <w:rPr>
                <w:rFonts w:hint="eastAsia" w:ascii="宋体" w:hAnsi="宋体" w:cs="宋体"/>
                <w:color w:val="auto"/>
                <w:sz w:val="18"/>
                <w:szCs w:val="18"/>
              </w:rPr>
              <w:t>无采购合同备案及相关证件的每缺一项扣</w:t>
            </w:r>
            <w:r>
              <w:rPr>
                <w:rFonts w:ascii="宋体" w:hAnsi="宋体" w:cs="宋体"/>
                <w:color w:val="auto"/>
                <w:sz w:val="18"/>
                <w:szCs w:val="18"/>
              </w:rPr>
              <w:t>5分</w:t>
            </w:r>
          </w:p>
        </w:tc>
      </w:tr>
      <w:tr w14:paraId="238064F3">
        <w:tblPrEx>
          <w:tblCellMar>
            <w:top w:w="0" w:type="dxa"/>
            <w:left w:w="108" w:type="dxa"/>
            <w:bottom w:w="0" w:type="dxa"/>
            <w:right w:w="108" w:type="dxa"/>
          </w:tblCellMar>
        </w:tblPrEx>
        <w:trPr>
          <w:trHeight w:val="960" w:hRule="atLeast"/>
          <w:jc w:val="center"/>
        </w:trPr>
        <w:tc>
          <w:tcPr>
            <w:tcW w:w="499" w:type="dxa"/>
            <w:vMerge w:val="continue"/>
            <w:tcBorders>
              <w:top w:val="single" w:color="auto" w:sz="4" w:space="0"/>
              <w:left w:val="single" w:color="auto" w:sz="4" w:space="0"/>
              <w:bottom w:val="single" w:color="auto" w:sz="4" w:space="0"/>
              <w:right w:val="single" w:color="auto" w:sz="4" w:space="0"/>
            </w:tcBorders>
            <w:vAlign w:val="center"/>
          </w:tcPr>
          <w:p w14:paraId="25620F27">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vAlign w:val="center"/>
          </w:tcPr>
          <w:p w14:paraId="5F10706A">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vAlign w:val="center"/>
          </w:tcPr>
          <w:p w14:paraId="469A6564">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vAlign w:val="center"/>
          </w:tcPr>
          <w:p w14:paraId="128494B2">
            <w:pPr>
              <w:rPr>
                <w:rFonts w:ascii="宋体" w:hAnsi="宋体" w:cs="宋体"/>
                <w:color w:val="auto"/>
                <w:sz w:val="18"/>
                <w:szCs w:val="18"/>
              </w:rPr>
            </w:pPr>
            <w:r>
              <w:rPr>
                <w:rFonts w:ascii="宋体" w:hAnsi="宋体" w:cs="宋体"/>
                <w:color w:val="auto"/>
                <w:sz w:val="18"/>
                <w:szCs w:val="18"/>
              </w:rPr>
              <w:t>20.建立落实采购登记台账制度（电子与纸质）和食品原材料索证（肉类品质检验合格证、动植物检疫合格证等）、索票制度，每批次物品应有生产厂家、产地、生产日期、保质期及QS认证等标识。</w:t>
            </w:r>
          </w:p>
        </w:tc>
        <w:tc>
          <w:tcPr>
            <w:tcW w:w="709" w:type="dxa"/>
            <w:tcBorders>
              <w:top w:val="single" w:color="auto" w:sz="4" w:space="0"/>
              <w:left w:val="single" w:color="auto" w:sz="4" w:space="0"/>
              <w:bottom w:val="single" w:color="auto" w:sz="4" w:space="0"/>
              <w:right w:val="single" w:color="auto" w:sz="4" w:space="0"/>
            </w:tcBorders>
            <w:vAlign w:val="center"/>
          </w:tcPr>
          <w:p w14:paraId="0261FEC7">
            <w:pPr>
              <w:rPr>
                <w:rFonts w:ascii="宋体" w:hAnsi="宋体" w:cs="宋体"/>
                <w:color w:val="auto"/>
                <w:sz w:val="18"/>
                <w:szCs w:val="18"/>
              </w:rPr>
            </w:pPr>
            <w:r>
              <w:rPr>
                <w:rFonts w:hint="eastAsia" w:ascii="宋体" w:hAnsi="宋体" w:cs="宋体"/>
                <w:color w:val="auto"/>
                <w:sz w:val="18"/>
                <w:szCs w:val="18"/>
              </w:rPr>
              <w:t>现场检查</w:t>
            </w:r>
          </w:p>
        </w:tc>
        <w:tc>
          <w:tcPr>
            <w:tcW w:w="2693" w:type="dxa"/>
            <w:tcBorders>
              <w:top w:val="single" w:color="auto" w:sz="4" w:space="0"/>
              <w:left w:val="single" w:color="auto" w:sz="4" w:space="0"/>
              <w:bottom w:val="single" w:color="auto" w:sz="4" w:space="0"/>
              <w:right w:val="single" w:color="auto" w:sz="4" w:space="0"/>
            </w:tcBorders>
            <w:vAlign w:val="center"/>
          </w:tcPr>
          <w:p w14:paraId="787D1B2C">
            <w:pPr>
              <w:rPr>
                <w:rFonts w:ascii="宋体" w:hAnsi="宋体" w:cs="宋体"/>
                <w:color w:val="auto"/>
                <w:sz w:val="18"/>
                <w:szCs w:val="18"/>
              </w:rPr>
            </w:pPr>
            <w:r>
              <w:rPr>
                <w:rFonts w:hint="eastAsia" w:ascii="宋体" w:hAnsi="宋体" w:cs="宋体"/>
                <w:color w:val="auto"/>
                <w:sz w:val="18"/>
                <w:szCs w:val="18"/>
              </w:rPr>
              <w:t>每缺一项支付违约金</w:t>
            </w:r>
            <w:r>
              <w:rPr>
                <w:rFonts w:ascii="宋体" w:hAnsi="宋体" w:cs="宋体"/>
                <w:color w:val="auto"/>
                <w:sz w:val="18"/>
                <w:szCs w:val="18"/>
              </w:rPr>
              <w:t>1000元/次</w:t>
            </w:r>
          </w:p>
        </w:tc>
        <w:tc>
          <w:tcPr>
            <w:tcW w:w="1559" w:type="dxa"/>
            <w:tcBorders>
              <w:top w:val="single" w:color="auto" w:sz="4" w:space="0"/>
              <w:left w:val="single" w:color="auto" w:sz="4" w:space="0"/>
              <w:bottom w:val="single" w:color="auto" w:sz="4" w:space="0"/>
              <w:right w:val="single" w:color="auto" w:sz="4" w:space="0"/>
            </w:tcBorders>
            <w:vAlign w:val="center"/>
          </w:tcPr>
          <w:p w14:paraId="7E8202BE">
            <w:pPr>
              <w:rPr>
                <w:rFonts w:ascii="宋体" w:hAnsi="宋体" w:cs="宋体"/>
                <w:color w:val="auto"/>
                <w:sz w:val="18"/>
                <w:szCs w:val="18"/>
              </w:rPr>
            </w:pPr>
            <w:r>
              <w:rPr>
                <w:rFonts w:hint="eastAsia" w:ascii="宋体" w:hAnsi="宋体" w:cs="宋体"/>
                <w:color w:val="auto"/>
                <w:sz w:val="18"/>
                <w:szCs w:val="18"/>
              </w:rPr>
              <w:t>缺项的扣</w:t>
            </w:r>
            <w:r>
              <w:rPr>
                <w:rFonts w:ascii="宋体" w:hAnsi="宋体" w:cs="宋体"/>
                <w:color w:val="auto"/>
                <w:sz w:val="18"/>
                <w:szCs w:val="18"/>
              </w:rPr>
              <w:t>1分/项/次</w:t>
            </w:r>
          </w:p>
        </w:tc>
      </w:tr>
      <w:tr w14:paraId="5965C6E6">
        <w:tblPrEx>
          <w:tblCellMar>
            <w:top w:w="0" w:type="dxa"/>
            <w:left w:w="108" w:type="dxa"/>
            <w:bottom w:w="0" w:type="dxa"/>
            <w:right w:w="108" w:type="dxa"/>
          </w:tblCellMar>
        </w:tblPrEx>
        <w:trPr>
          <w:trHeight w:val="480" w:hRule="atLeast"/>
          <w:jc w:val="center"/>
        </w:trPr>
        <w:tc>
          <w:tcPr>
            <w:tcW w:w="499" w:type="dxa"/>
            <w:vMerge w:val="continue"/>
            <w:tcBorders>
              <w:top w:val="single" w:color="auto" w:sz="4" w:space="0"/>
              <w:left w:val="single" w:color="auto" w:sz="4" w:space="0"/>
              <w:bottom w:val="single" w:color="auto" w:sz="4" w:space="0"/>
              <w:right w:val="single" w:color="auto" w:sz="4" w:space="0"/>
            </w:tcBorders>
            <w:vAlign w:val="center"/>
          </w:tcPr>
          <w:p w14:paraId="103939F9">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vAlign w:val="center"/>
          </w:tcPr>
          <w:p w14:paraId="33445724">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vAlign w:val="center"/>
          </w:tcPr>
          <w:p w14:paraId="4D328FFB">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vAlign w:val="center"/>
          </w:tcPr>
          <w:p w14:paraId="6B18B941">
            <w:pPr>
              <w:rPr>
                <w:rFonts w:ascii="宋体" w:hAnsi="宋体" w:cs="宋体"/>
                <w:color w:val="auto"/>
                <w:sz w:val="18"/>
                <w:szCs w:val="18"/>
              </w:rPr>
            </w:pPr>
            <w:r>
              <w:rPr>
                <w:rFonts w:ascii="宋体" w:hAnsi="宋体" w:cs="宋体"/>
                <w:color w:val="auto"/>
                <w:sz w:val="18"/>
                <w:szCs w:val="18"/>
              </w:rPr>
              <w:t>21.采购的原材料应符合国家有关标准和本合同规定</w:t>
            </w:r>
          </w:p>
        </w:tc>
        <w:tc>
          <w:tcPr>
            <w:tcW w:w="709" w:type="dxa"/>
            <w:tcBorders>
              <w:top w:val="single" w:color="auto" w:sz="4" w:space="0"/>
              <w:left w:val="single" w:color="auto" w:sz="4" w:space="0"/>
              <w:bottom w:val="single" w:color="auto" w:sz="4" w:space="0"/>
              <w:right w:val="single" w:color="auto" w:sz="4" w:space="0"/>
            </w:tcBorders>
            <w:vAlign w:val="center"/>
          </w:tcPr>
          <w:p w14:paraId="21998E42">
            <w:pPr>
              <w:rPr>
                <w:rFonts w:ascii="宋体" w:hAnsi="宋体" w:cs="宋体"/>
                <w:color w:val="auto"/>
                <w:sz w:val="18"/>
                <w:szCs w:val="18"/>
              </w:rPr>
            </w:pPr>
            <w:r>
              <w:rPr>
                <w:rFonts w:hint="eastAsia" w:ascii="宋体" w:hAnsi="宋体" w:cs="宋体"/>
                <w:color w:val="auto"/>
                <w:sz w:val="18"/>
                <w:szCs w:val="18"/>
              </w:rPr>
              <w:t>现场检查</w:t>
            </w:r>
          </w:p>
        </w:tc>
        <w:tc>
          <w:tcPr>
            <w:tcW w:w="2693" w:type="dxa"/>
            <w:tcBorders>
              <w:top w:val="single" w:color="auto" w:sz="4" w:space="0"/>
              <w:left w:val="single" w:color="auto" w:sz="4" w:space="0"/>
              <w:bottom w:val="single" w:color="auto" w:sz="4" w:space="0"/>
              <w:right w:val="single" w:color="auto" w:sz="4" w:space="0"/>
            </w:tcBorders>
            <w:vAlign w:val="center"/>
          </w:tcPr>
          <w:p w14:paraId="4E938EC0">
            <w:pPr>
              <w:rPr>
                <w:rFonts w:ascii="宋体" w:hAnsi="宋体" w:cs="宋体"/>
                <w:color w:val="auto"/>
                <w:sz w:val="18"/>
                <w:szCs w:val="18"/>
              </w:rPr>
            </w:pPr>
            <w:r>
              <w:rPr>
                <w:rFonts w:hint="eastAsia" w:ascii="宋体" w:hAnsi="宋体" w:cs="宋体"/>
                <w:color w:val="auto"/>
                <w:sz w:val="18"/>
                <w:szCs w:val="18"/>
              </w:rPr>
              <w:t>每违规采购一次支付违约金</w:t>
            </w:r>
            <w:r>
              <w:rPr>
                <w:rFonts w:ascii="宋体" w:hAnsi="宋体" w:cs="宋体"/>
                <w:color w:val="auto"/>
                <w:sz w:val="18"/>
                <w:szCs w:val="18"/>
              </w:rPr>
              <w:t>10000元</w:t>
            </w:r>
          </w:p>
        </w:tc>
        <w:tc>
          <w:tcPr>
            <w:tcW w:w="1559" w:type="dxa"/>
            <w:tcBorders>
              <w:top w:val="single" w:color="auto" w:sz="4" w:space="0"/>
              <w:left w:val="single" w:color="auto" w:sz="4" w:space="0"/>
              <w:bottom w:val="single" w:color="auto" w:sz="4" w:space="0"/>
              <w:right w:val="single" w:color="auto" w:sz="4" w:space="0"/>
            </w:tcBorders>
            <w:vAlign w:val="center"/>
          </w:tcPr>
          <w:p w14:paraId="33368D0E">
            <w:pPr>
              <w:rPr>
                <w:rFonts w:ascii="宋体" w:hAnsi="宋体" w:cs="宋体"/>
                <w:color w:val="auto"/>
                <w:sz w:val="18"/>
                <w:szCs w:val="18"/>
              </w:rPr>
            </w:pPr>
            <w:r>
              <w:rPr>
                <w:rFonts w:hint="eastAsia" w:ascii="宋体" w:hAnsi="宋体" w:cs="宋体"/>
                <w:color w:val="auto"/>
                <w:sz w:val="18"/>
                <w:szCs w:val="18"/>
              </w:rPr>
              <w:t>违规采购扣</w:t>
            </w:r>
            <w:r>
              <w:rPr>
                <w:rFonts w:ascii="宋体" w:hAnsi="宋体" w:cs="宋体"/>
                <w:color w:val="auto"/>
                <w:sz w:val="18"/>
                <w:szCs w:val="18"/>
              </w:rPr>
              <w:t>5分/次</w:t>
            </w:r>
          </w:p>
        </w:tc>
      </w:tr>
      <w:tr w14:paraId="01983CF8">
        <w:tblPrEx>
          <w:tblCellMar>
            <w:top w:w="0" w:type="dxa"/>
            <w:left w:w="108" w:type="dxa"/>
            <w:bottom w:w="0" w:type="dxa"/>
            <w:right w:w="108" w:type="dxa"/>
          </w:tblCellMar>
        </w:tblPrEx>
        <w:trPr>
          <w:trHeight w:val="960" w:hRule="atLeast"/>
          <w:jc w:val="center"/>
        </w:trPr>
        <w:tc>
          <w:tcPr>
            <w:tcW w:w="499" w:type="dxa"/>
            <w:vMerge w:val="continue"/>
            <w:tcBorders>
              <w:top w:val="single" w:color="auto" w:sz="4" w:space="0"/>
              <w:left w:val="single" w:color="auto" w:sz="4" w:space="0"/>
              <w:bottom w:val="single" w:color="auto" w:sz="4" w:space="0"/>
              <w:right w:val="single" w:color="auto" w:sz="4" w:space="0"/>
            </w:tcBorders>
            <w:vAlign w:val="center"/>
          </w:tcPr>
          <w:p w14:paraId="58F163E4">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vAlign w:val="center"/>
          </w:tcPr>
          <w:p w14:paraId="3715E207">
            <w:pPr>
              <w:rPr>
                <w:rFonts w:ascii="宋体" w:hAnsi="宋体" w:cs="宋体"/>
                <w:color w:val="auto"/>
                <w:sz w:val="18"/>
                <w:szCs w:val="18"/>
              </w:rPr>
            </w:pPr>
          </w:p>
        </w:tc>
        <w:tc>
          <w:tcPr>
            <w:tcW w:w="477" w:type="dxa"/>
            <w:vMerge w:val="restart"/>
            <w:tcBorders>
              <w:top w:val="single" w:color="auto" w:sz="4" w:space="0"/>
              <w:left w:val="single" w:color="auto" w:sz="4" w:space="0"/>
              <w:bottom w:val="single" w:color="auto" w:sz="4" w:space="0"/>
              <w:right w:val="single" w:color="auto" w:sz="4" w:space="0"/>
            </w:tcBorders>
            <w:textDirection w:val="tbRlV"/>
            <w:vAlign w:val="center"/>
          </w:tcPr>
          <w:p w14:paraId="2D2E8D21">
            <w:pPr>
              <w:jc w:val="center"/>
              <w:rPr>
                <w:rFonts w:ascii="宋体" w:hAnsi="宋体" w:cs="宋体"/>
                <w:color w:val="auto"/>
                <w:sz w:val="18"/>
                <w:szCs w:val="18"/>
              </w:rPr>
            </w:pPr>
            <w:r>
              <w:rPr>
                <w:rFonts w:hint="eastAsia" w:ascii="宋体" w:hAnsi="宋体" w:cs="宋体"/>
                <w:color w:val="auto"/>
                <w:sz w:val="18"/>
                <w:szCs w:val="18"/>
              </w:rPr>
              <w:t>存储</w:t>
            </w:r>
          </w:p>
        </w:tc>
        <w:tc>
          <w:tcPr>
            <w:tcW w:w="3350" w:type="dxa"/>
            <w:tcBorders>
              <w:top w:val="single" w:color="auto" w:sz="4" w:space="0"/>
              <w:left w:val="single" w:color="auto" w:sz="4" w:space="0"/>
              <w:bottom w:val="single" w:color="auto" w:sz="4" w:space="0"/>
              <w:right w:val="single" w:color="auto" w:sz="4" w:space="0"/>
            </w:tcBorders>
            <w:vAlign w:val="center"/>
          </w:tcPr>
          <w:p w14:paraId="56B31FFB">
            <w:pPr>
              <w:rPr>
                <w:rFonts w:ascii="宋体" w:hAnsi="宋体" w:cs="宋体"/>
                <w:color w:val="auto"/>
                <w:sz w:val="18"/>
                <w:szCs w:val="18"/>
              </w:rPr>
            </w:pPr>
            <w:r>
              <w:rPr>
                <w:rFonts w:ascii="宋体" w:hAnsi="宋体" w:cs="宋体"/>
                <w:color w:val="auto"/>
                <w:sz w:val="18"/>
                <w:szCs w:val="18"/>
              </w:rPr>
              <w:t>22.仓库管理规范，物资分类存放，食品贮藏应做到原料、半成品、成品严格分开，做到生、熟分开，植物性食品、动物性食品和水产品分类摆放，冷藏柜(库)存放食品有标志。散装食品应标</w:t>
            </w:r>
            <w:r>
              <w:rPr>
                <w:rFonts w:hint="eastAsia" w:ascii="宋体" w:hAnsi="宋体" w:cs="宋体"/>
                <w:color w:val="auto"/>
                <w:sz w:val="18"/>
                <w:szCs w:val="18"/>
              </w:rPr>
              <w:t>明食品的名称、生产日期或生产批号、使用期限等内容，装入密闭容器或使用保鲜膜等无污染覆盖贮存。</w:t>
            </w:r>
          </w:p>
        </w:tc>
        <w:tc>
          <w:tcPr>
            <w:tcW w:w="709" w:type="dxa"/>
            <w:tcBorders>
              <w:top w:val="single" w:color="auto" w:sz="4" w:space="0"/>
              <w:left w:val="single" w:color="auto" w:sz="4" w:space="0"/>
              <w:bottom w:val="single" w:color="auto" w:sz="4" w:space="0"/>
              <w:right w:val="single" w:color="auto" w:sz="4" w:space="0"/>
            </w:tcBorders>
            <w:vAlign w:val="center"/>
          </w:tcPr>
          <w:p w14:paraId="141D58D8">
            <w:pPr>
              <w:rPr>
                <w:rFonts w:ascii="宋体" w:hAnsi="宋体" w:cs="宋体"/>
                <w:color w:val="auto"/>
                <w:sz w:val="18"/>
                <w:szCs w:val="18"/>
              </w:rPr>
            </w:pPr>
            <w:r>
              <w:rPr>
                <w:rFonts w:hint="eastAsia" w:ascii="宋体" w:hAnsi="宋体" w:cs="宋体"/>
                <w:color w:val="auto"/>
                <w:sz w:val="18"/>
                <w:szCs w:val="18"/>
              </w:rPr>
              <w:t>现场检查</w:t>
            </w:r>
          </w:p>
        </w:tc>
        <w:tc>
          <w:tcPr>
            <w:tcW w:w="2693" w:type="dxa"/>
            <w:tcBorders>
              <w:top w:val="single" w:color="auto" w:sz="4" w:space="0"/>
              <w:left w:val="single" w:color="auto" w:sz="4" w:space="0"/>
              <w:bottom w:val="single" w:color="auto" w:sz="4" w:space="0"/>
              <w:right w:val="single" w:color="auto" w:sz="4" w:space="0"/>
            </w:tcBorders>
            <w:vAlign w:val="center"/>
          </w:tcPr>
          <w:p w14:paraId="18CC7297">
            <w:pPr>
              <w:rPr>
                <w:rFonts w:ascii="宋体" w:hAnsi="宋体" w:cs="宋体"/>
                <w:color w:val="auto"/>
                <w:sz w:val="18"/>
                <w:szCs w:val="18"/>
              </w:rPr>
            </w:pPr>
            <w:r>
              <w:rPr>
                <w:rFonts w:hint="eastAsia" w:ascii="宋体" w:hAnsi="宋体" w:cs="宋体"/>
                <w:color w:val="auto"/>
                <w:sz w:val="18"/>
                <w:szCs w:val="18"/>
              </w:rPr>
              <w:t>不符合要求每次支付违约金</w:t>
            </w:r>
            <w:r>
              <w:rPr>
                <w:rFonts w:ascii="宋体" w:hAnsi="宋体" w:cs="宋体"/>
                <w:color w:val="auto"/>
                <w:sz w:val="18"/>
                <w:szCs w:val="18"/>
              </w:rPr>
              <w:t>2000元</w:t>
            </w:r>
          </w:p>
        </w:tc>
        <w:tc>
          <w:tcPr>
            <w:tcW w:w="1559" w:type="dxa"/>
            <w:tcBorders>
              <w:top w:val="single" w:color="auto" w:sz="4" w:space="0"/>
              <w:left w:val="single" w:color="auto" w:sz="4" w:space="0"/>
              <w:bottom w:val="single" w:color="auto" w:sz="4" w:space="0"/>
              <w:right w:val="single" w:color="auto" w:sz="4" w:space="0"/>
            </w:tcBorders>
            <w:vAlign w:val="center"/>
          </w:tcPr>
          <w:p w14:paraId="67C745C6">
            <w:pPr>
              <w:rPr>
                <w:rFonts w:ascii="宋体" w:hAnsi="宋体" w:cs="宋体"/>
                <w:color w:val="auto"/>
                <w:sz w:val="18"/>
                <w:szCs w:val="18"/>
              </w:rPr>
            </w:pPr>
            <w:r>
              <w:rPr>
                <w:rFonts w:hint="eastAsia" w:ascii="宋体" w:hAnsi="宋体" w:cs="宋体"/>
                <w:color w:val="auto"/>
                <w:sz w:val="18"/>
                <w:szCs w:val="18"/>
              </w:rPr>
              <w:t>不符合要求的扣</w:t>
            </w:r>
            <w:r>
              <w:rPr>
                <w:rFonts w:ascii="宋体" w:hAnsi="宋体" w:cs="宋体"/>
                <w:color w:val="auto"/>
                <w:sz w:val="18"/>
                <w:szCs w:val="18"/>
              </w:rPr>
              <w:t>2分/次；</w:t>
            </w:r>
          </w:p>
        </w:tc>
      </w:tr>
      <w:tr w14:paraId="41E43407">
        <w:tblPrEx>
          <w:tblCellMar>
            <w:top w:w="0" w:type="dxa"/>
            <w:left w:w="108" w:type="dxa"/>
            <w:bottom w:w="0" w:type="dxa"/>
            <w:right w:w="108" w:type="dxa"/>
          </w:tblCellMar>
        </w:tblPrEx>
        <w:trPr>
          <w:trHeight w:val="480" w:hRule="atLeast"/>
          <w:jc w:val="center"/>
        </w:trPr>
        <w:tc>
          <w:tcPr>
            <w:tcW w:w="499" w:type="dxa"/>
            <w:vMerge w:val="continue"/>
            <w:tcBorders>
              <w:top w:val="single" w:color="auto" w:sz="4" w:space="0"/>
              <w:left w:val="single" w:color="auto" w:sz="4" w:space="0"/>
              <w:bottom w:val="single" w:color="auto" w:sz="4" w:space="0"/>
              <w:right w:val="single" w:color="auto" w:sz="4" w:space="0"/>
            </w:tcBorders>
            <w:vAlign w:val="center"/>
          </w:tcPr>
          <w:p w14:paraId="10EBE8FB">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vAlign w:val="center"/>
          </w:tcPr>
          <w:p w14:paraId="4DCB9C32">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vAlign w:val="center"/>
          </w:tcPr>
          <w:p w14:paraId="4812EC44">
            <w:pPr>
              <w:jc w:val="cente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vAlign w:val="center"/>
          </w:tcPr>
          <w:p w14:paraId="3A40E5E0">
            <w:pPr>
              <w:rPr>
                <w:rFonts w:ascii="宋体" w:hAnsi="宋体" w:cs="宋体"/>
                <w:color w:val="auto"/>
                <w:sz w:val="18"/>
                <w:szCs w:val="18"/>
              </w:rPr>
            </w:pPr>
            <w:r>
              <w:rPr>
                <w:rFonts w:ascii="宋体" w:hAnsi="宋体" w:cs="宋体"/>
                <w:color w:val="auto"/>
                <w:sz w:val="18"/>
                <w:szCs w:val="18"/>
              </w:rPr>
              <w:t>23.建立严格记录制度，定期清理腐败变质等感官性状异常食品、超过保质期等的相关产品。食品库无过期、变质及非食品物资</w:t>
            </w:r>
          </w:p>
        </w:tc>
        <w:tc>
          <w:tcPr>
            <w:tcW w:w="709" w:type="dxa"/>
            <w:tcBorders>
              <w:top w:val="single" w:color="auto" w:sz="4" w:space="0"/>
              <w:left w:val="single" w:color="auto" w:sz="4" w:space="0"/>
              <w:bottom w:val="single" w:color="auto" w:sz="4" w:space="0"/>
              <w:right w:val="single" w:color="auto" w:sz="4" w:space="0"/>
            </w:tcBorders>
            <w:vAlign w:val="center"/>
          </w:tcPr>
          <w:p w14:paraId="6A5CA06C">
            <w:pPr>
              <w:rPr>
                <w:rFonts w:ascii="宋体" w:hAnsi="宋体" w:cs="宋体"/>
                <w:color w:val="auto"/>
                <w:sz w:val="18"/>
                <w:szCs w:val="18"/>
              </w:rPr>
            </w:pPr>
            <w:r>
              <w:rPr>
                <w:rFonts w:hint="eastAsia" w:ascii="宋体" w:hAnsi="宋体" w:cs="宋体"/>
                <w:color w:val="auto"/>
                <w:sz w:val="18"/>
                <w:szCs w:val="18"/>
              </w:rPr>
              <w:t>现场检查</w:t>
            </w:r>
          </w:p>
        </w:tc>
        <w:tc>
          <w:tcPr>
            <w:tcW w:w="2693" w:type="dxa"/>
            <w:tcBorders>
              <w:top w:val="single" w:color="auto" w:sz="4" w:space="0"/>
              <w:left w:val="single" w:color="auto" w:sz="4" w:space="0"/>
              <w:bottom w:val="single" w:color="auto" w:sz="4" w:space="0"/>
              <w:right w:val="single" w:color="auto" w:sz="4" w:space="0"/>
            </w:tcBorders>
            <w:vAlign w:val="center"/>
          </w:tcPr>
          <w:p w14:paraId="2E52CAFD">
            <w:pPr>
              <w:rPr>
                <w:rFonts w:ascii="宋体" w:hAnsi="宋体" w:cs="宋体"/>
                <w:color w:val="auto"/>
                <w:sz w:val="18"/>
                <w:szCs w:val="18"/>
              </w:rPr>
            </w:pPr>
            <w:r>
              <w:rPr>
                <w:rFonts w:hint="eastAsia" w:ascii="宋体" w:hAnsi="宋体" w:cs="宋体"/>
                <w:color w:val="auto"/>
                <w:sz w:val="18"/>
                <w:szCs w:val="18"/>
              </w:rPr>
              <w:t>发现感官性状异常食品的支付违约金</w:t>
            </w:r>
            <w:r>
              <w:rPr>
                <w:rFonts w:ascii="宋体" w:hAnsi="宋体" w:cs="宋体"/>
                <w:color w:val="auto"/>
                <w:sz w:val="18"/>
                <w:szCs w:val="18"/>
              </w:rPr>
              <w:t>5000元/次，发现腐败变质或超过保质期的相关产品的支付违约金10000元/次</w:t>
            </w:r>
          </w:p>
        </w:tc>
        <w:tc>
          <w:tcPr>
            <w:tcW w:w="1559" w:type="dxa"/>
            <w:tcBorders>
              <w:top w:val="single" w:color="auto" w:sz="4" w:space="0"/>
              <w:left w:val="single" w:color="auto" w:sz="4" w:space="0"/>
              <w:bottom w:val="single" w:color="auto" w:sz="4" w:space="0"/>
              <w:right w:val="single" w:color="auto" w:sz="4" w:space="0"/>
            </w:tcBorders>
            <w:vAlign w:val="center"/>
          </w:tcPr>
          <w:p w14:paraId="51744805">
            <w:pPr>
              <w:rPr>
                <w:rFonts w:ascii="宋体" w:hAnsi="宋体" w:cs="宋体"/>
                <w:color w:val="auto"/>
                <w:sz w:val="18"/>
                <w:szCs w:val="18"/>
              </w:rPr>
            </w:pPr>
            <w:r>
              <w:rPr>
                <w:rFonts w:hint="eastAsia" w:ascii="宋体" w:hAnsi="宋体" w:cs="宋体"/>
                <w:color w:val="auto"/>
                <w:sz w:val="18"/>
                <w:szCs w:val="18"/>
              </w:rPr>
              <w:t>发现感官性状异常或腐败变质或超过保质期的相关产品的，涉事当学期考核直接为不合格</w:t>
            </w:r>
          </w:p>
        </w:tc>
      </w:tr>
      <w:tr w14:paraId="0C82580B">
        <w:tblPrEx>
          <w:tblCellMar>
            <w:top w:w="0" w:type="dxa"/>
            <w:left w:w="108" w:type="dxa"/>
            <w:bottom w:w="0" w:type="dxa"/>
            <w:right w:w="108" w:type="dxa"/>
          </w:tblCellMar>
        </w:tblPrEx>
        <w:trPr>
          <w:trHeight w:val="469" w:hRule="atLeast"/>
          <w:jc w:val="center"/>
        </w:trPr>
        <w:tc>
          <w:tcPr>
            <w:tcW w:w="499" w:type="dxa"/>
            <w:vMerge w:val="continue"/>
            <w:tcBorders>
              <w:top w:val="single" w:color="auto" w:sz="4" w:space="0"/>
              <w:left w:val="single" w:color="auto" w:sz="4" w:space="0"/>
              <w:bottom w:val="single" w:color="auto" w:sz="4" w:space="0"/>
              <w:right w:val="single" w:color="auto" w:sz="4" w:space="0"/>
            </w:tcBorders>
            <w:vAlign w:val="center"/>
          </w:tcPr>
          <w:p w14:paraId="22C846CF">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vAlign w:val="center"/>
          </w:tcPr>
          <w:p w14:paraId="787E0904">
            <w:pPr>
              <w:rPr>
                <w:rFonts w:ascii="宋体" w:hAnsi="宋体" w:cs="宋体"/>
                <w:color w:val="auto"/>
                <w:sz w:val="18"/>
                <w:szCs w:val="18"/>
              </w:rPr>
            </w:pPr>
          </w:p>
        </w:tc>
        <w:tc>
          <w:tcPr>
            <w:tcW w:w="477" w:type="dxa"/>
            <w:tcBorders>
              <w:top w:val="single" w:color="auto" w:sz="4" w:space="0"/>
              <w:left w:val="single" w:color="auto" w:sz="4" w:space="0"/>
              <w:bottom w:val="single" w:color="auto" w:sz="4" w:space="0"/>
              <w:right w:val="single" w:color="auto" w:sz="4" w:space="0"/>
            </w:tcBorders>
            <w:vAlign w:val="center"/>
          </w:tcPr>
          <w:p w14:paraId="4F42A12B">
            <w:pPr>
              <w:rPr>
                <w:rFonts w:ascii="宋体" w:hAnsi="宋体" w:cs="宋体"/>
                <w:color w:val="auto"/>
                <w:sz w:val="18"/>
                <w:szCs w:val="18"/>
              </w:rPr>
            </w:pPr>
            <w:r>
              <w:rPr>
                <w:rFonts w:hint="eastAsia" w:ascii="宋体" w:hAnsi="宋体" w:cs="宋体"/>
                <w:color w:val="auto"/>
                <w:sz w:val="18"/>
                <w:szCs w:val="18"/>
              </w:rPr>
              <w:t>包装</w:t>
            </w:r>
          </w:p>
        </w:tc>
        <w:tc>
          <w:tcPr>
            <w:tcW w:w="3350" w:type="dxa"/>
            <w:tcBorders>
              <w:top w:val="single" w:color="auto" w:sz="4" w:space="0"/>
              <w:left w:val="single" w:color="auto" w:sz="4" w:space="0"/>
              <w:bottom w:val="single" w:color="auto" w:sz="4" w:space="0"/>
              <w:right w:val="single" w:color="auto" w:sz="4" w:space="0"/>
            </w:tcBorders>
            <w:shd w:val="clear" w:color="auto" w:fill="auto"/>
            <w:vAlign w:val="center"/>
          </w:tcPr>
          <w:p w14:paraId="77DE46A9">
            <w:pPr>
              <w:rPr>
                <w:rFonts w:ascii="宋体" w:hAnsi="宋体" w:cs="宋体"/>
                <w:color w:val="auto"/>
                <w:sz w:val="18"/>
                <w:szCs w:val="18"/>
              </w:rPr>
            </w:pPr>
            <w:r>
              <w:rPr>
                <w:rFonts w:ascii="宋体" w:hAnsi="宋体" w:cs="宋体"/>
                <w:color w:val="auto"/>
                <w:sz w:val="18"/>
                <w:szCs w:val="18"/>
              </w:rPr>
              <w:t>24.盛放食品（含半成品和成品）的容器、包装材料应符合食品安全相关规定。</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679F22CE">
            <w:pPr>
              <w:rPr>
                <w:rFonts w:ascii="宋体" w:hAnsi="宋体" w:cs="宋体"/>
                <w:color w:val="auto"/>
                <w:sz w:val="18"/>
                <w:szCs w:val="18"/>
              </w:rPr>
            </w:pPr>
            <w:r>
              <w:rPr>
                <w:rFonts w:hint="eastAsia" w:ascii="宋体" w:hAnsi="宋体" w:cs="宋体"/>
                <w:color w:val="auto"/>
                <w:sz w:val="18"/>
                <w:szCs w:val="18"/>
              </w:rPr>
              <w:t>现场</w:t>
            </w:r>
          </w:p>
          <w:p w14:paraId="4FC0E452">
            <w:pPr>
              <w:rPr>
                <w:rFonts w:ascii="宋体" w:hAnsi="宋体" w:cs="宋体"/>
                <w:color w:val="auto"/>
                <w:sz w:val="18"/>
                <w:szCs w:val="18"/>
              </w:rPr>
            </w:pPr>
            <w:r>
              <w:rPr>
                <w:rFonts w:hint="eastAsia" w:ascii="宋体" w:hAnsi="宋体" w:cs="宋体"/>
                <w:color w:val="auto"/>
                <w:sz w:val="18"/>
                <w:szCs w:val="18"/>
              </w:rPr>
              <w:t>检查</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tcPr>
          <w:p w14:paraId="238C4F8C">
            <w:pPr>
              <w:rPr>
                <w:rFonts w:ascii="宋体" w:hAnsi="宋体" w:cs="宋体"/>
                <w:color w:val="auto"/>
                <w:sz w:val="18"/>
                <w:szCs w:val="18"/>
              </w:rPr>
            </w:pPr>
            <w:r>
              <w:rPr>
                <w:rFonts w:hint="eastAsia" w:ascii="宋体" w:hAnsi="宋体" w:cs="宋体"/>
                <w:color w:val="auto"/>
                <w:sz w:val="18"/>
                <w:szCs w:val="18"/>
              </w:rPr>
              <w:t>不符合要求的支付违约金</w:t>
            </w:r>
            <w:r>
              <w:rPr>
                <w:rFonts w:ascii="宋体" w:hAnsi="宋体" w:cs="宋体"/>
                <w:color w:val="auto"/>
                <w:sz w:val="18"/>
                <w:szCs w:val="18"/>
              </w:rPr>
              <w:t>1000元/次</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537811DA">
            <w:pPr>
              <w:rPr>
                <w:rFonts w:ascii="宋体" w:hAnsi="宋体" w:cs="宋体"/>
                <w:color w:val="auto"/>
                <w:sz w:val="18"/>
                <w:szCs w:val="18"/>
              </w:rPr>
            </w:pPr>
            <w:r>
              <w:rPr>
                <w:rFonts w:hint="eastAsia" w:ascii="宋体" w:hAnsi="宋体" w:cs="宋体"/>
                <w:color w:val="auto"/>
                <w:sz w:val="18"/>
                <w:szCs w:val="18"/>
              </w:rPr>
              <w:t>不符合要求的扣</w:t>
            </w:r>
            <w:r>
              <w:rPr>
                <w:rFonts w:ascii="宋体" w:hAnsi="宋体" w:cs="宋体"/>
                <w:color w:val="auto"/>
                <w:sz w:val="18"/>
                <w:szCs w:val="18"/>
              </w:rPr>
              <w:t>1分/次</w:t>
            </w:r>
          </w:p>
        </w:tc>
      </w:tr>
      <w:tr w14:paraId="6347DC8A">
        <w:tblPrEx>
          <w:tblCellMar>
            <w:top w:w="0" w:type="dxa"/>
            <w:left w:w="108" w:type="dxa"/>
            <w:bottom w:w="0" w:type="dxa"/>
            <w:right w:w="108" w:type="dxa"/>
          </w:tblCellMar>
        </w:tblPrEx>
        <w:trPr>
          <w:trHeight w:val="480" w:hRule="atLeast"/>
          <w:jc w:val="center"/>
        </w:trPr>
        <w:tc>
          <w:tcPr>
            <w:tcW w:w="499" w:type="dxa"/>
            <w:vMerge w:val="continue"/>
            <w:tcBorders>
              <w:top w:val="single" w:color="auto" w:sz="4" w:space="0"/>
              <w:left w:val="single" w:color="auto" w:sz="4" w:space="0"/>
              <w:bottom w:val="single" w:color="auto" w:sz="4" w:space="0"/>
              <w:right w:val="single" w:color="auto" w:sz="4" w:space="0"/>
            </w:tcBorders>
            <w:vAlign w:val="center"/>
          </w:tcPr>
          <w:p w14:paraId="0AD80A1A">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vAlign w:val="center"/>
          </w:tcPr>
          <w:p w14:paraId="10EBC7C9">
            <w:pPr>
              <w:rPr>
                <w:rFonts w:ascii="宋体" w:hAnsi="宋体" w:cs="宋体"/>
                <w:color w:val="auto"/>
                <w:sz w:val="18"/>
                <w:szCs w:val="18"/>
              </w:rPr>
            </w:pPr>
          </w:p>
        </w:tc>
        <w:tc>
          <w:tcPr>
            <w:tcW w:w="477" w:type="dxa"/>
            <w:vMerge w:val="restart"/>
            <w:tcBorders>
              <w:top w:val="single" w:color="auto" w:sz="4" w:space="0"/>
              <w:left w:val="single" w:color="auto" w:sz="4" w:space="0"/>
              <w:bottom w:val="single" w:color="auto" w:sz="4" w:space="0"/>
              <w:right w:val="single" w:color="auto" w:sz="4" w:space="0"/>
            </w:tcBorders>
            <w:textDirection w:val="tbRlV"/>
            <w:vAlign w:val="center"/>
          </w:tcPr>
          <w:p w14:paraId="57484966">
            <w:pPr>
              <w:jc w:val="center"/>
              <w:rPr>
                <w:rFonts w:ascii="宋体" w:hAnsi="宋体" w:cs="宋体"/>
                <w:color w:val="auto"/>
                <w:sz w:val="18"/>
                <w:szCs w:val="18"/>
              </w:rPr>
            </w:pPr>
            <w:r>
              <w:rPr>
                <w:rFonts w:hint="eastAsia" w:ascii="宋体" w:hAnsi="宋体" w:cs="宋体"/>
                <w:color w:val="auto"/>
                <w:sz w:val="18"/>
                <w:szCs w:val="18"/>
              </w:rPr>
              <w:t>加工</w:t>
            </w:r>
          </w:p>
        </w:tc>
        <w:tc>
          <w:tcPr>
            <w:tcW w:w="3350" w:type="dxa"/>
            <w:tcBorders>
              <w:top w:val="single" w:color="auto" w:sz="4" w:space="0"/>
              <w:left w:val="single" w:color="auto" w:sz="4" w:space="0"/>
              <w:bottom w:val="single" w:color="auto" w:sz="4" w:space="0"/>
              <w:right w:val="single" w:color="auto" w:sz="4" w:space="0"/>
            </w:tcBorders>
            <w:vAlign w:val="center"/>
          </w:tcPr>
          <w:p w14:paraId="02D757B5">
            <w:pPr>
              <w:rPr>
                <w:rFonts w:ascii="宋体" w:hAnsi="宋体" w:cs="宋体"/>
                <w:color w:val="auto"/>
                <w:sz w:val="18"/>
                <w:szCs w:val="18"/>
              </w:rPr>
            </w:pPr>
            <w:r>
              <w:rPr>
                <w:rFonts w:ascii="宋体" w:hAnsi="宋体" w:cs="宋体"/>
                <w:color w:val="auto"/>
                <w:sz w:val="18"/>
                <w:szCs w:val="18"/>
              </w:rPr>
              <w:t>25.食品加工应做到流程合理，操作规范。食品加工、存放、陈列、转运等设施设备应当定期维护、清洗、消毒；保温、冷藏和冷冻设施应当定期清洗、校验。食堂应当设置专用操作区，制定并在显著位置公示加工制作操作规范；备餐操作时应当避免食品受到污染。</w:t>
            </w:r>
          </w:p>
        </w:tc>
        <w:tc>
          <w:tcPr>
            <w:tcW w:w="709" w:type="dxa"/>
            <w:tcBorders>
              <w:top w:val="single" w:color="auto" w:sz="4" w:space="0"/>
              <w:left w:val="single" w:color="auto" w:sz="4" w:space="0"/>
              <w:bottom w:val="single" w:color="auto" w:sz="4" w:space="0"/>
              <w:right w:val="single" w:color="auto" w:sz="4" w:space="0"/>
            </w:tcBorders>
            <w:vAlign w:val="center"/>
          </w:tcPr>
          <w:p w14:paraId="26EE48A5">
            <w:pPr>
              <w:rPr>
                <w:rFonts w:ascii="宋体" w:hAnsi="宋体" w:cs="宋体"/>
                <w:color w:val="auto"/>
                <w:sz w:val="18"/>
                <w:szCs w:val="18"/>
              </w:rPr>
            </w:pPr>
            <w:r>
              <w:rPr>
                <w:rFonts w:hint="eastAsia" w:ascii="宋体" w:hAnsi="宋体" w:cs="宋体"/>
                <w:color w:val="auto"/>
                <w:sz w:val="18"/>
                <w:szCs w:val="18"/>
              </w:rPr>
              <w:t>现场查看</w:t>
            </w:r>
          </w:p>
        </w:tc>
        <w:tc>
          <w:tcPr>
            <w:tcW w:w="2693" w:type="dxa"/>
            <w:tcBorders>
              <w:top w:val="single" w:color="auto" w:sz="4" w:space="0"/>
              <w:left w:val="single" w:color="auto" w:sz="4" w:space="0"/>
              <w:bottom w:val="single" w:color="auto" w:sz="4" w:space="0"/>
              <w:right w:val="single" w:color="auto" w:sz="4" w:space="0"/>
            </w:tcBorders>
            <w:vAlign w:val="center"/>
          </w:tcPr>
          <w:p w14:paraId="1C7DD419">
            <w:pPr>
              <w:rPr>
                <w:rFonts w:ascii="宋体" w:hAnsi="宋体" w:cs="宋体"/>
                <w:color w:val="auto"/>
                <w:sz w:val="18"/>
                <w:szCs w:val="18"/>
              </w:rPr>
            </w:pPr>
            <w:r>
              <w:rPr>
                <w:rFonts w:hint="eastAsia" w:ascii="宋体" w:hAnsi="宋体" w:cs="宋体"/>
                <w:color w:val="auto"/>
                <w:sz w:val="18"/>
                <w:szCs w:val="18"/>
              </w:rPr>
              <w:t>不符合要求的每次支付违约金</w:t>
            </w:r>
            <w:r>
              <w:rPr>
                <w:rFonts w:ascii="宋体" w:hAnsi="宋体" w:cs="宋体"/>
                <w:color w:val="auto"/>
                <w:sz w:val="18"/>
                <w:szCs w:val="18"/>
              </w:rPr>
              <w:t>1000元</w:t>
            </w:r>
          </w:p>
        </w:tc>
        <w:tc>
          <w:tcPr>
            <w:tcW w:w="1559" w:type="dxa"/>
            <w:tcBorders>
              <w:top w:val="single" w:color="auto" w:sz="4" w:space="0"/>
              <w:left w:val="single" w:color="auto" w:sz="4" w:space="0"/>
              <w:bottom w:val="single" w:color="auto" w:sz="4" w:space="0"/>
              <w:right w:val="single" w:color="auto" w:sz="4" w:space="0"/>
            </w:tcBorders>
            <w:vAlign w:val="center"/>
          </w:tcPr>
          <w:p w14:paraId="54F804EE">
            <w:pPr>
              <w:rPr>
                <w:rFonts w:ascii="宋体" w:hAnsi="宋体" w:cs="宋体"/>
                <w:color w:val="auto"/>
                <w:sz w:val="18"/>
                <w:szCs w:val="18"/>
              </w:rPr>
            </w:pPr>
            <w:r>
              <w:rPr>
                <w:rFonts w:hint="eastAsia" w:ascii="宋体" w:hAnsi="宋体" w:cs="宋体"/>
                <w:color w:val="auto"/>
                <w:sz w:val="18"/>
                <w:szCs w:val="18"/>
              </w:rPr>
              <w:t>不符合要求的扣</w:t>
            </w:r>
            <w:r>
              <w:rPr>
                <w:rFonts w:ascii="宋体" w:hAnsi="宋体" w:cs="宋体"/>
                <w:color w:val="auto"/>
                <w:sz w:val="18"/>
                <w:szCs w:val="18"/>
              </w:rPr>
              <w:t>1分/次</w:t>
            </w:r>
          </w:p>
        </w:tc>
      </w:tr>
      <w:tr w14:paraId="244FAF97">
        <w:tblPrEx>
          <w:tblCellMar>
            <w:top w:w="0" w:type="dxa"/>
            <w:left w:w="108" w:type="dxa"/>
            <w:bottom w:w="0" w:type="dxa"/>
            <w:right w:w="108" w:type="dxa"/>
          </w:tblCellMar>
        </w:tblPrEx>
        <w:trPr>
          <w:trHeight w:val="720" w:hRule="atLeast"/>
          <w:jc w:val="center"/>
        </w:trPr>
        <w:tc>
          <w:tcPr>
            <w:tcW w:w="499" w:type="dxa"/>
            <w:vMerge w:val="continue"/>
            <w:tcBorders>
              <w:top w:val="single" w:color="auto" w:sz="4" w:space="0"/>
              <w:left w:val="single" w:color="auto" w:sz="4" w:space="0"/>
              <w:bottom w:val="single" w:color="auto" w:sz="4" w:space="0"/>
              <w:right w:val="single" w:color="auto" w:sz="4" w:space="0"/>
            </w:tcBorders>
            <w:vAlign w:val="center"/>
          </w:tcPr>
          <w:p w14:paraId="4FFEC614">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vAlign w:val="center"/>
          </w:tcPr>
          <w:p w14:paraId="7E356F24">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vAlign w:val="center"/>
          </w:tcPr>
          <w:p w14:paraId="33CCFF1B">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vAlign w:val="center"/>
          </w:tcPr>
          <w:p w14:paraId="41850CED">
            <w:pPr>
              <w:rPr>
                <w:rFonts w:ascii="宋体" w:hAnsi="宋体" w:cs="宋体"/>
                <w:color w:val="auto"/>
                <w:sz w:val="18"/>
                <w:szCs w:val="18"/>
              </w:rPr>
            </w:pPr>
            <w:r>
              <w:rPr>
                <w:rFonts w:ascii="宋体" w:hAnsi="宋体" w:cs="宋体"/>
                <w:color w:val="auto"/>
                <w:sz w:val="18"/>
                <w:szCs w:val="18"/>
              </w:rPr>
              <w:t>26.</w:t>
            </w:r>
            <w:r>
              <w:rPr>
                <w:rFonts w:hint="eastAsia" w:ascii="宋体" w:hAnsi="宋体" w:cs="宋体"/>
                <w:color w:val="auto"/>
                <w:sz w:val="18"/>
                <w:szCs w:val="18"/>
              </w:rPr>
              <w:t>各类主副食应按照规范的配比标准加工（具体配比标准按照学校相关要求执行），菜品主辅料用量应符合学校相关要求或食堂报备标准。</w:t>
            </w:r>
          </w:p>
        </w:tc>
        <w:tc>
          <w:tcPr>
            <w:tcW w:w="709" w:type="dxa"/>
            <w:tcBorders>
              <w:top w:val="single" w:color="auto" w:sz="4" w:space="0"/>
              <w:left w:val="single" w:color="auto" w:sz="4" w:space="0"/>
              <w:bottom w:val="single" w:color="auto" w:sz="4" w:space="0"/>
              <w:right w:val="single" w:color="auto" w:sz="4" w:space="0"/>
            </w:tcBorders>
            <w:vAlign w:val="center"/>
          </w:tcPr>
          <w:p w14:paraId="24E7A300">
            <w:pPr>
              <w:rPr>
                <w:rFonts w:ascii="宋体" w:hAnsi="宋体" w:cs="宋体"/>
                <w:color w:val="auto"/>
                <w:sz w:val="18"/>
                <w:szCs w:val="18"/>
              </w:rPr>
            </w:pPr>
            <w:r>
              <w:rPr>
                <w:rFonts w:hint="eastAsia" w:ascii="宋体" w:hAnsi="宋体" w:cs="宋体"/>
                <w:color w:val="auto"/>
                <w:sz w:val="18"/>
                <w:szCs w:val="18"/>
              </w:rPr>
              <w:t>现场抽检</w:t>
            </w:r>
          </w:p>
        </w:tc>
        <w:tc>
          <w:tcPr>
            <w:tcW w:w="2693" w:type="dxa"/>
            <w:tcBorders>
              <w:top w:val="single" w:color="auto" w:sz="4" w:space="0"/>
              <w:left w:val="single" w:color="auto" w:sz="4" w:space="0"/>
              <w:bottom w:val="single" w:color="auto" w:sz="4" w:space="0"/>
              <w:right w:val="single" w:color="auto" w:sz="4" w:space="0"/>
            </w:tcBorders>
            <w:vAlign w:val="center"/>
          </w:tcPr>
          <w:p w14:paraId="623617C7">
            <w:pPr>
              <w:rPr>
                <w:rFonts w:ascii="宋体" w:hAnsi="宋体" w:cs="宋体"/>
                <w:color w:val="auto"/>
                <w:sz w:val="18"/>
                <w:szCs w:val="18"/>
              </w:rPr>
            </w:pPr>
            <w:r>
              <w:rPr>
                <w:rFonts w:hint="eastAsia" w:ascii="宋体" w:hAnsi="宋体" w:cs="宋体"/>
                <w:color w:val="auto"/>
                <w:sz w:val="18"/>
                <w:szCs w:val="18"/>
              </w:rPr>
              <w:t>不符合要求的每一品种支付违约金</w:t>
            </w:r>
            <w:r>
              <w:rPr>
                <w:rFonts w:ascii="宋体" w:hAnsi="宋体" w:cs="宋体"/>
                <w:color w:val="auto"/>
                <w:sz w:val="18"/>
                <w:szCs w:val="18"/>
              </w:rPr>
              <w:t>1000元</w:t>
            </w:r>
          </w:p>
        </w:tc>
        <w:tc>
          <w:tcPr>
            <w:tcW w:w="1559" w:type="dxa"/>
            <w:tcBorders>
              <w:top w:val="single" w:color="auto" w:sz="4" w:space="0"/>
              <w:left w:val="single" w:color="auto" w:sz="4" w:space="0"/>
              <w:bottom w:val="single" w:color="auto" w:sz="4" w:space="0"/>
              <w:right w:val="single" w:color="auto" w:sz="4" w:space="0"/>
            </w:tcBorders>
            <w:vAlign w:val="center"/>
          </w:tcPr>
          <w:p w14:paraId="32FD9669">
            <w:pPr>
              <w:rPr>
                <w:rFonts w:ascii="宋体" w:hAnsi="宋体" w:cs="宋体"/>
                <w:color w:val="auto"/>
                <w:sz w:val="18"/>
                <w:szCs w:val="18"/>
              </w:rPr>
            </w:pPr>
            <w:r>
              <w:rPr>
                <w:rFonts w:hint="eastAsia" w:ascii="宋体" w:hAnsi="宋体" w:cs="宋体"/>
                <w:color w:val="auto"/>
                <w:sz w:val="18"/>
                <w:szCs w:val="18"/>
              </w:rPr>
              <w:t>不符合要求的扣</w:t>
            </w:r>
            <w:r>
              <w:rPr>
                <w:rFonts w:ascii="宋体" w:hAnsi="宋体" w:cs="宋体"/>
                <w:color w:val="auto"/>
                <w:sz w:val="18"/>
                <w:szCs w:val="18"/>
              </w:rPr>
              <w:t>1分/次</w:t>
            </w:r>
          </w:p>
        </w:tc>
      </w:tr>
      <w:tr w14:paraId="74569B79">
        <w:tblPrEx>
          <w:tblCellMar>
            <w:top w:w="0" w:type="dxa"/>
            <w:left w:w="108" w:type="dxa"/>
            <w:bottom w:w="0" w:type="dxa"/>
            <w:right w:w="108" w:type="dxa"/>
          </w:tblCellMar>
        </w:tblPrEx>
        <w:trPr>
          <w:trHeight w:val="780" w:hRule="atLeast"/>
          <w:jc w:val="center"/>
        </w:trPr>
        <w:tc>
          <w:tcPr>
            <w:tcW w:w="499" w:type="dxa"/>
            <w:vMerge w:val="continue"/>
            <w:tcBorders>
              <w:top w:val="single" w:color="auto" w:sz="4" w:space="0"/>
              <w:left w:val="single" w:color="auto" w:sz="4" w:space="0"/>
              <w:bottom w:val="single" w:color="auto" w:sz="4" w:space="0"/>
              <w:right w:val="single" w:color="auto" w:sz="4" w:space="0"/>
            </w:tcBorders>
            <w:vAlign w:val="center"/>
          </w:tcPr>
          <w:p w14:paraId="3C497CA9">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vAlign w:val="center"/>
          </w:tcPr>
          <w:p w14:paraId="3362ABCD">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vAlign w:val="center"/>
          </w:tcPr>
          <w:p w14:paraId="63E3A44A">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shd w:val="clear" w:color="auto" w:fill="auto"/>
            <w:vAlign w:val="center"/>
          </w:tcPr>
          <w:p w14:paraId="5D0DC873">
            <w:pPr>
              <w:rPr>
                <w:rFonts w:ascii="宋体" w:hAnsi="宋体" w:cs="宋体"/>
                <w:color w:val="auto"/>
                <w:sz w:val="18"/>
                <w:szCs w:val="18"/>
              </w:rPr>
            </w:pPr>
            <w:r>
              <w:rPr>
                <w:rFonts w:ascii="宋体" w:hAnsi="宋体" w:cs="宋体"/>
                <w:color w:val="auto"/>
                <w:sz w:val="18"/>
                <w:szCs w:val="18"/>
              </w:rPr>
              <w:t>27.制售冷食类食品、生食类食品、裱花蛋糕、现</w:t>
            </w:r>
            <w:r>
              <w:rPr>
                <w:rFonts w:hint="eastAsia" w:ascii="宋体" w:hAnsi="宋体" w:cs="宋体"/>
                <w:color w:val="auto"/>
                <w:sz w:val="18"/>
                <w:szCs w:val="18"/>
              </w:rPr>
              <w:t>榨果蔬汁等，应当按照有关要求设置专间或者专用操作区，专间应当在加工制作前进行消毒，并由专人加工操作；凉菜应由专间、专人和专用设施设备加工，凉菜间应安装空调。</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748F7E74">
            <w:pPr>
              <w:rPr>
                <w:rFonts w:ascii="宋体" w:hAnsi="宋体" w:cs="宋体"/>
                <w:color w:val="auto"/>
                <w:sz w:val="18"/>
                <w:szCs w:val="18"/>
              </w:rPr>
            </w:pPr>
            <w:r>
              <w:rPr>
                <w:rFonts w:hint="eastAsia" w:ascii="宋体" w:hAnsi="宋体" w:cs="宋体"/>
                <w:color w:val="auto"/>
                <w:sz w:val="18"/>
                <w:szCs w:val="18"/>
              </w:rPr>
              <w:t>现场</w:t>
            </w:r>
          </w:p>
          <w:p w14:paraId="0EF0ACD7">
            <w:pPr>
              <w:rPr>
                <w:rFonts w:ascii="宋体" w:hAnsi="宋体" w:cs="宋体"/>
                <w:color w:val="auto"/>
                <w:sz w:val="18"/>
                <w:szCs w:val="18"/>
              </w:rPr>
            </w:pPr>
            <w:r>
              <w:rPr>
                <w:rFonts w:hint="eastAsia" w:ascii="宋体" w:hAnsi="宋体" w:cs="宋体"/>
                <w:color w:val="auto"/>
                <w:sz w:val="18"/>
                <w:szCs w:val="18"/>
              </w:rPr>
              <w:t>检查</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tcPr>
          <w:p w14:paraId="4E040BBA">
            <w:pPr>
              <w:rPr>
                <w:rFonts w:ascii="宋体" w:hAnsi="宋体" w:cs="宋体"/>
                <w:color w:val="auto"/>
                <w:sz w:val="18"/>
                <w:szCs w:val="18"/>
              </w:rPr>
            </w:pPr>
            <w:r>
              <w:rPr>
                <w:rFonts w:hint="eastAsia" w:ascii="宋体" w:hAnsi="宋体" w:cs="宋体"/>
                <w:color w:val="auto"/>
                <w:sz w:val="18"/>
                <w:szCs w:val="18"/>
              </w:rPr>
              <w:t>不符合要求的支付违约金</w:t>
            </w:r>
            <w:r>
              <w:rPr>
                <w:rFonts w:ascii="宋体" w:hAnsi="宋体" w:cs="宋体"/>
                <w:color w:val="auto"/>
                <w:sz w:val="18"/>
                <w:szCs w:val="18"/>
              </w:rPr>
              <w:t>2000元/项/次</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525BB0E3">
            <w:pPr>
              <w:rPr>
                <w:rFonts w:ascii="宋体" w:hAnsi="宋体" w:cs="宋体"/>
                <w:color w:val="auto"/>
                <w:sz w:val="18"/>
                <w:szCs w:val="18"/>
              </w:rPr>
            </w:pPr>
            <w:r>
              <w:rPr>
                <w:rFonts w:hint="eastAsia" w:ascii="宋体" w:hAnsi="宋体" w:cs="宋体"/>
                <w:color w:val="auto"/>
                <w:sz w:val="18"/>
                <w:szCs w:val="18"/>
              </w:rPr>
              <w:t>不符合要求的扣</w:t>
            </w:r>
            <w:r>
              <w:rPr>
                <w:rFonts w:ascii="宋体" w:hAnsi="宋体" w:cs="宋体"/>
                <w:color w:val="auto"/>
                <w:sz w:val="18"/>
                <w:szCs w:val="18"/>
              </w:rPr>
              <w:t>2分/项/次</w:t>
            </w:r>
          </w:p>
        </w:tc>
      </w:tr>
      <w:tr w14:paraId="633C8B82">
        <w:tblPrEx>
          <w:tblCellMar>
            <w:top w:w="0" w:type="dxa"/>
            <w:left w:w="108" w:type="dxa"/>
            <w:bottom w:w="0" w:type="dxa"/>
            <w:right w:w="108" w:type="dxa"/>
          </w:tblCellMar>
        </w:tblPrEx>
        <w:trPr>
          <w:trHeight w:val="915" w:hRule="atLeast"/>
          <w:jc w:val="center"/>
        </w:trPr>
        <w:tc>
          <w:tcPr>
            <w:tcW w:w="499" w:type="dxa"/>
            <w:vMerge w:val="continue"/>
            <w:tcBorders>
              <w:top w:val="single" w:color="auto" w:sz="4" w:space="0"/>
              <w:left w:val="single" w:color="auto" w:sz="4" w:space="0"/>
              <w:bottom w:val="single" w:color="auto" w:sz="4" w:space="0"/>
              <w:right w:val="single" w:color="auto" w:sz="4" w:space="0"/>
            </w:tcBorders>
            <w:vAlign w:val="center"/>
          </w:tcPr>
          <w:p w14:paraId="5610774A">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vAlign w:val="center"/>
          </w:tcPr>
          <w:p w14:paraId="720F0B69">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vAlign w:val="center"/>
          </w:tcPr>
          <w:p w14:paraId="4FB2E224">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shd w:val="clear" w:color="auto" w:fill="auto"/>
            <w:vAlign w:val="center"/>
          </w:tcPr>
          <w:p w14:paraId="1E6517B4">
            <w:pPr>
              <w:rPr>
                <w:rFonts w:ascii="宋体" w:hAnsi="宋体" w:cs="宋体"/>
                <w:color w:val="auto"/>
                <w:sz w:val="18"/>
                <w:szCs w:val="18"/>
              </w:rPr>
            </w:pPr>
            <w:r>
              <w:rPr>
                <w:rFonts w:ascii="宋体" w:hAnsi="宋体" w:cs="宋体"/>
                <w:color w:val="auto"/>
                <w:sz w:val="18"/>
                <w:szCs w:val="18"/>
              </w:rPr>
              <w:t>28.加工生、熟、荤、素食品应做到用具分开、整洁、消毒、摆放整齐；用于加工动物性食品原料、植物性食品原料、水产品原料、半成品或者成品等的容器、工具应当从形状、材质、颜色、标识上明显区分，做到分开使用，固定存放，用后洗净并保持清洁。</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7F192EDA">
            <w:pPr>
              <w:rPr>
                <w:rFonts w:ascii="宋体" w:hAnsi="宋体" w:cs="宋体"/>
                <w:color w:val="auto"/>
                <w:sz w:val="18"/>
                <w:szCs w:val="18"/>
              </w:rPr>
            </w:pPr>
            <w:r>
              <w:rPr>
                <w:rFonts w:hint="eastAsia" w:ascii="宋体" w:hAnsi="宋体" w:cs="宋体"/>
                <w:color w:val="auto"/>
                <w:sz w:val="18"/>
                <w:szCs w:val="18"/>
              </w:rPr>
              <w:t>现场</w:t>
            </w:r>
          </w:p>
          <w:p w14:paraId="302DDC05">
            <w:pPr>
              <w:rPr>
                <w:rFonts w:ascii="宋体" w:hAnsi="宋体" w:cs="宋体"/>
                <w:color w:val="auto"/>
                <w:sz w:val="18"/>
                <w:szCs w:val="18"/>
              </w:rPr>
            </w:pPr>
            <w:r>
              <w:rPr>
                <w:rFonts w:hint="eastAsia" w:ascii="宋体" w:hAnsi="宋体" w:cs="宋体"/>
                <w:color w:val="auto"/>
                <w:sz w:val="18"/>
                <w:szCs w:val="18"/>
              </w:rPr>
              <w:t>检查</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tcPr>
          <w:p w14:paraId="2FAB7512">
            <w:pPr>
              <w:rPr>
                <w:rFonts w:ascii="宋体" w:hAnsi="宋体" w:cs="宋体"/>
                <w:color w:val="auto"/>
                <w:sz w:val="18"/>
                <w:szCs w:val="18"/>
              </w:rPr>
            </w:pPr>
            <w:r>
              <w:rPr>
                <w:rFonts w:hint="eastAsia" w:ascii="宋体" w:hAnsi="宋体" w:cs="宋体"/>
                <w:color w:val="auto"/>
                <w:sz w:val="18"/>
                <w:szCs w:val="18"/>
              </w:rPr>
              <w:t>不符合要求的支付违约金</w:t>
            </w:r>
            <w:r>
              <w:rPr>
                <w:rFonts w:ascii="宋体" w:hAnsi="宋体" w:cs="宋体"/>
                <w:color w:val="auto"/>
                <w:sz w:val="18"/>
                <w:szCs w:val="18"/>
              </w:rPr>
              <w:t>2000元/次</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1D47A753">
            <w:pPr>
              <w:rPr>
                <w:rFonts w:ascii="宋体" w:hAnsi="宋体" w:cs="宋体"/>
                <w:color w:val="auto"/>
                <w:sz w:val="18"/>
                <w:szCs w:val="18"/>
              </w:rPr>
            </w:pPr>
            <w:r>
              <w:rPr>
                <w:rFonts w:hint="eastAsia" w:ascii="宋体" w:hAnsi="宋体" w:cs="宋体"/>
                <w:color w:val="auto"/>
                <w:sz w:val="18"/>
                <w:szCs w:val="18"/>
              </w:rPr>
              <w:t>不符合要求的扣</w:t>
            </w:r>
            <w:r>
              <w:rPr>
                <w:rFonts w:ascii="宋体" w:hAnsi="宋体" w:cs="宋体"/>
                <w:color w:val="auto"/>
                <w:sz w:val="18"/>
                <w:szCs w:val="18"/>
              </w:rPr>
              <w:t>2分/次</w:t>
            </w:r>
          </w:p>
        </w:tc>
      </w:tr>
      <w:tr w14:paraId="781BD2D0">
        <w:tblPrEx>
          <w:tblCellMar>
            <w:top w:w="0" w:type="dxa"/>
            <w:left w:w="108" w:type="dxa"/>
            <w:bottom w:w="0" w:type="dxa"/>
            <w:right w:w="108" w:type="dxa"/>
          </w:tblCellMar>
        </w:tblPrEx>
        <w:trPr>
          <w:trHeight w:val="90" w:hRule="atLeast"/>
          <w:jc w:val="center"/>
        </w:trPr>
        <w:tc>
          <w:tcPr>
            <w:tcW w:w="499" w:type="dxa"/>
            <w:vMerge w:val="continue"/>
            <w:tcBorders>
              <w:top w:val="single" w:color="auto" w:sz="4" w:space="0"/>
              <w:left w:val="single" w:color="auto" w:sz="4" w:space="0"/>
              <w:bottom w:val="single" w:color="auto" w:sz="4" w:space="0"/>
              <w:right w:val="single" w:color="auto" w:sz="4" w:space="0"/>
            </w:tcBorders>
            <w:vAlign w:val="center"/>
          </w:tcPr>
          <w:p w14:paraId="10CBB924">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vAlign w:val="center"/>
          </w:tcPr>
          <w:p w14:paraId="3A545C21">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vAlign w:val="center"/>
          </w:tcPr>
          <w:p w14:paraId="5FA58FF8">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shd w:val="clear" w:color="auto" w:fill="auto"/>
            <w:vAlign w:val="center"/>
          </w:tcPr>
          <w:p w14:paraId="2FC34E55">
            <w:pPr>
              <w:rPr>
                <w:rFonts w:ascii="宋体" w:hAnsi="宋体" w:cs="宋体"/>
                <w:color w:val="auto"/>
                <w:sz w:val="18"/>
                <w:szCs w:val="18"/>
              </w:rPr>
            </w:pPr>
            <w:r>
              <w:rPr>
                <w:rFonts w:ascii="宋体" w:hAnsi="宋体" w:cs="宋体"/>
                <w:color w:val="auto"/>
                <w:sz w:val="18"/>
                <w:szCs w:val="18"/>
              </w:rPr>
              <w:t>29.严格按照添加剂使用规范执行。不得采购、贮存、使用亚硝酸盐（包括亚硝酸钠、亚硝酸钾）和脱氢乙酸钠，食品添加剂应当专人专柜（位）保管，按照有关规定做到标识清晰、计量使用、专册记录。</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40642FB6">
            <w:pPr>
              <w:rPr>
                <w:rFonts w:ascii="宋体" w:hAnsi="宋体" w:cs="宋体"/>
                <w:color w:val="auto"/>
                <w:sz w:val="18"/>
                <w:szCs w:val="18"/>
              </w:rPr>
            </w:pPr>
            <w:r>
              <w:rPr>
                <w:rFonts w:hint="eastAsia" w:ascii="宋体" w:hAnsi="宋体" w:cs="宋体"/>
                <w:color w:val="auto"/>
                <w:sz w:val="18"/>
                <w:szCs w:val="18"/>
              </w:rPr>
              <w:t>现场</w:t>
            </w:r>
          </w:p>
          <w:p w14:paraId="3CECEC8A">
            <w:pPr>
              <w:rPr>
                <w:rFonts w:ascii="宋体" w:hAnsi="宋体" w:cs="宋体"/>
                <w:color w:val="auto"/>
                <w:sz w:val="18"/>
                <w:szCs w:val="18"/>
              </w:rPr>
            </w:pPr>
            <w:r>
              <w:rPr>
                <w:rFonts w:hint="eastAsia" w:ascii="宋体" w:hAnsi="宋体" w:cs="宋体"/>
                <w:color w:val="auto"/>
                <w:sz w:val="18"/>
                <w:szCs w:val="18"/>
              </w:rPr>
              <w:t>检查</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tcPr>
          <w:p w14:paraId="486C6B46">
            <w:pPr>
              <w:rPr>
                <w:rFonts w:ascii="宋体" w:hAnsi="宋体" w:cs="宋体"/>
                <w:color w:val="auto"/>
                <w:sz w:val="18"/>
                <w:szCs w:val="18"/>
              </w:rPr>
            </w:pPr>
            <w:r>
              <w:rPr>
                <w:rFonts w:hint="eastAsia" w:ascii="宋体" w:hAnsi="宋体" w:cs="宋体"/>
                <w:color w:val="auto"/>
                <w:sz w:val="18"/>
                <w:szCs w:val="18"/>
              </w:rPr>
              <w:t>不符合要求的首次支付违约金</w:t>
            </w:r>
            <w:r>
              <w:rPr>
                <w:rFonts w:ascii="宋体" w:hAnsi="宋体" w:cs="宋体"/>
                <w:color w:val="auto"/>
                <w:sz w:val="18"/>
                <w:szCs w:val="18"/>
              </w:rPr>
              <w:t>10000元，第二次及以后支付违约金50000元/次</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55C21E56">
            <w:pPr>
              <w:rPr>
                <w:rFonts w:ascii="宋体" w:hAnsi="宋体" w:cs="宋体"/>
                <w:color w:val="auto"/>
                <w:sz w:val="18"/>
                <w:szCs w:val="18"/>
              </w:rPr>
            </w:pPr>
            <w:r>
              <w:rPr>
                <w:rFonts w:hint="eastAsia" w:ascii="宋体" w:hAnsi="宋体" w:cs="宋体"/>
                <w:color w:val="auto"/>
                <w:sz w:val="18"/>
                <w:szCs w:val="18"/>
              </w:rPr>
              <w:t>首次扣</w:t>
            </w:r>
            <w:r>
              <w:rPr>
                <w:rFonts w:ascii="宋体" w:hAnsi="宋体" w:cs="宋体"/>
                <w:color w:val="auto"/>
                <w:sz w:val="18"/>
                <w:szCs w:val="18"/>
              </w:rPr>
              <w:t>5分元，第二次及以后，涉事当学期考核不合格。</w:t>
            </w:r>
          </w:p>
        </w:tc>
      </w:tr>
      <w:tr w14:paraId="5FA9405F">
        <w:tblPrEx>
          <w:tblCellMar>
            <w:top w:w="0" w:type="dxa"/>
            <w:left w:w="108" w:type="dxa"/>
            <w:bottom w:w="0" w:type="dxa"/>
            <w:right w:w="108" w:type="dxa"/>
          </w:tblCellMar>
        </w:tblPrEx>
        <w:trPr>
          <w:trHeight w:val="480" w:hRule="atLeast"/>
          <w:jc w:val="center"/>
        </w:trPr>
        <w:tc>
          <w:tcPr>
            <w:tcW w:w="499" w:type="dxa"/>
            <w:vMerge w:val="continue"/>
            <w:tcBorders>
              <w:top w:val="single" w:color="auto" w:sz="4" w:space="0"/>
              <w:left w:val="single" w:color="auto" w:sz="4" w:space="0"/>
              <w:bottom w:val="single" w:color="auto" w:sz="4" w:space="0"/>
              <w:right w:val="single" w:color="auto" w:sz="4" w:space="0"/>
            </w:tcBorders>
            <w:vAlign w:val="center"/>
          </w:tcPr>
          <w:p w14:paraId="28114E10">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vAlign w:val="center"/>
          </w:tcPr>
          <w:p w14:paraId="6B1CA204">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vAlign w:val="center"/>
          </w:tcPr>
          <w:p w14:paraId="33C4BF8B">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shd w:val="clear" w:color="auto" w:fill="auto"/>
            <w:vAlign w:val="center"/>
          </w:tcPr>
          <w:p w14:paraId="41652307">
            <w:pPr>
              <w:rPr>
                <w:rFonts w:ascii="宋体" w:hAnsi="宋体" w:cs="宋体"/>
                <w:color w:val="auto"/>
                <w:sz w:val="18"/>
                <w:szCs w:val="18"/>
              </w:rPr>
            </w:pPr>
            <w:r>
              <w:rPr>
                <w:rFonts w:ascii="宋体" w:hAnsi="宋体" w:cs="宋体"/>
                <w:color w:val="auto"/>
                <w:sz w:val="18"/>
                <w:szCs w:val="18"/>
              </w:rPr>
              <w:t xml:space="preserve">30.餐饮具、盛放或接触直接入口食品的容器和工具使用前应消毒，使用后应及时洗净。 </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6524E229">
            <w:pPr>
              <w:rPr>
                <w:rFonts w:ascii="宋体" w:hAnsi="宋体" w:cs="宋体"/>
                <w:color w:val="auto"/>
                <w:sz w:val="18"/>
                <w:szCs w:val="18"/>
              </w:rPr>
            </w:pPr>
            <w:r>
              <w:rPr>
                <w:rFonts w:hint="eastAsia" w:ascii="宋体" w:hAnsi="宋体" w:cs="宋体"/>
                <w:color w:val="auto"/>
                <w:sz w:val="18"/>
                <w:szCs w:val="18"/>
              </w:rPr>
              <w:t>现场</w:t>
            </w:r>
          </w:p>
          <w:p w14:paraId="40AD76FF">
            <w:pPr>
              <w:rPr>
                <w:rFonts w:ascii="宋体" w:hAnsi="宋体" w:cs="宋体"/>
                <w:color w:val="auto"/>
                <w:sz w:val="18"/>
                <w:szCs w:val="18"/>
              </w:rPr>
            </w:pPr>
            <w:r>
              <w:rPr>
                <w:rFonts w:hint="eastAsia" w:ascii="宋体" w:hAnsi="宋体" w:cs="宋体"/>
                <w:color w:val="auto"/>
                <w:sz w:val="18"/>
                <w:szCs w:val="18"/>
              </w:rPr>
              <w:t>检查</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tcPr>
          <w:p w14:paraId="6656F610">
            <w:pPr>
              <w:rPr>
                <w:rFonts w:ascii="宋体" w:hAnsi="宋体" w:cs="宋体"/>
                <w:color w:val="auto"/>
                <w:sz w:val="18"/>
                <w:szCs w:val="18"/>
              </w:rPr>
            </w:pPr>
            <w:r>
              <w:rPr>
                <w:rFonts w:hint="eastAsia" w:ascii="宋体" w:hAnsi="宋体" w:cs="宋体"/>
                <w:color w:val="auto"/>
                <w:sz w:val="18"/>
                <w:szCs w:val="18"/>
              </w:rPr>
              <w:t>不符合要求的支付违约金</w:t>
            </w:r>
            <w:r>
              <w:rPr>
                <w:rFonts w:ascii="宋体" w:hAnsi="宋体" w:cs="宋体"/>
                <w:color w:val="auto"/>
                <w:sz w:val="18"/>
                <w:szCs w:val="18"/>
              </w:rPr>
              <w:t>2000元/次</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2BB05820">
            <w:pPr>
              <w:rPr>
                <w:rFonts w:ascii="宋体" w:hAnsi="宋体" w:cs="宋体"/>
                <w:color w:val="auto"/>
                <w:sz w:val="18"/>
                <w:szCs w:val="18"/>
              </w:rPr>
            </w:pPr>
            <w:r>
              <w:rPr>
                <w:rFonts w:hint="eastAsia" w:ascii="宋体" w:hAnsi="宋体" w:cs="宋体"/>
                <w:color w:val="auto"/>
                <w:sz w:val="18"/>
                <w:szCs w:val="18"/>
              </w:rPr>
              <w:t>不符合要求的扣</w:t>
            </w:r>
            <w:r>
              <w:rPr>
                <w:rFonts w:ascii="宋体" w:hAnsi="宋体" w:cs="宋体"/>
                <w:color w:val="auto"/>
                <w:sz w:val="18"/>
                <w:szCs w:val="18"/>
              </w:rPr>
              <w:t>2分/次</w:t>
            </w:r>
          </w:p>
        </w:tc>
      </w:tr>
      <w:tr w14:paraId="25127764">
        <w:tblPrEx>
          <w:tblCellMar>
            <w:top w:w="0" w:type="dxa"/>
            <w:left w:w="108" w:type="dxa"/>
            <w:bottom w:w="0" w:type="dxa"/>
            <w:right w:w="108" w:type="dxa"/>
          </w:tblCellMar>
        </w:tblPrEx>
        <w:trPr>
          <w:trHeight w:val="480" w:hRule="atLeast"/>
          <w:jc w:val="center"/>
        </w:trPr>
        <w:tc>
          <w:tcPr>
            <w:tcW w:w="499" w:type="dxa"/>
            <w:vMerge w:val="continue"/>
            <w:tcBorders>
              <w:top w:val="single" w:color="auto" w:sz="4" w:space="0"/>
              <w:left w:val="single" w:color="auto" w:sz="4" w:space="0"/>
              <w:bottom w:val="single" w:color="auto" w:sz="4" w:space="0"/>
              <w:right w:val="single" w:color="auto" w:sz="4" w:space="0"/>
            </w:tcBorders>
            <w:vAlign w:val="center"/>
          </w:tcPr>
          <w:p w14:paraId="3605E7B7">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vAlign w:val="center"/>
          </w:tcPr>
          <w:p w14:paraId="3438481E">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vAlign w:val="center"/>
          </w:tcPr>
          <w:p w14:paraId="5BA5AEC4">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shd w:val="clear" w:color="auto" w:fill="auto"/>
            <w:vAlign w:val="center"/>
          </w:tcPr>
          <w:p w14:paraId="333892E2">
            <w:pPr>
              <w:rPr>
                <w:rFonts w:ascii="宋体" w:hAnsi="宋体" w:cs="宋体"/>
                <w:color w:val="auto"/>
                <w:sz w:val="18"/>
                <w:szCs w:val="18"/>
              </w:rPr>
            </w:pPr>
            <w:r>
              <w:rPr>
                <w:rFonts w:ascii="宋体" w:hAnsi="宋体" w:cs="宋体"/>
                <w:color w:val="auto"/>
                <w:sz w:val="18"/>
                <w:szCs w:val="18"/>
              </w:rPr>
              <w:t>31.清洗用水和使用的洗涤剂、消毒剂应当符合相关食品安全国家标准和有关规定。严格按照洗涤剂、消毒剂的使用说明进行操作。</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5DDDC91C">
            <w:pPr>
              <w:rPr>
                <w:rFonts w:ascii="宋体" w:hAnsi="宋体" w:cs="宋体"/>
                <w:color w:val="auto"/>
                <w:sz w:val="18"/>
                <w:szCs w:val="18"/>
              </w:rPr>
            </w:pPr>
            <w:r>
              <w:rPr>
                <w:rFonts w:hint="eastAsia" w:ascii="宋体" w:hAnsi="宋体" w:cs="宋体"/>
                <w:color w:val="auto"/>
                <w:sz w:val="18"/>
                <w:szCs w:val="18"/>
              </w:rPr>
              <w:t>现场</w:t>
            </w:r>
          </w:p>
          <w:p w14:paraId="1E172D7C">
            <w:pPr>
              <w:rPr>
                <w:rFonts w:ascii="宋体" w:hAnsi="宋体" w:cs="宋体"/>
                <w:color w:val="auto"/>
                <w:sz w:val="18"/>
                <w:szCs w:val="18"/>
              </w:rPr>
            </w:pPr>
            <w:r>
              <w:rPr>
                <w:rFonts w:hint="eastAsia" w:ascii="宋体" w:hAnsi="宋体" w:cs="宋体"/>
                <w:color w:val="auto"/>
                <w:sz w:val="18"/>
                <w:szCs w:val="18"/>
              </w:rPr>
              <w:t>检查</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tcPr>
          <w:p w14:paraId="6852E6A7">
            <w:pPr>
              <w:rPr>
                <w:rFonts w:ascii="宋体" w:hAnsi="宋体" w:cs="宋体"/>
                <w:color w:val="auto"/>
                <w:sz w:val="18"/>
                <w:szCs w:val="18"/>
              </w:rPr>
            </w:pPr>
            <w:r>
              <w:rPr>
                <w:rFonts w:hint="eastAsia" w:ascii="宋体" w:hAnsi="宋体" w:cs="宋体"/>
                <w:color w:val="auto"/>
                <w:sz w:val="18"/>
                <w:szCs w:val="18"/>
              </w:rPr>
              <w:t>不符合要求的支付违约金</w:t>
            </w:r>
            <w:r>
              <w:rPr>
                <w:rFonts w:ascii="宋体" w:hAnsi="宋体" w:cs="宋体"/>
                <w:color w:val="auto"/>
                <w:sz w:val="18"/>
                <w:szCs w:val="18"/>
              </w:rPr>
              <w:t>10000元/次</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69A9C76F">
            <w:pPr>
              <w:rPr>
                <w:rFonts w:ascii="宋体" w:hAnsi="宋体" w:cs="宋体"/>
                <w:color w:val="auto"/>
                <w:sz w:val="18"/>
                <w:szCs w:val="18"/>
              </w:rPr>
            </w:pPr>
            <w:r>
              <w:rPr>
                <w:rFonts w:hint="eastAsia" w:ascii="宋体" w:hAnsi="宋体" w:cs="宋体"/>
                <w:color w:val="auto"/>
                <w:sz w:val="18"/>
                <w:szCs w:val="18"/>
              </w:rPr>
              <w:t>不符合要求的扣</w:t>
            </w:r>
            <w:r>
              <w:rPr>
                <w:rFonts w:ascii="宋体" w:hAnsi="宋体" w:cs="宋体"/>
                <w:color w:val="auto"/>
                <w:sz w:val="18"/>
                <w:szCs w:val="18"/>
              </w:rPr>
              <w:t>5分/次</w:t>
            </w:r>
          </w:p>
        </w:tc>
      </w:tr>
      <w:tr w14:paraId="25F1B057">
        <w:tblPrEx>
          <w:tblCellMar>
            <w:top w:w="0" w:type="dxa"/>
            <w:left w:w="108" w:type="dxa"/>
            <w:bottom w:w="0" w:type="dxa"/>
            <w:right w:w="108" w:type="dxa"/>
          </w:tblCellMar>
        </w:tblPrEx>
        <w:trPr>
          <w:trHeight w:val="480" w:hRule="atLeast"/>
          <w:jc w:val="center"/>
        </w:trPr>
        <w:tc>
          <w:tcPr>
            <w:tcW w:w="499" w:type="dxa"/>
            <w:vMerge w:val="continue"/>
            <w:tcBorders>
              <w:top w:val="single" w:color="auto" w:sz="4" w:space="0"/>
              <w:left w:val="single" w:color="auto" w:sz="4" w:space="0"/>
              <w:bottom w:val="single" w:color="auto" w:sz="4" w:space="0"/>
              <w:right w:val="single" w:color="auto" w:sz="4" w:space="0"/>
            </w:tcBorders>
            <w:vAlign w:val="center"/>
          </w:tcPr>
          <w:p w14:paraId="306EE0BF">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vAlign w:val="center"/>
          </w:tcPr>
          <w:p w14:paraId="3E550DE7">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vAlign w:val="center"/>
          </w:tcPr>
          <w:p w14:paraId="7F58010E">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vAlign w:val="center"/>
          </w:tcPr>
          <w:p w14:paraId="6707A891">
            <w:pPr>
              <w:rPr>
                <w:rFonts w:ascii="宋体" w:hAnsi="宋体" w:cs="宋体"/>
                <w:color w:val="auto"/>
                <w:sz w:val="18"/>
                <w:szCs w:val="18"/>
              </w:rPr>
            </w:pPr>
            <w:r>
              <w:rPr>
                <w:rFonts w:ascii="宋体" w:hAnsi="宋体" w:cs="宋体"/>
                <w:color w:val="auto"/>
                <w:sz w:val="18"/>
                <w:szCs w:val="18"/>
              </w:rPr>
              <w:t>32.按规定进行菜品留样，由专人管理，做好留样及销毁记录，记录内容包括留样食品名称、留样时间（月、日、时、分）、留样人员、留样重量(不少于125克)、销毁时间、销毁人，在专用冷藏设备中冷藏存放48小时以上。食堂批量加工制售的热食、非即</w:t>
            </w:r>
            <w:r>
              <w:rPr>
                <w:rFonts w:hint="eastAsia" w:ascii="宋体" w:hAnsi="宋体" w:cs="宋体"/>
                <w:color w:val="auto"/>
                <w:sz w:val="18"/>
                <w:szCs w:val="18"/>
              </w:rPr>
              <w:t>做即售的热食、冷食类食品、生食类食品、裱花蛋糕应当按照前款规定留样，其他加工食品根据相关规定留样。</w:t>
            </w:r>
          </w:p>
        </w:tc>
        <w:tc>
          <w:tcPr>
            <w:tcW w:w="709" w:type="dxa"/>
            <w:tcBorders>
              <w:top w:val="single" w:color="auto" w:sz="4" w:space="0"/>
              <w:left w:val="single" w:color="auto" w:sz="4" w:space="0"/>
              <w:bottom w:val="single" w:color="auto" w:sz="4" w:space="0"/>
              <w:right w:val="single" w:color="auto" w:sz="4" w:space="0"/>
            </w:tcBorders>
            <w:vAlign w:val="center"/>
          </w:tcPr>
          <w:p w14:paraId="551463E5">
            <w:pPr>
              <w:rPr>
                <w:rFonts w:ascii="宋体" w:hAnsi="宋体" w:cs="宋体"/>
                <w:color w:val="auto"/>
                <w:sz w:val="18"/>
                <w:szCs w:val="18"/>
              </w:rPr>
            </w:pPr>
            <w:r>
              <w:rPr>
                <w:rFonts w:hint="eastAsia" w:ascii="宋体" w:hAnsi="宋体" w:cs="宋体"/>
                <w:color w:val="auto"/>
                <w:sz w:val="18"/>
                <w:szCs w:val="18"/>
              </w:rPr>
              <w:t>现场检查</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tcPr>
          <w:p w14:paraId="5452611C">
            <w:pPr>
              <w:rPr>
                <w:rFonts w:ascii="宋体" w:hAnsi="宋体" w:cs="宋体"/>
                <w:color w:val="auto"/>
                <w:sz w:val="18"/>
                <w:szCs w:val="18"/>
              </w:rPr>
            </w:pPr>
            <w:r>
              <w:rPr>
                <w:rFonts w:hint="eastAsia" w:ascii="宋体" w:hAnsi="宋体" w:cs="宋体"/>
                <w:color w:val="auto"/>
                <w:sz w:val="18"/>
                <w:szCs w:val="18"/>
              </w:rPr>
              <w:t>不符合要求的首次支付违约金</w:t>
            </w:r>
            <w:r>
              <w:rPr>
                <w:rFonts w:ascii="宋体" w:hAnsi="宋体" w:cs="宋体"/>
                <w:color w:val="auto"/>
                <w:sz w:val="18"/>
                <w:szCs w:val="18"/>
              </w:rPr>
              <w:t>10000元，第二次及以后支付违约金50000元/次</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042EA996">
            <w:pPr>
              <w:rPr>
                <w:rFonts w:ascii="宋体" w:hAnsi="宋体" w:cs="宋体"/>
                <w:color w:val="auto"/>
                <w:sz w:val="18"/>
                <w:szCs w:val="18"/>
              </w:rPr>
            </w:pPr>
            <w:r>
              <w:rPr>
                <w:rFonts w:hint="eastAsia" w:ascii="宋体" w:hAnsi="宋体" w:cs="宋体"/>
                <w:color w:val="auto"/>
                <w:sz w:val="18"/>
                <w:szCs w:val="18"/>
              </w:rPr>
              <w:t>首次扣</w:t>
            </w:r>
            <w:r>
              <w:rPr>
                <w:rFonts w:ascii="宋体" w:hAnsi="宋体" w:cs="宋体"/>
                <w:color w:val="auto"/>
                <w:sz w:val="18"/>
                <w:szCs w:val="18"/>
              </w:rPr>
              <w:t>1分元，第二次及以后扣5分/次</w:t>
            </w:r>
          </w:p>
        </w:tc>
      </w:tr>
      <w:tr w14:paraId="77C25DF6">
        <w:tblPrEx>
          <w:tblCellMar>
            <w:top w:w="0" w:type="dxa"/>
            <w:left w:w="108" w:type="dxa"/>
            <w:bottom w:w="0" w:type="dxa"/>
            <w:right w:w="108" w:type="dxa"/>
          </w:tblCellMar>
        </w:tblPrEx>
        <w:trPr>
          <w:trHeight w:val="480" w:hRule="atLeast"/>
          <w:jc w:val="center"/>
        </w:trPr>
        <w:tc>
          <w:tcPr>
            <w:tcW w:w="499" w:type="dxa"/>
            <w:vMerge w:val="continue"/>
            <w:tcBorders>
              <w:top w:val="single" w:color="auto" w:sz="4" w:space="0"/>
              <w:left w:val="single" w:color="auto" w:sz="4" w:space="0"/>
              <w:bottom w:val="single" w:color="auto" w:sz="4" w:space="0"/>
              <w:right w:val="single" w:color="auto" w:sz="4" w:space="0"/>
            </w:tcBorders>
            <w:vAlign w:val="center"/>
          </w:tcPr>
          <w:p w14:paraId="73BD97D3">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vAlign w:val="center"/>
          </w:tcPr>
          <w:p w14:paraId="5FD4F319">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vAlign w:val="center"/>
          </w:tcPr>
          <w:p w14:paraId="6F5BDB27">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vAlign w:val="center"/>
          </w:tcPr>
          <w:p w14:paraId="5A4C61B2">
            <w:pPr>
              <w:rPr>
                <w:rFonts w:ascii="宋体" w:hAnsi="宋体" w:cs="宋体"/>
                <w:color w:val="auto"/>
                <w:sz w:val="18"/>
                <w:szCs w:val="18"/>
              </w:rPr>
            </w:pPr>
            <w:r>
              <w:rPr>
                <w:rFonts w:ascii="宋体" w:hAnsi="宋体" w:cs="宋体"/>
                <w:color w:val="auto"/>
                <w:sz w:val="18"/>
                <w:szCs w:val="18"/>
              </w:rPr>
              <w:t>33.食堂定期做好消毒工作，三防等设施设备能正常使用，并有设施设备维护记录。</w:t>
            </w:r>
          </w:p>
        </w:tc>
        <w:tc>
          <w:tcPr>
            <w:tcW w:w="709" w:type="dxa"/>
            <w:tcBorders>
              <w:top w:val="single" w:color="auto" w:sz="4" w:space="0"/>
              <w:left w:val="single" w:color="auto" w:sz="4" w:space="0"/>
              <w:bottom w:val="single" w:color="auto" w:sz="4" w:space="0"/>
              <w:right w:val="single" w:color="auto" w:sz="4" w:space="0"/>
            </w:tcBorders>
            <w:vAlign w:val="center"/>
          </w:tcPr>
          <w:p w14:paraId="36CBC75B">
            <w:pPr>
              <w:rPr>
                <w:rFonts w:ascii="宋体" w:hAnsi="宋体" w:cs="宋体"/>
                <w:color w:val="auto"/>
                <w:sz w:val="18"/>
                <w:szCs w:val="18"/>
              </w:rPr>
            </w:pPr>
            <w:r>
              <w:rPr>
                <w:rFonts w:hint="eastAsia" w:ascii="宋体" w:hAnsi="宋体" w:cs="宋体"/>
                <w:color w:val="auto"/>
                <w:sz w:val="18"/>
                <w:szCs w:val="18"/>
              </w:rPr>
              <w:t>现场检查</w:t>
            </w:r>
          </w:p>
        </w:tc>
        <w:tc>
          <w:tcPr>
            <w:tcW w:w="2693" w:type="dxa"/>
            <w:tcBorders>
              <w:top w:val="single" w:color="auto" w:sz="4" w:space="0"/>
              <w:left w:val="single" w:color="auto" w:sz="4" w:space="0"/>
              <w:bottom w:val="single" w:color="auto" w:sz="4" w:space="0"/>
              <w:right w:val="single" w:color="auto" w:sz="4" w:space="0"/>
            </w:tcBorders>
            <w:vAlign w:val="center"/>
          </w:tcPr>
          <w:p w14:paraId="0F367B52">
            <w:pPr>
              <w:rPr>
                <w:rFonts w:ascii="宋体" w:hAnsi="宋体" w:cs="宋体"/>
                <w:color w:val="auto"/>
                <w:sz w:val="18"/>
                <w:szCs w:val="18"/>
              </w:rPr>
            </w:pPr>
            <w:r>
              <w:rPr>
                <w:rFonts w:hint="eastAsia" w:ascii="宋体" w:hAnsi="宋体" w:cs="宋体"/>
                <w:color w:val="auto"/>
                <w:sz w:val="18"/>
                <w:szCs w:val="18"/>
              </w:rPr>
              <w:t>不符合要求的每次支付违约金</w:t>
            </w:r>
            <w:r>
              <w:rPr>
                <w:rFonts w:ascii="宋体" w:hAnsi="宋体" w:cs="宋体"/>
                <w:color w:val="auto"/>
                <w:sz w:val="18"/>
                <w:szCs w:val="18"/>
              </w:rPr>
              <w:t>2000元</w:t>
            </w:r>
          </w:p>
        </w:tc>
        <w:tc>
          <w:tcPr>
            <w:tcW w:w="1559" w:type="dxa"/>
            <w:tcBorders>
              <w:top w:val="single" w:color="auto" w:sz="4" w:space="0"/>
              <w:left w:val="single" w:color="auto" w:sz="4" w:space="0"/>
              <w:bottom w:val="single" w:color="auto" w:sz="4" w:space="0"/>
              <w:right w:val="single" w:color="auto" w:sz="4" w:space="0"/>
            </w:tcBorders>
            <w:vAlign w:val="center"/>
          </w:tcPr>
          <w:p w14:paraId="7065200C">
            <w:pPr>
              <w:rPr>
                <w:rFonts w:ascii="宋体" w:hAnsi="宋体" w:cs="宋体"/>
                <w:color w:val="auto"/>
                <w:sz w:val="18"/>
                <w:szCs w:val="18"/>
              </w:rPr>
            </w:pPr>
            <w:r>
              <w:rPr>
                <w:rFonts w:hint="eastAsia" w:ascii="宋体" w:hAnsi="宋体" w:cs="宋体"/>
                <w:color w:val="auto"/>
                <w:sz w:val="18"/>
                <w:szCs w:val="18"/>
              </w:rPr>
              <w:t>不符合要求的扣</w:t>
            </w:r>
            <w:r>
              <w:rPr>
                <w:rFonts w:ascii="宋体" w:hAnsi="宋体" w:cs="宋体"/>
                <w:color w:val="auto"/>
                <w:sz w:val="18"/>
                <w:szCs w:val="18"/>
              </w:rPr>
              <w:t>1分/次</w:t>
            </w:r>
          </w:p>
        </w:tc>
      </w:tr>
      <w:tr w14:paraId="22F3C72B">
        <w:tblPrEx>
          <w:tblCellMar>
            <w:top w:w="0" w:type="dxa"/>
            <w:left w:w="108" w:type="dxa"/>
            <w:bottom w:w="0" w:type="dxa"/>
            <w:right w:w="108" w:type="dxa"/>
          </w:tblCellMar>
        </w:tblPrEx>
        <w:trPr>
          <w:trHeight w:val="480" w:hRule="atLeast"/>
          <w:jc w:val="center"/>
        </w:trPr>
        <w:tc>
          <w:tcPr>
            <w:tcW w:w="499" w:type="dxa"/>
            <w:vMerge w:val="continue"/>
            <w:tcBorders>
              <w:top w:val="single" w:color="auto" w:sz="4" w:space="0"/>
              <w:left w:val="single" w:color="auto" w:sz="4" w:space="0"/>
              <w:bottom w:val="single" w:color="auto" w:sz="4" w:space="0"/>
              <w:right w:val="single" w:color="auto" w:sz="4" w:space="0"/>
            </w:tcBorders>
            <w:vAlign w:val="center"/>
          </w:tcPr>
          <w:p w14:paraId="51A365D0">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vAlign w:val="center"/>
          </w:tcPr>
          <w:p w14:paraId="7F44E351">
            <w:pPr>
              <w:rPr>
                <w:rFonts w:ascii="宋体" w:hAnsi="宋体" w:cs="宋体"/>
                <w:color w:val="auto"/>
                <w:sz w:val="18"/>
                <w:szCs w:val="18"/>
              </w:rPr>
            </w:pPr>
          </w:p>
        </w:tc>
        <w:tc>
          <w:tcPr>
            <w:tcW w:w="477" w:type="dxa"/>
            <w:vMerge w:val="restart"/>
            <w:tcBorders>
              <w:top w:val="single" w:color="auto" w:sz="4" w:space="0"/>
              <w:left w:val="single" w:color="auto" w:sz="4" w:space="0"/>
              <w:bottom w:val="single" w:color="auto" w:sz="4" w:space="0"/>
              <w:right w:val="single" w:color="auto" w:sz="4" w:space="0"/>
            </w:tcBorders>
            <w:textDirection w:val="tbRlV"/>
            <w:vAlign w:val="center"/>
          </w:tcPr>
          <w:p w14:paraId="66CAD63E">
            <w:pPr>
              <w:jc w:val="center"/>
              <w:rPr>
                <w:rFonts w:ascii="宋体" w:hAnsi="宋体" w:cs="宋体"/>
                <w:color w:val="auto"/>
                <w:sz w:val="18"/>
                <w:szCs w:val="18"/>
              </w:rPr>
            </w:pPr>
            <w:r>
              <w:rPr>
                <w:rFonts w:hint="eastAsia" w:ascii="宋体" w:hAnsi="宋体" w:cs="宋体"/>
                <w:color w:val="auto"/>
                <w:sz w:val="18"/>
                <w:szCs w:val="18"/>
              </w:rPr>
              <w:t>出售</w:t>
            </w:r>
          </w:p>
        </w:tc>
        <w:tc>
          <w:tcPr>
            <w:tcW w:w="3350" w:type="dxa"/>
            <w:tcBorders>
              <w:top w:val="single" w:color="auto" w:sz="4" w:space="0"/>
              <w:left w:val="single" w:color="auto" w:sz="4" w:space="0"/>
              <w:bottom w:val="single" w:color="auto" w:sz="4" w:space="0"/>
              <w:right w:val="single" w:color="auto" w:sz="4" w:space="0"/>
            </w:tcBorders>
            <w:vAlign w:val="center"/>
          </w:tcPr>
          <w:p w14:paraId="652AAC7E">
            <w:pPr>
              <w:rPr>
                <w:rFonts w:ascii="宋体" w:hAnsi="宋体" w:cs="宋体"/>
                <w:color w:val="auto"/>
                <w:sz w:val="18"/>
                <w:szCs w:val="18"/>
              </w:rPr>
            </w:pPr>
            <w:r>
              <w:rPr>
                <w:rFonts w:ascii="宋体" w:hAnsi="宋体" w:cs="宋体"/>
                <w:color w:val="auto"/>
                <w:sz w:val="18"/>
                <w:szCs w:val="18"/>
              </w:rPr>
              <w:t>34.在售饭菜应明码实价，价实相符，菜牌齐全</w:t>
            </w:r>
          </w:p>
        </w:tc>
        <w:tc>
          <w:tcPr>
            <w:tcW w:w="709" w:type="dxa"/>
            <w:tcBorders>
              <w:top w:val="single" w:color="auto" w:sz="4" w:space="0"/>
              <w:left w:val="single" w:color="auto" w:sz="4" w:space="0"/>
              <w:bottom w:val="single" w:color="auto" w:sz="4" w:space="0"/>
              <w:right w:val="single" w:color="auto" w:sz="4" w:space="0"/>
            </w:tcBorders>
            <w:vAlign w:val="center"/>
          </w:tcPr>
          <w:p w14:paraId="13389B4A">
            <w:pPr>
              <w:rPr>
                <w:rFonts w:ascii="宋体" w:hAnsi="宋体" w:cs="宋体"/>
                <w:color w:val="auto"/>
                <w:sz w:val="18"/>
                <w:szCs w:val="18"/>
              </w:rPr>
            </w:pPr>
            <w:r>
              <w:rPr>
                <w:rFonts w:hint="eastAsia" w:ascii="宋体" w:hAnsi="宋体" w:cs="宋体"/>
                <w:color w:val="auto"/>
                <w:sz w:val="18"/>
                <w:szCs w:val="18"/>
              </w:rPr>
              <w:t>现场检查</w:t>
            </w:r>
          </w:p>
        </w:tc>
        <w:tc>
          <w:tcPr>
            <w:tcW w:w="2693" w:type="dxa"/>
            <w:tcBorders>
              <w:top w:val="single" w:color="auto" w:sz="4" w:space="0"/>
              <w:left w:val="single" w:color="auto" w:sz="4" w:space="0"/>
              <w:bottom w:val="single" w:color="auto" w:sz="4" w:space="0"/>
              <w:right w:val="single" w:color="auto" w:sz="4" w:space="0"/>
            </w:tcBorders>
            <w:vAlign w:val="center"/>
          </w:tcPr>
          <w:p w14:paraId="31E301C5">
            <w:pPr>
              <w:rPr>
                <w:rFonts w:ascii="宋体" w:hAnsi="宋体" w:eastAsia="方正仿宋_GBK" w:cs="宋体"/>
                <w:color w:val="auto"/>
                <w:sz w:val="18"/>
                <w:szCs w:val="18"/>
              </w:rPr>
            </w:pPr>
            <w:r>
              <w:rPr>
                <w:rFonts w:hint="eastAsia" w:ascii="宋体" w:hAnsi="宋体" w:cs="宋体"/>
                <w:color w:val="auto"/>
                <w:sz w:val="18"/>
                <w:szCs w:val="18"/>
              </w:rPr>
              <w:t>不符合要求的首次每项支付违约金</w:t>
            </w:r>
            <w:r>
              <w:rPr>
                <w:rFonts w:ascii="宋体" w:hAnsi="宋体" w:cs="宋体"/>
                <w:color w:val="auto"/>
                <w:sz w:val="18"/>
                <w:szCs w:val="18"/>
              </w:rPr>
              <w:t>1000元/项/次，第二次及以后每项支付违约金2000元/项/次</w:t>
            </w:r>
          </w:p>
        </w:tc>
        <w:tc>
          <w:tcPr>
            <w:tcW w:w="1559" w:type="dxa"/>
            <w:tcBorders>
              <w:top w:val="single" w:color="auto" w:sz="4" w:space="0"/>
              <w:left w:val="single" w:color="auto" w:sz="4" w:space="0"/>
              <w:bottom w:val="single" w:color="auto" w:sz="4" w:space="0"/>
              <w:right w:val="single" w:color="auto" w:sz="4" w:space="0"/>
            </w:tcBorders>
            <w:vAlign w:val="center"/>
          </w:tcPr>
          <w:p w14:paraId="6EF254EA">
            <w:pPr>
              <w:rPr>
                <w:rFonts w:ascii="宋体" w:hAnsi="宋体" w:cs="宋体"/>
                <w:color w:val="auto"/>
                <w:sz w:val="18"/>
                <w:szCs w:val="18"/>
              </w:rPr>
            </w:pPr>
            <w:r>
              <w:rPr>
                <w:rFonts w:hint="eastAsia" w:ascii="宋体" w:hAnsi="宋体" w:cs="宋体"/>
                <w:color w:val="auto"/>
                <w:sz w:val="18"/>
                <w:szCs w:val="18"/>
              </w:rPr>
              <w:t>首次每项扣</w:t>
            </w:r>
            <w:r>
              <w:rPr>
                <w:rFonts w:ascii="宋体" w:hAnsi="宋体" w:cs="宋体"/>
                <w:color w:val="auto"/>
                <w:sz w:val="18"/>
                <w:szCs w:val="18"/>
              </w:rPr>
              <w:t>1分，第二次及以后扣1分/项/次</w:t>
            </w:r>
          </w:p>
        </w:tc>
      </w:tr>
      <w:tr w14:paraId="53BD4811">
        <w:tblPrEx>
          <w:tblCellMar>
            <w:top w:w="0" w:type="dxa"/>
            <w:left w:w="108" w:type="dxa"/>
            <w:bottom w:w="0" w:type="dxa"/>
            <w:right w:w="108" w:type="dxa"/>
          </w:tblCellMar>
        </w:tblPrEx>
        <w:trPr>
          <w:trHeight w:val="480" w:hRule="atLeast"/>
          <w:jc w:val="center"/>
        </w:trPr>
        <w:tc>
          <w:tcPr>
            <w:tcW w:w="499" w:type="dxa"/>
            <w:vMerge w:val="continue"/>
            <w:tcBorders>
              <w:top w:val="single" w:color="auto" w:sz="4" w:space="0"/>
              <w:left w:val="single" w:color="auto" w:sz="4" w:space="0"/>
              <w:bottom w:val="single" w:color="auto" w:sz="4" w:space="0"/>
              <w:right w:val="single" w:color="auto" w:sz="4" w:space="0"/>
            </w:tcBorders>
            <w:vAlign w:val="center"/>
          </w:tcPr>
          <w:p w14:paraId="04BC34FC">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vAlign w:val="center"/>
          </w:tcPr>
          <w:p w14:paraId="1058AC15">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vAlign w:val="center"/>
          </w:tcPr>
          <w:p w14:paraId="328064D9">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vAlign w:val="center"/>
          </w:tcPr>
          <w:p w14:paraId="4D58C4FF">
            <w:pPr>
              <w:rPr>
                <w:rFonts w:ascii="宋体" w:hAnsi="宋体" w:cs="宋体"/>
                <w:color w:val="auto"/>
                <w:sz w:val="18"/>
                <w:szCs w:val="18"/>
              </w:rPr>
            </w:pPr>
            <w:r>
              <w:rPr>
                <w:rFonts w:ascii="宋体" w:hAnsi="宋体" w:cs="宋体"/>
                <w:color w:val="auto"/>
                <w:sz w:val="18"/>
                <w:szCs w:val="18"/>
              </w:rPr>
              <w:t>35.饭菜售卖计量计价准确</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63EA73CD">
            <w:pPr>
              <w:rPr>
                <w:rFonts w:ascii="宋体" w:hAnsi="宋体" w:cs="宋体"/>
                <w:color w:val="auto"/>
                <w:sz w:val="18"/>
                <w:szCs w:val="18"/>
              </w:rPr>
            </w:pPr>
            <w:r>
              <w:rPr>
                <w:rFonts w:hint="eastAsia" w:ascii="宋体" w:hAnsi="宋体" w:cs="宋体"/>
                <w:color w:val="auto"/>
                <w:sz w:val="18"/>
                <w:szCs w:val="18"/>
              </w:rPr>
              <w:t>现场检查或投诉核实</w:t>
            </w:r>
          </w:p>
        </w:tc>
        <w:tc>
          <w:tcPr>
            <w:tcW w:w="2693" w:type="dxa"/>
            <w:tcBorders>
              <w:top w:val="single" w:color="auto" w:sz="4" w:space="0"/>
              <w:left w:val="single" w:color="auto" w:sz="4" w:space="0"/>
              <w:bottom w:val="single" w:color="auto" w:sz="4" w:space="0"/>
              <w:right w:val="single" w:color="auto" w:sz="4" w:space="0"/>
            </w:tcBorders>
            <w:vAlign w:val="center"/>
          </w:tcPr>
          <w:p w14:paraId="680A6E91">
            <w:pPr>
              <w:rPr>
                <w:rFonts w:ascii="宋体" w:hAnsi="宋体" w:cs="宋体"/>
                <w:color w:val="auto"/>
                <w:sz w:val="18"/>
                <w:szCs w:val="18"/>
              </w:rPr>
            </w:pPr>
            <w:r>
              <w:rPr>
                <w:rFonts w:hint="eastAsia" w:ascii="宋体" w:hAnsi="宋体" w:cs="宋体"/>
                <w:color w:val="auto"/>
                <w:sz w:val="18"/>
                <w:szCs w:val="18"/>
              </w:rPr>
              <w:t>不符合要求每次支付违约金</w:t>
            </w:r>
            <w:r>
              <w:rPr>
                <w:rFonts w:ascii="宋体" w:hAnsi="宋体" w:cs="宋体"/>
                <w:color w:val="auto"/>
                <w:sz w:val="18"/>
                <w:szCs w:val="18"/>
              </w:rPr>
              <w:t>2000元</w:t>
            </w:r>
          </w:p>
        </w:tc>
        <w:tc>
          <w:tcPr>
            <w:tcW w:w="1559" w:type="dxa"/>
            <w:tcBorders>
              <w:top w:val="single" w:color="auto" w:sz="4" w:space="0"/>
              <w:left w:val="single" w:color="auto" w:sz="4" w:space="0"/>
              <w:bottom w:val="single" w:color="auto" w:sz="4" w:space="0"/>
              <w:right w:val="single" w:color="auto" w:sz="4" w:space="0"/>
            </w:tcBorders>
            <w:vAlign w:val="center"/>
          </w:tcPr>
          <w:p w14:paraId="6097D5C2">
            <w:pPr>
              <w:rPr>
                <w:rFonts w:ascii="宋体" w:hAnsi="宋体" w:cs="宋体"/>
                <w:color w:val="auto"/>
                <w:sz w:val="18"/>
                <w:szCs w:val="18"/>
              </w:rPr>
            </w:pPr>
            <w:r>
              <w:rPr>
                <w:rFonts w:hint="eastAsia" w:ascii="宋体" w:hAnsi="宋体" w:cs="宋体"/>
                <w:color w:val="auto"/>
                <w:sz w:val="18"/>
                <w:szCs w:val="18"/>
              </w:rPr>
              <w:t>不符合要求的扣</w:t>
            </w:r>
            <w:r>
              <w:rPr>
                <w:rFonts w:ascii="宋体" w:hAnsi="宋体" w:cs="宋体"/>
                <w:color w:val="auto"/>
                <w:sz w:val="18"/>
                <w:szCs w:val="18"/>
              </w:rPr>
              <w:t>1分/次</w:t>
            </w:r>
          </w:p>
        </w:tc>
      </w:tr>
      <w:tr w14:paraId="59CE98BC">
        <w:tblPrEx>
          <w:tblCellMar>
            <w:top w:w="0" w:type="dxa"/>
            <w:left w:w="108" w:type="dxa"/>
            <w:bottom w:w="0" w:type="dxa"/>
            <w:right w:w="108" w:type="dxa"/>
          </w:tblCellMar>
        </w:tblPrEx>
        <w:trPr>
          <w:trHeight w:val="480" w:hRule="atLeast"/>
          <w:jc w:val="center"/>
        </w:trPr>
        <w:tc>
          <w:tcPr>
            <w:tcW w:w="499" w:type="dxa"/>
            <w:vMerge w:val="continue"/>
            <w:tcBorders>
              <w:top w:val="single" w:color="auto" w:sz="4" w:space="0"/>
              <w:left w:val="single" w:color="auto" w:sz="4" w:space="0"/>
              <w:bottom w:val="single" w:color="auto" w:sz="4" w:space="0"/>
              <w:right w:val="single" w:color="auto" w:sz="4" w:space="0"/>
            </w:tcBorders>
            <w:vAlign w:val="center"/>
          </w:tcPr>
          <w:p w14:paraId="7AD2CFE1">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vAlign w:val="center"/>
          </w:tcPr>
          <w:p w14:paraId="37554E58">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vAlign w:val="center"/>
          </w:tcPr>
          <w:p w14:paraId="3CF8A5B7">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vAlign w:val="center"/>
          </w:tcPr>
          <w:p w14:paraId="6F6ECB01">
            <w:pPr>
              <w:rPr>
                <w:rFonts w:ascii="宋体" w:hAnsi="宋体" w:cs="宋体"/>
                <w:color w:val="auto"/>
                <w:sz w:val="18"/>
                <w:szCs w:val="18"/>
              </w:rPr>
            </w:pPr>
            <w:r>
              <w:rPr>
                <w:rFonts w:ascii="宋体" w:hAnsi="宋体" w:cs="宋体"/>
                <w:color w:val="auto"/>
                <w:sz w:val="18"/>
                <w:szCs w:val="18"/>
              </w:rPr>
              <w:t>36.不应出售夹生、未熟食品，饭菜中应无泥沙、钢丝、虫子等异物</w:t>
            </w: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64490659">
            <w:pPr>
              <w:rPr>
                <w:rFonts w:ascii="宋体" w:hAnsi="宋体" w:cs="宋体"/>
                <w:color w:val="auto"/>
                <w:sz w:val="18"/>
                <w:szCs w:val="18"/>
              </w:rPr>
            </w:pPr>
          </w:p>
        </w:tc>
        <w:tc>
          <w:tcPr>
            <w:tcW w:w="2693" w:type="dxa"/>
            <w:tcBorders>
              <w:top w:val="single" w:color="auto" w:sz="4" w:space="0"/>
              <w:left w:val="single" w:color="auto" w:sz="4" w:space="0"/>
              <w:bottom w:val="single" w:color="auto" w:sz="4" w:space="0"/>
              <w:right w:val="single" w:color="auto" w:sz="4" w:space="0"/>
            </w:tcBorders>
            <w:vAlign w:val="center"/>
          </w:tcPr>
          <w:p w14:paraId="54175D6E">
            <w:pPr>
              <w:rPr>
                <w:rFonts w:ascii="宋体" w:hAnsi="宋体" w:cs="宋体"/>
                <w:color w:val="auto"/>
                <w:sz w:val="18"/>
                <w:szCs w:val="18"/>
              </w:rPr>
            </w:pPr>
            <w:r>
              <w:rPr>
                <w:rFonts w:hint="eastAsia" w:ascii="宋体" w:hAnsi="宋体" w:cs="宋体"/>
                <w:color w:val="auto"/>
                <w:sz w:val="18"/>
                <w:szCs w:val="18"/>
              </w:rPr>
              <w:t>不符合要求每次支付违约金</w:t>
            </w:r>
            <w:r>
              <w:rPr>
                <w:rFonts w:ascii="宋体" w:hAnsi="宋体" w:cs="宋体"/>
                <w:color w:val="auto"/>
                <w:sz w:val="18"/>
                <w:szCs w:val="18"/>
              </w:rPr>
              <w:t>1000元</w:t>
            </w:r>
          </w:p>
        </w:tc>
        <w:tc>
          <w:tcPr>
            <w:tcW w:w="1559" w:type="dxa"/>
            <w:tcBorders>
              <w:top w:val="single" w:color="auto" w:sz="4" w:space="0"/>
              <w:left w:val="single" w:color="auto" w:sz="4" w:space="0"/>
              <w:bottom w:val="single" w:color="auto" w:sz="4" w:space="0"/>
              <w:right w:val="single" w:color="auto" w:sz="4" w:space="0"/>
            </w:tcBorders>
            <w:vAlign w:val="center"/>
          </w:tcPr>
          <w:p w14:paraId="36B10D7A">
            <w:pPr>
              <w:rPr>
                <w:rFonts w:ascii="宋体" w:hAnsi="宋体" w:cs="宋体"/>
                <w:color w:val="auto"/>
                <w:sz w:val="18"/>
                <w:szCs w:val="18"/>
              </w:rPr>
            </w:pPr>
            <w:r>
              <w:rPr>
                <w:rFonts w:hint="eastAsia" w:ascii="宋体" w:hAnsi="宋体" w:cs="宋体"/>
                <w:color w:val="auto"/>
                <w:sz w:val="18"/>
                <w:szCs w:val="18"/>
              </w:rPr>
              <w:t>不符合要求的扣</w:t>
            </w:r>
            <w:r>
              <w:rPr>
                <w:rFonts w:ascii="宋体" w:hAnsi="宋体" w:cs="宋体"/>
                <w:color w:val="auto"/>
                <w:sz w:val="18"/>
                <w:szCs w:val="18"/>
              </w:rPr>
              <w:t>1分/次</w:t>
            </w:r>
          </w:p>
        </w:tc>
      </w:tr>
      <w:tr w14:paraId="3DCB6A24">
        <w:tblPrEx>
          <w:tblCellMar>
            <w:top w:w="0" w:type="dxa"/>
            <w:left w:w="108" w:type="dxa"/>
            <w:bottom w:w="0" w:type="dxa"/>
            <w:right w:w="108" w:type="dxa"/>
          </w:tblCellMar>
        </w:tblPrEx>
        <w:trPr>
          <w:trHeight w:val="480" w:hRule="atLeast"/>
          <w:jc w:val="center"/>
        </w:trPr>
        <w:tc>
          <w:tcPr>
            <w:tcW w:w="499" w:type="dxa"/>
            <w:vMerge w:val="continue"/>
            <w:tcBorders>
              <w:top w:val="single" w:color="auto" w:sz="4" w:space="0"/>
              <w:left w:val="single" w:color="auto" w:sz="4" w:space="0"/>
              <w:bottom w:val="single" w:color="auto" w:sz="4" w:space="0"/>
              <w:right w:val="single" w:color="auto" w:sz="4" w:space="0"/>
            </w:tcBorders>
            <w:vAlign w:val="center"/>
          </w:tcPr>
          <w:p w14:paraId="40B4D49E">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vAlign w:val="center"/>
          </w:tcPr>
          <w:p w14:paraId="1CB0BBB3">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vAlign w:val="center"/>
          </w:tcPr>
          <w:p w14:paraId="3C1A7BDD">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vAlign w:val="center"/>
          </w:tcPr>
          <w:p w14:paraId="564D32F0">
            <w:pPr>
              <w:rPr>
                <w:rFonts w:ascii="宋体" w:hAnsi="宋体" w:cs="宋体"/>
                <w:color w:val="auto"/>
                <w:sz w:val="18"/>
                <w:szCs w:val="18"/>
              </w:rPr>
            </w:pPr>
            <w:r>
              <w:rPr>
                <w:rFonts w:ascii="宋体" w:hAnsi="宋体" w:cs="宋体"/>
                <w:color w:val="auto"/>
                <w:sz w:val="18"/>
                <w:szCs w:val="18"/>
              </w:rPr>
              <w:t>37.不提供霉烂变质食物</w:t>
            </w:r>
          </w:p>
        </w:tc>
        <w:tc>
          <w:tcPr>
            <w:tcW w:w="709" w:type="dxa"/>
            <w:tcBorders>
              <w:top w:val="single" w:color="auto" w:sz="4" w:space="0"/>
              <w:left w:val="single" w:color="auto" w:sz="4" w:space="0"/>
              <w:bottom w:val="single" w:color="auto" w:sz="4" w:space="0"/>
              <w:right w:val="single" w:color="auto" w:sz="4" w:space="0"/>
            </w:tcBorders>
            <w:vAlign w:val="center"/>
          </w:tcPr>
          <w:p w14:paraId="304B9766">
            <w:pPr>
              <w:rPr>
                <w:rFonts w:ascii="宋体" w:hAnsi="宋体" w:cs="宋体"/>
                <w:color w:val="auto"/>
                <w:sz w:val="18"/>
                <w:szCs w:val="18"/>
              </w:rPr>
            </w:pPr>
            <w:r>
              <w:rPr>
                <w:rFonts w:hint="eastAsia" w:ascii="宋体" w:hAnsi="宋体" w:cs="宋体"/>
                <w:color w:val="auto"/>
                <w:sz w:val="18"/>
                <w:szCs w:val="18"/>
              </w:rPr>
              <w:t>现场检查</w:t>
            </w:r>
          </w:p>
        </w:tc>
        <w:tc>
          <w:tcPr>
            <w:tcW w:w="2693" w:type="dxa"/>
            <w:tcBorders>
              <w:top w:val="single" w:color="auto" w:sz="4" w:space="0"/>
              <w:left w:val="single" w:color="auto" w:sz="4" w:space="0"/>
              <w:bottom w:val="single" w:color="auto" w:sz="4" w:space="0"/>
              <w:right w:val="single" w:color="auto" w:sz="4" w:space="0"/>
            </w:tcBorders>
            <w:vAlign w:val="center"/>
          </w:tcPr>
          <w:p w14:paraId="07F850D3">
            <w:pPr>
              <w:rPr>
                <w:rFonts w:ascii="宋体" w:hAnsi="宋体" w:cs="宋体"/>
                <w:color w:val="auto"/>
                <w:sz w:val="18"/>
                <w:szCs w:val="18"/>
              </w:rPr>
            </w:pPr>
            <w:r>
              <w:rPr>
                <w:rFonts w:hint="eastAsia" w:ascii="宋体" w:hAnsi="宋体" w:cs="宋体"/>
                <w:color w:val="auto"/>
                <w:sz w:val="18"/>
                <w:szCs w:val="18"/>
              </w:rPr>
              <w:t>查实后每次支付违约金</w:t>
            </w:r>
            <w:r>
              <w:rPr>
                <w:rFonts w:ascii="宋体" w:hAnsi="宋体" w:cs="宋体"/>
                <w:color w:val="auto"/>
                <w:sz w:val="18"/>
                <w:szCs w:val="18"/>
              </w:rPr>
              <w:t>10000元</w:t>
            </w:r>
          </w:p>
        </w:tc>
        <w:tc>
          <w:tcPr>
            <w:tcW w:w="1559" w:type="dxa"/>
            <w:tcBorders>
              <w:top w:val="single" w:color="auto" w:sz="4" w:space="0"/>
              <w:left w:val="single" w:color="auto" w:sz="4" w:space="0"/>
              <w:bottom w:val="single" w:color="auto" w:sz="4" w:space="0"/>
              <w:right w:val="single" w:color="auto" w:sz="4" w:space="0"/>
            </w:tcBorders>
            <w:vAlign w:val="center"/>
          </w:tcPr>
          <w:p w14:paraId="6DF70913">
            <w:pPr>
              <w:rPr>
                <w:rFonts w:ascii="宋体" w:hAnsi="宋体" w:cs="宋体"/>
                <w:color w:val="auto"/>
                <w:sz w:val="18"/>
                <w:szCs w:val="18"/>
              </w:rPr>
            </w:pPr>
            <w:r>
              <w:rPr>
                <w:rFonts w:hint="eastAsia" w:ascii="宋体" w:hAnsi="宋体" w:cs="宋体"/>
                <w:color w:val="auto"/>
                <w:sz w:val="18"/>
                <w:szCs w:val="18"/>
              </w:rPr>
              <w:t>不符合要求的扣</w:t>
            </w:r>
            <w:r>
              <w:rPr>
                <w:rFonts w:ascii="宋体" w:hAnsi="宋体" w:cs="宋体"/>
                <w:color w:val="auto"/>
                <w:sz w:val="18"/>
                <w:szCs w:val="18"/>
              </w:rPr>
              <w:t>5分/次</w:t>
            </w:r>
          </w:p>
        </w:tc>
      </w:tr>
      <w:tr w14:paraId="3096DA5F">
        <w:tblPrEx>
          <w:tblCellMar>
            <w:top w:w="0" w:type="dxa"/>
            <w:left w:w="108" w:type="dxa"/>
            <w:bottom w:w="0" w:type="dxa"/>
            <w:right w:w="108" w:type="dxa"/>
          </w:tblCellMar>
        </w:tblPrEx>
        <w:trPr>
          <w:trHeight w:val="480" w:hRule="atLeast"/>
          <w:jc w:val="center"/>
        </w:trPr>
        <w:tc>
          <w:tcPr>
            <w:tcW w:w="499" w:type="dxa"/>
            <w:vMerge w:val="continue"/>
            <w:tcBorders>
              <w:top w:val="single" w:color="auto" w:sz="4" w:space="0"/>
              <w:left w:val="single" w:color="auto" w:sz="4" w:space="0"/>
              <w:bottom w:val="single" w:color="auto" w:sz="4" w:space="0"/>
              <w:right w:val="single" w:color="auto" w:sz="4" w:space="0"/>
            </w:tcBorders>
            <w:vAlign w:val="center"/>
          </w:tcPr>
          <w:p w14:paraId="48C3F8A7">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vAlign w:val="center"/>
          </w:tcPr>
          <w:p w14:paraId="084E362F">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vAlign w:val="center"/>
          </w:tcPr>
          <w:p w14:paraId="567CC38F">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vAlign w:val="center"/>
          </w:tcPr>
          <w:p w14:paraId="7322CA37">
            <w:pPr>
              <w:rPr>
                <w:rFonts w:ascii="宋体" w:hAnsi="宋体" w:cs="宋体"/>
                <w:color w:val="auto"/>
                <w:sz w:val="18"/>
                <w:szCs w:val="18"/>
              </w:rPr>
            </w:pPr>
            <w:r>
              <w:rPr>
                <w:rFonts w:ascii="宋体" w:hAnsi="宋体" w:cs="宋体"/>
                <w:color w:val="auto"/>
                <w:sz w:val="18"/>
                <w:szCs w:val="18"/>
              </w:rPr>
              <w:t>38.餐厅内外、厨房、操作间、库房等场所应保持卫生、整洁</w:t>
            </w:r>
          </w:p>
        </w:tc>
        <w:tc>
          <w:tcPr>
            <w:tcW w:w="709" w:type="dxa"/>
            <w:tcBorders>
              <w:top w:val="single" w:color="auto" w:sz="4" w:space="0"/>
              <w:left w:val="single" w:color="auto" w:sz="4" w:space="0"/>
              <w:bottom w:val="single" w:color="auto" w:sz="4" w:space="0"/>
              <w:right w:val="single" w:color="auto" w:sz="4" w:space="0"/>
            </w:tcBorders>
            <w:vAlign w:val="center"/>
          </w:tcPr>
          <w:p w14:paraId="7EDD8622">
            <w:pPr>
              <w:rPr>
                <w:rFonts w:ascii="宋体" w:hAnsi="宋体" w:cs="宋体"/>
                <w:color w:val="auto"/>
                <w:sz w:val="18"/>
                <w:szCs w:val="18"/>
              </w:rPr>
            </w:pPr>
            <w:r>
              <w:rPr>
                <w:rFonts w:hint="eastAsia" w:ascii="宋体" w:hAnsi="宋体" w:cs="宋体"/>
                <w:color w:val="auto"/>
                <w:sz w:val="18"/>
                <w:szCs w:val="18"/>
              </w:rPr>
              <w:t>现场检查</w:t>
            </w:r>
          </w:p>
        </w:tc>
        <w:tc>
          <w:tcPr>
            <w:tcW w:w="2693" w:type="dxa"/>
            <w:tcBorders>
              <w:top w:val="single" w:color="auto" w:sz="4" w:space="0"/>
              <w:left w:val="single" w:color="auto" w:sz="4" w:space="0"/>
              <w:bottom w:val="single" w:color="auto" w:sz="4" w:space="0"/>
              <w:right w:val="single" w:color="auto" w:sz="4" w:space="0"/>
            </w:tcBorders>
            <w:vAlign w:val="center"/>
          </w:tcPr>
          <w:p w14:paraId="74FFEB5B">
            <w:pPr>
              <w:rPr>
                <w:rFonts w:ascii="宋体" w:hAnsi="宋体" w:cs="宋体"/>
                <w:color w:val="auto"/>
                <w:sz w:val="18"/>
                <w:szCs w:val="18"/>
              </w:rPr>
            </w:pPr>
            <w:r>
              <w:rPr>
                <w:rFonts w:hint="eastAsia" w:ascii="宋体" w:hAnsi="宋体" w:cs="宋体"/>
                <w:color w:val="auto"/>
                <w:sz w:val="18"/>
                <w:szCs w:val="18"/>
              </w:rPr>
              <w:t>不符合要求的每项支付违约金</w:t>
            </w:r>
            <w:r>
              <w:rPr>
                <w:rFonts w:ascii="宋体" w:hAnsi="宋体" w:cs="宋体"/>
                <w:color w:val="auto"/>
                <w:sz w:val="18"/>
                <w:szCs w:val="18"/>
              </w:rPr>
              <w:t>1000元</w:t>
            </w:r>
          </w:p>
        </w:tc>
        <w:tc>
          <w:tcPr>
            <w:tcW w:w="1559" w:type="dxa"/>
            <w:tcBorders>
              <w:top w:val="single" w:color="auto" w:sz="4" w:space="0"/>
              <w:left w:val="single" w:color="auto" w:sz="4" w:space="0"/>
              <w:bottom w:val="single" w:color="auto" w:sz="4" w:space="0"/>
              <w:right w:val="single" w:color="auto" w:sz="4" w:space="0"/>
            </w:tcBorders>
            <w:vAlign w:val="center"/>
          </w:tcPr>
          <w:p w14:paraId="48EEB448">
            <w:pPr>
              <w:rPr>
                <w:rFonts w:ascii="宋体" w:hAnsi="宋体" w:cs="宋体"/>
                <w:color w:val="auto"/>
                <w:sz w:val="18"/>
                <w:szCs w:val="18"/>
              </w:rPr>
            </w:pPr>
            <w:r>
              <w:rPr>
                <w:rFonts w:hint="eastAsia" w:ascii="宋体" w:hAnsi="宋体" w:cs="宋体"/>
                <w:color w:val="auto"/>
                <w:sz w:val="18"/>
                <w:szCs w:val="18"/>
              </w:rPr>
              <w:t>不符合要求的扣</w:t>
            </w:r>
            <w:r>
              <w:rPr>
                <w:rFonts w:ascii="宋体" w:hAnsi="宋体" w:cs="宋体"/>
                <w:color w:val="auto"/>
                <w:sz w:val="18"/>
                <w:szCs w:val="18"/>
              </w:rPr>
              <w:t>1分/次</w:t>
            </w:r>
          </w:p>
        </w:tc>
      </w:tr>
      <w:tr w14:paraId="517BC8D9">
        <w:tblPrEx>
          <w:tblCellMar>
            <w:top w:w="0" w:type="dxa"/>
            <w:left w:w="108" w:type="dxa"/>
            <w:bottom w:w="0" w:type="dxa"/>
            <w:right w:w="108" w:type="dxa"/>
          </w:tblCellMar>
        </w:tblPrEx>
        <w:trPr>
          <w:trHeight w:val="480" w:hRule="atLeast"/>
          <w:jc w:val="center"/>
        </w:trPr>
        <w:tc>
          <w:tcPr>
            <w:tcW w:w="499" w:type="dxa"/>
            <w:vMerge w:val="continue"/>
            <w:tcBorders>
              <w:top w:val="single" w:color="auto" w:sz="4" w:space="0"/>
              <w:left w:val="single" w:color="auto" w:sz="4" w:space="0"/>
              <w:bottom w:val="single" w:color="auto" w:sz="4" w:space="0"/>
              <w:right w:val="single" w:color="auto" w:sz="4" w:space="0"/>
            </w:tcBorders>
            <w:vAlign w:val="center"/>
          </w:tcPr>
          <w:p w14:paraId="05F0BF98">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vAlign w:val="center"/>
          </w:tcPr>
          <w:p w14:paraId="34A44236">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vAlign w:val="center"/>
          </w:tcPr>
          <w:p w14:paraId="522317C5">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shd w:val="clear" w:color="auto" w:fill="auto"/>
            <w:vAlign w:val="center"/>
          </w:tcPr>
          <w:p w14:paraId="0D1DEB41">
            <w:pPr>
              <w:rPr>
                <w:rFonts w:ascii="宋体" w:hAnsi="宋体" w:cs="宋体"/>
                <w:color w:val="auto"/>
                <w:sz w:val="18"/>
                <w:szCs w:val="18"/>
              </w:rPr>
            </w:pPr>
            <w:r>
              <w:rPr>
                <w:rFonts w:ascii="宋体" w:hAnsi="宋体" w:cs="宋体"/>
                <w:color w:val="auto"/>
                <w:sz w:val="18"/>
                <w:szCs w:val="18"/>
              </w:rPr>
              <w:t>39.食堂内外按照垃圾分类要求设置垃圾桶。应当设置专门的餐厨废弃物收集设施并明显标识，按照规定收集、存放、回收餐厨废弃物、废弃油脂，并建立相</w:t>
            </w:r>
            <w:r>
              <w:rPr>
                <w:rFonts w:hint="eastAsia" w:ascii="宋体" w:hAnsi="宋体" w:cs="宋体"/>
                <w:color w:val="auto"/>
                <w:sz w:val="18"/>
                <w:szCs w:val="18"/>
              </w:rPr>
              <w:t>关制度及台账，及时按照相关规定处置餐厨垃圾，不得私自处理。</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11EC46D0">
            <w:pPr>
              <w:rPr>
                <w:rFonts w:ascii="宋体" w:hAnsi="宋体" w:cs="宋体"/>
                <w:color w:val="auto"/>
                <w:sz w:val="18"/>
                <w:szCs w:val="18"/>
              </w:rPr>
            </w:pPr>
            <w:r>
              <w:rPr>
                <w:rFonts w:hint="eastAsia" w:ascii="宋体" w:hAnsi="宋体" w:cs="宋体"/>
                <w:color w:val="auto"/>
                <w:sz w:val="18"/>
                <w:szCs w:val="18"/>
              </w:rPr>
              <w:t>现场</w:t>
            </w:r>
          </w:p>
          <w:p w14:paraId="5D71696F">
            <w:pPr>
              <w:rPr>
                <w:rFonts w:ascii="宋体" w:hAnsi="宋体" w:cs="宋体"/>
                <w:color w:val="auto"/>
                <w:sz w:val="18"/>
                <w:szCs w:val="18"/>
              </w:rPr>
            </w:pPr>
            <w:r>
              <w:rPr>
                <w:rFonts w:hint="eastAsia" w:ascii="宋体" w:hAnsi="宋体" w:cs="宋体"/>
                <w:color w:val="auto"/>
                <w:sz w:val="18"/>
                <w:szCs w:val="18"/>
              </w:rPr>
              <w:t>检查</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tcPr>
          <w:p w14:paraId="1A151D24">
            <w:pPr>
              <w:rPr>
                <w:rFonts w:ascii="宋体" w:hAnsi="宋体" w:cs="宋体"/>
                <w:color w:val="auto"/>
                <w:sz w:val="18"/>
                <w:szCs w:val="18"/>
              </w:rPr>
            </w:pPr>
            <w:r>
              <w:rPr>
                <w:rFonts w:hint="eastAsia" w:ascii="宋体" w:hAnsi="宋体" w:cs="宋体"/>
                <w:color w:val="auto"/>
                <w:sz w:val="18"/>
                <w:szCs w:val="18"/>
              </w:rPr>
              <w:t>不符合要求的支付违约金</w:t>
            </w:r>
            <w:r>
              <w:rPr>
                <w:rFonts w:ascii="宋体" w:hAnsi="宋体" w:cs="宋体"/>
                <w:color w:val="auto"/>
                <w:sz w:val="18"/>
                <w:szCs w:val="18"/>
              </w:rPr>
              <w:t>1000元/项/次</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02FAE149">
            <w:pPr>
              <w:rPr>
                <w:rFonts w:ascii="宋体" w:hAnsi="宋体" w:cs="宋体"/>
                <w:color w:val="auto"/>
                <w:sz w:val="18"/>
                <w:szCs w:val="18"/>
              </w:rPr>
            </w:pPr>
            <w:r>
              <w:rPr>
                <w:rFonts w:hint="eastAsia" w:ascii="宋体" w:hAnsi="宋体" w:cs="宋体"/>
                <w:color w:val="auto"/>
                <w:sz w:val="18"/>
                <w:szCs w:val="18"/>
              </w:rPr>
              <w:t>不符合要求的扣</w:t>
            </w:r>
            <w:r>
              <w:rPr>
                <w:rFonts w:ascii="宋体" w:hAnsi="宋体" w:cs="宋体"/>
                <w:color w:val="auto"/>
                <w:sz w:val="18"/>
                <w:szCs w:val="18"/>
              </w:rPr>
              <w:t>1分/项/次</w:t>
            </w:r>
          </w:p>
        </w:tc>
      </w:tr>
      <w:tr w14:paraId="5A6833F7">
        <w:tblPrEx>
          <w:tblCellMar>
            <w:top w:w="0" w:type="dxa"/>
            <w:left w:w="108" w:type="dxa"/>
            <w:bottom w:w="0" w:type="dxa"/>
            <w:right w:w="108" w:type="dxa"/>
          </w:tblCellMar>
        </w:tblPrEx>
        <w:trPr>
          <w:trHeight w:val="645" w:hRule="atLeast"/>
          <w:jc w:val="center"/>
        </w:trPr>
        <w:tc>
          <w:tcPr>
            <w:tcW w:w="499" w:type="dxa"/>
            <w:vMerge w:val="restart"/>
            <w:tcBorders>
              <w:top w:val="single" w:color="auto" w:sz="4" w:space="0"/>
              <w:left w:val="single" w:color="auto" w:sz="4" w:space="0"/>
              <w:bottom w:val="single" w:color="auto" w:sz="4" w:space="0"/>
              <w:right w:val="single" w:color="auto" w:sz="4" w:space="0"/>
            </w:tcBorders>
            <w:vAlign w:val="center"/>
          </w:tcPr>
          <w:p w14:paraId="70732265">
            <w:pPr>
              <w:rPr>
                <w:rFonts w:ascii="宋体" w:hAnsi="宋体" w:cs="宋体"/>
                <w:color w:val="auto"/>
                <w:sz w:val="18"/>
                <w:szCs w:val="18"/>
              </w:rPr>
            </w:pPr>
            <w:r>
              <w:rPr>
                <w:rFonts w:hint="eastAsia" w:ascii="宋体" w:hAnsi="宋体" w:cs="宋体"/>
                <w:color w:val="auto"/>
                <w:sz w:val="18"/>
                <w:szCs w:val="18"/>
              </w:rPr>
              <w:t>三</w:t>
            </w:r>
          </w:p>
        </w:tc>
        <w:tc>
          <w:tcPr>
            <w:tcW w:w="636" w:type="dxa"/>
            <w:vMerge w:val="restart"/>
            <w:tcBorders>
              <w:top w:val="single" w:color="auto" w:sz="4" w:space="0"/>
              <w:left w:val="single" w:color="auto" w:sz="4" w:space="0"/>
              <w:bottom w:val="single" w:color="auto" w:sz="4" w:space="0"/>
              <w:right w:val="single" w:color="auto" w:sz="4" w:space="0"/>
            </w:tcBorders>
            <w:vAlign w:val="center"/>
          </w:tcPr>
          <w:p w14:paraId="07EC8694">
            <w:pPr>
              <w:rPr>
                <w:rFonts w:ascii="宋体" w:hAnsi="宋体" w:cs="宋体"/>
                <w:color w:val="auto"/>
                <w:sz w:val="18"/>
                <w:szCs w:val="18"/>
              </w:rPr>
            </w:pPr>
            <w:r>
              <w:rPr>
                <w:rFonts w:hint="eastAsia" w:ascii="宋体" w:hAnsi="宋体" w:cs="宋体"/>
                <w:color w:val="auto"/>
                <w:sz w:val="18"/>
                <w:szCs w:val="18"/>
              </w:rPr>
              <w:t>服务质量</w:t>
            </w:r>
          </w:p>
          <w:p w14:paraId="5B58C4A0">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EA7BA1C">
            <w:pPr>
              <w:rPr>
                <w:rFonts w:ascii="宋体" w:hAnsi="宋体" w:cs="宋体"/>
                <w:color w:val="auto"/>
                <w:sz w:val="18"/>
                <w:szCs w:val="18"/>
              </w:rPr>
            </w:pPr>
            <w:r>
              <w:rPr>
                <w:rFonts w:ascii="宋体" w:hAnsi="宋体" w:cs="宋体"/>
                <w:color w:val="auto"/>
                <w:sz w:val="18"/>
                <w:szCs w:val="18"/>
              </w:rPr>
              <w:t>40.食堂从业人员应掌握有关食品安全、生产安全基本知识和相关法律法规要求；食堂对员工进行安全、消防、卫生、服务等方面知识进行培训和考核。</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18194FC9">
            <w:pPr>
              <w:rPr>
                <w:rFonts w:ascii="宋体" w:hAnsi="宋体" w:cs="宋体"/>
                <w:color w:val="auto"/>
                <w:sz w:val="18"/>
                <w:szCs w:val="18"/>
              </w:rPr>
            </w:pPr>
            <w:r>
              <w:rPr>
                <w:rFonts w:hint="eastAsia" w:ascii="宋体" w:hAnsi="宋体" w:cs="宋体"/>
                <w:color w:val="auto"/>
                <w:sz w:val="18"/>
                <w:szCs w:val="18"/>
              </w:rPr>
              <w:t>现场</w:t>
            </w:r>
          </w:p>
          <w:p w14:paraId="201A59FD">
            <w:pPr>
              <w:rPr>
                <w:rFonts w:ascii="宋体" w:hAnsi="宋体" w:cs="宋体"/>
                <w:color w:val="auto"/>
                <w:sz w:val="18"/>
                <w:szCs w:val="18"/>
              </w:rPr>
            </w:pPr>
            <w:r>
              <w:rPr>
                <w:rFonts w:hint="eastAsia" w:ascii="宋体" w:hAnsi="宋体" w:cs="宋体"/>
                <w:color w:val="auto"/>
                <w:sz w:val="18"/>
                <w:szCs w:val="18"/>
              </w:rPr>
              <w:t>检查</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tcPr>
          <w:p w14:paraId="337792B4">
            <w:pPr>
              <w:rPr>
                <w:rFonts w:ascii="宋体" w:hAnsi="宋体" w:cs="宋体"/>
                <w:color w:val="auto"/>
                <w:sz w:val="18"/>
                <w:szCs w:val="18"/>
              </w:rPr>
            </w:pPr>
            <w:r>
              <w:rPr>
                <w:rFonts w:hint="eastAsia" w:ascii="宋体" w:hAnsi="宋体" w:cs="宋体"/>
                <w:color w:val="auto"/>
                <w:sz w:val="18"/>
                <w:szCs w:val="18"/>
              </w:rPr>
              <w:t>不符合要求的支付违约金</w:t>
            </w:r>
            <w:r>
              <w:rPr>
                <w:rFonts w:ascii="宋体" w:hAnsi="宋体" w:cs="宋体"/>
                <w:color w:val="auto"/>
                <w:sz w:val="18"/>
                <w:szCs w:val="18"/>
              </w:rPr>
              <w:t>1000元/人次</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3284DA72">
            <w:pPr>
              <w:rPr>
                <w:rFonts w:ascii="宋体" w:hAnsi="宋体" w:cs="宋体"/>
                <w:color w:val="auto"/>
                <w:sz w:val="18"/>
                <w:szCs w:val="18"/>
              </w:rPr>
            </w:pPr>
            <w:r>
              <w:rPr>
                <w:rFonts w:hint="eastAsia" w:ascii="宋体" w:hAnsi="宋体" w:cs="宋体"/>
                <w:color w:val="auto"/>
                <w:sz w:val="18"/>
                <w:szCs w:val="18"/>
              </w:rPr>
              <w:t>不符合要求的扣</w:t>
            </w:r>
            <w:r>
              <w:rPr>
                <w:rFonts w:ascii="宋体" w:hAnsi="宋体" w:cs="宋体"/>
                <w:color w:val="auto"/>
                <w:sz w:val="18"/>
                <w:szCs w:val="18"/>
              </w:rPr>
              <w:t>1分/人次</w:t>
            </w:r>
          </w:p>
        </w:tc>
      </w:tr>
      <w:tr w14:paraId="58EE0F77">
        <w:tblPrEx>
          <w:tblCellMar>
            <w:top w:w="0" w:type="dxa"/>
            <w:left w:w="108" w:type="dxa"/>
            <w:bottom w:w="0" w:type="dxa"/>
            <w:right w:w="108" w:type="dxa"/>
          </w:tblCellMar>
        </w:tblPrEx>
        <w:trPr>
          <w:trHeight w:val="645" w:hRule="atLeast"/>
          <w:jc w:val="center"/>
        </w:trPr>
        <w:tc>
          <w:tcPr>
            <w:tcW w:w="499" w:type="dxa"/>
            <w:vMerge w:val="continue"/>
            <w:tcBorders>
              <w:top w:val="single" w:color="auto" w:sz="4" w:space="0"/>
              <w:left w:val="single" w:color="auto" w:sz="4" w:space="0"/>
              <w:bottom w:val="single" w:color="auto" w:sz="4" w:space="0"/>
              <w:right w:val="single" w:color="auto" w:sz="4" w:space="0"/>
            </w:tcBorders>
            <w:vAlign w:val="center"/>
          </w:tcPr>
          <w:p w14:paraId="132E8428">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vAlign w:val="center"/>
          </w:tcPr>
          <w:p w14:paraId="232DEBBF">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BA20D6B">
            <w:pPr>
              <w:rPr>
                <w:rFonts w:ascii="宋体" w:hAnsi="宋体" w:cs="宋体"/>
                <w:color w:val="auto"/>
                <w:sz w:val="18"/>
                <w:szCs w:val="18"/>
              </w:rPr>
            </w:pPr>
            <w:r>
              <w:rPr>
                <w:rFonts w:ascii="宋体" w:hAnsi="宋体" w:cs="宋体"/>
                <w:color w:val="auto"/>
                <w:sz w:val="18"/>
                <w:szCs w:val="18"/>
              </w:rPr>
              <w:t>41.食堂从业人员应养成良好卫生习惯，工作场所不吸烟，</w:t>
            </w:r>
            <w:r>
              <w:rPr>
                <w:rFonts w:hint="eastAsia" w:ascii="宋体" w:hAnsi="宋体" w:cs="宋体"/>
                <w:color w:val="auto"/>
                <w:sz w:val="18"/>
                <w:szCs w:val="18"/>
              </w:rPr>
              <w:t>不随地吐痰，不戴首饰上岗，长发不外露；所有人员必须穿食堂标志的工作服、仪表端庄，并佩戴工号牌、口罩及厨帽上岗。工作服不得穿到食堂之外的区域。</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44474466">
            <w:pPr>
              <w:rPr>
                <w:rFonts w:ascii="宋体" w:hAnsi="宋体" w:cs="宋体"/>
                <w:color w:val="auto"/>
                <w:sz w:val="18"/>
                <w:szCs w:val="18"/>
              </w:rPr>
            </w:pPr>
            <w:r>
              <w:rPr>
                <w:rFonts w:hint="eastAsia" w:ascii="宋体" w:hAnsi="宋体" w:cs="宋体"/>
                <w:color w:val="auto"/>
                <w:sz w:val="18"/>
                <w:szCs w:val="18"/>
              </w:rPr>
              <w:t>现场检查</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tcPr>
          <w:p w14:paraId="0FAEC986">
            <w:pPr>
              <w:rPr>
                <w:rFonts w:ascii="宋体" w:hAnsi="宋体" w:cs="宋体"/>
                <w:color w:val="auto"/>
                <w:sz w:val="18"/>
                <w:szCs w:val="18"/>
              </w:rPr>
            </w:pPr>
            <w:r>
              <w:rPr>
                <w:rFonts w:hint="eastAsia" w:ascii="宋体" w:hAnsi="宋体" w:cs="宋体"/>
                <w:color w:val="auto"/>
                <w:sz w:val="18"/>
                <w:szCs w:val="18"/>
              </w:rPr>
              <w:t>不符合要求每人次支付违约金</w:t>
            </w:r>
            <w:r>
              <w:rPr>
                <w:rFonts w:ascii="宋体" w:hAnsi="宋体" w:cs="宋体"/>
                <w:color w:val="auto"/>
                <w:sz w:val="18"/>
                <w:szCs w:val="18"/>
              </w:rPr>
              <w:t>1000元</w:t>
            </w:r>
          </w:p>
        </w:tc>
        <w:tc>
          <w:tcPr>
            <w:tcW w:w="1559" w:type="dxa"/>
            <w:tcBorders>
              <w:top w:val="single" w:color="auto" w:sz="4" w:space="0"/>
              <w:left w:val="single" w:color="auto" w:sz="4" w:space="0"/>
              <w:bottom w:val="single" w:color="auto" w:sz="4" w:space="0"/>
              <w:right w:val="single" w:color="auto" w:sz="4" w:space="0"/>
            </w:tcBorders>
            <w:vAlign w:val="center"/>
          </w:tcPr>
          <w:p w14:paraId="299A0052">
            <w:pPr>
              <w:rPr>
                <w:rFonts w:ascii="宋体" w:hAnsi="宋体" w:cs="宋体"/>
                <w:color w:val="auto"/>
                <w:sz w:val="18"/>
                <w:szCs w:val="18"/>
              </w:rPr>
            </w:pPr>
            <w:r>
              <w:rPr>
                <w:rFonts w:hint="eastAsia" w:ascii="宋体" w:hAnsi="宋体" w:cs="宋体"/>
                <w:color w:val="auto"/>
                <w:sz w:val="18"/>
                <w:szCs w:val="18"/>
              </w:rPr>
              <w:t>不符合要求的扣</w:t>
            </w:r>
            <w:r>
              <w:rPr>
                <w:rFonts w:ascii="宋体" w:hAnsi="宋体" w:cs="宋体"/>
                <w:color w:val="auto"/>
                <w:sz w:val="18"/>
                <w:szCs w:val="18"/>
              </w:rPr>
              <w:t>1分/人次</w:t>
            </w:r>
          </w:p>
        </w:tc>
      </w:tr>
      <w:tr w14:paraId="0AE51DD3">
        <w:tblPrEx>
          <w:tblCellMar>
            <w:top w:w="0" w:type="dxa"/>
            <w:left w:w="108" w:type="dxa"/>
            <w:bottom w:w="0" w:type="dxa"/>
            <w:right w:w="108" w:type="dxa"/>
          </w:tblCellMar>
        </w:tblPrEx>
        <w:trPr>
          <w:trHeight w:val="555" w:hRule="atLeast"/>
          <w:jc w:val="center"/>
        </w:trPr>
        <w:tc>
          <w:tcPr>
            <w:tcW w:w="499" w:type="dxa"/>
            <w:vMerge w:val="continue"/>
            <w:tcBorders>
              <w:top w:val="single" w:color="auto" w:sz="4" w:space="0"/>
              <w:left w:val="single" w:color="auto" w:sz="4" w:space="0"/>
              <w:bottom w:val="single" w:color="auto" w:sz="4" w:space="0"/>
              <w:right w:val="single" w:color="auto" w:sz="4" w:space="0"/>
            </w:tcBorders>
            <w:vAlign w:val="center"/>
          </w:tcPr>
          <w:p w14:paraId="71AC6448">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vAlign w:val="center"/>
          </w:tcPr>
          <w:p w14:paraId="2BF45B12">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vAlign w:val="center"/>
          </w:tcPr>
          <w:p w14:paraId="6EC51171">
            <w:pPr>
              <w:rPr>
                <w:rFonts w:ascii="宋体" w:hAnsi="宋体" w:cs="宋体"/>
                <w:color w:val="auto"/>
                <w:sz w:val="18"/>
                <w:szCs w:val="18"/>
              </w:rPr>
            </w:pPr>
            <w:r>
              <w:rPr>
                <w:rFonts w:ascii="宋体" w:hAnsi="宋体" w:cs="宋体"/>
                <w:color w:val="auto"/>
                <w:sz w:val="18"/>
                <w:szCs w:val="18"/>
              </w:rPr>
              <w:t>42.应做到服务及操作程序规范，态度端正，主动热情，文明用语，不和他人发生争吵及正面冲突，上岗期间不做与工作无关的事。</w:t>
            </w:r>
          </w:p>
        </w:tc>
        <w:tc>
          <w:tcPr>
            <w:tcW w:w="709" w:type="dxa"/>
            <w:tcBorders>
              <w:top w:val="single" w:color="auto" w:sz="4" w:space="0"/>
              <w:left w:val="single" w:color="auto" w:sz="4" w:space="0"/>
              <w:bottom w:val="single" w:color="auto" w:sz="4" w:space="0"/>
              <w:right w:val="single" w:color="auto" w:sz="4" w:space="0"/>
            </w:tcBorders>
            <w:vAlign w:val="bottom"/>
          </w:tcPr>
          <w:p w14:paraId="52DB61F7">
            <w:pPr>
              <w:rPr>
                <w:rFonts w:ascii="宋体" w:hAnsi="宋体" w:cs="宋体"/>
                <w:color w:val="auto"/>
                <w:sz w:val="18"/>
                <w:szCs w:val="18"/>
              </w:rPr>
            </w:pPr>
            <w:r>
              <w:rPr>
                <w:rFonts w:hint="eastAsia" w:ascii="宋体" w:hAnsi="宋体" w:cs="宋体"/>
                <w:color w:val="auto"/>
                <w:sz w:val="18"/>
                <w:szCs w:val="18"/>
              </w:rPr>
              <w:t>核实投诉</w:t>
            </w:r>
          </w:p>
        </w:tc>
        <w:tc>
          <w:tcPr>
            <w:tcW w:w="2693" w:type="dxa"/>
            <w:tcBorders>
              <w:top w:val="single" w:color="auto" w:sz="4" w:space="0"/>
              <w:left w:val="single" w:color="auto" w:sz="4" w:space="0"/>
              <w:bottom w:val="single" w:color="auto" w:sz="4" w:space="0"/>
              <w:right w:val="single" w:color="auto" w:sz="4" w:space="0"/>
            </w:tcBorders>
            <w:vAlign w:val="center"/>
          </w:tcPr>
          <w:p w14:paraId="77A68F24">
            <w:pPr>
              <w:rPr>
                <w:rFonts w:ascii="宋体" w:hAnsi="宋体" w:cs="宋体"/>
                <w:color w:val="auto"/>
                <w:sz w:val="18"/>
                <w:szCs w:val="18"/>
              </w:rPr>
            </w:pPr>
            <w:r>
              <w:rPr>
                <w:rFonts w:hint="eastAsia" w:ascii="宋体" w:hAnsi="宋体" w:cs="宋体"/>
                <w:color w:val="auto"/>
                <w:sz w:val="18"/>
                <w:szCs w:val="18"/>
              </w:rPr>
              <w:t>查实后每次支付违约金</w:t>
            </w:r>
            <w:r>
              <w:rPr>
                <w:rFonts w:ascii="宋体" w:hAnsi="宋体" w:cs="宋体"/>
                <w:color w:val="auto"/>
                <w:sz w:val="18"/>
                <w:szCs w:val="18"/>
              </w:rPr>
              <w:t>1000元</w:t>
            </w:r>
          </w:p>
        </w:tc>
        <w:tc>
          <w:tcPr>
            <w:tcW w:w="1559" w:type="dxa"/>
            <w:tcBorders>
              <w:top w:val="single" w:color="auto" w:sz="4" w:space="0"/>
              <w:left w:val="single" w:color="auto" w:sz="4" w:space="0"/>
              <w:bottom w:val="single" w:color="auto" w:sz="4" w:space="0"/>
              <w:right w:val="single" w:color="auto" w:sz="4" w:space="0"/>
            </w:tcBorders>
            <w:vAlign w:val="center"/>
          </w:tcPr>
          <w:p w14:paraId="79037D71">
            <w:pPr>
              <w:rPr>
                <w:rFonts w:ascii="宋体" w:hAnsi="宋体" w:cs="宋体"/>
                <w:color w:val="auto"/>
                <w:sz w:val="18"/>
                <w:szCs w:val="18"/>
              </w:rPr>
            </w:pPr>
            <w:r>
              <w:rPr>
                <w:rFonts w:hint="eastAsia" w:ascii="宋体" w:hAnsi="宋体" w:cs="宋体"/>
                <w:color w:val="auto"/>
                <w:sz w:val="18"/>
                <w:szCs w:val="18"/>
              </w:rPr>
              <w:t>不符合要求的扣</w:t>
            </w:r>
            <w:r>
              <w:rPr>
                <w:rFonts w:ascii="宋体" w:hAnsi="宋体" w:cs="宋体"/>
                <w:color w:val="auto"/>
                <w:sz w:val="18"/>
                <w:szCs w:val="18"/>
              </w:rPr>
              <w:t>1分/人次</w:t>
            </w:r>
          </w:p>
        </w:tc>
      </w:tr>
      <w:tr w14:paraId="5D8F4F76">
        <w:tblPrEx>
          <w:tblCellMar>
            <w:top w:w="0" w:type="dxa"/>
            <w:left w:w="108" w:type="dxa"/>
            <w:bottom w:w="0" w:type="dxa"/>
            <w:right w:w="108" w:type="dxa"/>
          </w:tblCellMar>
        </w:tblPrEx>
        <w:trPr>
          <w:trHeight w:val="510" w:hRule="atLeast"/>
          <w:jc w:val="center"/>
        </w:trPr>
        <w:tc>
          <w:tcPr>
            <w:tcW w:w="499" w:type="dxa"/>
            <w:vMerge w:val="continue"/>
            <w:tcBorders>
              <w:top w:val="single" w:color="auto" w:sz="4" w:space="0"/>
              <w:left w:val="single" w:color="auto" w:sz="4" w:space="0"/>
              <w:bottom w:val="single" w:color="auto" w:sz="4" w:space="0"/>
              <w:right w:val="single" w:color="auto" w:sz="4" w:space="0"/>
            </w:tcBorders>
            <w:vAlign w:val="center"/>
          </w:tcPr>
          <w:p w14:paraId="78874D32">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vAlign w:val="center"/>
          </w:tcPr>
          <w:p w14:paraId="1AA6CC7E">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vAlign w:val="center"/>
          </w:tcPr>
          <w:p w14:paraId="19FACF6F">
            <w:pPr>
              <w:rPr>
                <w:rFonts w:ascii="宋体" w:hAnsi="宋体" w:cs="宋体"/>
                <w:color w:val="auto"/>
                <w:sz w:val="18"/>
                <w:szCs w:val="18"/>
              </w:rPr>
            </w:pPr>
            <w:r>
              <w:rPr>
                <w:rFonts w:ascii="宋体" w:hAnsi="宋体" w:cs="宋体"/>
                <w:color w:val="auto"/>
                <w:sz w:val="18"/>
                <w:szCs w:val="18"/>
              </w:rPr>
              <w:t>43.应在食堂明显位置设有就餐投诉台(或设立意见箱、意见薄)、餐饮张贴信息化意见反馈系统二维码、失物招领台，及时处理就餐者投诉意见、建议，意见处理和失物招领过程记录清晰。</w:t>
            </w:r>
          </w:p>
        </w:tc>
        <w:tc>
          <w:tcPr>
            <w:tcW w:w="709" w:type="dxa"/>
            <w:tcBorders>
              <w:top w:val="single" w:color="auto" w:sz="4" w:space="0"/>
              <w:left w:val="single" w:color="auto" w:sz="4" w:space="0"/>
              <w:bottom w:val="single" w:color="auto" w:sz="4" w:space="0"/>
              <w:right w:val="single" w:color="auto" w:sz="4" w:space="0"/>
            </w:tcBorders>
            <w:vAlign w:val="center"/>
          </w:tcPr>
          <w:p w14:paraId="401BE141">
            <w:pPr>
              <w:rPr>
                <w:rFonts w:ascii="宋体" w:hAnsi="宋体" w:cs="宋体"/>
                <w:color w:val="auto"/>
                <w:sz w:val="18"/>
                <w:szCs w:val="18"/>
              </w:rPr>
            </w:pPr>
            <w:r>
              <w:rPr>
                <w:rFonts w:hint="eastAsia" w:ascii="宋体" w:hAnsi="宋体" w:cs="宋体"/>
                <w:color w:val="auto"/>
                <w:sz w:val="18"/>
                <w:szCs w:val="18"/>
              </w:rPr>
              <w:t>现场检查</w:t>
            </w:r>
          </w:p>
        </w:tc>
        <w:tc>
          <w:tcPr>
            <w:tcW w:w="2693" w:type="dxa"/>
            <w:tcBorders>
              <w:top w:val="single" w:color="auto" w:sz="4" w:space="0"/>
              <w:left w:val="single" w:color="auto" w:sz="4" w:space="0"/>
              <w:bottom w:val="single" w:color="auto" w:sz="4" w:space="0"/>
              <w:right w:val="single" w:color="auto" w:sz="4" w:space="0"/>
            </w:tcBorders>
            <w:vAlign w:val="center"/>
          </w:tcPr>
          <w:p w14:paraId="4E1963E3">
            <w:pPr>
              <w:rPr>
                <w:rFonts w:ascii="宋体" w:hAnsi="宋体" w:cs="宋体"/>
                <w:color w:val="auto"/>
                <w:sz w:val="18"/>
                <w:szCs w:val="18"/>
              </w:rPr>
            </w:pPr>
            <w:r>
              <w:rPr>
                <w:rFonts w:hint="eastAsia" w:ascii="宋体" w:hAnsi="宋体" w:cs="宋体"/>
                <w:color w:val="auto"/>
                <w:sz w:val="18"/>
                <w:szCs w:val="18"/>
              </w:rPr>
              <w:t>不符合要求每次每件支付违约金</w:t>
            </w:r>
            <w:r>
              <w:rPr>
                <w:rFonts w:ascii="宋体" w:hAnsi="宋体" w:cs="宋体"/>
                <w:color w:val="auto"/>
                <w:sz w:val="18"/>
                <w:szCs w:val="18"/>
              </w:rPr>
              <w:t>1000元</w:t>
            </w:r>
          </w:p>
        </w:tc>
        <w:tc>
          <w:tcPr>
            <w:tcW w:w="1559" w:type="dxa"/>
            <w:tcBorders>
              <w:top w:val="single" w:color="auto" w:sz="4" w:space="0"/>
              <w:left w:val="single" w:color="auto" w:sz="4" w:space="0"/>
              <w:bottom w:val="single" w:color="auto" w:sz="4" w:space="0"/>
              <w:right w:val="single" w:color="auto" w:sz="4" w:space="0"/>
            </w:tcBorders>
            <w:vAlign w:val="center"/>
          </w:tcPr>
          <w:p w14:paraId="57D273A3">
            <w:pPr>
              <w:rPr>
                <w:rFonts w:ascii="宋体" w:hAnsi="宋体" w:cs="宋体"/>
                <w:color w:val="auto"/>
                <w:sz w:val="18"/>
                <w:szCs w:val="18"/>
              </w:rPr>
            </w:pPr>
            <w:r>
              <w:rPr>
                <w:rFonts w:hint="eastAsia" w:ascii="宋体" w:hAnsi="宋体" w:cs="宋体"/>
                <w:color w:val="auto"/>
                <w:sz w:val="18"/>
                <w:szCs w:val="18"/>
              </w:rPr>
              <w:t>不符合要求的扣</w:t>
            </w:r>
            <w:r>
              <w:rPr>
                <w:rFonts w:ascii="宋体" w:hAnsi="宋体" w:cs="宋体"/>
                <w:color w:val="auto"/>
                <w:sz w:val="18"/>
                <w:szCs w:val="18"/>
              </w:rPr>
              <w:t>1分/次</w:t>
            </w:r>
          </w:p>
        </w:tc>
      </w:tr>
      <w:tr w14:paraId="2452D314">
        <w:tblPrEx>
          <w:tblCellMar>
            <w:top w:w="0" w:type="dxa"/>
            <w:left w:w="108" w:type="dxa"/>
            <w:bottom w:w="0" w:type="dxa"/>
            <w:right w:w="108" w:type="dxa"/>
          </w:tblCellMar>
        </w:tblPrEx>
        <w:trPr>
          <w:trHeight w:val="645" w:hRule="atLeast"/>
          <w:jc w:val="center"/>
        </w:trPr>
        <w:tc>
          <w:tcPr>
            <w:tcW w:w="499" w:type="dxa"/>
            <w:vMerge w:val="continue"/>
            <w:tcBorders>
              <w:top w:val="single" w:color="auto" w:sz="4" w:space="0"/>
              <w:left w:val="single" w:color="auto" w:sz="4" w:space="0"/>
              <w:bottom w:val="single" w:color="auto" w:sz="4" w:space="0"/>
              <w:right w:val="single" w:color="auto" w:sz="4" w:space="0"/>
            </w:tcBorders>
            <w:vAlign w:val="center"/>
          </w:tcPr>
          <w:p w14:paraId="6128DBB5">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vAlign w:val="center"/>
          </w:tcPr>
          <w:p w14:paraId="6B6EFD81">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vAlign w:val="center"/>
          </w:tcPr>
          <w:p w14:paraId="35D1DE12">
            <w:pPr>
              <w:rPr>
                <w:rFonts w:ascii="宋体" w:hAnsi="宋体" w:cs="宋体"/>
                <w:color w:val="auto"/>
                <w:sz w:val="18"/>
                <w:szCs w:val="18"/>
              </w:rPr>
            </w:pPr>
            <w:r>
              <w:rPr>
                <w:rFonts w:ascii="宋体" w:hAnsi="宋体" w:cs="宋体"/>
                <w:color w:val="auto"/>
                <w:sz w:val="18"/>
                <w:szCs w:val="18"/>
              </w:rPr>
              <w:t>44.应在中、晚餐供应期间向就餐者提供免费汤，并派专人负责管理。</w:t>
            </w:r>
          </w:p>
        </w:tc>
        <w:tc>
          <w:tcPr>
            <w:tcW w:w="709" w:type="dxa"/>
            <w:tcBorders>
              <w:top w:val="single" w:color="auto" w:sz="4" w:space="0"/>
              <w:left w:val="single" w:color="auto" w:sz="4" w:space="0"/>
              <w:bottom w:val="single" w:color="auto" w:sz="4" w:space="0"/>
              <w:right w:val="single" w:color="auto" w:sz="4" w:space="0"/>
            </w:tcBorders>
            <w:vAlign w:val="center"/>
          </w:tcPr>
          <w:p w14:paraId="17244051">
            <w:pPr>
              <w:rPr>
                <w:rFonts w:ascii="宋体" w:hAnsi="宋体" w:cs="宋体"/>
                <w:color w:val="auto"/>
                <w:sz w:val="18"/>
                <w:szCs w:val="18"/>
              </w:rPr>
            </w:pPr>
            <w:r>
              <w:rPr>
                <w:rFonts w:hint="eastAsia" w:ascii="宋体" w:hAnsi="宋体" w:cs="宋体"/>
                <w:color w:val="auto"/>
                <w:sz w:val="18"/>
                <w:szCs w:val="18"/>
              </w:rPr>
              <w:t>现场检查</w:t>
            </w:r>
          </w:p>
        </w:tc>
        <w:tc>
          <w:tcPr>
            <w:tcW w:w="2693" w:type="dxa"/>
            <w:tcBorders>
              <w:top w:val="single" w:color="auto" w:sz="4" w:space="0"/>
              <w:left w:val="single" w:color="auto" w:sz="4" w:space="0"/>
              <w:bottom w:val="single" w:color="auto" w:sz="4" w:space="0"/>
              <w:right w:val="single" w:color="auto" w:sz="4" w:space="0"/>
            </w:tcBorders>
            <w:vAlign w:val="center"/>
          </w:tcPr>
          <w:p w14:paraId="43AED824">
            <w:pPr>
              <w:rPr>
                <w:rFonts w:ascii="宋体" w:hAnsi="宋体" w:cs="宋体"/>
                <w:color w:val="auto"/>
                <w:sz w:val="18"/>
                <w:szCs w:val="18"/>
              </w:rPr>
            </w:pPr>
            <w:r>
              <w:rPr>
                <w:rFonts w:hint="eastAsia" w:ascii="宋体" w:hAnsi="宋体" w:cs="宋体"/>
                <w:color w:val="auto"/>
                <w:sz w:val="18"/>
                <w:szCs w:val="18"/>
              </w:rPr>
              <w:t>不符合要求的每项支付违约金</w:t>
            </w:r>
            <w:r>
              <w:rPr>
                <w:rFonts w:ascii="宋体" w:hAnsi="宋体" w:cs="宋体"/>
                <w:color w:val="auto"/>
                <w:sz w:val="18"/>
                <w:szCs w:val="18"/>
              </w:rPr>
              <w:t>1000元</w:t>
            </w:r>
          </w:p>
        </w:tc>
        <w:tc>
          <w:tcPr>
            <w:tcW w:w="1559" w:type="dxa"/>
            <w:tcBorders>
              <w:top w:val="single" w:color="auto" w:sz="4" w:space="0"/>
              <w:left w:val="single" w:color="auto" w:sz="4" w:space="0"/>
              <w:bottom w:val="single" w:color="auto" w:sz="4" w:space="0"/>
              <w:right w:val="single" w:color="auto" w:sz="4" w:space="0"/>
            </w:tcBorders>
            <w:vAlign w:val="center"/>
          </w:tcPr>
          <w:p w14:paraId="683F5BD4">
            <w:pPr>
              <w:rPr>
                <w:rFonts w:ascii="宋体" w:hAnsi="宋体" w:cs="宋体"/>
                <w:color w:val="auto"/>
                <w:sz w:val="18"/>
                <w:szCs w:val="18"/>
              </w:rPr>
            </w:pPr>
            <w:r>
              <w:rPr>
                <w:rFonts w:hint="eastAsia" w:ascii="宋体" w:hAnsi="宋体" w:cs="宋体"/>
                <w:color w:val="auto"/>
                <w:sz w:val="18"/>
                <w:szCs w:val="18"/>
              </w:rPr>
              <w:t>不符合要求的扣</w:t>
            </w:r>
            <w:r>
              <w:rPr>
                <w:rFonts w:ascii="宋体" w:hAnsi="宋体" w:cs="宋体"/>
                <w:color w:val="auto"/>
                <w:sz w:val="18"/>
                <w:szCs w:val="18"/>
              </w:rPr>
              <w:t>1分/次</w:t>
            </w:r>
          </w:p>
        </w:tc>
      </w:tr>
      <w:tr w14:paraId="6D8A6B9A">
        <w:tblPrEx>
          <w:tblCellMar>
            <w:top w:w="0" w:type="dxa"/>
            <w:left w:w="108" w:type="dxa"/>
            <w:bottom w:w="0" w:type="dxa"/>
            <w:right w:w="108" w:type="dxa"/>
          </w:tblCellMar>
        </w:tblPrEx>
        <w:trPr>
          <w:trHeight w:val="600" w:hRule="atLeast"/>
          <w:jc w:val="center"/>
        </w:trPr>
        <w:tc>
          <w:tcPr>
            <w:tcW w:w="499" w:type="dxa"/>
            <w:vMerge w:val="continue"/>
            <w:tcBorders>
              <w:top w:val="single" w:color="auto" w:sz="4" w:space="0"/>
              <w:left w:val="single" w:color="auto" w:sz="4" w:space="0"/>
              <w:bottom w:val="single" w:color="auto" w:sz="4" w:space="0"/>
              <w:right w:val="single" w:color="auto" w:sz="4" w:space="0"/>
            </w:tcBorders>
            <w:vAlign w:val="center"/>
          </w:tcPr>
          <w:p w14:paraId="553EB75C">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vAlign w:val="center"/>
          </w:tcPr>
          <w:p w14:paraId="492EF07B">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39276D1">
            <w:pPr>
              <w:rPr>
                <w:rFonts w:ascii="宋体" w:hAnsi="宋体" w:cs="宋体"/>
                <w:color w:val="auto"/>
                <w:sz w:val="18"/>
                <w:szCs w:val="18"/>
              </w:rPr>
            </w:pPr>
            <w:r>
              <w:rPr>
                <w:rFonts w:ascii="宋体" w:hAnsi="宋体" w:cs="宋体"/>
                <w:color w:val="auto"/>
                <w:sz w:val="18"/>
                <w:szCs w:val="18"/>
              </w:rPr>
              <w:t>45.严禁使用非“校园一卡通”刷卡消费模式，严禁使用现金、微信、支付宝等个人或私自收费方式</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0244654A">
            <w:pPr>
              <w:rPr>
                <w:rFonts w:ascii="宋体" w:hAnsi="宋体" w:cs="宋体"/>
                <w:color w:val="auto"/>
                <w:sz w:val="18"/>
                <w:szCs w:val="18"/>
              </w:rPr>
            </w:pPr>
            <w:r>
              <w:rPr>
                <w:rFonts w:hint="eastAsia" w:ascii="宋体" w:hAnsi="宋体" w:cs="宋体"/>
                <w:color w:val="auto"/>
                <w:sz w:val="18"/>
                <w:szCs w:val="18"/>
              </w:rPr>
              <w:t>现场核实</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tcPr>
          <w:p w14:paraId="1D57788C">
            <w:pPr>
              <w:rPr>
                <w:rFonts w:ascii="宋体" w:hAnsi="宋体" w:cs="宋体"/>
                <w:color w:val="auto"/>
                <w:sz w:val="18"/>
                <w:szCs w:val="18"/>
              </w:rPr>
            </w:pPr>
            <w:r>
              <w:rPr>
                <w:rFonts w:hint="eastAsia" w:ascii="宋体" w:hAnsi="宋体" w:cs="宋体"/>
                <w:color w:val="auto"/>
                <w:sz w:val="18"/>
                <w:szCs w:val="18"/>
              </w:rPr>
              <w:t>经查实后每次支付违约金</w:t>
            </w:r>
            <w:r>
              <w:rPr>
                <w:rFonts w:ascii="宋体" w:hAnsi="宋体" w:cs="宋体"/>
                <w:color w:val="auto"/>
                <w:sz w:val="18"/>
                <w:szCs w:val="18"/>
              </w:rPr>
              <w:t>20000元，若当月发现三次及以上违规交易的情况，按当月营业额的20%支付违约金。</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15DCE840">
            <w:pPr>
              <w:rPr>
                <w:rFonts w:ascii="宋体" w:hAnsi="宋体" w:cs="宋体"/>
                <w:color w:val="auto"/>
                <w:sz w:val="18"/>
                <w:szCs w:val="18"/>
              </w:rPr>
            </w:pPr>
            <w:r>
              <w:rPr>
                <w:rFonts w:hint="eastAsia" w:ascii="宋体" w:hAnsi="宋体" w:cs="宋体"/>
                <w:color w:val="auto"/>
                <w:sz w:val="18"/>
                <w:szCs w:val="18"/>
              </w:rPr>
              <w:t>不符合要求前两次</w:t>
            </w:r>
            <w:r>
              <w:rPr>
                <w:rFonts w:ascii="宋体" w:hAnsi="宋体" w:cs="宋体"/>
                <w:color w:val="auto"/>
                <w:sz w:val="18"/>
                <w:szCs w:val="18"/>
              </w:rPr>
              <w:t>5分/次，第三次起当学期考核等次直接为不合格</w:t>
            </w:r>
          </w:p>
        </w:tc>
      </w:tr>
      <w:tr w14:paraId="6936AF21">
        <w:tblPrEx>
          <w:tblCellMar>
            <w:top w:w="0" w:type="dxa"/>
            <w:left w:w="108" w:type="dxa"/>
            <w:bottom w:w="0" w:type="dxa"/>
            <w:right w:w="108" w:type="dxa"/>
          </w:tblCellMar>
        </w:tblPrEx>
        <w:trPr>
          <w:trHeight w:val="780" w:hRule="atLeast"/>
          <w:jc w:val="center"/>
        </w:trPr>
        <w:tc>
          <w:tcPr>
            <w:tcW w:w="499" w:type="dxa"/>
            <w:vMerge w:val="restart"/>
            <w:tcBorders>
              <w:top w:val="single" w:color="auto" w:sz="4" w:space="0"/>
              <w:left w:val="single" w:color="auto" w:sz="4" w:space="0"/>
              <w:bottom w:val="single" w:color="auto" w:sz="4" w:space="0"/>
              <w:right w:val="single" w:color="auto" w:sz="4" w:space="0"/>
            </w:tcBorders>
            <w:vAlign w:val="center"/>
          </w:tcPr>
          <w:p w14:paraId="4731BDB6">
            <w:pPr>
              <w:rPr>
                <w:rFonts w:ascii="宋体" w:hAnsi="宋体" w:cs="宋体"/>
                <w:color w:val="auto"/>
                <w:sz w:val="18"/>
                <w:szCs w:val="18"/>
              </w:rPr>
            </w:pPr>
            <w:r>
              <w:rPr>
                <w:rFonts w:hint="eastAsia" w:ascii="宋体" w:hAnsi="宋体" w:cs="宋体"/>
                <w:color w:val="auto"/>
                <w:sz w:val="18"/>
                <w:szCs w:val="18"/>
              </w:rPr>
              <w:t>四</w:t>
            </w:r>
          </w:p>
        </w:tc>
        <w:tc>
          <w:tcPr>
            <w:tcW w:w="636" w:type="dxa"/>
            <w:vMerge w:val="restart"/>
            <w:tcBorders>
              <w:top w:val="single" w:color="auto" w:sz="4" w:space="0"/>
              <w:left w:val="single" w:color="auto" w:sz="4" w:space="0"/>
              <w:bottom w:val="single" w:color="auto" w:sz="4" w:space="0"/>
              <w:right w:val="single" w:color="auto" w:sz="4" w:space="0"/>
            </w:tcBorders>
            <w:vAlign w:val="center"/>
          </w:tcPr>
          <w:p w14:paraId="5262C0C4">
            <w:pPr>
              <w:rPr>
                <w:rFonts w:ascii="宋体" w:hAnsi="宋体" w:cs="宋体"/>
                <w:color w:val="auto"/>
                <w:sz w:val="18"/>
                <w:szCs w:val="18"/>
              </w:rPr>
            </w:pPr>
            <w:r>
              <w:rPr>
                <w:rFonts w:hint="eastAsia" w:ascii="宋体" w:hAnsi="宋体" w:cs="宋体"/>
                <w:color w:val="auto"/>
                <w:sz w:val="18"/>
                <w:szCs w:val="18"/>
              </w:rPr>
              <w:t>经营秩序</w:t>
            </w:r>
          </w:p>
        </w:tc>
        <w:tc>
          <w:tcPr>
            <w:tcW w:w="3827" w:type="dxa"/>
            <w:gridSpan w:val="2"/>
            <w:tcBorders>
              <w:top w:val="single" w:color="auto" w:sz="4" w:space="0"/>
              <w:left w:val="single" w:color="auto" w:sz="4" w:space="0"/>
              <w:bottom w:val="single" w:color="auto" w:sz="4" w:space="0"/>
              <w:right w:val="single" w:color="auto" w:sz="4" w:space="0"/>
            </w:tcBorders>
            <w:vAlign w:val="center"/>
          </w:tcPr>
          <w:p w14:paraId="38653052">
            <w:pPr>
              <w:rPr>
                <w:rFonts w:ascii="宋体" w:hAnsi="宋体" w:cs="宋体"/>
                <w:color w:val="auto"/>
                <w:sz w:val="18"/>
                <w:szCs w:val="18"/>
              </w:rPr>
            </w:pPr>
            <w:r>
              <w:rPr>
                <w:rFonts w:ascii="宋体" w:hAnsi="宋体" w:cs="宋体"/>
                <w:color w:val="auto"/>
                <w:sz w:val="18"/>
                <w:szCs w:val="18"/>
              </w:rPr>
              <w:t>46.食堂经营企业不得将食堂全部或者部分转包、分包、转租、转借或其他任意形式转交给任何单位或个人进行经营</w:t>
            </w:r>
          </w:p>
        </w:tc>
        <w:tc>
          <w:tcPr>
            <w:tcW w:w="709" w:type="dxa"/>
            <w:tcBorders>
              <w:top w:val="single" w:color="auto" w:sz="4" w:space="0"/>
              <w:left w:val="single" w:color="auto" w:sz="4" w:space="0"/>
              <w:bottom w:val="single" w:color="auto" w:sz="4" w:space="0"/>
              <w:right w:val="single" w:color="auto" w:sz="4" w:space="0"/>
            </w:tcBorders>
            <w:vAlign w:val="center"/>
          </w:tcPr>
          <w:p w14:paraId="501ECBCC">
            <w:pPr>
              <w:rPr>
                <w:rFonts w:ascii="宋体" w:hAnsi="宋体" w:cs="宋体"/>
                <w:color w:val="auto"/>
                <w:sz w:val="18"/>
                <w:szCs w:val="18"/>
              </w:rPr>
            </w:pPr>
            <w:r>
              <w:rPr>
                <w:rFonts w:hint="eastAsia" w:ascii="宋体" w:hAnsi="宋体" w:cs="宋体"/>
                <w:color w:val="auto"/>
                <w:sz w:val="18"/>
                <w:szCs w:val="18"/>
              </w:rPr>
              <w:t>依据合同</w:t>
            </w:r>
          </w:p>
        </w:tc>
        <w:tc>
          <w:tcPr>
            <w:tcW w:w="2693" w:type="dxa"/>
            <w:tcBorders>
              <w:top w:val="single" w:color="auto" w:sz="4" w:space="0"/>
              <w:left w:val="single" w:color="auto" w:sz="4" w:space="0"/>
              <w:bottom w:val="single" w:color="auto" w:sz="4" w:space="0"/>
              <w:right w:val="single" w:color="auto" w:sz="4" w:space="0"/>
            </w:tcBorders>
            <w:vAlign w:val="center"/>
          </w:tcPr>
          <w:p w14:paraId="5695E6CD">
            <w:pPr>
              <w:rPr>
                <w:rFonts w:ascii="宋体" w:hAnsi="宋体" w:cs="宋体"/>
                <w:color w:val="auto"/>
                <w:sz w:val="18"/>
                <w:szCs w:val="18"/>
              </w:rPr>
            </w:pPr>
            <w:r>
              <w:rPr>
                <w:rFonts w:hint="eastAsia" w:ascii="宋体" w:hAnsi="宋体" w:cs="宋体"/>
                <w:color w:val="auto"/>
                <w:sz w:val="18"/>
                <w:szCs w:val="18"/>
              </w:rPr>
              <w:t>不符合要求的每次支付违约金</w:t>
            </w:r>
            <w:r>
              <w:rPr>
                <w:rFonts w:ascii="宋体" w:hAnsi="宋体" w:cs="宋体"/>
                <w:color w:val="auto"/>
                <w:sz w:val="18"/>
                <w:szCs w:val="18"/>
              </w:rPr>
              <w:t>100000元并整改到位，学校有权解除合同。</w:t>
            </w:r>
          </w:p>
        </w:tc>
        <w:tc>
          <w:tcPr>
            <w:tcW w:w="1559" w:type="dxa"/>
            <w:tcBorders>
              <w:top w:val="single" w:color="auto" w:sz="4" w:space="0"/>
              <w:left w:val="single" w:color="auto" w:sz="4" w:space="0"/>
              <w:bottom w:val="single" w:color="auto" w:sz="4" w:space="0"/>
              <w:right w:val="single" w:color="auto" w:sz="4" w:space="0"/>
            </w:tcBorders>
            <w:vAlign w:val="center"/>
          </w:tcPr>
          <w:p w14:paraId="2CFBC483">
            <w:pPr>
              <w:rPr>
                <w:rFonts w:ascii="宋体" w:hAnsi="宋体" w:cs="宋体"/>
                <w:color w:val="auto"/>
                <w:sz w:val="18"/>
                <w:szCs w:val="18"/>
              </w:rPr>
            </w:pPr>
            <w:r>
              <w:rPr>
                <w:rFonts w:hint="eastAsia" w:ascii="宋体" w:hAnsi="宋体" w:cs="宋体"/>
                <w:color w:val="auto"/>
                <w:sz w:val="18"/>
                <w:szCs w:val="18"/>
              </w:rPr>
              <w:t>不符合要求的，涉事当学期考核不合格。</w:t>
            </w:r>
          </w:p>
        </w:tc>
      </w:tr>
      <w:tr w14:paraId="55FEB593">
        <w:tblPrEx>
          <w:tblCellMar>
            <w:top w:w="0" w:type="dxa"/>
            <w:left w:w="108" w:type="dxa"/>
            <w:bottom w:w="0" w:type="dxa"/>
            <w:right w:w="108" w:type="dxa"/>
          </w:tblCellMar>
        </w:tblPrEx>
        <w:trPr>
          <w:trHeight w:val="600" w:hRule="atLeast"/>
          <w:jc w:val="center"/>
        </w:trPr>
        <w:tc>
          <w:tcPr>
            <w:tcW w:w="499" w:type="dxa"/>
            <w:vMerge w:val="continue"/>
            <w:tcBorders>
              <w:top w:val="single" w:color="auto" w:sz="4" w:space="0"/>
              <w:left w:val="single" w:color="auto" w:sz="4" w:space="0"/>
              <w:bottom w:val="single" w:color="auto" w:sz="4" w:space="0"/>
              <w:right w:val="single" w:color="auto" w:sz="4" w:space="0"/>
            </w:tcBorders>
            <w:vAlign w:val="center"/>
          </w:tcPr>
          <w:p w14:paraId="0E7A2DDF">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vAlign w:val="center"/>
          </w:tcPr>
          <w:p w14:paraId="233B2953">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vAlign w:val="center"/>
          </w:tcPr>
          <w:p w14:paraId="2E85F132">
            <w:pPr>
              <w:rPr>
                <w:rFonts w:ascii="宋体" w:hAnsi="宋体" w:cs="宋体"/>
                <w:color w:val="auto"/>
                <w:sz w:val="18"/>
                <w:szCs w:val="18"/>
              </w:rPr>
            </w:pPr>
            <w:r>
              <w:rPr>
                <w:rFonts w:ascii="宋体" w:hAnsi="宋体" w:cs="宋体"/>
                <w:color w:val="auto"/>
                <w:sz w:val="18"/>
                <w:szCs w:val="18"/>
              </w:rPr>
              <w:t>47.应严格遵循报备的菜品价格，不得擅自变动食品售价。</w:t>
            </w:r>
          </w:p>
        </w:tc>
        <w:tc>
          <w:tcPr>
            <w:tcW w:w="709" w:type="dxa"/>
            <w:tcBorders>
              <w:top w:val="single" w:color="auto" w:sz="4" w:space="0"/>
              <w:left w:val="single" w:color="auto" w:sz="4" w:space="0"/>
              <w:bottom w:val="single" w:color="auto" w:sz="4" w:space="0"/>
              <w:right w:val="single" w:color="auto" w:sz="4" w:space="0"/>
            </w:tcBorders>
            <w:vAlign w:val="center"/>
          </w:tcPr>
          <w:p w14:paraId="095E3F92">
            <w:pPr>
              <w:rPr>
                <w:rFonts w:ascii="宋体" w:hAnsi="宋体" w:cs="宋体"/>
                <w:color w:val="auto"/>
                <w:sz w:val="18"/>
                <w:szCs w:val="18"/>
              </w:rPr>
            </w:pPr>
            <w:r>
              <w:rPr>
                <w:rFonts w:hint="eastAsia" w:ascii="宋体" w:hAnsi="宋体" w:cs="宋体"/>
                <w:color w:val="auto"/>
                <w:sz w:val="18"/>
                <w:szCs w:val="18"/>
              </w:rPr>
              <w:t>现场检查</w:t>
            </w:r>
          </w:p>
        </w:tc>
        <w:tc>
          <w:tcPr>
            <w:tcW w:w="2693" w:type="dxa"/>
            <w:tcBorders>
              <w:top w:val="single" w:color="auto" w:sz="4" w:space="0"/>
              <w:left w:val="single" w:color="auto" w:sz="4" w:space="0"/>
              <w:bottom w:val="single" w:color="auto" w:sz="4" w:space="0"/>
              <w:right w:val="single" w:color="auto" w:sz="4" w:space="0"/>
            </w:tcBorders>
            <w:vAlign w:val="center"/>
          </w:tcPr>
          <w:p w14:paraId="6F65B392">
            <w:pPr>
              <w:rPr>
                <w:rFonts w:ascii="宋体" w:hAnsi="宋体" w:cs="宋体"/>
                <w:color w:val="auto"/>
                <w:sz w:val="18"/>
                <w:szCs w:val="18"/>
              </w:rPr>
            </w:pPr>
            <w:r>
              <w:rPr>
                <w:rFonts w:hint="eastAsia" w:ascii="宋体" w:hAnsi="宋体" w:cs="宋体"/>
                <w:color w:val="auto"/>
                <w:sz w:val="18"/>
                <w:szCs w:val="18"/>
              </w:rPr>
              <w:t>若擅自变更食品售价，每一菜品支付违约金</w:t>
            </w:r>
            <w:r>
              <w:rPr>
                <w:rFonts w:ascii="宋体" w:hAnsi="宋体" w:cs="宋体"/>
                <w:color w:val="auto"/>
                <w:sz w:val="18"/>
                <w:szCs w:val="18"/>
              </w:rPr>
              <w:t>5000元</w:t>
            </w:r>
          </w:p>
        </w:tc>
        <w:tc>
          <w:tcPr>
            <w:tcW w:w="1559" w:type="dxa"/>
            <w:tcBorders>
              <w:top w:val="single" w:color="auto" w:sz="4" w:space="0"/>
              <w:left w:val="single" w:color="auto" w:sz="4" w:space="0"/>
              <w:bottom w:val="single" w:color="auto" w:sz="4" w:space="0"/>
              <w:right w:val="single" w:color="auto" w:sz="4" w:space="0"/>
            </w:tcBorders>
            <w:vAlign w:val="center"/>
          </w:tcPr>
          <w:p w14:paraId="40DC1A55">
            <w:pPr>
              <w:rPr>
                <w:rFonts w:ascii="宋体" w:hAnsi="宋体" w:cs="宋体"/>
                <w:color w:val="auto"/>
                <w:sz w:val="18"/>
                <w:szCs w:val="18"/>
              </w:rPr>
            </w:pPr>
            <w:r>
              <w:rPr>
                <w:rFonts w:hint="eastAsia" w:ascii="宋体" w:hAnsi="宋体" w:cs="宋体"/>
                <w:color w:val="auto"/>
                <w:sz w:val="18"/>
                <w:szCs w:val="18"/>
              </w:rPr>
              <w:t>擅自变更食品售价的扣</w:t>
            </w:r>
            <w:r>
              <w:rPr>
                <w:rFonts w:ascii="宋体" w:hAnsi="宋体" w:cs="宋体"/>
                <w:color w:val="auto"/>
                <w:sz w:val="18"/>
                <w:szCs w:val="18"/>
              </w:rPr>
              <w:t>5分/种/次</w:t>
            </w:r>
          </w:p>
        </w:tc>
      </w:tr>
      <w:tr w14:paraId="1A47E18F">
        <w:tblPrEx>
          <w:tblCellMar>
            <w:top w:w="0" w:type="dxa"/>
            <w:left w:w="108" w:type="dxa"/>
            <w:bottom w:w="0" w:type="dxa"/>
            <w:right w:w="108" w:type="dxa"/>
          </w:tblCellMar>
        </w:tblPrEx>
        <w:trPr>
          <w:trHeight w:val="600" w:hRule="atLeast"/>
          <w:jc w:val="center"/>
        </w:trPr>
        <w:tc>
          <w:tcPr>
            <w:tcW w:w="499" w:type="dxa"/>
            <w:vMerge w:val="continue"/>
            <w:tcBorders>
              <w:top w:val="single" w:color="auto" w:sz="4" w:space="0"/>
              <w:left w:val="single" w:color="auto" w:sz="4" w:space="0"/>
              <w:bottom w:val="single" w:color="auto" w:sz="4" w:space="0"/>
              <w:right w:val="single" w:color="auto" w:sz="4" w:space="0"/>
            </w:tcBorders>
            <w:vAlign w:val="center"/>
          </w:tcPr>
          <w:p w14:paraId="57789E57">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vAlign w:val="center"/>
          </w:tcPr>
          <w:p w14:paraId="6CE6E04A">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6DB966D">
            <w:pPr>
              <w:rPr>
                <w:rFonts w:ascii="宋体" w:hAnsi="宋体" w:cs="宋体"/>
                <w:color w:val="auto"/>
                <w:sz w:val="18"/>
                <w:szCs w:val="18"/>
              </w:rPr>
            </w:pPr>
            <w:r>
              <w:rPr>
                <w:rFonts w:ascii="宋体" w:hAnsi="宋体" w:cs="宋体"/>
                <w:color w:val="auto"/>
                <w:sz w:val="18"/>
                <w:szCs w:val="18"/>
              </w:rPr>
              <w:t>48.严格</w:t>
            </w:r>
            <w:r>
              <w:rPr>
                <w:rFonts w:hint="eastAsia" w:ascii="宋体" w:hAnsi="宋体" w:cs="宋体"/>
                <w:color w:val="auto"/>
                <w:sz w:val="18"/>
                <w:szCs w:val="18"/>
              </w:rPr>
              <w:t>按照食材配比制作，保证菜品质量；不出售隔夜菜。</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3D427D44">
            <w:pPr>
              <w:rPr>
                <w:rFonts w:ascii="宋体" w:hAnsi="宋体" w:cs="宋体"/>
                <w:color w:val="auto"/>
                <w:sz w:val="18"/>
                <w:szCs w:val="18"/>
              </w:rPr>
            </w:pPr>
            <w:r>
              <w:rPr>
                <w:rFonts w:hint="eastAsia" w:ascii="宋体" w:hAnsi="宋体" w:cs="宋体"/>
                <w:color w:val="auto"/>
                <w:sz w:val="18"/>
                <w:szCs w:val="18"/>
              </w:rPr>
              <w:t>投诉</w:t>
            </w:r>
          </w:p>
          <w:p w14:paraId="4E2BC88A">
            <w:pPr>
              <w:rPr>
                <w:rFonts w:ascii="宋体" w:hAnsi="宋体" w:cs="宋体"/>
                <w:color w:val="auto"/>
                <w:sz w:val="18"/>
                <w:szCs w:val="18"/>
              </w:rPr>
            </w:pPr>
            <w:r>
              <w:rPr>
                <w:rFonts w:hint="eastAsia" w:ascii="宋体" w:hAnsi="宋体" w:cs="宋体"/>
                <w:color w:val="auto"/>
                <w:sz w:val="18"/>
                <w:szCs w:val="18"/>
              </w:rPr>
              <w:t>核实</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tcPr>
          <w:p w14:paraId="03229C24">
            <w:pPr>
              <w:rPr>
                <w:rFonts w:ascii="宋体" w:hAnsi="宋体" w:cs="宋体"/>
                <w:color w:val="auto"/>
                <w:sz w:val="18"/>
                <w:szCs w:val="18"/>
              </w:rPr>
            </w:pPr>
            <w:r>
              <w:rPr>
                <w:rFonts w:hint="eastAsia" w:ascii="宋体" w:hAnsi="宋体" w:cs="宋体"/>
                <w:color w:val="auto"/>
                <w:sz w:val="18"/>
                <w:szCs w:val="18"/>
              </w:rPr>
              <w:t>不符合要求的每次支付违约金</w:t>
            </w:r>
            <w:r>
              <w:rPr>
                <w:rFonts w:ascii="宋体" w:hAnsi="宋体" w:cs="宋体"/>
                <w:color w:val="auto"/>
                <w:sz w:val="18"/>
                <w:szCs w:val="18"/>
              </w:rPr>
              <w:t>1000元/次；非当天加工的支付违约金5000元/次；引发舆情的</w:t>
            </w:r>
            <w:r>
              <w:rPr>
                <w:rFonts w:hint="eastAsia" w:ascii="宋体" w:hAnsi="宋体" w:cs="宋体"/>
                <w:color w:val="auto"/>
                <w:sz w:val="18"/>
                <w:szCs w:val="18"/>
              </w:rPr>
              <w:t>视影响支付违约金</w:t>
            </w:r>
            <w:r>
              <w:rPr>
                <w:rFonts w:ascii="宋体" w:hAnsi="宋体" w:cs="宋体"/>
                <w:color w:val="auto"/>
                <w:sz w:val="18"/>
                <w:szCs w:val="18"/>
              </w:rPr>
              <w:t>2000元-10000元/次</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5BBEFAFE">
            <w:pPr>
              <w:rPr>
                <w:rFonts w:ascii="宋体" w:hAnsi="宋体" w:cs="宋体"/>
                <w:color w:val="auto"/>
                <w:sz w:val="18"/>
                <w:szCs w:val="18"/>
              </w:rPr>
            </w:pPr>
            <w:r>
              <w:rPr>
                <w:rFonts w:hint="eastAsia" w:ascii="宋体" w:hAnsi="宋体" w:cs="宋体"/>
                <w:color w:val="auto"/>
                <w:sz w:val="18"/>
                <w:szCs w:val="18"/>
              </w:rPr>
              <w:t>不符合要求的扣</w:t>
            </w:r>
            <w:r>
              <w:rPr>
                <w:rFonts w:ascii="宋体" w:hAnsi="宋体" w:cs="宋体"/>
                <w:color w:val="auto"/>
                <w:sz w:val="18"/>
                <w:szCs w:val="18"/>
              </w:rPr>
              <w:t>1分/次；非当天加工的扣1分/次；引发舆情的</w:t>
            </w:r>
            <w:r>
              <w:rPr>
                <w:rFonts w:hint="eastAsia" w:ascii="宋体" w:hAnsi="宋体" w:cs="宋体"/>
                <w:color w:val="auto"/>
                <w:sz w:val="18"/>
                <w:szCs w:val="18"/>
              </w:rPr>
              <w:t>视影响情况扣</w:t>
            </w:r>
            <w:r>
              <w:rPr>
                <w:rFonts w:ascii="宋体" w:hAnsi="宋体" w:cs="宋体"/>
                <w:color w:val="auto"/>
                <w:sz w:val="18"/>
                <w:szCs w:val="18"/>
              </w:rPr>
              <w:t>5分/次</w:t>
            </w:r>
          </w:p>
        </w:tc>
      </w:tr>
      <w:tr w14:paraId="71BE8BBB">
        <w:tblPrEx>
          <w:tblCellMar>
            <w:top w:w="0" w:type="dxa"/>
            <w:left w:w="108" w:type="dxa"/>
            <w:bottom w:w="0" w:type="dxa"/>
            <w:right w:w="108" w:type="dxa"/>
          </w:tblCellMar>
        </w:tblPrEx>
        <w:trPr>
          <w:trHeight w:val="630" w:hRule="atLeast"/>
          <w:jc w:val="center"/>
        </w:trPr>
        <w:tc>
          <w:tcPr>
            <w:tcW w:w="499" w:type="dxa"/>
            <w:vMerge w:val="continue"/>
            <w:tcBorders>
              <w:top w:val="single" w:color="auto" w:sz="4" w:space="0"/>
              <w:left w:val="single" w:color="auto" w:sz="4" w:space="0"/>
              <w:bottom w:val="single" w:color="auto" w:sz="4" w:space="0"/>
              <w:right w:val="single" w:color="auto" w:sz="4" w:space="0"/>
            </w:tcBorders>
            <w:vAlign w:val="center"/>
          </w:tcPr>
          <w:p w14:paraId="35058330">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vAlign w:val="center"/>
          </w:tcPr>
          <w:p w14:paraId="0F31FADF">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vAlign w:val="center"/>
          </w:tcPr>
          <w:p w14:paraId="2B6D0A41">
            <w:pPr>
              <w:rPr>
                <w:rFonts w:ascii="宋体" w:hAnsi="宋体" w:cs="宋体"/>
                <w:color w:val="auto"/>
                <w:sz w:val="18"/>
                <w:szCs w:val="18"/>
              </w:rPr>
            </w:pPr>
            <w:r>
              <w:rPr>
                <w:rFonts w:ascii="宋体" w:hAnsi="宋体" w:cs="宋体"/>
                <w:color w:val="auto"/>
                <w:sz w:val="18"/>
                <w:szCs w:val="18"/>
              </w:rPr>
              <w:t>49.应遵守合同约定，不得超范围进行经营</w:t>
            </w:r>
          </w:p>
        </w:tc>
        <w:tc>
          <w:tcPr>
            <w:tcW w:w="709" w:type="dxa"/>
            <w:tcBorders>
              <w:top w:val="single" w:color="auto" w:sz="4" w:space="0"/>
              <w:left w:val="single" w:color="auto" w:sz="4" w:space="0"/>
              <w:bottom w:val="single" w:color="auto" w:sz="4" w:space="0"/>
              <w:right w:val="single" w:color="auto" w:sz="4" w:space="0"/>
            </w:tcBorders>
            <w:vAlign w:val="center"/>
          </w:tcPr>
          <w:p w14:paraId="3CFF2D72">
            <w:pPr>
              <w:rPr>
                <w:rFonts w:ascii="宋体" w:hAnsi="宋体" w:cs="宋体"/>
                <w:color w:val="auto"/>
                <w:sz w:val="18"/>
                <w:szCs w:val="18"/>
              </w:rPr>
            </w:pPr>
            <w:r>
              <w:rPr>
                <w:rFonts w:hint="eastAsia" w:ascii="宋体" w:hAnsi="宋体" w:cs="宋体"/>
                <w:color w:val="auto"/>
                <w:sz w:val="18"/>
                <w:szCs w:val="18"/>
              </w:rPr>
              <w:t>依据合同</w:t>
            </w:r>
          </w:p>
        </w:tc>
        <w:tc>
          <w:tcPr>
            <w:tcW w:w="2693" w:type="dxa"/>
            <w:tcBorders>
              <w:top w:val="single" w:color="auto" w:sz="4" w:space="0"/>
              <w:left w:val="single" w:color="auto" w:sz="4" w:space="0"/>
              <w:bottom w:val="single" w:color="auto" w:sz="4" w:space="0"/>
              <w:right w:val="single" w:color="auto" w:sz="4" w:space="0"/>
            </w:tcBorders>
            <w:vAlign w:val="center"/>
          </w:tcPr>
          <w:p w14:paraId="53EAA560">
            <w:pPr>
              <w:rPr>
                <w:rFonts w:ascii="宋体" w:hAnsi="宋体" w:cs="宋体"/>
                <w:color w:val="auto"/>
                <w:sz w:val="18"/>
                <w:szCs w:val="18"/>
              </w:rPr>
            </w:pPr>
            <w:r>
              <w:rPr>
                <w:rFonts w:hint="eastAsia" w:ascii="宋体" w:hAnsi="宋体" w:cs="宋体"/>
                <w:color w:val="auto"/>
                <w:sz w:val="18"/>
                <w:szCs w:val="18"/>
              </w:rPr>
              <w:t>超范围经营每次支付违约金</w:t>
            </w:r>
            <w:r>
              <w:rPr>
                <w:rFonts w:ascii="宋体" w:hAnsi="宋体" w:cs="宋体"/>
                <w:color w:val="auto"/>
                <w:sz w:val="18"/>
                <w:szCs w:val="18"/>
              </w:rPr>
              <w:t>10000元</w:t>
            </w:r>
          </w:p>
        </w:tc>
        <w:tc>
          <w:tcPr>
            <w:tcW w:w="1559" w:type="dxa"/>
            <w:tcBorders>
              <w:top w:val="single" w:color="auto" w:sz="4" w:space="0"/>
              <w:left w:val="single" w:color="auto" w:sz="4" w:space="0"/>
              <w:bottom w:val="single" w:color="auto" w:sz="4" w:space="0"/>
              <w:right w:val="single" w:color="auto" w:sz="4" w:space="0"/>
            </w:tcBorders>
            <w:vAlign w:val="center"/>
          </w:tcPr>
          <w:p w14:paraId="5B7D06FE">
            <w:pPr>
              <w:rPr>
                <w:rFonts w:ascii="宋体" w:hAnsi="宋体" w:cs="宋体"/>
                <w:color w:val="auto"/>
                <w:sz w:val="18"/>
                <w:szCs w:val="18"/>
              </w:rPr>
            </w:pPr>
            <w:r>
              <w:rPr>
                <w:rFonts w:hint="eastAsia" w:ascii="宋体" w:hAnsi="宋体" w:cs="宋体"/>
                <w:color w:val="auto"/>
                <w:sz w:val="18"/>
                <w:szCs w:val="18"/>
              </w:rPr>
              <w:t>超范围经营的扣</w:t>
            </w:r>
            <w:r>
              <w:rPr>
                <w:rFonts w:ascii="宋体" w:hAnsi="宋体" w:cs="宋体"/>
                <w:color w:val="auto"/>
                <w:sz w:val="18"/>
                <w:szCs w:val="18"/>
              </w:rPr>
              <w:t>5分/次</w:t>
            </w:r>
          </w:p>
        </w:tc>
      </w:tr>
      <w:tr w14:paraId="40279736">
        <w:tblPrEx>
          <w:tblCellMar>
            <w:top w:w="0" w:type="dxa"/>
            <w:left w:w="108" w:type="dxa"/>
            <w:bottom w:w="0" w:type="dxa"/>
            <w:right w:w="108" w:type="dxa"/>
          </w:tblCellMar>
        </w:tblPrEx>
        <w:trPr>
          <w:trHeight w:val="630" w:hRule="atLeast"/>
          <w:jc w:val="center"/>
        </w:trPr>
        <w:tc>
          <w:tcPr>
            <w:tcW w:w="499" w:type="dxa"/>
            <w:vMerge w:val="continue"/>
            <w:tcBorders>
              <w:top w:val="single" w:color="auto" w:sz="4" w:space="0"/>
              <w:left w:val="single" w:color="auto" w:sz="4" w:space="0"/>
              <w:bottom w:val="single" w:color="auto" w:sz="4" w:space="0"/>
              <w:right w:val="single" w:color="auto" w:sz="4" w:space="0"/>
            </w:tcBorders>
            <w:vAlign w:val="center"/>
          </w:tcPr>
          <w:p w14:paraId="3A71558E">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vAlign w:val="center"/>
          </w:tcPr>
          <w:p w14:paraId="0476C382">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2EA2978">
            <w:pPr>
              <w:rPr>
                <w:rFonts w:ascii="宋体" w:hAnsi="宋体" w:cs="宋体"/>
                <w:color w:val="auto"/>
                <w:sz w:val="18"/>
                <w:szCs w:val="18"/>
              </w:rPr>
            </w:pPr>
            <w:r>
              <w:rPr>
                <w:rFonts w:ascii="宋体" w:hAnsi="宋体" w:cs="宋体"/>
                <w:color w:val="auto"/>
                <w:sz w:val="18"/>
                <w:szCs w:val="18"/>
              </w:rPr>
              <w:t>50.应按时向学生提供符合卫生要求的热菜热饭（早上6：30—晚上22：30）</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11495381">
            <w:pPr>
              <w:rPr>
                <w:rFonts w:ascii="宋体" w:hAnsi="宋体" w:cs="宋体"/>
                <w:color w:val="auto"/>
                <w:sz w:val="18"/>
                <w:szCs w:val="18"/>
              </w:rPr>
            </w:pPr>
            <w:r>
              <w:rPr>
                <w:rFonts w:hint="eastAsia" w:ascii="宋体" w:hAnsi="宋体" w:cs="宋体"/>
                <w:color w:val="auto"/>
                <w:sz w:val="18"/>
                <w:szCs w:val="18"/>
              </w:rPr>
              <w:t>现场核实</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tcPr>
          <w:p w14:paraId="4D0D197D">
            <w:pPr>
              <w:rPr>
                <w:rFonts w:ascii="宋体" w:hAnsi="宋体" w:cs="宋体"/>
                <w:color w:val="auto"/>
                <w:sz w:val="18"/>
                <w:szCs w:val="18"/>
              </w:rPr>
            </w:pPr>
            <w:r>
              <w:rPr>
                <w:rFonts w:hint="eastAsia" w:ascii="宋体" w:hAnsi="宋体" w:cs="宋体"/>
                <w:color w:val="auto"/>
                <w:sz w:val="18"/>
                <w:szCs w:val="18"/>
              </w:rPr>
              <w:t>未经书面同意擅自关闭食堂的全部或部分经营窗口，按每档口每关闭一餐支付违约金</w:t>
            </w:r>
            <w:r>
              <w:rPr>
                <w:rFonts w:ascii="宋体" w:hAnsi="宋体" w:cs="宋体"/>
                <w:color w:val="auto"/>
                <w:sz w:val="18"/>
                <w:szCs w:val="18"/>
              </w:rPr>
              <w:t>20000元</w:t>
            </w:r>
            <w:r>
              <w:rPr>
                <w:rFonts w:hint="eastAsia" w:ascii="宋体" w:hAnsi="宋体" w:cs="宋体"/>
                <w:color w:val="auto"/>
                <w:sz w:val="18"/>
                <w:szCs w:val="18"/>
              </w:rPr>
              <w:t>，学校保留解除合同、取消食堂经营者经营管理资格的权利。</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1AC08D30">
            <w:pPr>
              <w:rPr>
                <w:rFonts w:ascii="宋体" w:hAnsi="宋体" w:cs="宋体"/>
                <w:color w:val="auto"/>
                <w:sz w:val="18"/>
                <w:szCs w:val="18"/>
              </w:rPr>
            </w:pPr>
            <w:r>
              <w:rPr>
                <w:rFonts w:hint="eastAsia" w:ascii="宋体" w:hAnsi="宋体" w:cs="宋体"/>
                <w:color w:val="auto"/>
                <w:sz w:val="18"/>
                <w:szCs w:val="18"/>
              </w:rPr>
              <w:t>未经书面同意擅自关闭食堂的全部或部分经营档口的扣</w:t>
            </w:r>
            <w:r>
              <w:rPr>
                <w:rFonts w:ascii="宋体" w:hAnsi="宋体" w:cs="宋体"/>
                <w:color w:val="auto"/>
                <w:sz w:val="18"/>
                <w:szCs w:val="18"/>
              </w:rPr>
              <w:t>5分/档口/餐</w:t>
            </w:r>
          </w:p>
        </w:tc>
      </w:tr>
      <w:tr w14:paraId="04E6A091">
        <w:tblPrEx>
          <w:tblCellMar>
            <w:top w:w="0" w:type="dxa"/>
            <w:left w:w="108" w:type="dxa"/>
            <w:bottom w:w="0" w:type="dxa"/>
            <w:right w:w="108" w:type="dxa"/>
          </w:tblCellMar>
        </w:tblPrEx>
        <w:trPr>
          <w:trHeight w:val="786" w:hRule="atLeast"/>
          <w:jc w:val="center"/>
        </w:trPr>
        <w:tc>
          <w:tcPr>
            <w:tcW w:w="499" w:type="dxa"/>
            <w:vMerge w:val="continue"/>
            <w:tcBorders>
              <w:top w:val="single" w:color="auto" w:sz="4" w:space="0"/>
              <w:left w:val="single" w:color="auto" w:sz="4" w:space="0"/>
              <w:bottom w:val="single" w:color="auto" w:sz="4" w:space="0"/>
              <w:right w:val="single" w:color="auto" w:sz="4" w:space="0"/>
            </w:tcBorders>
            <w:vAlign w:val="center"/>
          </w:tcPr>
          <w:p w14:paraId="1AEFE68C">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vAlign w:val="center"/>
          </w:tcPr>
          <w:p w14:paraId="169FD735">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4442FA9">
            <w:pPr>
              <w:rPr>
                <w:rFonts w:ascii="宋体" w:hAnsi="宋体" w:cs="宋体"/>
                <w:color w:val="auto"/>
                <w:sz w:val="18"/>
                <w:szCs w:val="18"/>
              </w:rPr>
            </w:pPr>
            <w:r>
              <w:rPr>
                <w:rFonts w:ascii="宋体" w:hAnsi="宋体" w:cs="宋体"/>
                <w:color w:val="auto"/>
                <w:sz w:val="18"/>
                <w:szCs w:val="18"/>
              </w:rPr>
              <w:t>51.经营服务内容不能摆至食堂大门以外，不得经营露天夜啤酒、烧烤等影响校园环境卫生的项目，不得影响周边师生休息。</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68985768">
            <w:pPr>
              <w:rPr>
                <w:rFonts w:ascii="宋体" w:hAnsi="宋体" w:cs="宋体"/>
                <w:color w:val="auto"/>
                <w:sz w:val="18"/>
                <w:szCs w:val="18"/>
              </w:rPr>
            </w:pPr>
            <w:r>
              <w:rPr>
                <w:rFonts w:hint="eastAsia" w:ascii="宋体" w:hAnsi="宋体" w:cs="宋体"/>
                <w:color w:val="auto"/>
                <w:sz w:val="18"/>
                <w:szCs w:val="18"/>
              </w:rPr>
              <w:t>现场</w:t>
            </w:r>
          </w:p>
          <w:p w14:paraId="57F8205B">
            <w:pPr>
              <w:rPr>
                <w:rFonts w:ascii="宋体" w:hAnsi="宋体" w:cs="宋体"/>
                <w:color w:val="auto"/>
                <w:sz w:val="18"/>
                <w:szCs w:val="18"/>
              </w:rPr>
            </w:pPr>
            <w:r>
              <w:rPr>
                <w:rFonts w:hint="eastAsia" w:ascii="宋体" w:hAnsi="宋体" w:cs="宋体"/>
                <w:color w:val="auto"/>
                <w:sz w:val="18"/>
                <w:szCs w:val="18"/>
              </w:rPr>
              <w:t>检查</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tcPr>
          <w:p w14:paraId="71891D4A">
            <w:pPr>
              <w:rPr>
                <w:rFonts w:ascii="宋体" w:hAnsi="宋体" w:cs="宋体"/>
                <w:color w:val="auto"/>
                <w:sz w:val="18"/>
                <w:szCs w:val="18"/>
              </w:rPr>
            </w:pPr>
            <w:r>
              <w:rPr>
                <w:rFonts w:hint="eastAsia" w:ascii="宋体" w:hAnsi="宋体" w:cs="宋体"/>
                <w:color w:val="auto"/>
                <w:sz w:val="18"/>
                <w:szCs w:val="18"/>
              </w:rPr>
              <w:t>违规的支付违约金</w:t>
            </w:r>
            <w:r>
              <w:rPr>
                <w:rFonts w:ascii="宋体" w:hAnsi="宋体" w:cs="宋体"/>
                <w:color w:val="auto"/>
                <w:sz w:val="18"/>
                <w:szCs w:val="18"/>
              </w:rPr>
              <w:t>1000元/次</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52FE50D2">
            <w:pPr>
              <w:rPr>
                <w:rFonts w:ascii="宋体" w:hAnsi="宋体" w:cs="宋体"/>
                <w:color w:val="auto"/>
                <w:sz w:val="18"/>
                <w:szCs w:val="18"/>
              </w:rPr>
            </w:pPr>
            <w:r>
              <w:rPr>
                <w:rFonts w:hint="eastAsia" w:ascii="宋体" w:hAnsi="宋体" w:cs="宋体"/>
                <w:color w:val="auto"/>
                <w:sz w:val="18"/>
                <w:szCs w:val="18"/>
              </w:rPr>
              <w:t>违规的扣</w:t>
            </w:r>
            <w:r>
              <w:rPr>
                <w:rFonts w:ascii="宋体" w:hAnsi="宋体" w:cs="宋体"/>
                <w:color w:val="auto"/>
                <w:sz w:val="18"/>
                <w:szCs w:val="18"/>
              </w:rPr>
              <w:t>1分/次</w:t>
            </w:r>
          </w:p>
        </w:tc>
      </w:tr>
      <w:tr w14:paraId="45FDAAE2">
        <w:tblPrEx>
          <w:tblCellMar>
            <w:top w:w="0" w:type="dxa"/>
            <w:left w:w="108" w:type="dxa"/>
            <w:bottom w:w="0" w:type="dxa"/>
            <w:right w:w="108" w:type="dxa"/>
          </w:tblCellMar>
        </w:tblPrEx>
        <w:trPr>
          <w:trHeight w:val="786" w:hRule="atLeast"/>
          <w:jc w:val="center"/>
        </w:trPr>
        <w:tc>
          <w:tcPr>
            <w:tcW w:w="499" w:type="dxa"/>
            <w:vMerge w:val="restart"/>
            <w:tcBorders>
              <w:top w:val="single" w:color="auto" w:sz="4" w:space="0"/>
              <w:left w:val="single" w:color="auto" w:sz="4" w:space="0"/>
              <w:bottom w:val="single" w:color="auto" w:sz="4" w:space="0"/>
              <w:right w:val="single" w:color="auto" w:sz="4" w:space="0"/>
            </w:tcBorders>
            <w:vAlign w:val="center"/>
          </w:tcPr>
          <w:p w14:paraId="53C89A18">
            <w:pPr>
              <w:rPr>
                <w:rFonts w:ascii="宋体" w:hAnsi="宋体" w:cs="宋体"/>
                <w:color w:val="auto"/>
                <w:sz w:val="18"/>
                <w:szCs w:val="18"/>
              </w:rPr>
            </w:pPr>
            <w:r>
              <w:rPr>
                <w:rFonts w:hint="eastAsia" w:ascii="宋体" w:hAnsi="宋体" w:cs="宋体"/>
                <w:color w:val="auto"/>
                <w:sz w:val="18"/>
                <w:szCs w:val="18"/>
              </w:rPr>
              <w:t>五</w:t>
            </w:r>
          </w:p>
        </w:tc>
        <w:tc>
          <w:tcPr>
            <w:tcW w:w="636" w:type="dxa"/>
            <w:vMerge w:val="restart"/>
            <w:tcBorders>
              <w:top w:val="single" w:color="auto" w:sz="4" w:space="0"/>
              <w:left w:val="single" w:color="auto" w:sz="4" w:space="0"/>
              <w:bottom w:val="single" w:color="auto" w:sz="4" w:space="0"/>
              <w:right w:val="single" w:color="auto" w:sz="4" w:space="0"/>
            </w:tcBorders>
            <w:vAlign w:val="center"/>
          </w:tcPr>
          <w:p w14:paraId="46B9E309">
            <w:pPr>
              <w:rPr>
                <w:rFonts w:ascii="宋体" w:hAnsi="宋体" w:cs="宋体"/>
                <w:color w:val="auto"/>
                <w:sz w:val="18"/>
                <w:szCs w:val="18"/>
              </w:rPr>
            </w:pPr>
            <w:r>
              <w:rPr>
                <w:rFonts w:hint="eastAsia" w:ascii="宋体" w:hAnsi="宋体" w:cs="宋体"/>
                <w:color w:val="auto"/>
                <w:sz w:val="18"/>
                <w:szCs w:val="18"/>
              </w:rPr>
              <w:t>服务育人</w:t>
            </w:r>
          </w:p>
        </w:tc>
        <w:tc>
          <w:tcPr>
            <w:tcW w:w="38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9C92EF6">
            <w:pPr>
              <w:rPr>
                <w:rFonts w:ascii="宋体" w:hAnsi="宋体" w:cs="宋体"/>
                <w:color w:val="auto"/>
                <w:sz w:val="18"/>
                <w:szCs w:val="18"/>
              </w:rPr>
            </w:pPr>
            <w:r>
              <w:rPr>
                <w:rFonts w:ascii="宋体" w:hAnsi="宋体" w:cs="宋体"/>
                <w:color w:val="auto"/>
                <w:sz w:val="18"/>
                <w:szCs w:val="18"/>
              </w:rPr>
              <w:t>52.按学校要求认真配合学生在食堂开展劳动教育。</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02FF50B0">
            <w:pPr>
              <w:rPr>
                <w:rFonts w:ascii="宋体" w:hAnsi="宋体" w:cs="宋体"/>
                <w:color w:val="auto"/>
                <w:sz w:val="18"/>
                <w:szCs w:val="18"/>
              </w:rPr>
            </w:pPr>
            <w:r>
              <w:rPr>
                <w:rFonts w:hint="eastAsia" w:ascii="宋体" w:hAnsi="宋体" w:cs="宋体"/>
                <w:color w:val="auto"/>
                <w:sz w:val="18"/>
                <w:szCs w:val="18"/>
              </w:rPr>
              <w:t>活动</w:t>
            </w:r>
          </w:p>
          <w:p w14:paraId="3D49730B">
            <w:pPr>
              <w:rPr>
                <w:rFonts w:ascii="宋体" w:hAnsi="宋体" w:cs="宋体"/>
                <w:color w:val="auto"/>
                <w:sz w:val="18"/>
                <w:szCs w:val="18"/>
              </w:rPr>
            </w:pPr>
            <w:r>
              <w:rPr>
                <w:rFonts w:hint="eastAsia" w:ascii="宋体" w:hAnsi="宋体" w:cs="宋体"/>
                <w:color w:val="auto"/>
                <w:sz w:val="18"/>
                <w:szCs w:val="18"/>
              </w:rPr>
              <w:t>安排</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tcPr>
          <w:p w14:paraId="7C73264A">
            <w:pPr>
              <w:rPr>
                <w:rFonts w:ascii="宋体" w:hAnsi="宋体" w:cs="宋体"/>
                <w:color w:val="auto"/>
                <w:sz w:val="18"/>
                <w:szCs w:val="18"/>
              </w:rPr>
            </w:pPr>
            <w:r>
              <w:rPr>
                <w:rFonts w:hint="eastAsia" w:ascii="宋体" w:hAnsi="宋体" w:cs="宋体"/>
                <w:color w:val="auto"/>
                <w:sz w:val="18"/>
                <w:szCs w:val="18"/>
              </w:rPr>
              <w:t>未认真配合开展的支付违约金</w:t>
            </w:r>
            <w:r>
              <w:rPr>
                <w:rFonts w:ascii="宋体" w:hAnsi="宋体" w:cs="宋体"/>
                <w:color w:val="auto"/>
                <w:sz w:val="18"/>
                <w:szCs w:val="18"/>
              </w:rPr>
              <w:t>2000元/次</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0FA6ED00">
            <w:pPr>
              <w:rPr>
                <w:rFonts w:ascii="宋体" w:hAnsi="宋体" w:cs="宋体"/>
                <w:color w:val="auto"/>
                <w:sz w:val="18"/>
                <w:szCs w:val="18"/>
              </w:rPr>
            </w:pPr>
            <w:r>
              <w:rPr>
                <w:rFonts w:hint="eastAsia" w:ascii="宋体" w:hAnsi="宋体" w:cs="宋体"/>
                <w:color w:val="auto"/>
                <w:sz w:val="18"/>
                <w:szCs w:val="18"/>
              </w:rPr>
              <w:t>未认真配合开展的扣</w:t>
            </w:r>
            <w:r>
              <w:rPr>
                <w:rFonts w:ascii="宋体" w:hAnsi="宋体" w:cs="宋体"/>
                <w:color w:val="auto"/>
                <w:sz w:val="18"/>
                <w:szCs w:val="18"/>
              </w:rPr>
              <w:t>1分/次</w:t>
            </w:r>
          </w:p>
        </w:tc>
      </w:tr>
      <w:tr w14:paraId="09706ED5">
        <w:tblPrEx>
          <w:tblCellMar>
            <w:top w:w="0" w:type="dxa"/>
            <w:left w:w="108" w:type="dxa"/>
            <w:bottom w:w="0" w:type="dxa"/>
            <w:right w:w="108" w:type="dxa"/>
          </w:tblCellMar>
        </w:tblPrEx>
        <w:trPr>
          <w:trHeight w:val="786" w:hRule="atLeast"/>
          <w:jc w:val="center"/>
        </w:trPr>
        <w:tc>
          <w:tcPr>
            <w:tcW w:w="499" w:type="dxa"/>
            <w:vMerge w:val="continue"/>
            <w:tcBorders>
              <w:top w:val="single" w:color="auto" w:sz="4" w:space="0"/>
              <w:left w:val="single" w:color="auto" w:sz="4" w:space="0"/>
              <w:bottom w:val="single" w:color="auto" w:sz="4" w:space="0"/>
              <w:right w:val="single" w:color="auto" w:sz="4" w:space="0"/>
            </w:tcBorders>
            <w:vAlign w:val="center"/>
          </w:tcPr>
          <w:p w14:paraId="492A586D">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vAlign w:val="center"/>
          </w:tcPr>
          <w:p w14:paraId="6C01063A">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4605FDA">
            <w:pPr>
              <w:rPr>
                <w:rFonts w:ascii="宋体" w:hAnsi="宋体" w:cs="宋体"/>
                <w:color w:val="auto"/>
                <w:sz w:val="18"/>
                <w:szCs w:val="18"/>
              </w:rPr>
            </w:pPr>
            <w:r>
              <w:rPr>
                <w:rFonts w:ascii="宋体" w:hAnsi="宋体" w:cs="宋体"/>
                <w:color w:val="auto"/>
                <w:sz w:val="18"/>
                <w:szCs w:val="18"/>
              </w:rPr>
              <w:t>53.提供勤工俭学岗位及免费用餐。不得拒绝特殊困难学生免费餐食。</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1B50A462">
            <w:pPr>
              <w:rPr>
                <w:rFonts w:ascii="宋体" w:hAnsi="宋体" w:cs="宋体"/>
                <w:color w:val="auto"/>
                <w:sz w:val="18"/>
                <w:szCs w:val="18"/>
              </w:rPr>
            </w:pPr>
            <w:r>
              <w:rPr>
                <w:rFonts w:hint="eastAsia" w:ascii="宋体" w:hAnsi="宋体" w:cs="宋体"/>
                <w:color w:val="auto"/>
                <w:sz w:val="18"/>
                <w:szCs w:val="18"/>
              </w:rPr>
              <w:t>查看</w:t>
            </w:r>
          </w:p>
          <w:p w14:paraId="64206F49">
            <w:pPr>
              <w:rPr>
                <w:rFonts w:ascii="宋体" w:hAnsi="宋体" w:cs="宋体"/>
                <w:color w:val="auto"/>
                <w:sz w:val="18"/>
                <w:szCs w:val="18"/>
              </w:rPr>
            </w:pPr>
            <w:r>
              <w:rPr>
                <w:rFonts w:hint="eastAsia" w:ascii="宋体" w:hAnsi="宋体" w:cs="宋体"/>
                <w:color w:val="auto"/>
                <w:sz w:val="18"/>
                <w:szCs w:val="18"/>
              </w:rPr>
              <w:t>记录</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tcPr>
          <w:p w14:paraId="0826D436">
            <w:pPr>
              <w:rPr>
                <w:rFonts w:ascii="宋体" w:hAnsi="宋体" w:cs="宋体"/>
                <w:color w:val="auto"/>
                <w:sz w:val="18"/>
                <w:szCs w:val="18"/>
              </w:rPr>
            </w:pPr>
            <w:r>
              <w:rPr>
                <w:rFonts w:hint="eastAsia" w:ascii="宋体" w:hAnsi="宋体" w:cs="宋体"/>
                <w:color w:val="auto"/>
                <w:sz w:val="18"/>
                <w:szCs w:val="18"/>
              </w:rPr>
              <w:t>未提供勤工俭学岗位或拒绝特殊困难学生免费餐食的支付违约金</w:t>
            </w:r>
            <w:r>
              <w:rPr>
                <w:rFonts w:ascii="宋体" w:hAnsi="宋体" w:cs="宋体"/>
                <w:color w:val="auto"/>
                <w:sz w:val="18"/>
                <w:szCs w:val="18"/>
              </w:rPr>
              <w:t>1000元/次</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110DC399">
            <w:pPr>
              <w:rPr>
                <w:rFonts w:ascii="宋体" w:hAnsi="宋体" w:cs="宋体"/>
                <w:color w:val="auto"/>
                <w:sz w:val="18"/>
                <w:szCs w:val="18"/>
              </w:rPr>
            </w:pPr>
            <w:r>
              <w:rPr>
                <w:rFonts w:hint="eastAsia" w:ascii="宋体" w:hAnsi="宋体" w:cs="宋体"/>
                <w:color w:val="auto"/>
                <w:sz w:val="18"/>
                <w:szCs w:val="18"/>
              </w:rPr>
              <w:t>未提供勤工俭学岗位或拒绝特殊困难学生免费餐食的扣</w:t>
            </w:r>
            <w:r>
              <w:rPr>
                <w:rFonts w:ascii="宋体" w:hAnsi="宋体" w:cs="宋体"/>
                <w:color w:val="auto"/>
                <w:sz w:val="18"/>
                <w:szCs w:val="18"/>
              </w:rPr>
              <w:t>1分/次。</w:t>
            </w:r>
          </w:p>
        </w:tc>
      </w:tr>
      <w:tr w14:paraId="6E59154C">
        <w:tblPrEx>
          <w:tblCellMar>
            <w:top w:w="0" w:type="dxa"/>
            <w:left w:w="108" w:type="dxa"/>
            <w:bottom w:w="0" w:type="dxa"/>
            <w:right w:w="108" w:type="dxa"/>
          </w:tblCellMar>
        </w:tblPrEx>
        <w:trPr>
          <w:trHeight w:val="786" w:hRule="atLeast"/>
          <w:jc w:val="center"/>
        </w:trPr>
        <w:tc>
          <w:tcPr>
            <w:tcW w:w="499" w:type="dxa"/>
            <w:vMerge w:val="continue"/>
            <w:tcBorders>
              <w:top w:val="single" w:color="auto" w:sz="4" w:space="0"/>
              <w:left w:val="single" w:color="auto" w:sz="4" w:space="0"/>
              <w:bottom w:val="single" w:color="auto" w:sz="4" w:space="0"/>
              <w:right w:val="single" w:color="auto" w:sz="4" w:space="0"/>
            </w:tcBorders>
            <w:vAlign w:val="center"/>
          </w:tcPr>
          <w:p w14:paraId="6081738B">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vAlign w:val="center"/>
          </w:tcPr>
          <w:p w14:paraId="221E7D3A">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72E4F8E">
            <w:pPr>
              <w:rPr>
                <w:rFonts w:ascii="宋体" w:hAnsi="宋体" w:cs="宋体"/>
                <w:color w:val="auto"/>
                <w:sz w:val="18"/>
                <w:szCs w:val="18"/>
              </w:rPr>
            </w:pPr>
            <w:r>
              <w:rPr>
                <w:rFonts w:ascii="宋体" w:hAnsi="宋体" w:cs="宋体"/>
                <w:color w:val="auto"/>
                <w:sz w:val="18"/>
                <w:szCs w:val="18"/>
              </w:rPr>
              <w:t>54.食堂工作人员应政治坚定、遵纪守法、廉洁自律、品行端正、文明礼貌、行为习惯良好。</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7BC052FF">
            <w:pPr>
              <w:rPr>
                <w:rFonts w:ascii="宋体" w:hAnsi="宋体" w:cs="宋体"/>
                <w:color w:val="auto"/>
                <w:sz w:val="18"/>
                <w:szCs w:val="18"/>
              </w:rPr>
            </w:pPr>
            <w:r>
              <w:rPr>
                <w:rFonts w:hint="eastAsia" w:ascii="宋体" w:hAnsi="宋体" w:cs="宋体"/>
                <w:color w:val="auto"/>
                <w:sz w:val="18"/>
                <w:szCs w:val="18"/>
              </w:rPr>
              <w:t>现场</w:t>
            </w:r>
          </w:p>
          <w:p w14:paraId="49A46521">
            <w:pPr>
              <w:rPr>
                <w:rFonts w:ascii="宋体" w:hAnsi="宋体" w:cs="宋体"/>
                <w:color w:val="auto"/>
                <w:sz w:val="18"/>
                <w:szCs w:val="18"/>
              </w:rPr>
            </w:pPr>
            <w:r>
              <w:rPr>
                <w:rFonts w:hint="eastAsia" w:ascii="宋体" w:hAnsi="宋体" w:cs="宋体"/>
                <w:color w:val="auto"/>
                <w:sz w:val="18"/>
                <w:szCs w:val="18"/>
              </w:rPr>
              <w:t>检查</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tcPr>
          <w:p w14:paraId="52B4690C">
            <w:pPr>
              <w:rPr>
                <w:rFonts w:ascii="宋体" w:hAnsi="宋体" w:cs="宋体"/>
                <w:color w:val="auto"/>
                <w:sz w:val="18"/>
                <w:szCs w:val="18"/>
              </w:rPr>
            </w:pPr>
            <w:r>
              <w:rPr>
                <w:rFonts w:hint="eastAsia" w:ascii="宋体" w:hAnsi="宋体" w:cs="宋体"/>
                <w:color w:val="auto"/>
                <w:sz w:val="18"/>
                <w:szCs w:val="18"/>
              </w:rPr>
              <w:t>视情节轻重及影响支付违约金</w:t>
            </w:r>
            <w:r>
              <w:rPr>
                <w:rFonts w:ascii="宋体" w:hAnsi="宋体" w:cs="宋体"/>
                <w:color w:val="auto"/>
                <w:sz w:val="18"/>
                <w:szCs w:val="18"/>
              </w:rPr>
              <w:t>5000-20000元/次</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5A01DF2E">
            <w:pPr>
              <w:rPr>
                <w:rFonts w:ascii="宋体" w:hAnsi="宋体" w:cs="宋体"/>
                <w:color w:val="auto"/>
                <w:sz w:val="18"/>
                <w:szCs w:val="18"/>
              </w:rPr>
            </w:pPr>
            <w:r>
              <w:rPr>
                <w:rFonts w:hint="eastAsia" w:ascii="宋体" w:hAnsi="宋体" w:cs="宋体"/>
                <w:color w:val="auto"/>
                <w:sz w:val="18"/>
                <w:szCs w:val="18"/>
              </w:rPr>
              <w:t>视情节轻重及影响扣</w:t>
            </w:r>
            <w:r>
              <w:rPr>
                <w:rFonts w:ascii="宋体" w:hAnsi="宋体" w:cs="宋体"/>
                <w:color w:val="auto"/>
                <w:sz w:val="18"/>
                <w:szCs w:val="18"/>
              </w:rPr>
              <w:t>1-5分/次</w:t>
            </w:r>
          </w:p>
        </w:tc>
      </w:tr>
      <w:tr w14:paraId="2CD373A5">
        <w:tblPrEx>
          <w:tblCellMar>
            <w:top w:w="0" w:type="dxa"/>
            <w:left w:w="108" w:type="dxa"/>
            <w:bottom w:w="0" w:type="dxa"/>
            <w:right w:w="108" w:type="dxa"/>
          </w:tblCellMar>
        </w:tblPrEx>
        <w:trPr>
          <w:trHeight w:val="786" w:hRule="atLeast"/>
          <w:jc w:val="center"/>
        </w:trPr>
        <w:tc>
          <w:tcPr>
            <w:tcW w:w="499" w:type="dxa"/>
            <w:vMerge w:val="continue"/>
            <w:tcBorders>
              <w:top w:val="single" w:color="auto" w:sz="4" w:space="0"/>
              <w:left w:val="single" w:color="auto" w:sz="4" w:space="0"/>
              <w:bottom w:val="single" w:color="auto" w:sz="4" w:space="0"/>
              <w:right w:val="single" w:color="auto" w:sz="4" w:space="0"/>
            </w:tcBorders>
            <w:vAlign w:val="center"/>
          </w:tcPr>
          <w:p w14:paraId="57EE0E7F">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vAlign w:val="center"/>
          </w:tcPr>
          <w:p w14:paraId="303CC73C">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A986EB2">
            <w:pPr>
              <w:rPr>
                <w:rFonts w:ascii="宋体" w:hAnsi="宋体" w:cs="宋体"/>
                <w:color w:val="auto"/>
                <w:sz w:val="18"/>
                <w:szCs w:val="18"/>
              </w:rPr>
            </w:pPr>
            <w:r>
              <w:rPr>
                <w:rFonts w:ascii="宋体" w:hAnsi="宋体" w:cs="宋体"/>
                <w:color w:val="auto"/>
                <w:sz w:val="18"/>
                <w:szCs w:val="18"/>
              </w:rPr>
              <w:t>55.认真组织、策划或配合学校及</w:t>
            </w:r>
            <w:r>
              <w:rPr>
                <w:rFonts w:hint="eastAsia" w:ascii="宋体" w:hAnsi="宋体" w:cs="宋体"/>
                <w:color w:val="auto"/>
                <w:sz w:val="18"/>
                <w:szCs w:val="18"/>
              </w:rPr>
              <w:t>学生伙管会的各类饮食文化活动项目并投入资金保障。</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4920C5CD">
            <w:pPr>
              <w:rPr>
                <w:rFonts w:ascii="宋体" w:hAnsi="宋体" w:cs="宋体"/>
                <w:color w:val="auto"/>
                <w:sz w:val="18"/>
                <w:szCs w:val="18"/>
              </w:rPr>
            </w:pPr>
            <w:r>
              <w:rPr>
                <w:rFonts w:hint="eastAsia" w:ascii="宋体" w:hAnsi="宋体" w:cs="宋体"/>
                <w:color w:val="auto"/>
                <w:sz w:val="18"/>
                <w:szCs w:val="18"/>
              </w:rPr>
              <w:t>活动</w:t>
            </w:r>
          </w:p>
          <w:p w14:paraId="4BD2A79B">
            <w:pPr>
              <w:rPr>
                <w:rFonts w:ascii="宋体" w:hAnsi="宋体" w:cs="宋体"/>
                <w:color w:val="auto"/>
                <w:sz w:val="18"/>
                <w:szCs w:val="18"/>
              </w:rPr>
            </w:pPr>
            <w:r>
              <w:rPr>
                <w:rFonts w:hint="eastAsia" w:ascii="宋体" w:hAnsi="宋体" w:cs="宋体"/>
                <w:color w:val="auto"/>
                <w:sz w:val="18"/>
                <w:szCs w:val="18"/>
              </w:rPr>
              <w:t>安排</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tcPr>
          <w:p w14:paraId="5E479326">
            <w:pPr>
              <w:rPr>
                <w:rFonts w:ascii="宋体" w:hAnsi="宋体" w:cs="宋体"/>
                <w:color w:val="auto"/>
                <w:sz w:val="18"/>
                <w:szCs w:val="18"/>
              </w:rPr>
            </w:pPr>
            <w:r>
              <w:rPr>
                <w:rFonts w:hint="eastAsia" w:ascii="宋体" w:hAnsi="宋体" w:cs="宋体"/>
                <w:color w:val="auto"/>
                <w:sz w:val="18"/>
                <w:szCs w:val="18"/>
              </w:rPr>
              <w:t>未认真组织或配合开展的支付违约金</w:t>
            </w:r>
            <w:r>
              <w:rPr>
                <w:rFonts w:ascii="宋体" w:hAnsi="宋体" w:cs="宋体"/>
                <w:color w:val="auto"/>
                <w:sz w:val="18"/>
                <w:szCs w:val="18"/>
              </w:rPr>
              <w:t>2000元/次</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56E77CD2">
            <w:pPr>
              <w:rPr>
                <w:rFonts w:ascii="宋体" w:hAnsi="宋体" w:cs="宋体"/>
                <w:color w:val="auto"/>
                <w:sz w:val="18"/>
                <w:szCs w:val="18"/>
              </w:rPr>
            </w:pPr>
            <w:r>
              <w:rPr>
                <w:rFonts w:hint="eastAsia" w:ascii="宋体" w:hAnsi="宋体" w:cs="宋体"/>
                <w:color w:val="auto"/>
                <w:sz w:val="18"/>
                <w:szCs w:val="18"/>
              </w:rPr>
              <w:t>认真组织或配合开展的扣</w:t>
            </w:r>
            <w:r>
              <w:rPr>
                <w:rFonts w:ascii="宋体" w:hAnsi="宋体" w:cs="宋体"/>
                <w:color w:val="auto"/>
                <w:sz w:val="18"/>
                <w:szCs w:val="18"/>
              </w:rPr>
              <w:t>1分/次</w:t>
            </w:r>
          </w:p>
        </w:tc>
      </w:tr>
      <w:tr w14:paraId="6D6D685D">
        <w:tblPrEx>
          <w:tblCellMar>
            <w:top w:w="0" w:type="dxa"/>
            <w:left w:w="108" w:type="dxa"/>
            <w:bottom w:w="0" w:type="dxa"/>
            <w:right w:w="108" w:type="dxa"/>
          </w:tblCellMar>
        </w:tblPrEx>
        <w:trPr>
          <w:trHeight w:val="786" w:hRule="atLeast"/>
          <w:jc w:val="center"/>
        </w:trPr>
        <w:tc>
          <w:tcPr>
            <w:tcW w:w="499" w:type="dxa"/>
            <w:vMerge w:val="continue"/>
            <w:tcBorders>
              <w:top w:val="single" w:color="auto" w:sz="4" w:space="0"/>
              <w:left w:val="single" w:color="auto" w:sz="4" w:space="0"/>
              <w:bottom w:val="single" w:color="auto" w:sz="4" w:space="0"/>
              <w:right w:val="single" w:color="auto" w:sz="4" w:space="0"/>
            </w:tcBorders>
            <w:vAlign w:val="center"/>
          </w:tcPr>
          <w:p w14:paraId="74A86A85">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vAlign w:val="center"/>
          </w:tcPr>
          <w:p w14:paraId="1FED2CE5">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3E19AEA">
            <w:pPr>
              <w:rPr>
                <w:rFonts w:ascii="宋体" w:hAnsi="宋体" w:cs="宋体"/>
                <w:color w:val="auto"/>
                <w:sz w:val="18"/>
                <w:szCs w:val="18"/>
              </w:rPr>
            </w:pPr>
            <w:r>
              <w:rPr>
                <w:rFonts w:ascii="宋体" w:hAnsi="宋体" w:cs="宋体"/>
                <w:color w:val="auto"/>
                <w:sz w:val="18"/>
                <w:szCs w:val="18"/>
              </w:rPr>
              <w:t>56.按学校要求免费提供传统节日特色食品。</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699A6C0E">
            <w:pPr>
              <w:rPr>
                <w:rFonts w:ascii="宋体" w:hAnsi="宋体" w:cs="宋体"/>
                <w:color w:val="auto"/>
                <w:sz w:val="18"/>
                <w:szCs w:val="18"/>
              </w:rPr>
            </w:pPr>
            <w:r>
              <w:rPr>
                <w:rFonts w:hint="eastAsia" w:ascii="宋体" w:hAnsi="宋体" w:cs="宋体"/>
                <w:color w:val="auto"/>
                <w:sz w:val="18"/>
                <w:szCs w:val="18"/>
              </w:rPr>
              <w:t>查看</w:t>
            </w:r>
          </w:p>
          <w:p w14:paraId="4C910E71">
            <w:pPr>
              <w:rPr>
                <w:rFonts w:ascii="宋体" w:hAnsi="宋体" w:cs="宋体"/>
                <w:color w:val="auto"/>
                <w:sz w:val="18"/>
                <w:szCs w:val="18"/>
              </w:rPr>
            </w:pPr>
            <w:r>
              <w:rPr>
                <w:rFonts w:hint="eastAsia" w:ascii="宋体" w:hAnsi="宋体" w:cs="宋体"/>
                <w:color w:val="auto"/>
                <w:sz w:val="18"/>
                <w:szCs w:val="18"/>
              </w:rPr>
              <w:t>记录</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tcPr>
          <w:p w14:paraId="33BA2B4D">
            <w:pPr>
              <w:rPr>
                <w:rFonts w:ascii="宋体" w:hAnsi="宋体" w:cs="宋体"/>
                <w:color w:val="auto"/>
                <w:sz w:val="18"/>
                <w:szCs w:val="18"/>
              </w:rPr>
            </w:pPr>
            <w:r>
              <w:rPr>
                <w:rFonts w:hint="eastAsia" w:ascii="宋体" w:hAnsi="宋体" w:cs="宋体"/>
                <w:color w:val="auto"/>
                <w:sz w:val="18"/>
                <w:szCs w:val="18"/>
              </w:rPr>
              <w:t>未提供的支付违约金</w:t>
            </w:r>
            <w:r>
              <w:rPr>
                <w:rFonts w:ascii="宋体" w:hAnsi="宋体" w:cs="宋体"/>
                <w:color w:val="auto"/>
                <w:sz w:val="18"/>
                <w:szCs w:val="18"/>
              </w:rPr>
              <w:t>10000元/次</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3143DFF7">
            <w:pPr>
              <w:rPr>
                <w:rFonts w:ascii="宋体" w:hAnsi="宋体" w:cs="宋体"/>
                <w:color w:val="auto"/>
                <w:sz w:val="18"/>
                <w:szCs w:val="18"/>
              </w:rPr>
            </w:pPr>
            <w:r>
              <w:rPr>
                <w:rFonts w:hint="eastAsia" w:ascii="宋体" w:hAnsi="宋体" w:cs="宋体"/>
                <w:color w:val="auto"/>
                <w:sz w:val="18"/>
                <w:szCs w:val="18"/>
              </w:rPr>
              <w:t>未提供的扣</w:t>
            </w:r>
            <w:r>
              <w:rPr>
                <w:rFonts w:ascii="宋体" w:hAnsi="宋体" w:cs="宋体"/>
                <w:color w:val="auto"/>
                <w:sz w:val="18"/>
                <w:szCs w:val="18"/>
              </w:rPr>
              <w:t>5分/次</w:t>
            </w:r>
          </w:p>
        </w:tc>
      </w:tr>
      <w:tr w14:paraId="46F2B491">
        <w:tblPrEx>
          <w:tblCellMar>
            <w:top w:w="0" w:type="dxa"/>
            <w:left w:w="108" w:type="dxa"/>
            <w:bottom w:w="0" w:type="dxa"/>
            <w:right w:w="108" w:type="dxa"/>
          </w:tblCellMar>
        </w:tblPrEx>
        <w:trPr>
          <w:trHeight w:val="555" w:hRule="atLeast"/>
          <w:jc w:val="center"/>
        </w:trPr>
        <w:tc>
          <w:tcPr>
            <w:tcW w:w="499" w:type="dxa"/>
            <w:vMerge w:val="restart"/>
            <w:tcBorders>
              <w:top w:val="single" w:color="auto" w:sz="4" w:space="0"/>
              <w:left w:val="single" w:color="auto" w:sz="4" w:space="0"/>
              <w:right w:val="single" w:color="auto" w:sz="4" w:space="0"/>
            </w:tcBorders>
            <w:vAlign w:val="center"/>
          </w:tcPr>
          <w:p w14:paraId="34EDBA3D">
            <w:pPr>
              <w:rPr>
                <w:rFonts w:ascii="宋体" w:hAnsi="宋体" w:cs="宋体"/>
                <w:color w:val="auto"/>
                <w:sz w:val="18"/>
                <w:szCs w:val="18"/>
              </w:rPr>
            </w:pPr>
          </w:p>
          <w:p w14:paraId="7B03F4A4">
            <w:pPr>
              <w:rPr>
                <w:rFonts w:ascii="宋体" w:hAnsi="宋体" w:cs="宋体"/>
                <w:color w:val="auto"/>
                <w:sz w:val="18"/>
                <w:szCs w:val="18"/>
              </w:rPr>
            </w:pPr>
          </w:p>
          <w:p w14:paraId="7DED09AE">
            <w:pPr>
              <w:rPr>
                <w:rFonts w:ascii="宋体" w:hAnsi="宋体" w:cs="宋体"/>
                <w:color w:val="auto"/>
                <w:sz w:val="18"/>
                <w:szCs w:val="18"/>
              </w:rPr>
            </w:pPr>
            <w:r>
              <w:rPr>
                <w:rFonts w:hint="eastAsia" w:ascii="宋体" w:hAnsi="宋体" w:cs="宋体"/>
                <w:color w:val="auto"/>
                <w:sz w:val="18"/>
                <w:szCs w:val="18"/>
              </w:rPr>
              <w:t>六</w:t>
            </w:r>
          </w:p>
        </w:tc>
        <w:tc>
          <w:tcPr>
            <w:tcW w:w="636" w:type="dxa"/>
            <w:vMerge w:val="restart"/>
            <w:tcBorders>
              <w:top w:val="single" w:color="auto" w:sz="4" w:space="0"/>
              <w:left w:val="single" w:color="auto" w:sz="4" w:space="0"/>
              <w:right w:val="single" w:color="auto" w:sz="4" w:space="0"/>
            </w:tcBorders>
            <w:vAlign w:val="center"/>
          </w:tcPr>
          <w:p w14:paraId="33A435C7">
            <w:pPr>
              <w:rPr>
                <w:rFonts w:ascii="宋体" w:hAnsi="宋体" w:cs="宋体"/>
                <w:color w:val="auto"/>
                <w:sz w:val="18"/>
                <w:szCs w:val="18"/>
              </w:rPr>
            </w:pPr>
          </w:p>
          <w:p w14:paraId="5FC9034B">
            <w:pPr>
              <w:rPr>
                <w:rFonts w:ascii="宋体" w:hAnsi="宋体" w:cs="宋体"/>
                <w:color w:val="auto"/>
                <w:sz w:val="18"/>
                <w:szCs w:val="18"/>
              </w:rPr>
            </w:pPr>
          </w:p>
          <w:p w14:paraId="556FD6B4">
            <w:pPr>
              <w:rPr>
                <w:rFonts w:ascii="宋体" w:hAnsi="宋体" w:cs="宋体"/>
                <w:color w:val="auto"/>
                <w:sz w:val="18"/>
                <w:szCs w:val="18"/>
              </w:rPr>
            </w:pPr>
            <w:r>
              <w:rPr>
                <w:rFonts w:hint="eastAsia" w:ascii="宋体" w:hAnsi="宋体" w:cs="宋体"/>
                <w:color w:val="auto"/>
                <w:sz w:val="18"/>
                <w:szCs w:val="18"/>
              </w:rPr>
              <w:t>其他</w:t>
            </w:r>
          </w:p>
        </w:tc>
        <w:tc>
          <w:tcPr>
            <w:tcW w:w="3827" w:type="dxa"/>
            <w:gridSpan w:val="2"/>
            <w:tcBorders>
              <w:top w:val="single" w:color="auto" w:sz="4" w:space="0"/>
              <w:left w:val="single" w:color="auto" w:sz="4" w:space="0"/>
              <w:bottom w:val="single" w:color="auto" w:sz="4" w:space="0"/>
              <w:right w:val="single" w:color="auto" w:sz="4" w:space="0"/>
            </w:tcBorders>
            <w:vAlign w:val="center"/>
          </w:tcPr>
          <w:p w14:paraId="260B7B8D">
            <w:pPr>
              <w:rPr>
                <w:rFonts w:ascii="宋体" w:hAnsi="宋体" w:cs="宋体"/>
                <w:color w:val="auto"/>
                <w:sz w:val="18"/>
                <w:szCs w:val="18"/>
              </w:rPr>
            </w:pPr>
            <w:r>
              <w:rPr>
                <w:rFonts w:ascii="宋体" w:hAnsi="宋体" w:cs="宋体"/>
                <w:color w:val="auto"/>
                <w:sz w:val="18"/>
                <w:szCs w:val="18"/>
              </w:rPr>
              <w:t>57.食堂经营者应做到“门前三包”，保持清洁卫生</w:t>
            </w:r>
          </w:p>
        </w:tc>
        <w:tc>
          <w:tcPr>
            <w:tcW w:w="709" w:type="dxa"/>
            <w:tcBorders>
              <w:top w:val="single" w:color="auto" w:sz="4" w:space="0"/>
              <w:left w:val="single" w:color="auto" w:sz="4" w:space="0"/>
              <w:bottom w:val="single" w:color="auto" w:sz="4" w:space="0"/>
              <w:right w:val="single" w:color="auto" w:sz="4" w:space="0"/>
            </w:tcBorders>
            <w:vAlign w:val="center"/>
          </w:tcPr>
          <w:p w14:paraId="211E747C">
            <w:pPr>
              <w:rPr>
                <w:rFonts w:ascii="宋体" w:hAnsi="宋体" w:cs="宋体"/>
                <w:color w:val="auto"/>
                <w:sz w:val="18"/>
                <w:szCs w:val="18"/>
              </w:rPr>
            </w:pPr>
            <w:r>
              <w:rPr>
                <w:rFonts w:hint="eastAsia" w:ascii="宋体" w:hAnsi="宋体" w:cs="宋体"/>
                <w:color w:val="auto"/>
                <w:sz w:val="18"/>
                <w:szCs w:val="18"/>
              </w:rPr>
              <w:t>现场检查</w:t>
            </w:r>
          </w:p>
        </w:tc>
        <w:tc>
          <w:tcPr>
            <w:tcW w:w="2693" w:type="dxa"/>
            <w:tcBorders>
              <w:top w:val="single" w:color="auto" w:sz="4" w:space="0"/>
              <w:left w:val="single" w:color="auto" w:sz="4" w:space="0"/>
              <w:bottom w:val="single" w:color="auto" w:sz="4" w:space="0"/>
              <w:right w:val="single" w:color="auto" w:sz="4" w:space="0"/>
            </w:tcBorders>
            <w:vAlign w:val="center"/>
          </w:tcPr>
          <w:p w14:paraId="37CAF7C1">
            <w:pPr>
              <w:rPr>
                <w:rFonts w:ascii="宋体" w:hAnsi="宋体" w:cs="宋体"/>
                <w:color w:val="auto"/>
                <w:sz w:val="18"/>
                <w:szCs w:val="18"/>
              </w:rPr>
            </w:pPr>
            <w:r>
              <w:rPr>
                <w:rFonts w:hint="eastAsia" w:ascii="宋体" w:hAnsi="宋体" w:cs="宋体"/>
                <w:color w:val="auto"/>
                <w:sz w:val="18"/>
                <w:szCs w:val="18"/>
              </w:rPr>
              <w:t>卫生出现脏、乱、差现象每次支付违约金</w:t>
            </w:r>
            <w:r>
              <w:rPr>
                <w:rFonts w:ascii="宋体" w:hAnsi="宋体" w:cs="宋体"/>
                <w:color w:val="auto"/>
                <w:sz w:val="18"/>
                <w:szCs w:val="18"/>
              </w:rPr>
              <w:t>1000元。</w:t>
            </w:r>
          </w:p>
        </w:tc>
        <w:tc>
          <w:tcPr>
            <w:tcW w:w="1559" w:type="dxa"/>
            <w:tcBorders>
              <w:top w:val="single" w:color="auto" w:sz="4" w:space="0"/>
              <w:left w:val="single" w:color="auto" w:sz="4" w:space="0"/>
              <w:bottom w:val="single" w:color="auto" w:sz="4" w:space="0"/>
              <w:right w:val="single" w:color="auto" w:sz="4" w:space="0"/>
            </w:tcBorders>
            <w:vAlign w:val="center"/>
          </w:tcPr>
          <w:p w14:paraId="525DE529">
            <w:pPr>
              <w:rPr>
                <w:rFonts w:ascii="宋体" w:hAnsi="宋体" w:cs="宋体"/>
                <w:color w:val="auto"/>
                <w:sz w:val="18"/>
                <w:szCs w:val="18"/>
              </w:rPr>
            </w:pPr>
            <w:r>
              <w:rPr>
                <w:rFonts w:hint="eastAsia" w:ascii="宋体" w:hAnsi="宋体" w:cs="宋体"/>
                <w:color w:val="auto"/>
                <w:sz w:val="18"/>
                <w:szCs w:val="18"/>
              </w:rPr>
              <w:t>卫生出现脏、乱、差的</w:t>
            </w:r>
            <w:r>
              <w:rPr>
                <w:rFonts w:ascii="宋体" w:hAnsi="宋体" w:cs="宋体"/>
                <w:color w:val="auto"/>
                <w:sz w:val="18"/>
                <w:szCs w:val="18"/>
              </w:rPr>
              <w:t>1分/次</w:t>
            </w:r>
          </w:p>
        </w:tc>
      </w:tr>
      <w:tr w14:paraId="22B73CC5">
        <w:tblPrEx>
          <w:tblCellMar>
            <w:top w:w="0" w:type="dxa"/>
            <w:left w:w="108" w:type="dxa"/>
            <w:bottom w:w="0" w:type="dxa"/>
            <w:right w:w="108" w:type="dxa"/>
          </w:tblCellMar>
        </w:tblPrEx>
        <w:trPr>
          <w:trHeight w:val="555" w:hRule="atLeast"/>
          <w:jc w:val="center"/>
        </w:trPr>
        <w:tc>
          <w:tcPr>
            <w:tcW w:w="499" w:type="dxa"/>
            <w:vMerge w:val="continue"/>
            <w:tcBorders>
              <w:left w:val="single" w:color="auto" w:sz="4" w:space="0"/>
              <w:right w:val="single" w:color="auto" w:sz="4" w:space="0"/>
            </w:tcBorders>
            <w:vAlign w:val="center"/>
          </w:tcPr>
          <w:p w14:paraId="475C9465">
            <w:pPr>
              <w:rPr>
                <w:rFonts w:ascii="宋体" w:hAnsi="宋体" w:cs="宋体"/>
                <w:color w:val="auto"/>
                <w:sz w:val="18"/>
                <w:szCs w:val="18"/>
              </w:rPr>
            </w:pPr>
          </w:p>
        </w:tc>
        <w:tc>
          <w:tcPr>
            <w:tcW w:w="636" w:type="dxa"/>
            <w:vMerge w:val="continue"/>
            <w:tcBorders>
              <w:left w:val="single" w:color="auto" w:sz="4" w:space="0"/>
              <w:right w:val="single" w:color="auto" w:sz="4" w:space="0"/>
            </w:tcBorders>
            <w:vAlign w:val="center"/>
          </w:tcPr>
          <w:p w14:paraId="7C98D842">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vAlign w:val="center"/>
          </w:tcPr>
          <w:p w14:paraId="217432A6">
            <w:pPr>
              <w:rPr>
                <w:rFonts w:ascii="宋体" w:hAnsi="宋体" w:cs="宋体"/>
                <w:color w:val="auto"/>
                <w:sz w:val="18"/>
                <w:szCs w:val="18"/>
              </w:rPr>
            </w:pPr>
            <w:r>
              <w:rPr>
                <w:rFonts w:ascii="宋体" w:hAnsi="宋体" w:cs="宋体"/>
                <w:color w:val="auto"/>
                <w:sz w:val="18"/>
                <w:szCs w:val="18"/>
              </w:rPr>
              <w:t>58.严禁偷电、偷水、偷气行为</w:t>
            </w:r>
          </w:p>
        </w:tc>
        <w:tc>
          <w:tcPr>
            <w:tcW w:w="709" w:type="dxa"/>
            <w:tcBorders>
              <w:top w:val="single" w:color="auto" w:sz="4" w:space="0"/>
              <w:left w:val="single" w:color="auto" w:sz="4" w:space="0"/>
              <w:bottom w:val="single" w:color="auto" w:sz="4" w:space="0"/>
              <w:right w:val="single" w:color="auto" w:sz="4" w:space="0"/>
            </w:tcBorders>
            <w:vAlign w:val="center"/>
          </w:tcPr>
          <w:p w14:paraId="3877DB17">
            <w:pPr>
              <w:rPr>
                <w:rFonts w:ascii="宋体" w:hAnsi="宋体" w:cs="宋体"/>
                <w:color w:val="auto"/>
                <w:sz w:val="18"/>
                <w:szCs w:val="18"/>
              </w:rPr>
            </w:pPr>
            <w:r>
              <w:rPr>
                <w:rFonts w:hint="eastAsia" w:ascii="宋体" w:hAnsi="宋体" w:cs="宋体"/>
                <w:color w:val="auto"/>
                <w:sz w:val="18"/>
                <w:szCs w:val="18"/>
              </w:rPr>
              <w:t>现场检查</w:t>
            </w:r>
          </w:p>
        </w:tc>
        <w:tc>
          <w:tcPr>
            <w:tcW w:w="2693" w:type="dxa"/>
            <w:tcBorders>
              <w:top w:val="single" w:color="auto" w:sz="4" w:space="0"/>
              <w:left w:val="single" w:color="auto" w:sz="4" w:space="0"/>
              <w:bottom w:val="single" w:color="auto" w:sz="4" w:space="0"/>
              <w:right w:val="single" w:color="auto" w:sz="4" w:space="0"/>
            </w:tcBorders>
            <w:vAlign w:val="center"/>
          </w:tcPr>
          <w:p w14:paraId="4AA66BEA">
            <w:pPr>
              <w:rPr>
                <w:rFonts w:ascii="宋体" w:hAnsi="宋体" w:cs="宋体"/>
                <w:color w:val="auto"/>
                <w:sz w:val="18"/>
                <w:szCs w:val="18"/>
              </w:rPr>
            </w:pPr>
            <w:r>
              <w:rPr>
                <w:rFonts w:hint="eastAsia" w:ascii="宋体" w:hAnsi="宋体" w:cs="宋体"/>
                <w:color w:val="auto"/>
                <w:sz w:val="18"/>
                <w:szCs w:val="18"/>
              </w:rPr>
              <w:t>每发现一次支付违约金</w:t>
            </w:r>
            <w:r>
              <w:rPr>
                <w:rFonts w:ascii="宋体" w:hAnsi="宋体" w:cs="宋体"/>
                <w:color w:val="auto"/>
                <w:sz w:val="18"/>
                <w:szCs w:val="18"/>
              </w:rPr>
              <w:t>20000元，并应补齐欠费，情节严重的上报公安部门处置，学校有权解除合同。</w:t>
            </w:r>
          </w:p>
        </w:tc>
        <w:tc>
          <w:tcPr>
            <w:tcW w:w="1559" w:type="dxa"/>
            <w:tcBorders>
              <w:top w:val="single" w:color="auto" w:sz="4" w:space="0"/>
              <w:left w:val="single" w:color="auto" w:sz="4" w:space="0"/>
              <w:bottom w:val="single" w:color="auto" w:sz="4" w:space="0"/>
              <w:right w:val="single" w:color="auto" w:sz="4" w:space="0"/>
            </w:tcBorders>
            <w:vAlign w:val="center"/>
          </w:tcPr>
          <w:p w14:paraId="33BF9679">
            <w:pPr>
              <w:rPr>
                <w:rFonts w:ascii="宋体" w:hAnsi="宋体" w:cs="宋体"/>
                <w:color w:val="auto"/>
                <w:sz w:val="18"/>
                <w:szCs w:val="18"/>
              </w:rPr>
            </w:pPr>
            <w:r>
              <w:rPr>
                <w:rFonts w:hint="eastAsia" w:ascii="宋体" w:hAnsi="宋体" w:cs="宋体"/>
                <w:color w:val="auto"/>
                <w:sz w:val="18"/>
                <w:szCs w:val="18"/>
              </w:rPr>
              <w:t>出现偷电、偷水、偷气行为的涉事当学期考核直接不合格</w:t>
            </w:r>
          </w:p>
        </w:tc>
      </w:tr>
      <w:tr w14:paraId="386E6D2D">
        <w:tblPrEx>
          <w:tblCellMar>
            <w:top w:w="0" w:type="dxa"/>
            <w:left w:w="108" w:type="dxa"/>
            <w:bottom w:w="0" w:type="dxa"/>
            <w:right w:w="108" w:type="dxa"/>
          </w:tblCellMar>
        </w:tblPrEx>
        <w:trPr>
          <w:trHeight w:val="555" w:hRule="atLeast"/>
          <w:jc w:val="center"/>
        </w:trPr>
        <w:tc>
          <w:tcPr>
            <w:tcW w:w="499" w:type="dxa"/>
            <w:vMerge w:val="continue"/>
            <w:tcBorders>
              <w:left w:val="single" w:color="auto" w:sz="4" w:space="0"/>
              <w:right w:val="single" w:color="auto" w:sz="4" w:space="0"/>
            </w:tcBorders>
            <w:vAlign w:val="center"/>
          </w:tcPr>
          <w:p w14:paraId="74DD6BBA">
            <w:pPr>
              <w:rPr>
                <w:rFonts w:ascii="宋体" w:hAnsi="宋体" w:cs="宋体"/>
                <w:color w:val="auto"/>
                <w:sz w:val="18"/>
                <w:szCs w:val="18"/>
              </w:rPr>
            </w:pPr>
          </w:p>
        </w:tc>
        <w:tc>
          <w:tcPr>
            <w:tcW w:w="636" w:type="dxa"/>
            <w:vMerge w:val="continue"/>
            <w:tcBorders>
              <w:left w:val="single" w:color="auto" w:sz="4" w:space="0"/>
              <w:right w:val="single" w:color="auto" w:sz="4" w:space="0"/>
            </w:tcBorders>
            <w:vAlign w:val="center"/>
          </w:tcPr>
          <w:p w14:paraId="2DFFB999">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vAlign w:val="center"/>
          </w:tcPr>
          <w:p w14:paraId="59F89B31">
            <w:pPr>
              <w:rPr>
                <w:rFonts w:ascii="宋体" w:hAnsi="宋体" w:cs="宋体"/>
                <w:color w:val="auto"/>
                <w:sz w:val="18"/>
                <w:szCs w:val="18"/>
              </w:rPr>
            </w:pPr>
            <w:r>
              <w:rPr>
                <w:rFonts w:ascii="宋体" w:hAnsi="宋体" w:cs="宋体"/>
                <w:color w:val="auto"/>
                <w:sz w:val="18"/>
                <w:szCs w:val="18"/>
              </w:rPr>
              <w:t>59.采购人不定期委托第三方检测公司对</w:t>
            </w:r>
            <w:r>
              <w:rPr>
                <w:rFonts w:hint="eastAsia" w:ascii="宋体" w:hAnsi="宋体" w:cs="宋体"/>
                <w:color w:val="auto"/>
                <w:sz w:val="18"/>
                <w:szCs w:val="18"/>
              </w:rPr>
              <w:t>食堂食材进行抽检（费用由食堂委托经营公司负责）</w:t>
            </w:r>
          </w:p>
        </w:tc>
        <w:tc>
          <w:tcPr>
            <w:tcW w:w="709" w:type="dxa"/>
            <w:tcBorders>
              <w:top w:val="single" w:color="auto" w:sz="4" w:space="0"/>
              <w:left w:val="single" w:color="auto" w:sz="4" w:space="0"/>
              <w:bottom w:val="single" w:color="auto" w:sz="4" w:space="0"/>
              <w:right w:val="single" w:color="auto" w:sz="4" w:space="0"/>
            </w:tcBorders>
            <w:vAlign w:val="center"/>
          </w:tcPr>
          <w:p w14:paraId="1B712728">
            <w:pPr>
              <w:rPr>
                <w:rFonts w:ascii="宋体" w:hAnsi="宋体" w:cs="宋体"/>
                <w:color w:val="auto"/>
                <w:sz w:val="18"/>
                <w:szCs w:val="18"/>
              </w:rPr>
            </w:pPr>
            <w:r>
              <w:rPr>
                <w:rFonts w:hint="eastAsia" w:ascii="宋体" w:hAnsi="宋体" w:cs="宋体"/>
                <w:color w:val="auto"/>
                <w:sz w:val="18"/>
                <w:szCs w:val="18"/>
              </w:rPr>
              <w:t>查验检测报告</w:t>
            </w:r>
          </w:p>
        </w:tc>
        <w:tc>
          <w:tcPr>
            <w:tcW w:w="2693" w:type="dxa"/>
            <w:tcBorders>
              <w:top w:val="single" w:color="auto" w:sz="4" w:space="0"/>
              <w:left w:val="single" w:color="auto" w:sz="4" w:space="0"/>
              <w:bottom w:val="single" w:color="auto" w:sz="4" w:space="0"/>
              <w:right w:val="single" w:color="auto" w:sz="4" w:space="0"/>
            </w:tcBorders>
            <w:vAlign w:val="center"/>
          </w:tcPr>
          <w:p w14:paraId="63AE3E6D">
            <w:pPr>
              <w:rPr>
                <w:rFonts w:ascii="宋体" w:hAnsi="宋体" w:cs="宋体"/>
                <w:color w:val="auto"/>
                <w:sz w:val="18"/>
                <w:szCs w:val="18"/>
              </w:rPr>
            </w:pPr>
            <w:r>
              <w:rPr>
                <w:rFonts w:hint="eastAsia" w:ascii="宋体" w:hAnsi="宋体" w:cs="宋体"/>
                <w:color w:val="auto"/>
                <w:sz w:val="18"/>
                <w:szCs w:val="18"/>
              </w:rPr>
              <w:t>不配合支付违约金</w:t>
            </w:r>
            <w:r>
              <w:rPr>
                <w:rFonts w:ascii="宋体" w:hAnsi="宋体" w:cs="宋体"/>
                <w:color w:val="auto"/>
                <w:sz w:val="18"/>
                <w:szCs w:val="18"/>
              </w:rPr>
              <w:t>10000元，抽检不合格，按不合格数量，支付违约金50000元/</w:t>
            </w:r>
            <w:r>
              <w:rPr>
                <w:rFonts w:hint="eastAsia" w:ascii="宋体" w:hAnsi="宋体" w:cs="宋体"/>
                <w:color w:val="auto"/>
                <w:sz w:val="18"/>
                <w:szCs w:val="18"/>
              </w:rPr>
              <w:t>个。</w:t>
            </w:r>
          </w:p>
        </w:tc>
        <w:tc>
          <w:tcPr>
            <w:tcW w:w="1559" w:type="dxa"/>
            <w:tcBorders>
              <w:top w:val="single" w:color="auto" w:sz="4" w:space="0"/>
              <w:left w:val="single" w:color="auto" w:sz="4" w:space="0"/>
              <w:bottom w:val="single" w:color="auto" w:sz="4" w:space="0"/>
              <w:right w:val="single" w:color="auto" w:sz="4" w:space="0"/>
            </w:tcBorders>
            <w:vAlign w:val="center"/>
          </w:tcPr>
          <w:p w14:paraId="3C8CE7BA">
            <w:pPr>
              <w:rPr>
                <w:rFonts w:ascii="宋体" w:hAnsi="宋体" w:cs="宋体"/>
                <w:color w:val="auto"/>
                <w:sz w:val="18"/>
                <w:szCs w:val="18"/>
              </w:rPr>
            </w:pPr>
            <w:r>
              <w:rPr>
                <w:rFonts w:hint="eastAsia" w:ascii="宋体" w:hAnsi="宋体" w:cs="宋体"/>
                <w:color w:val="auto"/>
                <w:sz w:val="18"/>
                <w:szCs w:val="18"/>
              </w:rPr>
              <w:t>不配合扣</w:t>
            </w:r>
            <w:r>
              <w:rPr>
                <w:rFonts w:ascii="宋体" w:hAnsi="宋体" w:cs="宋体"/>
                <w:color w:val="auto"/>
                <w:sz w:val="18"/>
                <w:szCs w:val="18"/>
              </w:rPr>
              <w:t>2分/次，抽检不合格的扣5分/</w:t>
            </w:r>
            <w:r>
              <w:rPr>
                <w:rFonts w:hint="eastAsia" w:ascii="宋体" w:hAnsi="宋体" w:cs="宋体"/>
                <w:color w:val="auto"/>
                <w:sz w:val="18"/>
                <w:szCs w:val="18"/>
              </w:rPr>
              <w:t>个。</w:t>
            </w:r>
          </w:p>
        </w:tc>
      </w:tr>
      <w:tr w14:paraId="61F1AEEF">
        <w:tblPrEx>
          <w:tblCellMar>
            <w:top w:w="0" w:type="dxa"/>
            <w:left w:w="108" w:type="dxa"/>
            <w:bottom w:w="0" w:type="dxa"/>
            <w:right w:w="108" w:type="dxa"/>
          </w:tblCellMar>
        </w:tblPrEx>
        <w:trPr>
          <w:trHeight w:val="555" w:hRule="atLeast"/>
          <w:jc w:val="center"/>
        </w:trPr>
        <w:tc>
          <w:tcPr>
            <w:tcW w:w="499" w:type="dxa"/>
            <w:vMerge w:val="continue"/>
            <w:tcBorders>
              <w:left w:val="single" w:color="auto" w:sz="4" w:space="0"/>
              <w:right w:val="single" w:color="auto" w:sz="4" w:space="0"/>
            </w:tcBorders>
            <w:vAlign w:val="center"/>
          </w:tcPr>
          <w:p w14:paraId="41973106">
            <w:pPr>
              <w:rPr>
                <w:rFonts w:ascii="宋体" w:hAnsi="宋体" w:cs="宋体"/>
                <w:color w:val="auto"/>
                <w:sz w:val="18"/>
                <w:szCs w:val="18"/>
              </w:rPr>
            </w:pPr>
          </w:p>
        </w:tc>
        <w:tc>
          <w:tcPr>
            <w:tcW w:w="636" w:type="dxa"/>
            <w:vMerge w:val="continue"/>
            <w:tcBorders>
              <w:left w:val="single" w:color="auto" w:sz="4" w:space="0"/>
              <w:right w:val="single" w:color="auto" w:sz="4" w:space="0"/>
            </w:tcBorders>
            <w:vAlign w:val="center"/>
          </w:tcPr>
          <w:p w14:paraId="1ECDBBE3">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vAlign w:val="center"/>
          </w:tcPr>
          <w:p w14:paraId="69F6572F">
            <w:pPr>
              <w:rPr>
                <w:rFonts w:ascii="宋体" w:hAnsi="宋体" w:cs="宋体"/>
                <w:color w:val="auto"/>
                <w:sz w:val="18"/>
                <w:szCs w:val="18"/>
              </w:rPr>
            </w:pPr>
            <w:r>
              <w:rPr>
                <w:rFonts w:ascii="宋体" w:hAnsi="宋体" w:cs="宋体"/>
                <w:color w:val="auto"/>
                <w:sz w:val="18"/>
                <w:szCs w:val="18"/>
              </w:rPr>
              <w:t>60.接受市场监督管理局等有关职能部门以及上级机关等各级各类检查时，给采购人造成不良影响的</w:t>
            </w:r>
          </w:p>
        </w:tc>
        <w:tc>
          <w:tcPr>
            <w:tcW w:w="709" w:type="dxa"/>
            <w:tcBorders>
              <w:top w:val="single" w:color="auto" w:sz="4" w:space="0"/>
              <w:left w:val="single" w:color="auto" w:sz="4" w:space="0"/>
              <w:bottom w:val="single" w:color="auto" w:sz="4" w:space="0"/>
              <w:right w:val="single" w:color="auto" w:sz="4" w:space="0"/>
            </w:tcBorders>
            <w:vAlign w:val="center"/>
          </w:tcPr>
          <w:p w14:paraId="3682524C">
            <w:pPr>
              <w:rPr>
                <w:rFonts w:ascii="宋体" w:hAnsi="宋体" w:cs="宋体"/>
                <w:color w:val="auto"/>
                <w:sz w:val="18"/>
                <w:szCs w:val="18"/>
              </w:rPr>
            </w:pPr>
            <w:r>
              <w:rPr>
                <w:rFonts w:hint="eastAsia" w:ascii="宋体" w:hAnsi="宋体" w:cs="宋体"/>
                <w:color w:val="auto"/>
                <w:sz w:val="18"/>
                <w:szCs w:val="18"/>
              </w:rPr>
              <w:t>依据检查效果</w:t>
            </w:r>
          </w:p>
        </w:tc>
        <w:tc>
          <w:tcPr>
            <w:tcW w:w="2693" w:type="dxa"/>
            <w:tcBorders>
              <w:top w:val="single" w:color="auto" w:sz="4" w:space="0"/>
              <w:left w:val="single" w:color="auto" w:sz="4" w:space="0"/>
              <w:bottom w:val="single" w:color="auto" w:sz="4" w:space="0"/>
              <w:right w:val="single" w:color="auto" w:sz="4" w:space="0"/>
            </w:tcBorders>
            <w:vAlign w:val="center"/>
          </w:tcPr>
          <w:p w14:paraId="79A5BE33">
            <w:pPr>
              <w:rPr>
                <w:rFonts w:ascii="宋体" w:hAnsi="宋体" w:cs="宋体"/>
                <w:color w:val="auto"/>
                <w:sz w:val="18"/>
                <w:szCs w:val="18"/>
              </w:rPr>
            </w:pPr>
            <w:r>
              <w:rPr>
                <w:rFonts w:hint="eastAsia" w:ascii="宋体" w:hAnsi="宋体" w:cs="宋体"/>
                <w:color w:val="auto"/>
                <w:sz w:val="18"/>
                <w:szCs w:val="18"/>
              </w:rPr>
              <w:t>视其情节每发生一次支付违约金</w:t>
            </w:r>
            <w:r>
              <w:rPr>
                <w:rFonts w:ascii="宋体" w:hAnsi="宋体" w:cs="宋体"/>
                <w:color w:val="auto"/>
                <w:sz w:val="18"/>
                <w:szCs w:val="18"/>
              </w:rPr>
              <w:t>2000元及以上；</w:t>
            </w:r>
          </w:p>
        </w:tc>
        <w:tc>
          <w:tcPr>
            <w:tcW w:w="1559" w:type="dxa"/>
            <w:tcBorders>
              <w:top w:val="single" w:color="auto" w:sz="4" w:space="0"/>
              <w:left w:val="single" w:color="auto" w:sz="4" w:space="0"/>
              <w:bottom w:val="single" w:color="auto" w:sz="4" w:space="0"/>
              <w:right w:val="single" w:color="auto" w:sz="4" w:space="0"/>
            </w:tcBorders>
            <w:vAlign w:val="center"/>
          </w:tcPr>
          <w:p w14:paraId="048B70D2">
            <w:pPr>
              <w:rPr>
                <w:rFonts w:ascii="宋体" w:hAnsi="宋体" w:cs="宋体"/>
                <w:color w:val="auto"/>
                <w:sz w:val="18"/>
                <w:szCs w:val="18"/>
              </w:rPr>
            </w:pPr>
            <w:r>
              <w:rPr>
                <w:rFonts w:hint="eastAsia" w:ascii="宋体" w:hAnsi="宋体" w:cs="宋体"/>
                <w:color w:val="auto"/>
                <w:sz w:val="18"/>
                <w:szCs w:val="18"/>
              </w:rPr>
              <w:t>视其情节扣</w:t>
            </w:r>
            <w:r>
              <w:rPr>
                <w:rFonts w:ascii="宋体" w:hAnsi="宋体" w:cs="宋体"/>
                <w:color w:val="auto"/>
                <w:sz w:val="18"/>
                <w:szCs w:val="18"/>
              </w:rPr>
              <w:t>1分/次及以上</w:t>
            </w:r>
          </w:p>
        </w:tc>
      </w:tr>
      <w:tr w14:paraId="270C1F93">
        <w:tblPrEx>
          <w:tblCellMar>
            <w:top w:w="0" w:type="dxa"/>
            <w:left w:w="108" w:type="dxa"/>
            <w:bottom w:w="0" w:type="dxa"/>
            <w:right w:w="108" w:type="dxa"/>
          </w:tblCellMar>
        </w:tblPrEx>
        <w:trPr>
          <w:trHeight w:val="555" w:hRule="atLeast"/>
          <w:jc w:val="center"/>
        </w:trPr>
        <w:tc>
          <w:tcPr>
            <w:tcW w:w="499" w:type="dxa"/>
            <w:vMerge w:val="continue"/>
            <w:tcBorders>
              <w:left w:val="single" w:color="auto" w:sz="4" w:space="0"/>
              <w:right w:val="single" w:color="auto" w:sz="4" w:space="0"/>
            </w:tcBorders>
            <w:vAlign w:val="center"/>
          </w:tcPr>
          <w:p w14:paraId="3B983F5F">
            <w:pPr>
              <w:rPr>
                <w:rFonts w:ascii="宋体" w:hAnsi="宋体" w:cs="宋体"/>
                <w:color w:val="auto"/>
                <w:sz w:val="18"/>
                <w:szCs w:val="18"/>
              </w:rPr>
            </w:pPr>
          </w:p>
        </w:tc>
        <w:tc>
          <w:tcPr>
            <w:tcW w:w="636" w:type="dxa"/>
            <w:vMerge w:val="continue"/>
            <w:tcBorders>
              <w:left w:val="single" w:color="auto" w:sz="4" w:space="0"/>
              <w:right w:val="single" w:color="auto" w:sz="4" w:space="0"/>
            </w:tcBorders>
            <w:vAlign w:val="center"/>
          </w:tcPr>
          <w:p w14:paraId="3466A4D4">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AA531BF">
            <w:pPr>
              <w:rPr>
                <w:rFonts w:ascii="宋体" w:hAnsi="宋体" w:cs="宋体"/>
                <w:color w:val="auto"/>
                <w:sz w:val="18"/>
                <w:szCs w:val="18"/>
              </w:rPr>
            </w:pPr>
            <w:r>
              <w:rPr>
                <w:rFonts w:ascii="宋体" w:hAnsi="宋体" w:cs="宋体"/>
                <w:color w:val="auto"/>
                <w:sz w:val="18"/>
                <w:szCs w:val="18"/>
              </w:rPr>
              <w:t>61.严禁使用</w:t>
            </w:r>
            <w:r>
              <w:rPr>
                <w:rFonts w:hint="eastAsia" w:ascii="宋体" w:hAnsi="宋体" w:cs="宋体"/>
                <w:color w:val="auto"/>
                <w:sz w:val="18"/>
                <w:szCs w:val="18"/>
              </w:rPr>
              <w:t>转基因食材或外国进口类食材</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72E84256">
            <w:pPr>
              <w:rPr>
                <w:rFonts w:ascii="宋体" w:hAnsi="宋体" w:cs="宋体"/>
                <w:color w:val="auto"/>
                <w:sz w:val="18"/>
                <w:szCs w:val="18"/>
              </w:rPr>
            </w:pPr>
            <w:r>
              <w:rPr>
                <w:rFonts w:hint="eastAsia" w:ascii="宋体" w:hAnsi="宋体" w:cs="宋体"/>
                <w:color w:val="auto"/>
                <w:sz w:val="18"/>
                <w:szCs w:val="18"/>
              </w:rPr>
              <w:t>现场检查</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tcPr>
          <w:p w14:paraId="4F45FDD8">
            <w:pPr>
              <w:rPr>
                <w:rFonts w:ascii="宋体" w:hAnsi="宋体" w:cs="宋体"/>
                <w:color w:val="auto"/>
                <w:sz w:val="18"/>
                <w:szCs w:val="18"/>
              </w:rPr>
            </w:pPr>
            <w:r>
              <w:rPr>
                <w:rFonts w:hint="eastAsia" w:ascii="宋体" w:hAnsi="宋体" w:cs="宋体"/>
                <w:color w:val="auto"/>
                <w:sz w:val="18"/>
                <w:szCs w:val="18"/>
              </w:rPr>
              <w:t>每发现一次按每个品种支付违约金</w:t>
            </w:r>
            <w:r>
              <w:rPr>
                <w:rFonts w:ascii="宋体" w:hAnsi="宋体" w:cs="宋体"/>
                <w:color w:val="auto"/>
                <w:sz w:val="18"/>
                <w:szCs w:val="18"/>
              </w:rPr>
              <w:t>10000元。</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17451BEB">
            <w:pPr>
              <w:rPr>
                <w:rFonts w:ascii="宋体" w:hAnsi="宋体" w:cs="宋体"/>
                <w:color w:val="auto"/>
                <w:sz w:val="18"/>
                <w:szCs w:val="18"/>
              </w:rPr>
            </w:pPr>
            <w:r>
              <w:rPr>
                <w:rFonts w:hint="eastAsia" w:ascii="宋体" w:hAnsi="宋体" w:cs="宋体"/>
                <w:color w:val="auto"/>
                <w:sz w:val="18"/>
                <w:szCs w:val="18"/>
              </w:rPr>
              <w:t>按发现品种数量扣</w:t>
            </w:r>
            <w:r>
              <w:rPr>
                <w:rFonts w:ascii="宋体" w:hAnsi="宋体" w:cs="宋体"/>
                <w:color w:val="auto"/>
                <w:sz w:val="18"/>
                <w:szCs w:val="18"/>
              </w:rPr>
              <w:t>5/</w:t>
            </w:r>
            <w:r>
              <w:rPr>
                <w:rFonts w:hint="eastAsia" w:ascii="宋体" w:hAnsi="宋体" w:cs="宋体"/>
                <w:color w:val="auto"/>
                <w:sz w:val="18"/>
                <w:szCs w:val="18"/>
              </w:rPr>
              <w:t>个</w:t>
            </w:r>
          </w:p>
        </w:tc>
      </w:tr>
      <w:tr w14:paraId="6F85EE43">
        <w:tblPrEx>
          <w:tblCellMar>
            <w:top w:w="0" w:type="dxa"/>
            <w:left w:w="108" w:type="dxa"/>
            <w:bottom w:w="0" w:type="dxa"/>
            <w:right w:w="108" w:type="dxa"/>
          </w:tblCellMar>
        </w:tblPrEx>
        <w:trPr>
          <w:trHeight w:val="555" w:hRule="atLeast"/>
          <w:jc w:val="center"/>
        </w:trPr>
        <w:tc>
          <w:tcPr>
            <w:tcW w:w="499" w:type="dxa"/>
            <w:vMerge w:val="continue"/>
            <w:tcBorders>
              <w:left w:val="single" w:color="auto" w:sz="4" w:space="0"/>
              <w:right w:val="single" w:color="auto" w:sz="4" w:space="0"/>
            </w:tcBorders>
            <w:vAlign w:val="center"/>
          </w:tcPr>
          <w:p w14:paraId="064AEF5C">
            <w:pPr>
              <w:rPr>
                <w:rFonts w:ascii="宋体" w:hAnsi="宋体" w:cs="宋体"/>
                <w:color w:val="auto"/>
                <w:sz w:val="18"/>
                <w:szCs w:val="18"/>
              </w:rPr>
            </w:pPr>
          </w:p>
        </w:tc>
        <w:tc>
          <w:tcPr>
            <w:tcW w:w="636" w:type="dxa"/>
            <w:vMerge w:val="continue"/>
            <w:tcBorders>
              <w:left w:val="single" w:color="auto" w:sz="4" w:space="0"/>
              <w:right w:val="single" w:color="auto" w:sz="4" w:space="0"/>
            </w:tcBorders>
            <w:vAlign w:val="center"/>
          </w:tcPr>
          <w:p w14:paraId="036A96B4">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3E2254C">
            <w:pPr>
              <w:rPr>
                <w:rFonts w:ascii="宋体" w:hAnsi="宋体" w:cs="宋体"/>
                <w:color w:val="auto"/>
                <w:sz w:val="18"/>
                <w:szCs w:val="18"/>
              </w:rPr>
            </w:pPr>
            <w:r>
              <w:rPr>
                <w:rFonts w:ascii="宋体" w:hAnsi="宋体" w:cs="宋体"/>
                <w:color w:val="auto"/>
                <w:sz w:val="18"/>
                <w:szCs w:val="18"/>
              </w:rPr>
              <w:t>62.不服从管理、不及时按要求进行整改</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075C525B">
            <w:pPr>
              <w:rPr>
                <w:rFonts w:ascii="宋体" w:hAnsi="宋体" w:cs="宋体"/>
                <w:color w:val="auto"/>
                <w:sz w:val="18"/>
                <w:szCs w:val="18"/>
              </w:rPr>
            </w:pPr>
            <w:r>
              <w:rPr>
                <w:rFonts w:hint="eastAsia" w:ascii="宋体" w:hAnsi="宋体" w:cs="宋体"/>
                <w:color w:val="auto"/>
                <w:sz w:val="18"/>
                <w:szCs w:val="18"/>
              </w:rPr>
              <w:t>依据工作</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tcPr>
          <w:p w14:paraId="4C19D3C9">
            <w:pPr>
              <w:rPr>
                <w:rFonts w:ascii="宋体" w:hAnsi="宋体" w:cs="宋体"/>
                <w:color w:val="auto"/>
                <w:sz w:val="18"/>
                <w:szCs w:val="18"/>
              </w:rPr>
            </w:pPr>
            <w:r>
              <w:rPr>
                <w:rFonts w:hint="eastAsia" w:ascii="宋体" w:hAnsi="宋体" w:cs="宋体"/>
                <w:color w:val="auto"/>
                <w:sz w:val="18"/>
                <w:szCs w:val="18"/>
              </w:rPr>
              <w:t>视其情况每次支付违约金</w:t>
            </w:r>
            <w:r>
              <w:rPr>
                <w:rFonts w:ascii="宋体" w:hAnsi="宋体" w:cs="宋体"/>
                <w:color w:val="auto"/>
                <w:sz w:val="18"/>
                <w:szCs w:val="18"/>
              </w:rPr>
              <w:t>10000元-50000元</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373D1DC6">
            <w:pPr>
              <w:rPr>
                <w:rFonts w:ascii="宋体" w:hAnsi="宋体" w:cs="宋体"/>
                <w:color w:val="auto"/>
                <w:sz w:val="18"/>
                <w:szCs w:val="18"/>
              </w:rPr>
            </w:pPr>
            <w:r>
              <w:rPr>
                <w:rFonts w:hint="eastAsia" w:ascii="宋体" w:hAnsi="宋体" w:cs="宋体"/>
                <w:color w:val="auto"/>
                <w:sz w:val="18"/>
                <w:szCs w:val="18"/>
              </w:rPr>
              <w:t>视其情况扣</w:t>
            </w:r>
            <w:r>
              <w:rPr>
                <w:rFonts w:ascii="宋体" w:hAnsi="宋体" w:cs="宋体"/>
                <w:color w:val="auto"/>
                <w:sz w:val="18"/>
                <w:szCs w:val="18"/>
              </w:rPr>
              <w:t>5-10分/次</w:t>
            </w:r>
          </w:p>
        </w:tc>
      </w:tr>
      <w:tr w14:paraId="0B33761D">
        <w:tblPrEx>
          <w:tblCellMar>
            <w:top w:w="0" w:type="dxa"/>
            <w:left w:w="108" w:type="dxa"/>
            <w:bottom w:w="0" w:type="dxa"/>
            <w:right w:w="108" w:type="dxa"/>
          </w:tblCellMar>
        </w:tblPrEx>
        <w:trPr>
          <w:trHeight w:val="555" w:hRule="atLeast"/>
          <w:jc w:val="center"/>
        </w:trPr>
        <w:tc>
          <w:tcPr>
            <w:tcW w:w="499" w:type="dxa"/>
            <w:vMerge w:val="continue"/>
            <w:tcBorders>
              <w:left w:val="single" w:color="auto" w:sz="4" w:space="0"/>
              <w:right w:val="single" w:color="auto" w:sz="4" w:space="0"/>
            </w:tcBorders>
            <w:vAlign w:val="center"/>
          </w:tcPr>
          <w:p w14:paraId="2E840C1C">
            <w:pPr>
              <w:rPr>
                <w:rFonts w:ascii="宋体" w:hAnsi="宋体" w:cs="宋体"/>
                <w:color w:val="auto"/>
                <w:sz w:val="18"/>
                <w:szCs w:val="18"/>
              </w:rPr>
            </w:pPr>
          </w:p>
        </w:tc>
        <w:tc>
          <w:tcPr>
            <w:tcW w:w="636" w:type="dxa"/>
            <w:vMerge w:val="continue"/>
            <w:tcBorders>
              <w:left w:val="single" w:color="auto" w:sz="4" w:space="0"/>
              <w:right w:val="single" w:color="auto" w:sz="4" w:space="0"/>
            </w:tcBorders>
            <w:vAlign w:val="center"/>
          </w:tcPr>
          <w:p w14:paraId="303703C3">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3C8BAC5">
            <w:pPr>
              <w:rPr>
                <w:rFonts w:ascii="宋体" w:hAnsi="宋体" w:cs="宋体"/>
                <w:color w:val="auto"/>
                <w:sz w:val="18"/>
                <w:szCs w:val="18"/>
              </w:rPr>
            </w:pPr>
            <w:r>
              <w:rPr>
                <w:rFonts w:ascii="宋体" w:hAnsi="宋体" w:cs="宋体"/>
                <w:color w:val="auto"/>
                <w:sz w:val="18"/>
                <w:szCs w:val="18"/>
              </w:rPr>
              <w:t>63.完成学校情况下达的各类工作任务</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5F8DB69D">
            <w:pPr>
              <w:rPr>
                <w:rFonts w:ascii="宋体" w:hAnsi="宋体" w:cs="宋体"/>
                <w:color w:val="auto"/>
                <w:sz w:val="18"/>
                <w:szCs w:val="18"/>
              </w:rPr>
            </w:pPr>
            <w:r>
              <w:rPr>
                <w:rFonts w:hint="eastAsia" w:ascii="宋体" w:hAnsi="宋体" w:cs="宋体"/>
                <w:color w:val="auto"/>
                <w:sz w:val="18"/>
                <w:szCs w:val="18"/>
              </w:rPr>
              <w:t>依据工作</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tcPr>
          <w:p w14:paraId="0A9396EC">
            <w:pPr>
              <w:rPr>
                <w:rFonts w:ascii="宋体" w:hAnsi="宋体" w:cs="宋体"/>
                <w:color w:val="auto"/>
                <w:sz w:val="18"/>
                <w:szCs w:val="18"/>
              </w:rPr>
            </w:pPr>
            <w:r>
              <w:rPr>
                <w:rFonts w:hint="eastAsia" w:ascii="宋体" w:hAnsi="宋体" w:cs="宋体"/>
                <w:color w:val="auto"/>
                <w:sz w:val="18"/>
                <w:szCs w:val="18"/>
              </w:rPr>
              <w:t>视工作未完成情况每项支付违约金</w:t>
            </w:r>
            <w:r>
              <w:rPr>
                <w:rFonts w:ascii="宋体" w:hAnsi="宋体" w:cs="宋体"/>
                <w:color w:val="auto"/>
                <w:sz w:val="18"/>
                <w:szCs w:val="18"/>
              </w:rPr>
              <w:t>5000元-50000元。</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5B01AD50">
            <w:pPr>
              <w:rPr>
                <w:rFonts w:ascii="宋体" w:hAnsi="宋体" w:cs="宋体"/>
                <w:color w:val="auto"/>
                <w:sz w:val="18"/>
                <w:szCs w:val="18"/>
              </w:rPr>
            </w:pPr>
            <w:r>
              <w:rPr>
                <w:rFonts w:hint="eastAsia" w:ascii="宋体" w:hAnsi="宋体" w:cs="宋体"/>
                <w:color w:val="auto"/>
                <w:sz w:val="18"/>
                <w:szCs w:val="18"/>
              </w:rPr>
              <w:t>视工作未完成情况扣</w:t>
            </w:r>
            <w:r>
              <w:rPr>
                <w:rFonts w:ascii="宋体" w:hAnsi="宋体" w:cs="宋体"/>
                <w:color w:val="auto"/>
                <w:sz w:val="18"/>
                <w:szCs w:val="18"/>
              </w:rPr>
              <w:t>5-10分/项</w:t>
            </w:r>
          </w:p>
        </w:tc>
      </w:tr>
      <w:tr w14:paraId="6546FFCF">
        <w:tblPrEx>
          <w:tblCellMar>
            <w:top w:w="0" w:type="dxa"/>
            <w:left w:w="108" w:type="dxa"/>
            <w:bottom w:w="0" w:type="dxa"/>
            <w:right w:w="108" w:type="dxa"/>
          </w:tblCellMar>
        </w:tblPrEx>
        <w:trPr>
          <w:trHeight w:val="480" w:hRule="atLeast"/>
          <w:jc w:val="center"/>
        </w:trPr>
        <w:tc>
          <w:tcPr>
            <w:tcW w:w="499" w:type="dxa"/>
            <w:vMerge w:val="continue"/>
            <w:tcBorders>
              <w:left w:val="single" w:color="auto" w:sz="4" w:space="0"/>
              <w:right w:val="single" w:color="auto" w:sz="4" w:space="0"/>
            </w:tcBorders>
            <w:vAlign w:val="center"/>
          </w:tcPr>
          <w:p w14:paraId="01FD1FA6">
            <w:pPr>
              <w:rPr>
                <w:rFonts w:ascii="宋体" w:hAnsi="宋体" w:cs="宋体"/>
                <w:color w:val="auto"/>
                <w:sz w:val="18"/>
                <w:szCs w:val="18"/>
              </w:rPr>
            </w:pPr>
          </w:p>
        </w:tc>
        <w:tc>
          <w:tcPr>
            <w:tcW w:w="636" w:type="dxa"/>
            <w:vMerge w:val="continue"/>
            <w:tcBorders>
              <w:left w:val="single" w:color="auto" w:sz="4" w:space="0"/>
              <w:right w:val="single" w:color="auto" w:sz="4" w:space="0"/>
            </w:tcBorders>
            <w:vAlign w:val="center"/>
          </w:tcPr>
          <w:p w14:paraId="36BC4365">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41FF4B5">
            <w:pPr>
              <w:rPr>
                <w:rFonts w:ascii="宋体" w:hAnsi="宋体" w:cs="宋体"/>
                <w:color w:val="auto"/>
                <w:sz w:val="18"/>
                <w:szCs w:val="18"/>
              </w:rPr>
            </w:pPr>
            <w:r>
              <w:rPr>
                <w:rFonts w:ascii="宋体" w:hAnsi="宋体" w:cs="宋体"/>
                <w:color w:val="auto"/>
                <w:sz w:val="18"/>
                <w:szCs w:val="18"/>
              </w:rPr>
              <w:t>64.在经营过程中发生师生有效投诉</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31470582">
            <w:pPr>
              <w:rPr>
                <w:rFonts w:ascii="宋体" w:hAnsi="宋体" w:cs="宋体"/>
                <w:color w:val="auto"/>
                <w:sz w:val="18"/>
                <w:szCs w:val="18"/>
              </w:rPr>
            </w:pPr>
            <w:r>
              <w:rPr>
                <w:rFonts w:hint="eastAsia" w:ascii="宋体" w:hAnsi="宋体" w:cs="宋体"/>
                <w:color w:val="auto"/>
                <w:sz w:val="18"/>
                <w:szCs w:val="18"/>
              </w:rPr>
              <w:t>依据投诉</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tcPr>
          <w:p w14:paraId="4843B38F">
            <w:pPr>
              <w:rPr>
                <w:rFonts w:ascii="宋体" w:hAnsi="宋体" w:cs="宋体"/>
                <w:color w:val="auto"/>
                <w:sz w:val="18"/>
                <w:szCs w:val="18"/>
              </w:rPr>
            </w:pPr>
            <w:r>
              <w:rPr>
                <w:rFonts w:hint="eastAsia" w:ascii="宋体" w:hAnsi="宋体" w:cs="宋体"/>
                <w:color w:val="auto"/>
                <w:sz w:val="18"/>
                <w:szCs w:val="18"/>
              </w:rPr>
              <w:t>视其情况支付违约金</w:t>
            </w:r>
            <w:r>
              <w:rPr>
                <w:rFonts w:ascii="宋体" w:hAnsi="宋体" w:cs="宋体"/>
                <w:color w:val="auto"/>
                <w:sz w:val="18"/>
                <w:szCs w:val="18"/>
              </w:rPr>
              <w:t>500元及以上/次</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42EDEC54">
            <w:pPr>
              <w:rPr>
                <w:rFonts w:ascii="宋体" w:hAnsi="宋体" w:cs="宋体"/>
                <w:color w:val="auto"/>
                <w:sz w:val="18"/>
                <w:szCs w:val="18"/>
              </w:rPr>
            </w:pPr>
            <w:r>
              <w:rPr>
                <w:rFonts w:hint="eastAsia" w:ascii="宋体" w:hAnsi="宋体" w:cs="宋体"/>
                <w:color w:val="auto"/>
                <w:sz w:val="18"/>
                <w:szCs w:val="18"/>
              </w:rPr>
              <w:t>视其情况扣</w:t>
            </w:r>
            <w:r>
              <w:rPr>
                <w:rFonts w:ascii="宋体" w:hAnsi="宋体" w:cs="宋体"/>
                <w:color w:val="auto"/>
                <w:sz w:val="18"/>
                <w:szCs w:val="18"/>
              </w:rPr>
              <w:t>1分及以上/次</w:t>
            </w:r>
          </w:p>
        </w:tc>
      </w:tr>
      <w:tr w14:paraId="73F8D6E6">
        <w:tblPrEx>
          <w:tblCellMar>
            <w:top w:w="0" w:type="dxa"/>
            <w:left w:w="108" w:type="dxa"/>
            <w:bottom w:w="0" w:type="dxa"/>
            <w:right w:w="108" w:type="dxa"/>
          </w:tblCellMar>
        </w:tblPrEx>
        <w:trPr>
          <w:trHeight w:val="480" w:hRule="atLeast"/>
          <w:jc w:val="center"/>
        </w:trPr>
        <w:tc>
          <w:tcPr>
            <w:tcW w:w="499" w:type="dxa"/>
            <w:vMerge w:val="continue"/>
            <w:tcBorders>
              <w:left w:val="single" w:color="auto" w:sz="4" w:space="0"/>
              <w:right w:val="single" w:color="auto" w:sz="4" w:space="0"/>
            </w:tcBorders>
            <w:vAlign w:val="center"/>
          </w:tcPr>
          <w:p w14:paraId="344873BB">
            <w:pPr>
              <w:rPr>
                <w:rFonts w:ascii="宋体" w:hAnsi="宋体" w:cs="宋体"/>
                <w:color w:val="auto"/>
                <w:sz w:val="18"/>
                <w:szCs w:val="18"/>
              </w:rPr>
            </w:pPr>
          </w:p>
        </w:tc>
        <w:tc>
          <w:tcPr>
            <w:tcW w:w="636" w:type="dxa"/>
            <w:vMerge w:val="continue"/>
            <w:tcBorders>
              <w:left w:val="single" w:color="auto" w:sz="4" w:space="0"/>
              <w:right w:val="single" w:color="auto" w:sz="4" w:space="0"/>
            </w:tcBorders>
            <w:vAlign w:val="center"/>
          </w:tcPr>
          <w:p w14:paraId="1C0F208D">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209511D">
            <w:pPr>
              <w:rPr>
                <w:rFonts w:ascii="宋体" w:hAnsi="宋体" w:cs="宋体"/>
                <w:color w:val="auto"/>
                <w:sz w:val="18"/>
                <w:szCs w:val="18"/>
              </w:rPr>
            </w:pPr>
            <w:r>
              <w:rPr>
                <w:rFonts w:ascii="宋体" w:hAnsi="宋体" w:cs="宋体"/>
                <w:color w:val="auto"/>
                <w:sz w:val="18"/>
                <w:szCs w:val="18"/>
              </w:rPr>
              <w:t>65.</w:t>
            </w:r>
            <w:r>
              <w:rPr>
                <w:rFonts w:hint="eastAsia" w:ascii="宋体" w:hAnsi="宋体" w:cs="宋体"/>
                <w:color w:val="auto"/>
                <w:sz w:val="18"/>
                <w:szCs w:val="18"/>
              </w:rPr>
              <w:t>成交商招聘的工人在学校内，做影响食品从业人员形象的事情（例如在垃圾桶里面或学校其他区域捡垃圾）</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334B3707">
            <w:pPr>
              <w:rPr>
                <w:rFonts w:ascii="宋体" w:hAnsi="宋体" w:cs="宋体"/>
                <w:color w:val="auto"/>
                <w:sz w:val="18"/>
                <w:szCs w:val="18"/>
              </w:rPr>
            </w:pPr>
            <w:r>
              <w:rPr>
                <w:rFonts w:hint="eastAsia" w:ascii="宋体" w:hAnsi="宋体" w:cs="宋体"/>
                <w:color w:val="auto"/>
                <w:sz w:val="18"/>
                <w:szCs w:val="18"/>
              </w:rPr>
              <w:t>现场核实</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tcPr>
          <w:p w14:paraId="1428E741">
            <w:pPr>
              <w:rPr>
                <w:rFonts w:ascii="宋体" w:hAnsi="宋体" w:cs="宋体"/>
                <w:color w:val="auto"/>
                <w:sz w:val="18"/>
                <w:szCs w:val="18"/>
              </w:rPr>
            </w:pPr>
            <w:r>
              <w:rPr>
                <w:rFonts w:hint="eastAsia" w:ascii="宋体" w:hAnsi="宋体" w:cs="宋体"/>
                <w:color w:val="auto"/>
                <w:sz w:val="18"/>
                <w:szCs w:val="18"/>
              </w:rPr>
              <w:t>经查实后支付违约金</w:t>
            </w:r>
            <w:r>
              <w:rPr>
                <w:rFonts w:ascii="宋体" w:hAnsi="宋体" w:cs="宋体"/>
                <w:color w:val="auto"/>
                <w:sz w:val="18"/>
                <w:szCs w:val="18"/>
              </w:rPr>
              <w:t>1000元/人、次</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21E4FDD6">
            <w:pPr>
              <w:rPr>
                <w:rFonts w:ascii="宋体" w:hAnsi="宋体" w:cs="宋体"/>
                <w:color w:val="auto"/>
                <w:sz w:val="18"/>
                <w:szCs w:val="18"/>
              </w:rPr>
            </w:pPr>
            <w:r>
              <w:rPr>
                <w:rFonts w:hint="eastAsia" w:ascii="宋体" w:hAnsi="宋体" w:cs="宋体"/>
                <w:color w:val="auto"/>
                <w:sz w:val="18"/>
                <w:szCs w:val="18"/>
              </w:rPr>
              <w:t>经查实后扣</w:t>
            </w:r>
            <w:r>
              <w:rPr>
                <w:rFonts w:ascii="宋体" w:hAnsi="宋体" w:cs="宋体"/>
                <w:color w:val="auto"/>
                <w:sz w:val="18"/>
                <w:szCs w:val="18"/>
              </w:rPr>
              <w:t>1分/人、次</w:t>
            </w:r>
          </w:p>
        </w:tc>
      </w:tr>
      <w:tr w14:paraId="1452E671">
        <w:tblPrEx>
          <w:tblCellMar>
            <w:top w:w="0" w:type="dxa"/>
            <w:left w:w="108" w:type="dxa"/>
            <w:bottom w:w="0" w:type="dxa"/>
            <w:right w:w="108" w:type="dxa"/>
          </w:tblCellMar>
        </w:tblPrEx>
        <w:trPr>
          <w:trHeight w:val="480" w:hRule="atLeast"/>
          <w:jc w:val="center"/>
        </w:trPr>
        <w:tc>
          <w:tcPr>
            <w:tcW w:w="499" w:type="dxa"/>
            <w:vMerge w:val="continue"/>
            <w:tcBorders>
              <w:left w:val="single" w:color="auto" w:sz="4" w:space="0"/>
              <w:right w:val="single" w:color="auto" w:sz="4" w:space="0"/>
            </w:tcBorders>
            <w:vAlign w:val="center"/>
          </w:tcPr>
          <w:p w14:paraId="6A2FC603">
            <w:pPr>
              <w:rPr>
                <w:rFonts w:ascii="宋体" w:hAnsi="宋体" w:cs="宋体"/>
                <w:color w:val="auto"/>
                <w:sz w:val="18"/>
                <w:szCs w:val="18"/>
              </w:rPr>
            </w:pPr>
          </w:p>
        </w:tc>
        <w:tc>
          <w:tcPr>
            <w:tcW w:w="636" w:type="dxa"/>
            <w:vMerge w:val="continue"/>
            <w:tcBorders>
              <w:left w:val="single" w:color="auto" w:sz="4" w:space="0"/>
              <w:right w:val="single" w:color="auto" w:sz="4" w:space="0"/>
            </w:tcBorders>
            <w:vAlign w:val="center"/>
          </w:tcPr>
          <w:p w14:paraId="03DC0D8E">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vAlign w:val="center"/>
          </w:tcPr>
          <w:p w14:paraId="406B54D7">
            <w:pPr>
              <w:rPr>
                <w:rFonts w:ascii="宋体" w:hAnsi="宋体" w:cs="宋体"/>
                <w:color w:val="auto"/>
                <w:sz w:val="18"/>
                <w:szCs w:val="18"/>
              </w:rPr>
            </w:pPr>
            <w:r>
              <w:rPr>
                <w:rFonts w:ascii="宋体" w:hAnsi="宋体" w:cs="宋体"/>
                <w:color w:val="auto"/>
                <w:sz w:val="18"/>
                <w:szCs w:val="18"/>
              </w:rPr>
              <w:t>66.不得在食堂内出现任何商业广告</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50F60AC5">
            <w:pPr>
              <w:rPr>
                <w:rFonts w:ascii="宋体" w:hAnsi="宋体" w:cs="宋体"/>
                <w:color w:val="auto"/>
                <w:sz w:val="18"/>
                <w:szCs w:val="18"/>
              </w:rPr>
            </w:pPr>
            <w:r>
              <w:rPr>
                <w:rFonts w:hint="eastAsia" w:ascii="宋体" w:hAnsi="宋体" w:cs="宋体"/>
                <w:color w:val="auto"/>
                <w:sz w:val="18"/>
                <w:szCs w:val="18"/>
              </w:rPr>
              <w:t>现场核实</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tcPr>
          <w:p w14:paraId="6F54E0E3">
            <w:pPr>
              <w:rPr>
                <w:rFonts w:ascii="宋体" w:hAnsi="宋体" w:cs="宋体"/>
                <w:color w:val="auto"/>
                <w:sz w:val="18"/>
                <w:szCs w:val="18"/>
              </w:rPr>
            </w:pPr>
            <w:r>
              <w:rPr>
                <w:rFonts w:hint="eastAsia" w:ascii="宋体" w:hAnsi="宋体" w:cs="宋体"/>
                <w:color w:val="auto"/>
                <w:sz w:val="18"/>
                <w:szCs w:val="18"/>
              </w:rPr>
              <w:t>经查实后支付违约金</w:t>
            </w:r>
            <w:r>
              <w:rPr>
                <w:rFonts w:ascii="宋体" w:hAnsi="宋体" w:cs="宋体"/>
                <w:color w:val="auto"/>
                <w:sz w:val="18"/>
                <w:szCs w:val="18"/>
              </w:rPr>
              <w:t>1000元/处</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0DCD9391">
            <w:pPr>
              <w:rPr>
                <w:rFonts w:ascii="宋体" w:hAnsi="宋体" w:cs="宋体"/>
                <w:color w:val="auto"/>
                <w:sz w:val="18"/>
                <w:szCs w:val="18"/>
              </w:rPr>
            </w:pPr>
            <w:r>
              <w:rPr>
                <w:rFonts w:hint="eastAsia" w:ascii="宋体" w:hAnsi="宋体" w:cs="宋体"/>
                <w:color w:val="auto"/>
                <w:sz w:val="18"/>
                <w:szCs w:val="18"/>
              </w:rPr>
              <w:t>经查实后扣</w:t>
            </w:r>
            <w:r>
              <w:rPr>
                <w:rFonts w:ascii="宋体" w:hAnsi="宋体" w:cs="宋体"/>
                <w:color w:val="auto"/>
                <w:sz w:val="18"/>
                <w:szCs w:val="18"/>
              </w:rPr>
              <w:t>1分/处</w:t>
            </w:r>
          </w:p>
        </w:tc>
      </w:tr>
      <w:tr w14:paraId="393B340C">
        <w:tblPrEx>
          <w:tblCellMar>
            <w:top w:w="0" w:type="dxa"/>
            <w:left w:w="108" w:type="dxa"/>
            <w:bottom w:w="0" w:type="dxa"/>
            <w:right w:w="108" w:type="dxa"/>
          </w:tblCellMar>
        </w:tblPrEx>
        <w:trPr>
          <w:trHeight w:val="480" w:hRule="atLeast"/>
          <w:jc w:val="center"/>
        </w:trPr>
        <w:tc>
          <w:tcPr>
            <w:tcW w:w="499" w:type="dxa"/>
            <w:vMerge w:val="continue"/>
            <w:tcBorders>
              <w:left w:val="single" w:color="auto" w:sz="4" w:space="0"/>
              <w:right w:val="single" w:color="auto" w:sz="4" w:space="0"/>
            </w:tcBorders>
            <w:vAlign w:val="center"/>
          </w:tcPr>
          <w:p w14:paraId="2061E934">
            <w:pPr>
              <w:rPr>
                <w:rFonts w:ascii="宋体" w:hAnsi="宋体" w:cs="宋体"/>
                <w:color w:val="auto"/>
                <w:sz w:val="18"/>
                <w:szCs w:val="18"/>
              </w:rPr>
            </w:pPr>
          </w:p>
        </w:tc>
        <w:tc>
          <w:tcPr>
            <w:tcW w:w="636" w:type="dxa"/>
            <w:vMerge w:val="continue"/>
            <w:tcBorders>
              <w:left w:val="single" w:color="auto" w:sz="4" w:space="0"/>
              <w:right w:val="single" w:color="auto" w:sz="4" w:space="0"/>
            </w:tcBorders>
            <w:vAlign w:val="center"/>
          </w:tcPr>
          <w:p w14:paraId="4EB4F1B0">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C0780E5">
            <w:pPr>
              <w:rPr>
                <w:rFonts w:ascii="宋体" w:hAnsi="宋体" w:cs="宋体"/>
                <w:color w:val="auto"/>
                <w:sz w:val="18"/>
                <w:szCs w:val="18"/>
              </w:rPr>
            </w:pPr>
            <w:r>
              <w:rPr>
                <w:rFonts w:ascii="宋体" w:hAnsi="宋体" w:cs="宋体"/>
                <w:color w:val="auto"/>
                <w:sz w:val="18"/>
                <w:szCs w:val="18"/>
              </w:rPr>
              <w:t>67.指派公司负责人全面统筹所经营管理食堂的食品安全、饭菜质量、内部管理等，每月应至少1次到食堂现场检查食品安全工作并留在检查影像资料和记录备查。</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3665807F">
            <w:pPr>
              <w:rPr>
                <w:rFonts w:ascii="宋体" w:hAnsi="宋体" w:cs="宋体"/>
                <w:color w:val="auto"/>
                <w:sz w:val="18"/>
                <w:szCs w:val="18"/>
              </w:rPr>
            </w:pPr>
            <w:r>
              <w:rPr>
                <w:rFonts w:hint="eastAsia" w:ascii="宋体" w:hAnsi="宋体" w:cs="宋体"/>
                <w:color w:val="auto"/>
                <w:sz w:val="18"/>
                <w:szCs w:val="18"/>
              </w:rPr>
              <w:t>材料检查</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tcPr>
          <w:p w14:paraId="2BEFC3C3">
            <w:pPr>
              <w:rPr>
                <w:rFonts w:ascii="宋体" w:hAnsi="宋体" w:cs="宋体"/>
                <w:color w:val="auto"/>
                <w:sz w:val="18"/>
                <w:szCs w:val="18"/>
              </w:rPr>
            </w:pPr>
            <w:r>
              <w:rPr>
                <w:rFonts w:hint="eastAsia" w:ascii="宋体" w:hAnsi="宋体" w:cs="宋体"/>
                <w:color w:val="auto"/>
                <w:sz w:val="18"/>
                <w:szCs w:val="18"/>
              </w:rPr>
              <w:t>未到现场或无记录或记录不全支付违约金</w:t>
            </w:r>
            <w:r>
              <w:rPr>
                <w:rFonts w:ascii="宋体" w:hAnsi="宋体" w:cs="宋体"/>
                <w:color w:val="auto"/>
                <w:sz w:val="18"/>
                <w:szCs w:val="18"/>
              </w:rPr>
              <w:t>5000元/次</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5F6C9026">
            <w:pPr>
              <w:rPr>
                <w:rFonts w:ascii="宋体" w:hAnsi="宋体" w:cs="宋体"/>
                <w:color w:val="auto"/>
                <w:sz w:val="18"/>
                <w:szCs w:val="18"/>
              </w:rPr>
            </w:pPr>
            <w:r>
              <w:rPr>
                <w:rFonts w:hint="eastAsia" w:ascii="宋体" w:hAnsi="宋体" w:cs="宋体"/>
                <w:color w:val="auto"/>
                <w:sz w:val="18"/>
                <w:szCs w:val="18"/>
              </w:rPr>
              <w:t>未到现场或无记录或记录资料不全扣</w:t>
            </w:r>
            <w:r>
              <w:rPr>
                <w:rFonts w:ascii="宋体" w:hAnsi="宋体" w:cs="宋体"/>
                <w:color w:val="auto"/>
                <w:sz w:val="18"/>
                <w:szCs w:val="18"/>
              </w:rPr>
              <w:t>2分/次</w:t>
            </w:r>
          </w:p>
        </w:tc>
      </w:tr>
      <w:tr w14:paraId="70DCDCE3">
        <w:tblPrEx>
          <w:tblCellMar>
            <w:top w:w="0" w:type="dxa"/>
            <w:left w:w="108" w:type="dxa"/>
            <w:bottom w:w="0" w:type="dxa"/>
            <w:right w:w="108" w:type="dxa"/>
          </w:tblCellMar>
        </w:tblPrEx>
        <w:trPr>
          <w:trHeight w:val="480" w:hRule="atLeast"/>
          <w:jc w:val="center"/>
        </w:trPr>
        <w:tc>
          <w:tcPr>
            <w:tcW w:w="499" w:type="dxa"/>
            <w:vMerge w:val="continue"/>
            <w:tcBorders>
              <w:left w:val="single" w:color="auto" w:sz="4" w:space="0"/>
              <w:right w:val="single" w:color="auto" w:sz="4" w:space="0"/>
            </w:tcBorders>
            <w:vAlign w:val="center"/>
          </w:tcPr>
          <w:p w14:paraId="5CF1680B">
            <w:pPr>
              <w:rPr>
                <w:rFonts w:ascii="宋体" w:hAnsi="宋体" w:cs="宋体"/>
                <w:color w:val="auto"/>
                <w:sz w:val="18"/>
                <w:szCs w:val="18"/>
              </w:rPr>
            </w:pPr>
          </w:p>
        </w:tc>
        <w:tc>
          <w:tcPr>
            <w:tcW w:w="636" w:type="dxa"/>
            <w:vMerge w:val="continue"/>
            <w:tcBorders>
              <w:left w:val="single" w:color="auto" w:sz="4" w:space="0"/>
              <w:right w:val="single" w:color="auto" w:sz="4" w:space="0"/>
            </w:tcBorders>
            <w:vAlign w:val="center"/>
          </w:tcPr>
          <w:p w14:paraId="41EF93C5">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DE1F951">
            <w:pPr>
              <w:rPr>
                <w:rFonts w:ascii="宋体" w:hAnsi="宋体" w:cs="宋体"/>
                <w:color w:val="auto"/>
                <w:sz w:val="18"/>
                <w:szCs w:val="18"/>
              </w:rPr>
            </w:pPr>
            <w:r>
              <w:rPr>
                <w:rFonts w:ascii="宋体" w:hAnsi="宋体" w:cs="宋体"/>
                <w:color w:val="auto"/>
                <w:sz w:val="18"/>
                <w:szCs w:val="18"/>
              </w:rPr>
              <w:t>68.</w:t>
            </w:r>
            <w:r>
              <w:rPr>
                <w:rFonts w:hint="eastAsia" w:ascii="宋体" w:hAnsi="宋体" w:cs="宋体"/>
                <w:color w:val="auto"/>
                <w:sz w:val="18"/>
                <w:szCs w:val="18"/>
              </w:rPr>
              <w:t>数智食堂监管平台运行出现故障或者采购人投诉</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3865EDFF">
            <w:pPr>
              <w:rPr>
                <w:rFonts w:ascii="宋体" w:hAnsi="宋体" w:cs="宋体"/>
                <w:color w:val="auto"/>
                <w:sz w:val="18"/>
                <w:szCs w:val="18"/>
              </w:rPr>
            </w:pPr>
            <w:r>
              <w:rPr>
                <w:rFonts w:hint="eastAsia" w:ascii="宋体" w:hAnsi="宋体" w:cs="宋体"/>
                <w:color w:val="auto"/>
                <w:sz w:val="18"/>
                <w:szCs w:val="18"/>
              </w:rPr>
              <w:t>现场核实</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tcPr>
          <w:p w14:paraId="5C103870">
            <w:pPr>
              <w:rPr>
                <w:rFonts w:ascii="宋体" w:hAnsi="宋体" w:cs="宋体"/>
                <w:color w:val="auto"/>
                <w:sz w:val="18"/>
                <w:szCs w:val="18"/>
              </w:rPr>
            </w:pPr>
            <w:r>
              <w:rPr>
                <w:rFonts w:hint="eastAsia" w:ascii="宋体" w:hAnsi="宋体" w:cs="宋体"/>
                <w:color w:val="auto"/>
                <w:sz w:val="18"/>
                <w:szCs w:val="18"/>
              </w:rPr>
              <w:t>发现故障或者有效投诉，未及时整改的，经查实后支付违约金</w:t>
            </w:r>
            <w:r>
              <w:rPr>
                <w:rFonts w:ascii="宋体" w:hAnsi="宋体" w:cs="宋体"/>
                <w:color w:val="auto"/>
                <w:sz w:val="18"/>
                <w:szCs w:val="18"/>
              </w:rPr>
              <w:t>1000元/次。重大故障或有效投诉，经查实后支付违约金5000元/次</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24DF2C1A">
            <w:pPr>
              <w:rPr>
                <w:rFonts w:ascii="宋体" w:hAnsi="宋体" w:cs="宋体"/>
                <w:color w:val="auto"/>
                <w:sz w:val="18"/>
                <w:szCs w:val="18"/>
              </w:rPr>
            </w:pPr>
            <w:r>
              <w:rPr>
                <w:rFonts w:hint="eastAsia" w:ascii="宋体" w:hAnsi="宋体" w:cs="宋体"/>
                <w:color w:val="auto"/>
                <w:sz w:val="18"/>
                <w:szCs w:val="18"/>
              </w:rPr>
              <w:t>经查实后扣</w:t>
            </w:r>
            <w:r>
              <w:rPr>
                <w:rFonts w:ascii="宋体" w:hAnsi="宋体" w:cs="宋体"/>
                <w:color w:val="auto"/>
                <w:sz w:val="18"/>
                <w:szCs w:val="18"/>
              </w:rPr>
              <w:t>1分/处；重大故障或有效投诉，可以扣5分/次</w:t>
            </w:r>
          </w:p>
        </w:tc>
      </w:tr>
      <w:tr w14:paraId="47DE6994">
        <w:tblPrEx>
          <w:tblCellMar>
            <w:top w:w="0" w:type="dxa"/>
            <w:left w:w="108" w:type="dxa"/>
            <w:bottom w:w="0" w:type="dxa"/>
            <w:right w:w="108" w:type="dxa"/>
          </w:tblCellMar>
        </w:tblPrEx>
        <w:trPr>
          <w:trHeight w:val="480" w:hRule="atLeast"/>
          <w:jc w:val="center"/>
        </w:trPr>
        <w:tc>
          <w:tcPr>
            <w:tcW w:w="499" w:type="dxa"/>
            <w:vMerge w:val="continue"/>
            <w:tcBorders>
              <w:left w:val="single" w:color="auto" w:sz="4" w:space="0"/>
              <w:right w:val="single" w:color="auto" w:sz="4" w:space="0"/>
            </w:tcBorders>
            <w:vAlign w:val="center"/>
          </w:tcPr>
          <w:p w14:paraId="6C7D1167">
            <w:pPr>
              <w:rPr>
                <w:rFonts w:ascii="宋体" w:hAnsi="宋体" w:cs="宋体"/>
                <w:color w:val="auto"/>
                <w:sz w:val="18"/>
                <w:szCs w:val="18"/>
              </w:rPr>
            </w:pPr>
          </w:p>
        </w:tc>
        <w:tc>
          <w:tcPr>
            <w:tcW w:w="636" w:type="dxa"/>
            <w:vMerge w:val="continue"/>
            <w:tcBorders>
              <w:left w:val="single" w:color="auto" w:sz="4" w:space="0"/>
              <w:right w:val="single" w:color="auto" w:sz="4" w:space="0"/>
            </w:tcBorders>
            <w:vAlign w:val="center"/>
          </w:tcPr>
          <w:p w14:paraId="21A1320C">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1E6F8A7">
            <w:pPr>
              <w:rPr>
                <w:rFonts w:ascii="宋体" w:hAnsi="宋体" w:cs="宋体"/>
                <w:color w:val="auto"/>
                <w:sz w:val="18"/>
                <w:szCs w:val="18"/>
              </w:rPr>
            </w:pPr>
            <w:r>
              <w:rPr>
                <w:rFonts w:ascii="宋体" w:hAnsi="宋体" w:cs="宋体"/>
                <w:color w:val="auto"/>
                <w:sz w:val="18"/>
                <w:szCs w:val="18"/>
              </w:rPr>
              <w:t>69.</w:t>
            </w:r>
            <w:r>
              <w:rPr>
                <w:rFonts w:hint="eastAsia" w:ascii="宋体" w:hAnsi="宋体" w:cs="宋体"/>
                <w:color w:val="auto"/>
                <w:sz w:val="18"/>
                <w:szCs w:val="18"/>
              </w:rPr>
              <w:t>数智食堂监管平台运行出现违反保密相关规定</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438A6CBC">
            <w:pPr>
              <w:rPr>
                <w:rFonts w:ascii="宋体" w:hAnsi="宋体" w:cs="宋体"/>
                <w:color w:val="auto"/>
                <w:sz w:val="18"/>
                <w:szCs w:val="18"/>
              </w:rPr>
            </w:pPr>
            <w:r>
              <w:rPr>
                <w:rFonts w:hint="eastAsia" w:ascii="宋体" w:hAnsi="宋体" w:cs="宋体"/>
                <w:color w:val="auto"/>
                <w:sz w:val="18"/>
                <w:szCs w:val="18"/>
              </w:rPr>
              <w:t>现场核实</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tcPr>
          <w:p w14:paraId="486EC915">
            <w:pPr>
              <w:rPr>
                <w:rFonts w:ascii="宋体" w:hAnsi="宋体" w:cs="宋体"/>
                <w:color w:val="auto"/>
                <w:sz w:val="18"/>
                <w:szCs w:val="18"/>
              </w:rPr>
            </w:pPr>
            <w:r>
              <w:rPr>
                <w:rFonts w:hint="eastAsia" w:ascii="宋体" w:hAnsi="宋体" w:cs="宋体"/>
                <w:color w:val="auto"/>
                <w:sz w:val="18"/>
                <w:szCs w:val="18"/>
              </w:rPr>
              <w:t>出现违反保密相关规定，经查实后支付违约金</w:t>
            </w:r>
            <w:r>
              <w:rPr>
                <w:rFonts w:ascii="宋体" w:hAnsi="宋体" w:cs="宋体"/>
                <w:color w:val="auto"/>
                <w:sz w:val="18"/>
                <w:szCs w:val="18"/>
              </w:rPr>
              <w:t>2000元/次。</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4235DEEC">
            <w:pPr>
              <w:rPr>
                <w:rFonts w:ascii="宋体" w:hAnsi="宋体" w:cs="宋体"/>
                <w:color w:val="auto"/>
                <w:sz w:val="18"/>
                <w:szCs w:val="18"/>
              </w:rPr>
            </w:pPr>
            <w:r>
              <w:rPr>
                <w:rFonts w:hint="eastAsia" w:ascii="宋体" w:hAnsi="宋体" w:cs="宋体"/>
                <w:color w:val="auto"/>
                <w:sz w:val="18"/>
                <w:szCs w:val="18"/>
              </w:rPr>
              <w:t>经查实后扣</w:t>
            </w:r>
            <w:r>
              <w:rPr>
                <w:rFonts w:ascii="宋体" w:hAnsi="宋体" w:cs="宋体"/>
                <w:color w:val="auto"/>
                <w:sz w:val="18"/>
                <w:szCs w:val="18"/>
              </w:rPr>
              <w:t>2分/次</w:t>
            </w:r>
          </w:p>
        </w:tc>
      </w:tr>
      <w:tr w14:paraId="082BF68D">
        <w:tblPrEx>
          <w:tblCellMar>
            <w:top w:w="0" w:type="dxa"/>
            <w:left w:w="108" w:type="dxa"/>
            <w:bottom w:w="0" w:type="dxa"/>
            <w:right w:w="108" w:type="dxa"/>
          </w:tblCellMar>
        </w:tblPrEx>
        <w:trPr>
          <w:trHeight w:val="480" w:hRule="atLeast"/>
          <w:jc w:val="center"/>
        </w:trPr>
        <w:tc>
          <w:tcPr>
            <w:tcW w:w="499" w:type="dxa"/>
            <w:vMerge w:val="continue"/>
            <w:tcBorders>
              <w:left w:val="single" w:color="auto" w:sz="4" w:space="0"/>
              <w:right w:val="single" w:color="auto" w:sz="4" w:space="0"/>
            </w:tcBorders>
            <w:vAlign w:val="center"/>
          </w:tcPr>
          <w:p w14:paraId="165BC14C">
            <w:pPr>
              <w:rPr>
                <w:rFonts w:ascii="宋体" w:hAnsi="宋体" w:cs="宋体"/>
                <w:color w:val="auto"/>
                <w:sz w:val="18"/>
                <w:szCs w:val="18"/>
              </w:rPr>
            </w:pPr>
          </w:p>
        </w:tc>
        <w:tc>
          <w:tcPr>
            <w:tcW w:w="636" w:type="dxa"/>
            <w:vMerge w:val="continue"/>
            <w:tcBorders>
              <w:left w:val="single" w:color="auto" w:sz="4" w:space="0"/>
              <w:right w:val="single" w:color="auto" w:sz="4" w:space="0"/>
            </w:tcBorders>
            <w:vAlign w:val="center"/>
          </w:tcPr>
          <w:p w14:paraId="06B7D611">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82AB601">
            <w:pPr>
              <w:rPr>
                <w:rFonts w:ascii="宋体" w:hAnsi="宋体" w:cs="宋体"/>
                <w:color w:val="auto"/>
                <w:sz w:val="18"/>
                <w:szCs w:val="18"/>
              </w:rPr>
            </w:pPr>
            <w:r>
              <w:rPr>
                <w:rFonts w:ascii="宋体" w:hAnsi="宋体" w:cs="宋体"/>
                <w:color w:val="auto"/>
                <w:sz w:val="18"/>
                <w:szCs w:val="18"/>
              </w:rPr>
              <w:t>70.AI</w:t>
            </w:r>
            <w:r>
              <w:rPr>
                <w:rFonts w:hint="eastAsia" w:ascii="宋体" w:hAnsi="宋体" w:cs="宋体"/>
                <w:color w:val="auto"/>
                <w:sz w:val="18"/>
                <w:szCs w:val="18"/>
              </w:rPr>
              <w:t>抓拍违规事项：未戴口罩、未戴工帽、未穿工服、抽烟玩手机、垃圾桶未盖</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41CFC540">
            <w:pPr>
              <w:rPr>
                <w:rFonts w:ascii="宋体" w:hAnsi="宋体" w:cs="宋体"/>
                <w:color w:val="auto"/>
                <w:sz w:val="18"/>
                <w:szCs w:val="18"/>
              </w:rPr>
            </w:pPr>
            <w:r>
              <w:rPr>
                <w:rFonts w:hint="eastAsia" w:ascii="宋体" w:hAnsi="宋体" w:cs="宋体"/>
                <w:color w:val="auto"/>
                <w:sz w:val="18"/>
                <w:szCs w:val="18"/>
              </w:rPr>
              <w:t>平台记录</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tcPr>
          <w:p w14:paraId="583530B8">
            <w:pPr>
              <w:rPr>
                <w:rFonts w:ascii="宋体" w:hAnsi="宋体" w:cs="宋体"/>
                <w:color w:val="auto"/>
                <w:sz w:val="18"/>
                <w:szCs w:val="18"/>
              </w:rPr>
            </w:pPr>
            <w:r>
              <w:rPr>
                <w:rFonts w:hint="eastAsia" w:ascii="宋体" w:hAnsi="宋体" w:cs="宋体"/>
                <w:color w:val="auto"/>
                <w:sz w:val="18"/>
                <w:szCs w:val="18"/>
              </w:rPr>
              <w:t>出现前述单项违规，支付</w:t>
            </w:r>
            <w:r>
              <w:rPr>
                <w:rFonts w:ascii="宋体" w:hAnsi="宋体" w:cs="宋体"/>
                <w:color w:val="auto"/>
                <w:sz w:val="18"/>
                <w:szCs w:val="18"/>
              </w:rPr>
              <w:t>违约金500元/次。</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324BA0F4">
            <w:pPr>
              <w:rPr>
                <w:rFonts w:ascii="宋体" w:hAnsi="宋体" w:cs="宋体"/>
                <w:color w:val="auto"/>
                <w:sz w:val="18"/>
                <w:szCs w:val="18"/>
              </w:rPr>
            </w:pPr>
            <w:r>
              <w:rPr>
                <w:rFonts w:hint="eastAsia" w:ascii="宋体" w:hAnsi="宋体" w:cs="宋体"/>
                <w:color w:val="auto"/>
                <w:sz w:val="18"/>
                <w:szCs w:val="18"/>
              </w:rPr>
              <w:t>出现前述单项违规，每次扣</w:t>
            </w:r>
            <w:r>
              <w:rPr>
                <w:rFonts w:ascii="宋体" w:hAnsi="宋体" w:cs="宋体"/>
                <w:color w:val="auto"/>
                <w:sz w:val="18"/>
                <w:szCs w:val="18"/>
              </w:rPr>
              <w:t>0.5</w:t>
            </w:r>
            <w:r>
              <w:rPr>
                <w:rFonts w:hint="eastAsia" w:ascii="宋体" w:hAnsi="宋体" w:cs="宋体"/>
                <w:color w:val="auto"/>
                <w:sz w:val="18"/>
                <w:szCs w:val="18"/>
              </w:rPr>
              <w:t>分</w:t>
            </w:r>
          </w:p>
        </w:tc>
      </w:tr>
      <w:tr w14:paraId="74A813B9">
        <w:tblPrEx>
          <w:tblCellMar>
            <w:top w:w="0" w:type="dxa"/>
            <w:left w:w="108" w:type="dxa"/>
            <w:bottom w:w="0" w:type="dxa"/>
            <w:right w:w="108" w:type="dxa"/>
          </w:tblCellMar>
        </w:tblPrEx>
        <w:trPr>
          <w:trHeight w:val="480" w:hRule="atLeast"/>
          <w:jc w:val="center"/>
        </w:trPr>
        <w:tc>
          <w:tcPr>
            <w:tcW w:w="499" w:type="dxa"/>
            <w:vMerge w:val="continue"/>
            <w:tcBorders>
              <w:left w:val="single" w:color="auto" w:sz="4" w:space="0"/>
              <w:right w:val="single" w:color="auto" w:sz="4" w:space="0"/>
            </w:tcBorders>
            <w:vAlign w:val="center"/>
          </w:tcPr>
          <w:p w14:paraId="257CAE01">
            <w:pPr>
              <w:rPr>
                <w:rFonts w:ascii="宋体" w:hAnsi="宋体" w:cs="宋体"/>
                <w:color w:val="auto"/>
                <w:sz w:val="18"/>
                <w:szCs w:val="18"/>
              </w:rPr>
            </w:pPr>
          </w:p>
        </w:tc>
        <w:tc>
          <w:tcPr>
            <w:tcW w:w="636" w:type="dxa"/>
            <w:vMerge w:val="continue"/>
            <w:tcBorders>
              <w:left w:val="single" w:color="auto" w:sz="4" w:space="0"/>
              <w:right w:val="single" w:color="auto" w:sz="4" w:space="0"/>
            </w:tcBorders>
            <w:vAlign w:val="center"/>
          </w:tcPr>
          <w:p w14:paraId="009DEF7D">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180E047">
            <w:pPr>
              <w:rPr>
                <w:rFonts w:ascii="宋体" w:hAnsi="宋体" w:cs="宋体"/>
                <w:color w:val="auto"/>
                <w:sz w:val="18"/>
                <w:szCs w:val="18"/>
              </w:rPr>
            </w:pPr>
            <w:r>
              <w:rPr>
                <w:rFonts w:ascii="宋体" w:hAnsi="宋体" w:cs="宋体"/>
                <w:color w:val="auto"/>
                <w:sz w:val="18"/>
                <w:szCs w:val="18"/>
              </w:rPr>
              <w:t>71.</w:t>
            </w:r>
            <w:r>
              <w:rPr>
                <w:rFonts w:hint="eastAsia" w:ascii="宋体" w:hAnsi="宋体" w:cs="宋体"/>
                <w:color w:val="auto"/>
                <w:sz w:val="18"/>
                <w:szCs w:val="18"/>
              </w:rPr>
              <w:t>人员晨检异常、库房温湿度异常、未规范放置挡鼠板、碗筷消毒不达标、农残超标、紫外线消毒不达标、冰箱温度异常、未留样未销样、陌生人闯入</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463D33DB">
            <w:pPr>
              <w:rPr>
                <w:rFonts w:ascii="宋体" w:hAnsi="宋体" w:cs="宋体"/>
                <w:color w:val="auto"/>
                <w:sz w:val="18"/>
                <w:szCs w:val="18"/>
              </w:rPr>
            </w:pPr>
            <w:r>
              <w:rPr>
                <w:rFonts w:hint="eastAsia" w:ascii="宋体" w:hAnsi="宋体" w:cs="宋体"/>
                <w:color w:val="auto"/>
                <w:sz w:val="18"/>
                <w:szCs w:val="18"/>
              </w:rPr>
              <w:t>平台记录</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tcPr>
          <w:p w14:paraId="4801AF71">
            <w:pPr>
              <w:rPr>
                <w:rFonts w:ascii="宋体" w:hAnsi="宋体" w:cs="宋体"/>
                <w:color w:val="auto"/>
                <w:sz w:val="18"/>
                <w:szCs w:val="18"/>
              </w:rPr>
            </w:pPr>
            <w:r>
              <w:rPr>
                <w:rFonts w:hint="eastAsia" w:ascii="宋体" w:hAnsi="宋体" w:cs="宋体"/>
                <w:color w:val="auto"/>
                <w:sz w:val="18"/>
                <w:szCs w:val="18"/>
              </w:rPr>
              <w:t>出现前述单项违规，支付</w:t>
            </w:r>
            <w:r>
              <w:rPr>
                <w:rFonts w:ascii="宋体" w:hAnsi="宋体" w:cs="宋体"/>
                <w:color w:val="auto"/>
                <w:sz w:val="18"/>
                <w:szCs w:val="18"/>
              </w:rPr>
              <w:t>违约金500元/次。</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5F5AFB5C">
            <w:pPr>
              <w:rPr>
                <w:rFonts w:ascii="宋体" w:hAnsi="宋体" w:cs="宋体"/>
                <w:color w:val="auto"/>
                <w:sz w:val="18"/>
                <w:szCs w:val="18"/>
              </w:rPr>
            </w:pPr>
            <w:r>
              <w:rPr>
                <w:rFonts w:hint="eastAsia" w:ascii="宋体" w:hAnsi="宋体" w:cs="宋体"/>
                <w:color w:val="auto"/>
                <w:sz w:val="18"/>
                <w:szCs w:val="18"/>
              </w:rPr>
              <w:t>出现前述单项违规，每次扣</w:t>
            </w:r>
            <w:r>
              <w:rPr>
                <w:rFonts w:ascii="宋体" w:hAnsi="宋体" w:cs="宋体"/>
                <w:color w:val="auto"/>
                <w:sz w:val="18"/>
                <w:szCs w:val="18"/>
              </w:rPr>
              <w:t>0.5</w:t>
            </w:r>
            <w:r>
              <w:rPr>
                <w:rFonts w:hint="eastAsia" w:ascii="宋体" w:hAnsi="宋体" w:cs="宋体"/>
                <w:color w:val="auto"/>
                <w:sz w:val="18"/>
                <w:szCs w:val="18"/>
              </w:rPr>
              <w:t>分</w:t>
            </w:r>
          </w:p>
        </w:tc>
      </w:tr>
      <w:tr w14:paraId="536501AE">
        <w:tblPrEx>
          <w:tblCellMar>
            <w:top w:w="0" w:type="dxa"/>
            <w:left w:w="108" w:type="dxa"/>
            <w:bottom w:w="0" w:type="dxa"/>
            <w:right w:w="108" w:type="dxa"/>
          </w:tblCellMar>
        </w:tblPrEx>
        <w:trPr>
          <w:trHeight w:val="480" w:hRule="atLeast"/>
          <w:jc w:val="center"/>
        </w:trPr>
        <w:tc>
          <w:tcPr>
            <w:tcW w:w="499" w:type="dxa"/>
            <w:vMerge w:val="continue"/>
            <w:tcBorders>
              <w:left w:val="single" w:color="auto" w:sz="4" w:space="0"/>
              <w:right w:val="single" w:color="auto" w:sz="4" w:space="0"/>
            </w:tcBorders>
            <w:vAlign w:val="center"/>
          </w:tcPr>
          <w:p w14:paraId="2BDD728A">
            <w:pPr>
              <w:rPr>
                <w:rFonts w:ascii="宋体" w:hAnsi="宋体" w:cs="宋体"/>
                <w:color w:val="auto"/>
                <w:sz w:val="18"/>
                <w:szCs w:val="18"/>
              </w:rPr>
            </w:pPr>
          </w:p>
        </w:tc>
        <w:tc>
          <w:tcPr>
            <w:tcW w:w="636" w:type="dxa"/>
            <w:vMerge w:val="continue"/>
            <w:tcBorders>
              <w:left w:val="single" w:color="auto" w:sz="4" w:space="0"/>
              <w:right w:val="single" w:color="auto" w:sz="4" w:space="0"/>
            </w:tcBorders>
            <w:vAlign w:val="center"/>
          </w:tcPr>
          <w:p w14:paraId="52D8B0D7">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826762F">
            <w:pPr>
              <w:rPr>
                <w:rFonts w:ascii="宋体" w:hAnsi="宋体" w:cs="宋体"/>
                <w:color w:val="auto"/>
                <w:sz w:val="18"/>
                <w:szCs w:val="18"/>
              </w:rPr>
            </w:pPr>
            <w:r>
              <w:rPr>
                <w:rFonts w:ascii="宋体" w:hAnsi="宋体" w:cs="宋体"/>
                <w:color w:val="auto"/>
                <w:sz w:val="18"/>
                <w:szCs w:val="18"/>
              </w:rPr>
              <w:t>72.</w:t>
            </w:r>
            <w:r>
              <w:rPr>
                <w:rFonts w:hint="eastAsia" w:ascii="宋体" w:hAnsi="宋体" w:cs="宋体"/>
                <w:color w:val="auto"/>
                <w:sz w:val="18"/>
                <w:szCs w:val="18"/>
              </w:rPr>
              <w:t>出现</w:t>
            </w:r>
            <w:r>
              <w:rPr>
                <w:rFonts w:ascii="宋体" w:hAnsi="宋体" w:cs="宋体"/>
                <w:color w:val="auto"/>
                <w:sz w:val="18"/>
                <w:szCs w:val="18"/>
              </w:rPr>
              <w:t>AI</w:t>
            </w:r>
            <w:r>
              <w:rPr>
                <w:rFonts w:hint="eastAsia" w:ascii="宋体" w:hAnsi="宋体" w:cs="宋体"/>
                <w:color w:val="auto"/>
                <w:sz w:val="18"/>
                <w:szCs w:val="18"/>
              </w:rPr>
              <w:t>生物抓拍（老鼠等）、油锅离岗等事件</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1DD8F863">
            <w:pPr>
              <w:rPr>
                <w:rFonts w:ascii="宋体" w:hAnsi="宋体" w:cs="宋体"/>
                <w:color w:val="auto"/>
                <w:sz w:val="18"/>
                <w:szCs w:val="18"/>
              </w:rPr>
            </w:pPr>
            <w:r>
              <w:rPr>
                <w:rFonts w:hint="eastAsia" w:ascii="宋体" w:hAnsi="宋体" w:cs="宋体"/>
                <w:color w:val="auto"/>
                <w:sz w:val="18"/>
                <w:szCs w:val="18"/>
              </w:rPr>
              <w:t>平台记录</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tcPr>
          <w:p w14:paraId="44651051">
            <w:pPr>
              <w:rPr>
                <w:rFonts w:ascii="宋体" w:hAnsi="宋体" w:cs="宋体"/>
                <w:color w:val="auto"/>
                <w:sz w:val="18"/>
                <w:szCs w:val="18"/>
              </w:rPr>
            </w:pPr>
            <w:r>
              <w:rPr>
                <w:rFonts w:hint="eastAsia" w:ascii="宋体" w:hAnsi="宋体" w:cs="宋体"/>
                <w:color w:val="auto"/>
                <w:sz w:val="18"/>
                <w:szCs w:val="18"/>
              </w:rPr>
              <w:t>出现前述单项违规，支付</w:t>
            </w:r>
            <w:r>
              <w:rPr>
                <w:rFonts w:ascii="宋体" w:hAnsi="宋体" w:cs="宋体"/>
                <w:color w:val="auto"/>
                <w:sz w:val="18"/>
                <w:szCs w:val="18"/>
              </w:rPr>
              <w:t>违约金5000元/次。</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4D37AAC1">
            <w:pPr>
              <w:rPr>
                <w:rFonts w:ascii="宋体" w:hAnsi="宋体" w:cs="宋体"/>
                <w:color w:val="auto"/>
                <w:sz w:val="18"/>
                <w:szCs w:val="18"/>
              </w:rPr>
            </w:pPr>
            <w:r>
              <w:rPr>
                <w:rFonts w:hint="eastAsia" w:ascii="宋体" w:hAnsi="宋体" w:cs="宋体"/>
                <w:color w:val="auto"/>
                <w:sz w:val="18"/>
                <w:szCs w:val="18"/>
              </w:rPr>
              <w:t>出现前述单项违规，每次扣</w:t>
            </w:r>
            <w:r>
              <w:rPr>
                <w:rFonts w:ascii="宋体" w:hAnsi="宋体" w:cs="宋体"/>
                <w:color w:val="auto"/>
                <w:sz w:val="18"/>
                <w:szCs w:val="18"/>
              </w:rPr>
              <w:t>5</w:t>
            </w:r>
            <w:r>
              <w:rPr>
                <w:rFonts w:hint="eastAsia" w:ascii="宋体" w:hAnsi="宋体" w:cs="宋体"/>
                <w:color w:val="auto"/>
                <w:sz w:val="18"/>
                <w:szCs w:val="18"/>
              </w:rPr>
              <w:t>分</w:t>
            </w:r>
          </w:p>
        </w:tc>
      </w:tr>
      <w:tr w14:paraId="100B7439">
        <w:tblPrEx>
          <w:tblCellMar>
            <w:top w:w="0" w:type="dxa"/>
            <w:left w:w="108" w:type="dxa"/>
            <w:bottom w:w="0" w:type="dxa"/>
            <w:right w:w="108" w:type="dxa"/>
          </w:tblCellMar>
        </w:tblPrEx>
        <w:trPr>
          <w:trHeight w:val="480" w:hRule="atLeast"/>
          <w:jc w:val="center"/>
        </w:trPr>
        <w:tc>
          <w:tcPr>
            <w:tcW w:w="499" w:type="dxa"/>
            <w:tcBorders>
              <w:left w:val="single" w:color="auto" w:sz="4" w:space="0"/>
              <w:bottom w:val="single" w:color="auto" w:sz="4" w:space="0"/>
              <w:right w:val="single" w:color="auto" w:sz="4" w:space="0"/>
            </w:tcBorders>
            <w:vAlign w:val="center"/>
          </w:tcPr>
          <w:p w14:paraId="3EC46991">
            <w:pPr>
              <w:rPr>
                <w:rFonts w:ascii="宋体" w:hAnsi="宋体" w:cs="宋体"/>
                <w:color w:val="auto"/>
                <w:sz w:val="18"/>
                <w:szCs w:val="18"/>
              </w:rPr>
            </w:pPr>
            <w:r>
              <w:rPr>
                <w:rFonts w:hint="eastAsia" w:ascii="宋体" w:hAnsi="宋体" w:cs="宋体"/>
                <w:color w:val="auto"/>
                <w:sz w:val="18"/>
                <w:szCs w:val="18"/>
              </w:rPr>
              <w:t>+</w:t>
            </w:r>
          </w:p>
        </w:tc>
        <w:tc>
          <w:tcPr>
            <w:tcW w:w="636" w:type="dxa"/>
            <w:vMerge w:val="continue"/>
            <w:tcBorders>
              <w:left w:val="single" w:color="auto" w:sz="4" w:space="0"/>
              <w:bottom w:val="single" w:color="auto" w:sz="4" w:space="0"/>
              <w:right w:val="single" w:color="auto" w:sz="4" w:space="0"/>
            </w:tcBorders>
            <w:vAlign w:val="center"/>
          </w:tcPr>
          <w:p w14:paraId="0ECB0FF7">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51BC3B8">
            <w:pPr>
              <w:rPr>
                <w:rFonts w:ascii="宋体" w:hAnsi="宋体" w:cs="宋体"/>
                <w:color w:val="auto"/>
                <w:sz w:val="18"/>
                <w:szCs w:val="18"/>
              </w:rPr>
            </w:pPr>
            <w:r>
              <w:rPr>
                <w:rFonts w:ascii="宋体" w:hAnsi="宋体" w:cs="宋体"/>
                <w:color w:val="auto"/>
                <w:sz w:val="18"/>
                <w:szCs w:val="18"/>
              </w:rPr>
              <w:t>73.</w:t>
            </w:r>
            <w:r>
              <w:rPr>
                <w:rFonts w:hint="eastAsia" w:ascii="宋体" w:hAnsi="宋体" w:cs="宋体"/>
                <w:color w:val="auto"/>
                <w:sz w:val="18"/>
                <w:szCs w:val="18"/>
              </w:rPr>
              <w:t>投诉经查实或采购人监管发现或数智食堂监管平台发现的其它违规情况</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33861AAB">
            <w:pPr>
              <w:rPr>
                <w:rFonts w:ascii="宋体" w:hAnsi="宋体" w:cs="宋体"/>
                <w:color w:val="auto"/>
                <w:sz w:val="18"/>
                <w:szCs w:val="18"/>
              </w:rPr>
            </w:pPr>
            <w:r>
              <w:rPr>
                <w:rFonts w:hint="eastAsia" w:ascii="宋体" w:hAnsi="宋体" w:cs="宋体"/>
                <w:color w:val="auto"/>
                <w:sz w:val="18"/>
                <w:szCs w:val="18"/>
              </w:rPr>
              <w:t>现场核实或平台记录</w:t>
            </w:r>
          </w:p>
        </w:tc>
        <w:tc>
          <w:tcPr>
            <w:tcW w:w="2693" w:type="dxa"/>
            <w:tcBorders>
              <w:top w:val="single" w:color="auto" w:sz="4" w:space="0"/>
              <w:left w:val="single" w:color="auto" w:sz="4" w:space="0"/>
              <w:bottom w:val="single" w:color="auto" w:sz="4" w:space="0"/>
              <w:right w:val="single" w:color="auto" w:sz="4" w:space="0"/>
            </w:tcBorders>
            <w:shd w:val="clear" w:color="auto" w:fill="auto"/>
            <w:vAlign w:val="center"/>
          </w:tcPr>
          <w:p w14:paraId="62A543CE">
            <w:pPr>
              <w:rPr>
                <w:rFonts w:ascii="宋体" w:hAnsi="宋体" w:cs="宋体"/>
                <w:color w:val="auto"/>
                <w:sz w:val="18"/>
                <w:szCs w:val="18"/>
              </w:rPr>
            </w:pPr>
            <w:r>
              <w:rPr>
                <w:rFonts w:hint="eastAsia" w:ascii="宋体" w:hAnsi="宋体" w:cs="宋体"/>
                <w:color w:val="auto"/>
                <w:sz w:val="18"/>
                <w:szCs w:val="18"/>
              </w:rPr>
              <w:t>经查实后，本考核前款已约定处罚的按前款约定处罚，前款未约定处罚的根据情节严重情况支付违约金</w:t>
            </w:r>
            <w:r>
              <w:rPr>
                <w:rFonts w:ascii="宋体" w:hAnsi="宋体" w:cs="宋体"/>
                <w:color w:val="auto"/>
                <w:sz w:val="18"/>
                <w:szCs w:val="18"/>
              </w:rPr>
              <w:t>500-10000元/次</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09CA395A">
            <w:pPr>
              <w:rPr>
                <w:rFonts w:ascii="宋体" w:hAnsi="宋体" w:cs="宋体"/>
                <w:color w:val="auto"/>
                <w:sz w:val="18"/>
                <w:szCs w:val="18"/>
              </w:rPr>
            </w:pPr>
            <w:r>
              <w:rPr>
                <w:rFonts w:hint="eastAsia" w:ascii="宋体" w:hAnsi="宋体" w:cs="宋体"/>
                <w:color w:val="auto"/>
                <w:sz w:val="18"/>
                <w:szCs w:val="18"/>
              </w:rPr>
              <w:t>经查实后扣</w:t>
            </w:r>
            <w:r>
              <w:rPr>
                <w:rFonts w:ascii="宋体" w:hAnsi="宋体" w:cs="宋体"/>
                <w:color w:val="auto"/>
                <w:sz w:val="18"/>
                <w:szCs w:val="18"/>
              </w:rPr>
              <w:t>0.5-5分/次</w:t>
            </w:r>
          </w:p>
        </w:tc>
      </w:tr>
    </w:tbl>
    <w:p w14:paraId="4ACBEE55">
      <w:pPr>
        <w:spacing w:line="400" w:lineRule="exact"/>
        <w:ind w:firstLine="560" w:firstLineChars="200"/>
        <w:jc w:val="left"/>
        <w:rPr>
          <w:rFonts w:ascii="宋体" w:hAnsi="宋体" w:cs="宋体"/>
          <w:color w:val="auto"/>
          <w:sz w:val="24"/>
          <w:szCs w:val="24"/>
        </w:rPr>
      </w:pPr>
      <w:r>
        <w:rPr>
          <w:rFonts w:hint="eastAsia" w:ascii="宋体" w:hAnsi="宋体" w:cs="宋体"/>
          <w:bCs/>
          <w:color w:val="auto"/>
        </w:rPr>
        <w:t>备注：</w:t>
      </w:r>
      <w:r>
        <w:rPr>
          <w:rFonts w:ascii="宋体" w:hAnsi="宋体" w:cs="宋体"/>
          <w:color w:val="auto"/>
          <w:sz w:val="24"/>
          <w:szCs w:val="24"/>
        </w:rPr>
        <w:t>1.采购人可根据实际情况对日常考核实施细则进行修订，</w:t>
      </w:r>
      <w:r>
        <w:rPr>
          <w:rFonts w:hint="eastAsia" w:ascii="宋体" w:hAnsi="宋体" w:cs="宋体"/>
          <w:color w:val="auto"/>
          <w:sz w:val="24"/>
          <w:szCs w:val="24"/>
        </w:rPr>
        <w:t>成交商须按修订后的办法执行。</w:t>
      </w:r>
    </w:p>
    <w:p w14:paraId="0C483A4D">
      <w:pPr>
        <w:spacing w:line="400" w:lineRule="exact"/>
        <w:ind w:firstLine="480" w:firstLineChars="200"/>
        <w:jc w:val="left"/>
        <w:rPr>
          <w:rFonts w:ascii="宋体" w:hAnsi="宋体" w:cs="宋体"/>
          <w:color w:val="auto"/>
          <w:sz w:val="24"/>
          <w:szCs w:val="24"/>
        </w:rPr>
      </w:pPr>
      <w:r>
        <w:rPr>
          <w:rFonts w:ascii="宋体" w:hAnsi="宋体" w:cs="宋体"/>
          <w:color w:val="auto"/>
          <w:sz w:val="24"/>
          <w:szCs w:val="24"/>
        </w:rPr>
        <w:t>2.上述违约金均从</w:t>
      </w:r>
      <w:r>
        <w:rPr>
          <w:rFonts w:hint="eastAsia" w:ascii="宋体" w:hAnsi="宋体" w:cs="宋体"/>
          <w:color w:val="auto"/>
          <w:sz w:val="24"/>
          <w:szCs w:val="24"/>
        </w:rPr>
        <w:t>成交商最近一次营业款中扣除并按采购人要求及时整改。</w:t>
      </w:r>
    </w:p>
    <w:p w14:paraId="07DE2975">
      <w:pPr>
        <w:pStyle w:val="22"/>
        <w:ind w:firstLine="480" w:firstLineChars="200"/>
        <w:rPr>
          <w:rFonts w:eastAsia="宋体"/>
          <w:color w:val="auto"/>
        </w:rPr>
      </w:pPr>
      <w:r>
        <w:rPr>
          <w:rFonts w:hint="eastAsia" w:ascii="宋体" w:hAnsi="宋体" w:eastAsia="宋体" w:cs="宋体"/>
          <w:color w:val="auto"/>
          <w:sz w:val="24"/>
          <w:szCs w:val="24"/>
        </w:rPr>
        <w:t>（二）学期考核</w:t>
      </w:r>
    </w:p>
    <w:p w14:paraId="746ED096">
      <w:pPr>
        <w:snapToGrid w:val="0"/>
        <w:spacing w:line="400" w:lineRule="exact"/>
        <w:ind w:firstLine="480" w:firstLineChars="200"/>
        <w:rPr>
          <w:rFonts w:ascii="宋体" w:hAnsi="宋体" w:cs="宋体"/>
          <w:color w:val="auto"/>
          <w:sz w:val="24"/>
          <w:szCs w:val="24"/>
          <w:u w:val="single"/>
        </w:rPr>
      </w:pPr>
      <w:r>
        <w:rPr>
          <w:rFonts w:hint="eastAsia" w:ascii="宋体" w:hAnsi="宋体" w:cs="宋体"/>
          <w:color w:val="auto"/>
          <w:sz w:val="24"/>
          <w:szCs w:val="24"/>
          <w:u w:val="single"/>
        </w:rPr>
        <w:t>采购人每学期在食堂内线下组织一次满意度测评，填写“餐饮服务满意度测评表”（见下表），每个项目参加测评人数不低于</w:t>
      </w:r>
      <w:r>
        <w:rPr>
          <w:rFonts w:ascii="宋体" w:hAnsi="宋体" w:cs="宋体"/>
          <w:color w:val="auto"/>
          <w:sz w:val="24"/>
          <w:szCs w:val="24"/>
          <w:u w:val="single"/>
        </w:rPr>
        <w:t>200人：</w:t>
      </w:r>
    </w:p>
    <w:p w14:paraId="72CEADF9">
      <w:pPr>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餐饮服务学期满意度测评表（</w:t>
      </w:r>
      <w:r>
        <w:rPr>
          <w:rFonts w:ascii="宋体" w:hAnsi="宋体" w:cs="宋体"/>
          <w:color w:val="auto"/>
          <w:sz w:val="24"/>
          <w:szCs w:val="24"/>
        </w:rPr>
        <w:t>100分，得分保留一位小数）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887"/>
        <w:gridCol w:w="727"/>
        <w:gridCol w:w="917"/>
        <w:gridCol w:w="927"/>
        <w:gridCol w:w="953"/>
        <w:gridCol w:w="950"/>
        <w:gridCol w:w="912"/>
        <w:gridCol w:w="865"/>
        <w:gridCol w:w="1199"/>
      </w:tblGrid>
      <w:tr w14:paraId="0C906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954" w:type="dxa"/>
            <w:vAlign w:val="center"/>
          </w:tcPr>
          <w:p w14:paraId="77A3BFB8">
            <w:pPr>
              <w:snapToGrid w:val="0"/>
              <w:spacing w:line="400" w:lineRule="exact"/>
              <w:rPr>
                <w:rFonts w:ascii="宋体" w:hAnsi="宋体" w:cs="宋体"/>
                <w:color w:val="auto"/>
                <w:sz w:val="24"/>
                <w:szCs w:val="24"/>
              </w:rPr>
            </w:pPr>
            <w:r>
              <w:rPr>
                <w:rFonts w:hint="eastAsia" w:ascii="宋体" w:hAnsi="宋体" w:cs="宋体"/>
                <w:color w:val="auto"/>
                <w:sz w:val="24"/>
                <w:szCs w:val="24"/>
              </w:rPr>
              <w:t>项目</w:t>
            </w:r>
          </w:p>
        </w:tc>
        <w:tc>
          <w:tcPr>
            <w:tcW w:w="887" w:type="dxa"/>
            <w:vAlign w:val="center"/>
          </w:tcPr>
          <w:p w14:paraId="6B15584C">
            <w:pPr>
              <w:snapToGrid w:val="0"/>
              <w:spacing w:line="400" w:lineRule="exact"/>
              <w:jc w:val="center"/>
              <w:rPr>
                <w:rFonts w:ascii="宋体" w:hAnsi="宋体" w:cs="宋体"/>
                <w:color w:val="auto"/>
                <w:sz w:val="18"/>
                <w:szCs w:val="18"/>
              </w:rPr>
            </w:pPr>
            <w:r>
              <w:rPr>
                <w:rFonts w:hint="eastAsia" w:ascii="宋体" w:hAnsi="宋体" w:cs="宋体"/>
                <w:color w:val="auto"/>
                <w:sz w:val="24"/>
                <w:szCs w:val="24"/>
              </w:rPr>
              <w:t>就餐环境</w:t>
            </w:r>
          </w:p>
        </w:tc>
        <w:tc>
          <w:tcPr>
            <w:tcW w:w="727" w:type="dxa"/>
            <w:vAlign w:val="center"/>
          </w:tcPr>
          <w:p w14:paraId="0874C4A9">
            <w:pPr>
              <w:snapToGrid w:val="0"/>
              <w:spacing w:line="400" w:lineRule="exact"/>
              <w:jc w:val="center"/>
              <w:rPr>
                <w:rFonts w:ascii="宋体" w:hAnsi="宋体" w:cs="宋体"/>
                <w:color w:val="auto"/>
                <w:sz w:val="24"/>
                <w:szCs w:val="24"/>
              </w:rPr>
            </w:pPr>
            <w:r>
              <w:rPr>
                <w:rFonts w:hint="eastAsia" w:ascii="宋体" w:hAnsi="宋体" w:cs="宋体"/>
                <w:color w:val="auto"/>
                <w:sz w:val="24"/>
                <w:szCs w:val="24"/>
              </w:rPr>
              <w:t>食堂卫生</w:t>
            </w:r>
          </w:p>
        </w:tc>
        <w:tc>
          <w:tcPr>
            <w:tcW w:w="917" w:type="dxa"/>
            <w:vAlign w:val="center"/>
          </w:tcPr>
          <w:p w14:paraId="4DAA1A1B">
            <w:pPr>
              <w:snapToGrid w:val="0"/>
              <w:spacing w:line="400" w:lineRule="exact"/>
              <w:jc w:val="center"/>
              <w:rPr>
                <w:rFonts w:ascii="宋体" w:hAnsi="宋体" w:cs="宋体"/>
                <w:color w:val="auto"/>
                <w:sz w:val="18"/>
                <w:szCs w:val="18"/>
              </w:rPr>
            </w:pPr>
            <w:r>
              <w:rPr>
                <w:rFonts w:hint="eastAsia" w:ascii="宋体" w:hAnsi="宋体" w:cs="宋体"/>
                <w:color w:val="auto"/>
                <w:sz w:val="24"/>
                <w:szCs w:val="24"/>
              </w:rPr>
              <w:t>餐具清洁</w:t>
            </w:r>
          </w:p>
        </w:tc>
        <w:tc>
          <w:tcPr>
            <w:tcW w:w="927" w:type="dxa"/>
            <w:vAlign w:val="center"/>
          </w:tcPr>
          <w:p w14:paraId="65A1DC5C">
            <w:pPr>
              <w:snapToGrid w:val="0"/>
              <w:spacing w:line="400" w:lineRule="exact"/>
              <w:jc w:val="center"/>
              <w:rPr>
                <w:rFonts w:ascii="宋体" w:hAnsi="宋体" w:cs="宋体"/>
                <w:color w:val="auto"/>
                <w:sz w:val="24"/>
                <w:szCs w:val="24"/>
              </w:rPr>
            </w:pPr>
            <w:r>
              <w:rPr>
                <w:rFonts w:hint="eastAsia" w:ascii="宋体" w:hAnsi="宋体" w:cs="宋体"/>
                <w:color w:val="auto"/>
                <w:sz w:val="24"/>
                <w:szCs w:val="24"/>
              </w:rPr>
              <w:t>菜品</w:t>
            </w:r>
          </w:p>
          <w:p w14:paraId="01E41E79">
            <w:pPr>
              <w:snapToGrid w:val="0"/>
              <w:spacing w:line="400" w:lineRule="exact"/>
              <w:jc w:val="center"/>
              <w:rPr>
                <w:rFonts w:ascii="宋体" w:hAnsi="宋体" w:cs="宋体"/>
                <w:color w:val="auto"/>
                <w:sz w:val="24"/>
                <w:szCs w:val="24"/>
              </w:rPr>
            </w:pPr>
            <w:r>
              <w:rPr>
                <w:rFonts w:hint="eastAsia" w:ascii="宋体" w:hAnsi="宋体" w:cs="宋体"/>
                <w:color w:val="auto"/>
                <w:sz w:val="24"/>
                <w:szCs w:val="24"/>
              </w:rPr>
              <w:t>味道</w:t>
            </w:r>
          </w:p>
        </w:tc>
        <w:tc>
          <w:tcPr>
            <w:tcW w:w="953" w:type="dxa"/>
            <w:vAlign w:val="center"/>
          </w:tcPr>
          <w:p w14:paraId="091438A5">
            <w:pPr>
              <w:snapToGrid w:val="0"/>
              <w:spacing w:line="400" w:lineRule="exact"/>
              <w:jc w:val="center"/>
              <w:rPr>
                <w:rFonts w:ascii="宋体" w:hAnsi="宋体" w:cs="宋体"/>
                <w:color w:val="auto"/>
                <w:sz w:val="24"/>
                <w:szCs w:val="24"/>
              </w:rPr>
            </w:pPr>
            <w:r>
              <w:rPr>
                <w:rFonts w:hint="eastAsia" w:ascii="宋体" w:hAnsi="宋体" w:cs="宋体"/>
                <w:color w:val="auto"/>
                <w:sz w:val="24"/>
                <w:szCs w:val="24"/>
              </w:rPr>
              <w:t>菜品</w:t>
            </w:r>
          </w:p>
          <w:p w14:paraId="6E14709D">
            <w:pPr>
              <w:snapToGrid w:val="0"/>
              <w:spacing w:line="400" w:lineRule="exact"/>
              <w:jc w:val="center"/>
              <w:rPr>
                <w:rFonts w:ascii="宋体" w:hAnsi="宋体" w:cs="宋体"/>
                <w:color w:val="auto"/>
                <w:sz w:val="18"/>
                <w:szCs w:val="18"/>
              </w:rPr>
            </w:pPr>
            <w:r>
              <w:rPr>
                <w:rFonts w:hint="eastAsia" w:ascii="宋体" w:hAnsi="宋体" w:cs="宋体"/>
                <w:color w:val="auto"/>
                <w:sz w:val="24"/>
                <w:szCs w:val="24"/>
              </w:rPr>
              <w:t>变化</w:t>
            </w:r>
          </w:p>
        </w:tc>
        <w:tc>
          <w:tcPr>
            <w:tcW w:w="950" w:type="dxa"/>
            <w:vAlign w:val="center"/>
          </w:tcPr>
          <w:p w14:paraId="0A7B9142">
            <w:pPr>
              <w:snapToGrid w:val="0"/>
              <w:spacing w:line="400" w:lineRule="exact"/>
              <w:jc w:val="center"/>
              <w:rPr>
                <w:rFonts w:ascii="宋体" w:hAnsi="宋体" w:cs="宋体"/>
                <w:color w:val="auto"/>
                <w:sz w:val="24"/>
                <w:szCs w:val="24"/>
              </w:rPr>
            </w:pPr>
            <w:r>
              <w:rPr>
                <w:rFonts w:hint="eastAsia" w:ascii="宋体" w:hAnsi="宋体" w:cs="宋体"/>
                <w:color w:val="auto"/>
                <w:sz w:val="24"/>
                <w:szCs w:val="24"/>
              </w:rPr>
              <w:t>菜品</w:t>
            </w:r>
          </w:p>
          <w:p w14:paraId="12B2A99F">
            <w:pPr>
              <w:snapToGrid w:val="0"/>
              <w:spacing w:line="400" w:lineRule="exact"/>
              <w:jc w:val="center"/>
              <w:rPr>
                <w:rFonts w:ascii="宋体" w:hAnsi="宋体" w:cs="宋体"/>
                <w:color w:val="auto"/>
                <w:sz w:val="18"/>
                <w:szCs w:val="18"/>
              </w:rPr>
            </w:pPr>
            <w:r>
              <w:rPr>
                <w:rFonts w:hint="eastAsia" w:ascii="宋体" w:hAnsi="宋体" w:cs="宋体"/>
                <w:color w:val="auto"/>
                <w:sz w:val="24"/>
                <w:szCs w:val="24"/>
              </w:rPr>
              <w:t>质量</w:t>
            </w:r>
          </w:p>
        </w:tc>
        <w:tc>
          <w:tcPr>
            <w:tcW w:w="912" w:type="dxa"/>
            <w:vAlign w:val="center"/>
          </w:tcPr>
          <w:p w14:paraId="1EAB49B8">
            <w:pPr>
              <w:snapToGrid w:val="0"/>
              <w:spacing w:line="400" w:lineRule="exact"/>
              <w:jc w:val="center"/>
              <w:rPr>
                <w:rFonts w:ascii="宋体" w:hAnsi="宋体" w:cs="宋体"/>
                <w:color w:val="auto"/>
                <w:sz w:val="24"/>
                <w:szCs w:val="24"/>
              </w:rPr>
            </w:pPr>
            <w:r>
              <w:rPr>
                <w:rFonts w:hint="eastAsia" w:ascii="宋体" w:hAnsi="宋体" w:cs="宋体"/>
                <w:color w:val="auto"/>
                <w:sz w:val="24"/>
                <w:szCs w:val="24"/>
              </w:rPr>
              <w:t>服务</w:t>
            </w:r>
          </w:p>
          <w:p w14:paraId="611601DC">
            <w:pPr>
              <w:snapToGrid w:val="0"/>
              <w:spacing w:line="400" w:lineRule="exact"/>
              <w:jc w:val="center"/>
              <w:rPr>
                <w:rFonts w:ascii="宋体" w:hAnsi="宋体" w:cs="宋体"/>
                <w:color w:val="auto"/>
                <w:sz w:val="18"/>
                <w:szCs w:val="18"/>
              </w:rPr>
            </w:pPr>
            <w:r>
              <w:rPr>
                <w:rFonts w:hint="eastAsia" w:ascii="宋体" w:hAnsi="宋体" w:cs="宋体"/>
                <w:color w:val="auto"/>
                <w:sz w:val="24"/>
                <w:szCs w:val="24"/>
              </w:rPr>
              <w:t>态度</w:t>
            </w:r>
          </w:p>
        </w:tc>
        <w:tc>
          <w:tcPr>
            <w:tcW w:w="865" w:type="dxa"/>
            <w:vAlign w:val="center"/>
          </w:tcPr>
          <w:p w14:paraId="34BA176D">
            <w:pPr>
              <w:snapToGrid w:val="0"/>
              <w:spacing w:line="400" w:lineRule="exact"/>
              <w:jc w:val="center"/>
              <w:rPr>
                <w:rFonts w:ascii="宋体" w:hAnsi="宋体" w:cs="宋体"/>
                <w:color w:val="auto"/>
                <w:sz w:val="18"/>
                <w:szCs w:val="18"/>
              </w:rPr>
            </w:pPr>
            <w:r>
              <w:rPr>
                <w:rFonts w:hint="eastAsia" w:ascii="宋体" w:hAnsi="宋体" w:cs="宋体"/>
                <w:color w:val="auto"/>
                <w:sz w:val="24"/>
                <w:szCs w:val="24"/>
              </w:rPr>
              <w:t>米饭品质</w:t>
            </w:r>
          </w:p>
        </w:tc>
        <w:tc>
          <w:tcPr>
            <w:tcW w:w="1199" w:type="dxa"/>
            <w:vAlign w:val="center"/>
          </w:tcPr>
          <w:p w14:paraId="444FBF15">
            <w:pPr>
              <w:snapToGrid w:val="0"/>
              <w:spacing w:line="400" w:lineRule="exact"/>
              <w:jc w:val="center"/>
              <w:rPr>
                <w:rFonts w:ascii="宋体" w:hAnsi="宋体" w:cs="宋体"/>
                <w:color w:val="auto"/>
                <w:sz w:val="24"/>
                <w:szCs w:val="24"/>
              </w:rPr>
            </w:pPr>
            <w:r>
              <w:rPr>
                <w:rFonts w:hint="eastAsia" w:ascii="宋体" w:hAnsi="宋体" w:cs="宋体"/>
                <w:color w:val="auto"/>
                <w:sz w:val="24"/>
                <w:szCs w:val="24"/>
              </w:rPr>
              <w:t>得分</w:t>
            </w:r>
          </w:p>
        </w:tc>
      </w:tr>
      <w:tr w14:paraId="7E224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4" w:type="dxa"/>
            <w:vAlign w:val="center"/>
          </w:tcPr>
          <w:p w14:paraId="02FAFA45">
            <w:pPr>
              <w:snapToGrid w:val="0"/>
              <w:spacing w:line="400" w:lineRule="exact"/>
              <w:rPr>
                <w:rFonts w:ascii="宋体" w:hAnsi="宋体" w:cs="宋体"/>
                <w:color w:val="auto"/>
                <w:sz w:val="24"/>
                <w:szCs w:val="24"/>
              </w:rPr>
            </w:pPr>
            <w:r>
              <w:rPr>
                <w:rFonts w:hint="eastAsia" w:ascii="宋体" w:hAnsi="宋体" w:cs="宋体"/>
                <w:color w:val="auto"/>
                <w:sz w:val="24"/>
                <w:szCs w:val="24"/>
              </w:rPr>
              <w:t>分值</w:t>
            </w:r>
          </w:p>
        </w:tc>
        <w:tc>
          <w:tcPr>
            <w:tcW w:w="887" w:type="dxa"/>
            <w:shd w:val="clear" w:color="auto" w:fill="auto"/>
            <w:vAlign w:val="center"/>
          </w:tcPr>
          <w:p w14:paraId="54DA3C14">
            <w:pPr>
              <w:jc w:val="center"/>
              <w:rPr>
                <w:rFonts w:ascii="宋体" w:hAnsi="宋体" w:cs="宋体"/>
                <w:color w:val="auto"/>
                <w:sz w:val="24"/>
                <w:szCs w:val="24"/>
              </w:rPr>
            </w:pPr>
            <w:r>
              <w:rPr>
                <w:rFonts w:ascii="宋体" w:hAnsi="宋体" w:cs="宋体"/>
                <w:color w:val="auto"/>
                <w:sz w:val="24"/>
                <w:szCs w:val="24"/>
              </w:rPr>
              <w:t>10</w:t>
            </w:r>
          </w:p>
        </w:tc>
        <w:tc>
          <w:tcPr>
            <w:tcW w:w="727" w:type="dxa"/>
            <w:shd w:val="clear" w:color="auto" w:fill="auto"/>
            <w:vAlign w:val="center"/>
          </w:tcPr>
          <w:p w14:paraId="772157AA">
            <w:pPr>
              <w:jc w:val="center"/>
              <w:rPr>
                <w:rFonts w:ascii="宋体" w:hAnsi="宋体" w:cs="宋体"/>
                <w:color w:val="auto"/>
              </w:rPr>
            </w:pPr>
            <w:r>
              <w:rPr>
                <w:rFonts w:ascii="宋体" w:hAnsi="宋体" w:cs="宋体"/>
                <w:color w:val="auto"/>
              </w:rPr>
              <w:t>10</w:t>
            </w:r>
          </w:p>
        </w:tc>
        <w:tc>
          <w:tcPr>
            <w:tcW w:w="917" w:type="dxa"/>
            <w:shd w:val="clear" w:color="auto" w:fill="auto"/>
            <w:vAlign w:val="center"/>
          </w:tcPr>
          <w:p w14:paraId="7DC214A4">
            <w:pPr>
              <w:jc w:val="center"/>
              <w:rPr>
                <w:rFonts w:ascii="宋体" w:hAnsi="宋体" w:cs="宋体"/>
                <w:color w:val="auto"/>
                <w:sz w:val="24"/>
                <w:szCs w:val="24"/>
              </w:rPr>
            </w:pPr>
            <w:r>
              <w:rPr>
                <w:rFonts w:ascii="宋体" w:hAnsi="宋体" w:cs="宋体"/>
                <w:color w:val="auto"/>
              </w:rPr>
              <w:t>10</w:t>
            </w:r>
          </w:p>
        </w:tc>
        <w:tc>
          <w:tcPr>
            <w:tcW w:w="927" w:type="dxa"/>
            <w:shd w:val="clear" w:color="auto" w:fill="auto"/>
            <w:vAlign w:val="center"/>
          </w:tcPr>
          <w:p w14:paraId="2F1D7F13">
            <w:pPr>
              <w:jc w:val="center"/>
              <w:rPr>
                <w:rFonts w:ascii="宋体" w:hAnsi="宋体" w:cs="宋体"/>
                <w:color w:val="auto"/>
              </w:rPr>
            </w:pPr>
            <w:r>
              <w:rPr>
                <w:rFonts w:ascii="宋体" w:hAnsi="宋体" w:cs="宋体"/>
                <w:color w:val="auto"/>
              </w:rPr>
              <w:t>10</w:t>
            </w:r>
          </w:p>
        </w:tc>
        <w:tc>
          <w:tcPr>
            <w:tcW w:w="953" w:type="dxa"/>
            <w:shd w:val="clear" w:color="auto" w:fill="auto"/>
            <w:vAlign w:val="center"/>
          </w:tcPr>
          <w:p w14:paraId="275FA9BA">
            <w:pPr>
              <w:jc w:val="center"/>
              <w:rPr>
                <w:rFonts w:ascii="宋体" w:hAnsi="宋体" w:cs="宋体"/>
                <w:color w:val="auto"/>
                <w:sz w:val="24"/>
                <w:szCs w:val="24"/>
              </w:rPr>
            </w:pPr>
            <w:r>
              <w:rPr>
                <w:rFonts w:ascii="宋体" w:hAnsi="宋体" w:cs="宋体"/>
                <w:color w:val="auto"/>
              </w:rPr>
              <w:t>10</w:t>
            </w:r>
          </w:p>
        </w:tc>
        <w:tc>
          <w:tcPr>
            <w:tcW w:w="950" w:type="dxa"/>
            <w:shd w:val="clear" w:color="auto" w:fill="auto"/>
            <w:vAlign w:val="center"/>
          </w:tcPr>
          <w:p w14:paraId="14F9A2ED">
            <w:pPr>
              <w:jc w:val="center"/>
              <w:rPr>
                <w:rFonts w:ascii="宋体" w:hAnsi="宋体" w:cs="宋体"/>
                <w:color w:val="auto"/>
                <w:sz w:val="24"/>
                <w:szCs w:val="24"/>
              </w:rPr>
            </w:pPr>
            <w:r>
              <w:rPr>
                <w:rFonts w:ascii="宋体" w:hAnsi="宋体" w:cs="宋体"/>
                <w:color w:val="auto"/>
              </w:rPr>
              <w:t>20</w:t>
            </w:r>
          </w:p>
        </w:tc>
        <w:tc>
          <w:tcPr>
            <w:tcW w:w="912" w:type="dxa"/>
            <w:shd w:val="clear" w:color="auto" w:fill="auto"/>
            <w:vAlign w:val="center"/>
          </w:tcPr>
          <w:p w14:paraId="45D69F69">
            <w:pPr>
              <w:jc w:val="center"/>
              <w:rPr>
                <w:rFonts w:ascii="宋体" w:hAnsi="宋体" w:cs="宋体"/>
                <w:color w:val="auto"/>
                <w:sz w:val="24"/>
                <w:szCs w:val="24"/>
              </w:rPr>
            </w:pPr>
            <w:r>
              <w:rPr>
                <w:rFonts w:ascii="宋体" w:hAnsi="宋体" w:cs="宋体"/>
                <w:color w:val="auto"/>
              </w:rPr>
              <w:t>20</w:t>
            </w:r>
          </w:p>
        </w:tc>
        <w:tc>
          <w:tcPr>
            <w:tcW w:w="865" w:type="dxa"/>
            <w:shd w:val="clear" w:color="auto" w:fill="auto"/>
            <w:vAlign w:val="center"/>
          </w:tcPr>
          <w:p w14:paraId="56FD83D6">
            <w:pPr>
              <w:jc w:val="center"/>
              <w:rPr>
                <w:rFonts w:ascii="宋体" w:hAnsi="宋体" w:cs="宋体"/>
                <w:color w:val="auto"/>
                <w:sz w:val="24"/>
                <w:szCs w:val="24"/>
              </w:rPr>
            </w:pPr>
            <w:r>
              <w:rPr>
                <w:rFonts w:ascii="宋体" w:hAnsi="宋体" w:cs="宋体"/>
                <w:color w:val="auto"/>
              </w:rPr>
              <w:t>10</w:t>
            </w:r>
          </w:p>
        </w:tc>
        <w:tc>
          <w:tcPr>
            <w:tcW w:w="1199" w:type="dxa"/>
            <w:vAlign w:val="center"/>
          </w:tcPr>
          <w:p w14:paraId="17295E78">
            <w:pPr>
              <w:snapToGrid w:val="0"/>
              <w:spacing w:line="400" w:lineRule="exact"/>
              <w:ind w:firstLine="480" w:firstLineChars="200"/>
              <w:rPr>
                <w:rFonts w:ascii="宋体" w:hAnsi="宋体" w:cs="宋体"/>
                <w:color w:val="auto"/>
                <w:sz w:val="24"/>
                <w:szCs w:val="24"/>
              </w:rPr>
            </w:pPr>
          </w:p>
        </w:tc>
      </w:tr>
      <w:tr w14:paraId="20B8C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4" w:type="dxa"/>
            <w:vAlign w:val="center"/>
          </w:tcPr>
          <w:p w14:paraId="25B2B403">
            <w:pPr>
              <w:snapToGrid w:val="0"/>
              <w:spacing w:line="400" w:lineRule="exact"/>
              <w:rPr>
                <w:rFonts w:ascii="宋体" w:hAnsi="宋体" w:cs="宋体"/>
                <w:color w:val="auto"/>
                <w:sz w:val="24"/>
                <w:szCs w:val="24"/>
              </w:rPr>
            </w:pPr>
            <w:r>
              <w:rPr>
                <w:rFonts w:hint="eastAsia" w:ascii="宋体" w:hAnsi="宋体" w:cs="宋体"/>
                <w:color w:val="auto"/>
                <w:sz w:val="24"/>
                <w:szCs w:val="24"/>
              </w:rPr>
              <w:t>意见</w:t>
            </w:r>
          </w:p>
        </w:tc>
        <w:tc>
          <w:tcPr>
            <w:tcW w:w="8337" w:type="dxa"/>
            <w:gridSpan w:val="9"/>
          </w:tcPr>
          <w:p w14:paraId="04D8C209">
            <w:pPr>
              <w:snapToGrid w:val="0"/>
              <w:spacing w:line="400" w:lineRule="exact"/>
              <w:ind w:firstLine="480" w:firstLineChars="200"/>
              <w:rPr>
                <w:rFonts w:ascii="宋体" w:hAnsi="宋体" w:cs="宋体"/>
                <w:color w:val="auto"/>
                <w:sz w:val="24"/>
                <w:szCs w:val="24"/>
              </w:rPr>
            </w:pPr>
          </w:p>
        </w:tc>
      </w:tr>
    </w:tbl>
    <w:p w14:paraId="00D0034F">
      <w:pPr>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备注：</w:t>
      </w:r>
      <w:r>
        <w:rPr>
          <w:rFonts w:ascii="宋体" w:hAnsi="宋体" w:cs="宋体"/>
          <w:color w:val="auto"/>
          <w:sz w:val="24"/>
          <w:szCs w:val="24"/>
        </w:rPr>
        <w:t>1、学期满意度测评与日常考核相结合，发生较大消防安全事故、食品卫生安全事故、员工群体性事件等对采购人造成重大负面影响的事件，学期考核直接为不合格。</w:t>
      </w:r>
    </w:p>
    <w:p w14:paraId="18EBD757">
      <w:pPr>
        <w:numPr>
          <w:ilvl w:val="0"/>
          <w:numId w:val="198"/>
        </w:numPr>
        <w:snapToGrid w:val="0"/>
        <w:spacing w:line="400" w:lineRule="exact"/>
        <w:ind w:firstLine="480" w:firstLineChars="200"/>
        <w:rPr>
          <w:rFonts w:ascii="宋体" w:hAnsi="宋体" w:cs="宋体"/>
          <w:color w:val="auto"/>
          <w:sz w:val="24"/>
          <w:szCs w:val="24"/>
          <w:u w:val="single"/>
        </w:rPr>
      </w:pPr>
      <w:r>
        <w:rPr>
          <w:rFonts w:hint="eastAsia" w:ascii="宋体" w:hAnsi="宋体" w:cs="宋体"/>
          <w:color w:val="auto"/>
          <w:sz w:val="24"/>
          <w:szCs w:val="24"/>
        </w:rPr>
        <w:t>学期满意度测评成绩与日常考核相结合，</w:t>
      </w:r>
      <w:r>
        <w:rPr>
          <w:rFonts w:hint="eastAsia" w:ascii="宋体" w:hAnsi="宋体" w:cs="宋体"/>
          <w:color w:val="auto"/>
          <w:sz w:val="24"/>
          <w:szCs w:val="24"/>
          <w:u w:val="single"/>
        </w:rPr>
        <w:t>学期满意度测评成绩</w:t>
      </w:r>
      <w:r>
        <w:rPr>
          <w:rFonts w:ascii="宋体" w:hAnsi="宋体" w:cs="宋体"/>
          <w:color w:val="auto"/>
          <w:sz w:val="24"/>
          <w:szCs w:val="24"/>
          <w:u w:val="single"/>
        </w:rPr>
        <w:t>=餐饮服务学期满意度测评*40%，日常考核成绩=（100-学期日常考核扣分）*60%，</w:t>
      </w:r>
      <w:r>
        <w:rPr>
          <w:rFonts w:hint="eastAsia" w:ascii="宋体" w:hAnsi="宋体" w:cs="宋体"/>
          <w:color w:val="auto"/>
          <w:sz w:val="24"/>
          <w:szCs w:val="24"/>
        </w:rPr>
        <w:t>除发生备注第</w:t>
      </w:r>
      <w:r>
        <w:rPr>
          <w:rFonts w:ascii="宋体" w:hAnsi="宋体" w:cs="宋体"/>
          <w:color w:val="auto"/>
          <w:sz w:val="24"/>
          <w:szCs w:val="24"/>
        </w:rPr>
        <w:t>1条外，</w:t>
      </w:r>
      <w:r>
        <w:rPr>
          <w:rFonts w:hint="eastAsia" w:ascii="宋体" w:hAnsi="宋体" w:cs="宋体"/>
          <w:color w:val="auto"/>
          <w:sz w:val="24"/>
          <w:szCs w:val="24"/>
          <w:u w:val="single"/>
        </w:rPr>
        <w:t>学期考核成绩</w:t>
      </w:r>
      <w:r>
        <w:rPr>
          <w:rFonts w:ascii="宋体" w:hAnsi="宋体" w:cs="宋体"/>
          <w:color w:val="auto"/>
          <w:sz w:val="24"/>
          <w:szCs w:val="24"/>
          <w:u w:val="single"/>
        </w:rPr>
        <w:t>=学期满意度测评成绩+日常考核成绩。</w:t>
      </w:r>
    </w:p>
    <w:p w14:paraId="432A778E">
      <w:pPr>
        <w:snapToGrid w:val="0"/>
        <w:spacing w:line="400" w:lineRule="exact"/>
        <w:ind w:firstLine="480" w:firstLineChars="200"/>
        <w:rPr>
          <w:rFonts w:ascii="宋体" w:hAnsi="宋体" w:cs="宋体"/>
          <w:color w:val="auto"/>
          <w:sz w:val="24"/>
          <w:szCs w:val="24"/>
        </w:rPr>
      </w:pPr>
      <w:r>
        <w:rPr>
          <w:rFonts w:ascii="宋体" w:hAnsi="宋体" w:cs="宋体"/>
          <w:color w:val="auto"/>
          <w:sz w:val="24"/>
          <w:szCs w:val="24"/>
        </w:rPr>
        <w:t>3.以上测评表，采购人每学期可以根据上级机关和学校管理要求，结合实际情况对测评项目及细则予以调整。</w:t>
      </w:r>
    </w:p>
    <w:p w14:paraId="7A9AD4D2">
      <w:pPr>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（三）考核结果运用：</w:t>
      </w:r>
    </w:p>
    <w:p w14:paraId="6DC36DEB">
      <w:pPr>
        <w:spacing w:line="580" w:lineRule="atLeast"/>
        <w:ind w:left="213" w:leftChars="76" w:firstLine="360" w:firstLineChars="150"/>
        <w:jc w:val="left"/>
        <w:rPr>
          <w:rFonts w:ascii="宋体" w:hAnsi="宋体" w:cs="宋体"/>
          <w:color w:val="auto"/>
          <w:sz w:val="24"/>
          <w:szCs w:val="24"/>
        </w:rPr>
      </w:pPr>
      <w:r>
        <w:rPr>
          <w:rFonts w:hint="eastAsia" w:ascii="宋体" w:hAnsi="宋体" w:cs="宋体"/>
          <w:color w:val="auto"/>
          <w:sz w:val="24"/>
          <w:szCs w:val="24"/>
        </w:rPr>
        <w:t>学期考核成绩≥</w:t>
      </w:r>
      <w:r>
        <w:rPr>
          <w:rFonts w:ascii="宋体" w:hAnsi="宋体" w:cs="宋体"/>
          <w:color w:val="auto"/>
          <w:sz w:val="24"/>
          <w:szCs w:val="24"/>
        </w:rPr>
        <w:t>95分为非常优秀，全额返还当学期所提取考核费；95分＞学期考核成绩≥90分为基本优秀，</w:t>
      </w:r>
      <w:r>
        <w:rPr>
          <w:rFonts w:hint="eastAsia" w:ascii="宋体" w:hAnsi="宋体" w:cs="宋体"/>
          <w:color w:val="auto"/>
          <w:sz w:val="24"/>
          <w:szCs w:val="24"/>
        </w:rPr>
        <w:t>返还当学期所提取考核费</w:t>
      </w:r>
      <w:r>
        <w:rPr>
          <w:rFonts w:ascii="宋体" w:hAnsi="宋体" w:cs="宋体"/>
          <w:color w:val="auto"/>
          <w:sz w:val="24"/>
          <w:szCs w:val="24"/>
        </w:rPr>
        <w:t>50%；90分＞学期考核成绩≥85分为良好，返还当学期所提取考核费40%； 85分＞学期考核成绩≥80分为合格，返还当学期所提取考核费30%；80分＞学期考核成绩≥70分为合格，</w:t>
      </w:r>
      <w:r>
        <w:rPr>
          <w:rFonts w:hint="eastAsia" w:ascii="宋体" w:hAnsi="宋体" w:cs="宋体"/>
          <w:color w:val="auto"/>
          <w:sz w:val="24"/>
          <w:szCs w:val="24"/>
        </w:rPr>
        <w:t>不返还当学期所提取考核费；学期考核成绩</w:t>
      </w:r>
      <w:r>
        <w:rPr>
          <w:rFonts w:ascii="宋体" w:hAnsi="宋体" w:cs="宋体"/>
          <w:color w:val="auto"/>
          <w:sz w:val="24"/>
          <w:szCs w:val="24"/>
        </w:rPr>
        <w:t>&lt;70分为不合格，</w:t>
      </w:r>
      <w:r>
        <w:rPr>
          <w:rFonts w:hint="eastAsia" w:ascii="宋体" w:hAnsi="宋体" w:cs="宋体"/>
          <w:color w:val="auto"/>
          <w:sz w:val="24"/>
          <w:szCs w:val="28"/>
          <w:lang w:val="zh-CN"/>
        </w:rPr>
        <w:t>对其诫勉谈话，</w:t>
      </w:r>
      <w:r>
        <w:rPr>
          <w:rFonts w:hint="eastAsia" w:ascii="宋体" w:hAnsi="宋体" w:cs="宋体"/>
          <w:color w:val="auto"/>
          <w:sz w:val="24"/>
          <w:szCs w:val="28"/>
        </w:rPr>
        <w:t>按合同违约处理，</w:t>
      </w:r>
      <w:r>
        <w:rPr>
          <w:rFonts w:hint="eastAsia" w:ascii="宋体" w:hAnsi="宋体" w:cs="宋体"/>
          <w:color w:val="auto"/>
          <w:sz w:val="24"/>
          <w:szCs w:val="24"/>
        </w:rPr>
        <w:t>成交商须向采购人支付违约金</w:t>
      </w:r>
      <w:r>
        <w:rPr>
          <w:rFonts w:ascii="宋体" w:hAnsi="宋体" w:cs="宋体"/>
          <w:color w:val="auto"/>
          <w:sz w:val="24"/>
          <w:szCs w:val="24"/>
        </w:rPr>
        <w:t>200000元，且</w:t>
      </w:r>
      <w:r>
        <w:rPr>
          <w:rFonts w:hint="eastAsia" w:ascii="宋体" w:hAnsi="宋体" w:cs="宋体"/>
          <w:color w:val="auto"/>
          <w:sz w:val="24"/>
          <w:szCs w:val="28"/>
        </w:rPr>
        <w:t>下一个考核期每月营业款再原有考核费提取的基础上再增加</w:t>
      </w:r>
      <w:r>
        <w:rPr>
          <w:rFonts w:ascii="宋体" w:hAnsi="宋体" w:cs="宋体"/>
          <w:color w:val="auto"/>
          <w:sz w:val="24"/>
          <w:szCs w:val="28"/>
        </w:rPr>
        <w:t>1%提取每月考核费</w:t>
      </w:r>
      <w:r>
        <w:rPr>
          <w:rFonts w:hint="eastAsia" w:ascii="宋体" w:hAnsi="宋体" w:cs="宋体"/>
          <w:color w:val="auto"/>
          <w:sz w:val="24"/>
          <w:szCs w:val="24"/>
        </w:rPr>
        <w:t>，出现一切经济和法律责任由成交商自行承担，采购人不承担任何责任和做任何补偿。未返还完的考核费用于学生奖助贷、合理承担食堂在编在岗监管人员的薪资、食品安全管理及学生活动等公益性支出，惠及全校学生。</w:t>
      </w:r>
    </w:p>
    <w:p w14:paraId="0C29BD0E">
      <w:pPr>
        <w:pStyle w:val="3"/>
        <w:tabs>
          <w:tab w:val="left" w:pos="2443"/>
        </w:tabs>
        <w:spacing w:line="400" w:lineRule="exact"/>
        <w:rPr>
          <w:b w:val="0"/>
          <w:color w:val="auto"/>
        </w:rPr>
      </w:pPr>
      <w:bookmarkStart w:id="82" w:name="_Toc14149"/>
      <w:r>
        <w:rPr>
          <w:b w:val="0"/>
          <w:color w:val="auto"/>
        </w:rPr>
        <w:t>*</w:t>
      </w:r>
      <w:r>
        <w:rPr>
          <w:rFonts w:hint="eastAsia"/>
          <w:b w:val="0"/>
          <w:color w:val="auto"/>
        </w:rPr>
        <w:t>八、特别要求</w:t>
      </w:r>
      <w:bookmarkEnd w:id="72"/>
      <w:bookmarkEnd w:id="73"/>
      <w:bookmarkEnd w:id="74"/>
      <w:bookmarkEnd w:id="75"/>
      <w:bookmarkEnd w:id="76"/>
      <w:bookmarkEnd w:id="77"/>
      <w:bookmarkEnd w:id="82"/>
      <w:r>
        <w:rPr>
          <w:rFonts w:hint="eastAsia"/>
          <w:b w:val="0"/>
          <w:color w:val="auto"/>
        </w:rPr>
        <w:tab/>
      </w:r>
    </w:p>
    <w:p w14:paraId="7FD0DB71">
      <w:pPr>
        <w:numPr>
          <w:ilvl w:val="0"/>
          <w:numId w:val="199"/>
        </w:numPr>
        <w:spacing w:line="400" w:lineRule="exact"/>
        <w:ind w:firstLine="480" w:firstLineChars="200"/>
        <w:jc w:val="left"/>
        <w:rPr>
          <w:rFonts w:ascii="宋体" w:hAnsi="宋体" w:cs="宋体"/>
          <w:color w:val="auto"/>
          <w:sz w:val="24"/>
          <w:szCs w:val="24"/>
        </w:rPr>
      </w:pPr>
      <w:r>
        <w:rPr>
          <w:rFonts w:hint="eastAsia" w:ascii="宋体" w:hAnsi="宋体" w:cs="宋体"/>
          <w:color w:val="auto"/>
          <w:sz w:val="24"/>
          <w:szCs w:val="24"/>
        </w:rPr>
        <w:t>成交商必须服从采购人的工作安排和服务要求。</w:t>
      </w:r>
    </w:p>
    <w:p w14:paraId="15C1E494">
      <w:pPr>
        <w:numPr>
          <w:ilvl w:val="0"/>
          <w:numId w:val="199"/>
        </w:numPr>
        <w:spacing w:line="400" w:lineRule="exact"/>
        <w:ind w:firstLine="480" w:firstLineChars="200"/>
        <w:jc w:val="left"/>
        <w:rPr>
          <w:rFonts w:ascii="宋体" w:hAnsi="宋体" w:cs="宋体"/>
          <w:color w:val="auto"/>
          <w:sz w:val="24"/>
          <w:szCs w:val="24"/>
        </w:rPr>
      </w:pPr>
      <w:r>
        <w:rPr>
          <w:rFonts w:hint="eastAsia" w:ascii="宋体" w:hAnsi="宋体" w:cs="宋体"/>
          <w:color w:val="auto"/>
          <w:sz w:val="24"/>
          <w:szCs w:val="24"/>
        </w:rPr>
        <w:t>供应商承诺投保最低额为</w:t>
      </w:r>
      <w:r>
        <w:rPr>
          <w:rFonts w:ascii="宋体" w:hAnsi="宋体" w:cs="宋体"/>
          <w:color w:val="auto"/>
          <w:sz w:val="24"/>
          <w:szCs w:val="24"/>
        </w:rPr>
        <w:t>1000万元人民币的食品安全责任险</w:t>
      </w:r>
      <w:r>
        <w:rPr>
          <w:rFonts w:hint="eastAsia" w:ascii="宋体" w:hAnsi="宋体" w:cs="宋体"/>
          <w:color w:val="auto"/>
          <w:sz w:val="24"/>
          <w:szCs w:val="24"/>
        </w:rPr>
        <w:t>（含公众责任险），且每人财产损失险保额不低于</w:t>
      </w:r>
      <w:r>
        <w:rPr>
          <w:rFonts w:ascii="宋体" w:hAnsi="宋体" w:cs="宋体"/>
          <w:color w:val="auto"/>
          <w:sz w:val="24"/>
          <w:szCs w:val="24"/>
        </w:rPr>
        <w:t>10万和人身伤害每人不低于50万</w:t>
      </w:r>
      <w:r>
        <w:rPr>
          <w:rFonts w:hint="eastAsia" w:ascii="宋体" w:hAnsi="宋体" w:cs="宋体"/>
          <w:color w:val="auto"/>
          <w:sz w:val="24"/>
          <w:szCs w:val="24"/>
        </w:rPr>
        <w:t>。</w:t>
      </w:r>
    </w:p>
    <w:p w14:paraId="06E59E2C">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（三）采购文件中</w:t>
      </w:r>
      <w:bookmarkStart w:id="83" w:name="_Hlk101963034"/>
      <w:r>
        <w:rPr>
          <w:rFonts w:hint="eastAsia" w:ascii="宋体" w:hAnsi="宋体" w:cs="宋体"/>
          <w:color w:val="auto"/>
          <w:sz w:val="24"/>
          <w:szCs w:val="24"/>
        </w:rPr>
        <w:t>未尽条款按国家《食品安全法》、《重庆市食品安全管理办法》、《重庆文理学院食堂监管办法》等最新文件相关要求执行。</w:t>
      </w:r>
      <w:bookmarkEnd w:id="83"/>
    </w:p>
    <w:p w14:paraId="26FC257A">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（四）未尽事宜，凡是有利于提升餐饮服务质量，有利于提升食品安全管理能力，有利于保障学校正常教育教学秩序，须以采购人要求为准。</w:t>
      </w:r>
    </w:p>
    <w:p w14:paraId="484A9FC7">
      <w:pPr>
        <w:pStyle w:val="3"/>
        <w:spacing w:line="400" w:lineRule="exact"/>
        <w:rPr>
          <w:b w:val="0"/>
          <w:color w:val="auto"/>
        </w:rPr>
      </w:pPr>
      <w:bookmarkStart w:id="84" w:name="_Toc25935"/>
      <w:r>
        <w:rPr>
          <w:rFonts w:hint="eastAsia"/>
          <w:b w:val="0"/>
          <w:color w:val="auto"/>
        </w:rPr>
        <w:t>九、现场查勘</w:t>
      </w:r>
      <w:bookmarkEnd w:id="84"/>
    </w:p>
    <w:p w14:paraId="543530DE">
      <w:pPr>
        <w:spacing w:line="400" w:lineRule="exact"/>
        <w:ind w:firstLine="480" w:firstLineChars="200"/>
        <w:jc w:val="left"/>
        <w:rPr>
          <w:color w:val="auto"/>
          <w:sz w:val="24"/>
          <w:szCs w:val="24"/>
          <w:u w:val="single"/>
        </w:rPr>
      </w:pPr>
      <w:r>
        <w:rPr>
          <w:color w:val="auto"/>
          <w:sz w:val="24"/>
          <w:szCs w:val="24"/>
        </w:rPr>
        <w:t>1</w:t>
      </w:r>
      <w:r>
        <w:rPr>
          <w:rFonts w:hint="eastAsia"/>
          <w:color w:val="auto"/>
          <w:sz w:val="24"/>
          <w:szCs w:val="24"/>
        </w:rPr>
        <w:t>、为保证报价准确，参与磋商的各供应商可到现场进行查勘，需提供公司函（包括商家名称、进校车辆车牌号码、查勘人员姓名、性别、身份证号、联系电话提交采购报备），现场查勘时间：在采购信息公告日起第二天和第三天（周末、节假日不顺延）上午</w:t>
      </w:r>
      <w:r>
        <w:rPr>
          <w:color w:val="auto"/>
          <w:sz w:val="24"/>
          <w:szCs w:val="24"/>
        </w:rPr>
        <w:t>9</w:t>
      </w:r>
      <w:r>
        <w:rPr>
          <w:rFonts w:hint="eastAsia"/>
          <w:color w:val="auto"/>
          <w:sz w:val="24"/>
          <w:szCs w:val="24"/>
        </w:rPr>
        <w:t>：</w:t>
      </w:r>
      <w:r>
        <w:rPr>
          <w:color w:val="auto"/>
          <w:sz w:val="24"/>
          <w:szCs w:val="24"/>
        </w:rPr>
        <w:t>30-11</w:t>
      </w:r>
      <w:r>
        <w:rPr>
          <w:rFonts w:hint="eastAsia"/>
          <w:color w:val="auto"/>
          <w:sz w:val="24"/>
          <w:szCs w:val="24"/>
        </w:rPr>
        <w:t>：</w:t>
      </w:r>
      <w:r>
        <w:rPr>
          <w:color w:val="auto"/>
          <w:sz w:val="24"/>
          <w:szCs w:val="24"/>
        </w:rPr>
        <w:t>30</w:t>
      </w:r>
      <w:r>
        <w:rPr>
          <w:rFonts w:hint="eastAsia"/>
          <w:color w:val="auto"/>
          <w:sz w:val="24"/>
          <w:szCs w:val="24"/>
        </w:rPr>
        <w:t>。现场踏勘联系方式：程老师，</w:t>
      </w:r>
      <w:r>
        <w:rPr>
          <w:color w:val="auto"/>
          <w:sz w:val="24"/>
          <w:szCs w:val="24"/>
        </w:rPr>
        <w:t>13996199936</w:t>
      </w:r>
      <w:r>
        <w:rPr>
          <w:rFonts w:hint="eastAsia"/>
          <w:color w:val="auto"/>
          <w:sz w:val="24"/>
          <w:szCs w:val="24"/>
        </w:rPr>
        <w:t>。</w:t>
      </w:r>
    </w:p>
    <w:p w14:paraId="7E845982">
      <w:pPr>
        <w:spacing w:line="400" w:lineRule="exact"/>
        <w:ind w:firstLine="480" w:firstLineChars="200"/>
        <w:jc w:val="left"/>
        <w:rPr>
          <w:color w:val="auto"/>
          <w:sz w:val="24"/>
          <w:szCs w:val="24"/>
        </w:rPr>
      </w:pPr>
      <w:r>
        <w:rPr>
          <w:color w:val="auto"/>
          <w:sz w:val="24"/>
          <w:szCs w:val="24"/>
        </w:rPr>
        <w:t>2</w:t>
      </w:r>
      <w:r>
        <w:rPr>
          <w:rFonts w:hint="eastAsia"/>
          <w:color w:val="auto"/>
          <w:sz w:val="24"/>
          <w:szCs w:val="24"/>
        </w:rPr>
        <w:t>、无论供应商踏勘与否，均视供应商已知晓本项目经营现场的全部内容并知晓相关风险。踏勘费用、安全等由供应商自行负责。</w:t>
      </w:r>
    </w:p>
    <w:p w14:paraId="38897E26">
      <w:pPr>
        <w:pStyle w:val="3"/>
        <w:spacing w:line="400" w:lineRule="exact"/>
        <w:rPr>
          <w:b w:val="0"/>
          <w:color w:val="auto"/>
        </w:rPr>
      </w:pPr>
      <w:bookmarkStart w:id="85" w:name="_Toc29640"/>
      <w:bookmarkStart w:id="86" w:name="_Toc186919401"/>
      <w:bookmarkStart w:id="87" w:name="_Toc29853"/>
      <w:bookmarkStart w:id="88" w:name="_Toc41457499"/>
      <w:bookmarkStart w:id="89" w:name="_Toc42780317"/>
      <w:bookmarkStart w:id="90" w:name="_Toc41986737"/>
      <w:bookmarkStart w:id="91" w:name="_Toc17759"/>
      <w:r>
        <w:rPr>
          <w:rFonts w:hint="eastAsia"/>
          <w:b w:val="0"/>
          <w:color w:val="auto"/>
        </w:rPr>
        <w:t>十、其他</w:t>
      </w:r>
      <w:bookmarkEnd w:id="85"/>
      <w:bookmarkEnd w:id="86"/>
      <w:bookmarkEnd w:id="87"/>
      <w:bookmarkEnd w:id="88"/>
      <w:bookmarkEnd w:id="89"/>
      <w:bookmarkEnd w:id="90"/>
      <w:bookmarkEnd w:id="91"/>
    </w:p>
    <w:p w14:paraId="7C5C44EF">
      <w:pPr>
        <w:spacing w:line="400" w:lineRule="exact"/>
        <w:ind w:firstLine="480" w:firstLineChars="200"/>
        <w:jc w:val="left"/>
        <w:rPr>
          <w:rFonts w:ascii="宋体" w:hAnsi="宋体" w:cs="宋体"/>
          <w:color w:val="auto"/>
          <w:sz w:val="24"/>
          <w:szCs w:val="24"/>
        </w:rPr>
      </w:pPr>
    </w:p>
    <w:p w14:paraId="51EB0709">
      <w:pPr>
        <w:spacing w:line="400" w:lineRule="exact"/>
        <w:ind w:firstLine="480" w:firstLineChars="200"/>
        <w:jc w:val="left"/>
        <w:rPr>
          <w:rFonts w:ascii="宋体" w:hAnsi="宋体" w:cs="宋体"/>
          <w:color w:val="auto"/>
          <w:sz w:val="24"/>
          <w:szCs w:val="24"/>
        </w:rPr>
      </w:pPr>
      <w:r>
        <w:rPr>
          <w:rFonts w:hint="eastAsia" w:ascii="宋体" w:hAnsi="宋体" w:cs="宋体"/>
          <w:color w:val="auto"/>
          <w:sz w:val="24"/>
          <w:szCs w:val="24"/>
        </w:rPr>
        <w:t>（一）供应商必须在投标文件中对以上条款明确列出承诺，承诺内容必须达到本篇及招标文件其他条款的要求。</w:t>
      </w:r>
    </w:p>
    <w:p w14:paraId="2EEDF92A">
      <w:pPr>
        <w:spacing w:line="400" w:lineRule="exact"/>
        <w:ind w:firstLine="480" w:firstLineChars="200"/>
        <w:jc w:val="left"/>
        <w:rPr>
          <w:rFonts w:ascii="宋体" w:hAnsi="宋体" w:cs="宋体"/>
          <w:color w:val="auto"/>
          <w:sz w:val="24"/>
          <w:szCs w:val="24"/>
        </w:rPr>
      </w:pPr>
      <w:r>
        <w:rPr>
          <w:rFonts w:hint="eastAsia" w:ascii="宋体" w:hAnsi="宋体" w:cs="宋体"/>
          <w:color w:val="auto"/>
          <w:sz w:val="24"/>
          <w:szCs w:val="24"/>
        </w:rPr>
        <w:t>（二）其他未尽事宜在采购合同中详细约定。</w:t>
      </w:r>
    </w:p>
    <w:p w14:paraId="1E9438AE">
      <w:pPr>
        <w:rPr>
          <w:rFonts w:ascii="宋体" w:hAnsi="宋体" w:cs="宋体"/>
          <w:color w:val="auto"/>
          <w:sz w:val="24"/>
          <w:szCs w:val="24"/>
        </w:rPr>
      </w:pPr>
      <w:r>
        <w:rPr>
          <w:rFonts w:ascii="宋体" w:hAnsi="宋体" w:cs="宋体"/>
          <w:color w:val="auto"/>
          <w:sz w:val="24"/>
          <w:szCs w:val="24"/>
        </w:rPr>
        <w:br w:type="page"/>
      </w:r>
    </w:p>
    <w:p w14:paraId="38F68BA0">
      <w:pPr>
        <w:pStyle w:val="2"/>
        <w:jc w:val="center"/>
        <w:rPr>
          <w:rFonts w:hAnsi="宋体" w:cs="宋体"/>
          <w:bCs/>
          <w:color w:val="auto"/>
          <w:sz w:val="32"/>
          <w:szCs w:val="32"/>
        </w:rPr>
      </w:pPr>
      <w:bookmarkStart w:id="92" w:name="_Toc29267"/>
      <w:r>
        <w:rPr>
          <w:rFonts w:hint="eastAsia"/>
          <w:bCs/>
          <w:color w:val="auto"/>
          <w:sz w:val="32"/>
          <w:szCs w:val="32"/>
        </w:rPr>
        <w:t>第三篇</w:t>
      </w:r>
      <w:r>
        <w:rPr>
          <w:bCs/>
          <w:color w:val="auto"/>
          <w:sz w:val="32"/>
          <w:szCs w:val="32"/>
        </w:rPr>
        <w:t xml:space="preserve">  </w:t>
      </w:r>
      <w:r>
        <w:rPr>
          <w:rFonts w:hint="eastAsia"/>
          <w:bCs/>
          <w:color w:val="auto"/>
          <w:sz w:val="32"/>
          <w:szCs w:val="32"/>
        </w:rPr>
        <w:t>采购商务需求</w:t>
      </w:r>
      <w:bookmarkEnd w:id="34"/>
      <w:bookmarkEnd w:id="35"/>
      <w:bookmarkEnd w:id="36"/>
      <w:bookmarkEnd w:id="37"/>
      <w:bookmarkEnd w:id="92"/>
    </w:p>
    <w:p w14:paraId="6717BF59">
      <w:pPr>
        <w:pStyle w:val="3"/>
        <w:spacing w:line="400" w:lineRule="exact"/>
        <w:rPr>
          <w:rFonts w:ascii="宋体" w:hAnsi="宋体" w:eastAsia="宋体" w:cs="宋体"/>
          <w:b w:val="0"/>
          <w:color w:val="auto"/>
          <w:szCs w:val="24"/>
        </w:rPr>
      </w:pPr>
      <w:bookmarkStart w:id="93" w:name="_Toc344475120"/>
      <w:bookmarkStart w:id="94" w:name="_Toc9710"/>
      <w:bookmarkStart w:id="95" w:name="_Toc8448"/>
      <w:r>
        <w:rPr>
          <w:rFonts w:hint="eastAsia"/>
          <w:b w:val="0"/>
          <w:color w:val="auto"/>
          <w:sz w:val="28"/>
          <w:szCs w:val="28"/>
        </w:rPr>
        <w:t>一、时间、地点要求，</w:t>
      </w:r>
      <w:bookmarkEnd w:id="93"/>
      <w:r>
        <w:rPr>
          <w:rFonts w:hint="eastAsia"/>
          <w:b w:val="0"/>
          <w:color w:val="auto"/>
          <w:sz w:val="28"/>
          <w:szCs w:val="28"/>
        </w:rPr>
        <w:t>人员要求及验收方式</w:t>
      </w:r>
      <w:bookmarkEnd w:id="94"/>
      <w:bookmarkEnd w:id="95"/>
    </w:p>
    <w:p w14:paraId="0206A9AC">
      <w:pPr>
        <w:ind w:firstLine="480"/>
        <w:jc w:val="left"/>
        <w:rPr>
          <w:rFonts w:ascii="宋体" w:hAnsi="宋体" w:cs="宋体"/>
          <w:color w:val="auto"/>
          <w:sz w:val="24"/>
          <w:szCs w:val="24"/>
        </w:rPr>
      </w:pPr>
      <w:r>
        <w:rPr>
          <w:rFonts w:hint="eastAsia" w:ascii="宋体" w:hAnsi="宋体" w:cs="宋体"/>
          <w:color w:val="auto"/>
          <w:sz w:val="24"/>
          <w:szCs w:val="24"/>
        </w:rPr>
        <w:t>（一）服务期：</w:t>
      </w:r>
      <w:r>
        <w:rPr>
          <w:rFonts w:ascii="宋体" w:hAnsi="宋体" w:cs="宋体"/>
          <w:color w:val="auto"/>
          <w:sz w:val="24"/>
          <w:szCs w:val="24"/>
          <w:u w:val="single"/>
        </w:rPr>
        <w:t>(发放成交通知之日)</w:t>
      </w:r>
      <w:r>
        <w:rPr>
          <w:rFonts w:hint="eastAsia" w:ascii="宋体" w:hAnsi="宋体" w:cs="宋体"/>
          <w:color w:val="auto"/>
          <w:sz w:val="24"/>
          <w:szCs w:val="24"/>
        </w:rPr>
        <w:t>至</w:t>
      </w:r>
      <w:r>
        <w:rPr>
          <w:rFonts w:ascii="宋体" w:hAnsi="宋体" w:cs="宋体"/>
          <w:color w:val="auto"/>
          <w:sz w:val="24"/>
          <w:szCs w:val="24"/>
        </w:rPr>
        <w:t xml:space="preserve">2030年7月10日。 </w:t>
      </w:r>
    </w:p>
    <w:p w14:paraId="58F5062E">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（二）服务地点：包</w:t>
      </w:r>
      <w:r>
        <w:rPr>
          <w:rFonts w:ascii="宋体" w:hAnsi="宋体" w:cs="宋体"/>
          <w:color w:val="auto"/>
          <w:sz w:val="24"/>
          <w:szCs w:val="24"/>
        </w:rPr>
        <w:t>1红河B区</w:t>
      </w:r>
      <w:r>
        <w:rPr>
          <w:rFonts w:hint="eastAsia" w:ascii="宋体" w:hAnsi="宋体" w:cs="宋体"/>
          <w:color w:val="auto"/>
          <w:sz w:val="24"/>
          <w:szCs w:val="24"/>
        </w:rPr>
        <w:t>知味楼一楼；包</w:t>
      </w:r>
      <w:r>
        <w:rPr>
          <w:rFonts w:ascii="宋体" w:hAnsi="宋体" w:cs="宋体"/>
          <w:color w:val="auto"/>
          <w:sz w:val="24"/>
          <w:szCs w:val="24"/>
        </w:rPr>
        <w:t>2红河B区知味楼二楼特色食堂（含二楼教工餐厅）和三楼接待餐厅；包3红河A</w:t>
      </w:r>
      <w:r>
        <w:rPr>
          <w:rFonts w:hint="eastAsia" w:ascii="宋体" w:hAnsi="宋体" w:cs="宋体"/>
          <w:color w:val="auto"/>
          <w:sz w:val="24"/>
          <w:szCs w:val="24"/>
        </w:rPr>
        <w:t>区知善楼一、二楼食堂；包</w:t>
      </w:r>
      <w:r>
        <w:rPr>
          <w:rFonts w:ascii="宋体" w:hAnsi="宋体" w:cs="宋体"/>
          <w:color w:val="auto"/>
          <w:sz w:val="24"/>
          <w:szCs w:val="24"/>
        </w:rPr>
        <w:t>4红河A校区三食堂（含教工餐厅）；包5星湖校区知和楼一、二楼食堂（含教工餐厅）及</w:t>
      </w:r>
      <w:r>
        <w:rPr>
          <w:rFonts w:hint="eastAsia" w:ascii="宋体" w:hAnsi="宋体" w:cs="宋体"/>
          <w:color w:val="auto"/>
          <w:sz w:val="24"/>
          <w:szCs w:val="24"/>
        </w:rPr>
        <w:t>学聚苑食堂；</w:t>
      </w:r>
    </w:p>
    <w:p w14:paraId="55F5AC26">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（三）验收方式：采购人依照成交商响应及合同执行情况进行现场验收。</w:t>
      </w:r>
    </w:p>
    <w:p w14:paraId="44656E7D">
      <w:pPr>
        <w:pStyle w:val="3"/>
        <w:spacing w:line="400" w:lineRule="exact"/>
        <w:rPr>
          <w:b w:val="0"/>
          <w:color w:val="auto"/>
          <w:sz w:val="28"/>
          <w:szCs w:val="28"/>
        </w:rPr>
      </w:pPr>
      <w:bookmarkStart w:id="96" w:name="_Toc344475121"/>
      <w:bookmarkStart w:id="97" w:name="_Toc23326"/>
      <w:bookmarkStart w:id="98" w:name="_Toc23951"/>
      <w:r>
        <w:rPr>
          <w:rFonts w:hint="eastAsia"/>
          <w:b w:val="0"/>
          <w:color w:val="auto"/>
          <w:sz w:val="28"/>
          <w:szCs w:val="28"/>
        </w:rPr>
        <w:t>二、</w:t>
      </w:r>
      <w:bookmarkEnd w:id="96"/>
      <w:r>
        <w:rPr>
          <w:rFonts w:hint="eastAsia"/>
          <w:b w:val="0"/>
          <w:color w:val="auto"/>
          <w:sz w:val="28"/>
          <w:szCs w:val="28"/>
        </w:rPr>
        <w:t>报价要求</w:t>
      </w:r>
      <w:bookmarkEnd w:id="97"/>
      <w:bookmarkEnd w:id="98"/>
    </w:p>
    <w:p w14:paraId="6EFF0134">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供应商应充分考察学校周边经营环境和校园整体规划布局、经营现状，充分了解所面临的风险及义务，综合考虑各种因素，结合自身实力自主报价。</w:t>
      </w:r>
    </w:p>
    <w:p w14:paraId="0B4AD6A8">
      <w:pPr>
        <w:spacing w:line="400" w:lineRule="exact"/>
        <w:ind w:firstLine="480" w:firstLineChars="200"/>
        <w:rPr>
          <w:rFonts w:ascii="宋体" w:hAnsi="宋体" w:cs="宋体"/>
          <w:bCs/>
          <w:color w:val="auto"/>
          <w:sz w:val="24"/>
          <w:szCs w:val="24"/>
        </w:rPr>
      </w:pPr>
      <w:r>
        <w:rPr>
          <w:rFonts w:hint="eastAsia" w:ascii="宋体" w:hAnsi="宋体" w:cs="宋体"/>
          <w:color w:val="auto"/>
          <w:sz w:val="24"/>
          <w:szCs w:val="24"/>
        </w:rPr>
        <w:t>本项目按营业收入的一定比例暂扣考核费，考核费报价为</w:t>
      </w:r>
      <w:r>
        <w:rPr>
          <w:rFonts w:ascii="宋体" w:hAnsi="宋体" w:cs="宋体"/>
          <w:color w:val="auto"/>
          <w:sz w:val="24"/>
          <w:szCs w:val="24"/>
        </w:rPr>
        <w:t>:按百分比报价</w:t>
      </w:r>
      <w:r>
        <w:rPr>
          <w:rFonts w:hint="eastAsia" w:ascii="宋体" w:hAnsi="宋体" w:cs="宋体"/>
          <w:bCs/>
          <w:color w:val="auto"/>
          <w:sz w:val="24"/>
          <w:szCs w:val="24"/>
        </w:rPr>
        <w:t>。</w:t>
      </w:r>
    </w:p>
    <w:p w14:paraId="66CADE24">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供应商报价仅是暂扣考核费，不包含成交商对其它用房、食堂经营环境改善投入及设备设施投入、使用、运行维护过程中所产生的人工费、材料费、税费、水电气费、垃圾清运费、网络费、维修维护等费用。</w:t>
      </w:r>
    </w:p>
    <w:p w14:paraId="1E4E0358">
      <w:pPr>
        <w:snapToGrid w:val="0"/>
        <w:spacing w:line="400" w:lineRule="exact"/>
        <w:ind w:firstLine="540"/>
        <w:rPr>
          <w:rFonts w:ascii="宋体" w:hAnsi="宋体" w:cs="宋体"/>
          <w:color w:val="auto"/>
          <w:sz w:val="24"/>
          <w:szCs w:val="24"/>
        </w:rPr>
      </w:pPr>
      <w:r>
        <w:rPr>
          <w:rFonts w:hint="eastAsia" w:ascii="宋体" w:hAnsi="宋体" w:cs="宋体"/>
          <w:color w:val="auto"/>
          <w:sz w:val="24"/>
          <w:szCs w:val="24"/>
        </w:rPr>
        <w:t>成交商对其它用房、食堂经营环境改善投入及设备设施投入、使用、运行维护过程中所产生的人工费、材料费、税费、水电气费、垃圾清运费、网络费、维修维护费等费用由成交商自行承担，采购人不作任何补偿。</w:t>
      </w:r>
    </w:p>
    <w:p w14:paraId="712B9BBE">
      <w:pPr>
        <w:pStyle w:val="3"/>
        <w:spacing w:line="400" w:lineRule="exact"/>
        <w:rPr>
          <w:b w:val="0"/>
          <w:color w:val="auto"/>
          <w:sz w:val="28"/>
          <w:szCs w:val="28"/>
        </w:rPr>
      </w:pPr>
      <w:bookmarkStart w:id="99" w:name="_Toc29430"/>
      <w:bookmarkStart w:id="100" w:name="_Toc21135"/>
      <w:bookmarkStart w:id="101" w:name="_Toc344475122"/>
      <w:r>
        <w:rPr>
          <w:rStyle w:val="67"/>
          <w:color w:val="auto"/>
        </w:rPr>
        <w:t>*</w:t>
      </w:r>
      <w:r>
        <w:rPr>
          <w:rFonts w:hint="eastAsia"/>
          <w:b w:val="0"/>
          <w:color w:val="auto"/>
          <w:sz w:val="28"/>
          <w:szCs w:val="28"/>
        </w:rPr>
        <w:t>三、履约保证金</w:t>
      </w:r>
      <w:bookmarkEnd w:id="99"/>
      <w:bookmarkEnd w:id="100"/>
    </w:p>
    <w:p w14:paraId="64664690">
      <w:pPr>
        <w:spacing w:line="400" w:lineRule="exact"/>
        <w:ind w:firstLine="480" w:firstLineChars="200"/>
        <w:jc w:val="left"/>
        <w:rPr>
          <w:rFonts w:ascii="宋体" w:hAnsi="宋体" w:cs="宋体"/>
          <w:color w:val="auto"/>
          <w:sz w:val="24"/>
          <w:szCs w:val="24"/>
        </w:rPr>
      </w:pPr>
      <w:r>
        <w:rPr>
          <w:rFonts w:hint="eastAsia" w:ascii="宋体" w:hAnsi="宋体" w:cs="宋体"/>
          <w:color w:val="auto"/>
          <w:sz w:val="24"/>
          <w:szCs w:val="24"/>
        </w:rPr>
        <w:t>本项目履约保证金：各包均为</w:t>
      </w:r>
      <w:r>
        <w:rPr>
          <w:rFonts w:ascii="宋体" w:hAnsi="宋体" w:cs="宋体"/>
          <w:bCs/>
          <w:color w:val="auto"/>
          <w:sz w:val="24"/>
          <w:szCs w:val="24"/>
        </w:rPr>
        <w:t>100万元人民币。</w:t>
      </w:r>
      <w:r>
        <w:rPr>
          <w:rFonts w:hint="eastAsia" w:ascii="宋体" w:hAnsi="宋体" w:cs="宋体"/>
          <w:color w:val="auto"/>
          <w:sz w:val="24"/>
          <w:szCs w:val="24"/>
        </w:rPr>
        <w:t>成交商在合同签订前必须向采购人缴纳。服务期内如有扣减，成交商必须随时补足履约保证金。合同服务期满结束后，成交商应保证房屋及设施设备、装修等完好，经营区内无生活垃圾、建筑垃圾和其它废弃物，成交商履行完合同义务且无遗留问题</w:t>
      </w:r>
      <w:r>
        <w:rPr>
          <w:rFonts w:ascii="宋体" w:hAnsi="宋体" w:cs="宋体"/>
          <w:color w:val="auto"/>
          <w:sz w:val="24"/>
          <w:szCs w:val="24"/>
        </w:rPr>
        <w:t>(如劳资纠纷、供货纠纷等)，经采购人验收合格并办理完书面移交手续后，采购人10日内无息退还履约保证金。</w:t>
      </w:r>
    </w:p>
    <w:p w14:paraId="63252BF3">
      <w:pPr>
        <w:spacing w:line="400" w:lineRule="exact"/>
        <w:ind w:firstLine="480" w:firstLineChars="200"/>
        <w:jc w:val="left"/>
        <w:rPr>
          <w:rFonts w:ascii="宋体" w:hAnsi="宋体" w:cs="宋体"/>
          <w:color w:val="auto"/>
          <w:sz w:val="24"/>
          <w:szCs w:val="24"/>
        </w:rPr>
      </w:pPr>
      <w:r>
        <w:rPr>
          <w:rFonts w:hint="eastAsia" w:ascii="宋体" w:hAnsi="宋体" w:cs="宋体"/>
          <w:color w:val="auto"/>
          <w:sz w:val="24"/>
          <w:szCs w:val="24"/>
        </w:rPr>
        <w:t>装修保证金：中标人在结果公告起5个工作日内向采购人缴纳10万元的环境改造保证金，以确保环境改造按期、按质进行，验收合格后无息退还。</w:t>
      </w:r>
    </w:p>
    <w:p w14:paraId="66FE794F">
      <w:pPr>
        <w:pStyle w:val="3"/>
        <w:spacing w:line="400" w:lineRule="exact"/>
        <w:rPr>
          <w:b w:val="0"/>
          <w:color w:val="auto"/>
          <w:sz w:val="28"/>
          <w:szCs w:val="28"/>
        </w:rPr>
      </w:pPr>
      <w:bookmarkStart w:id="102" w:name="_Toc16228"/>
      <w:bookmarkStart w:id="103" w:name="_Toc9785"/>
      <w:r>
        <w:rPr>
          <w:rStyle w:val="67"/>
          <w:color w:val="auto"/>
        </w:rPr>
        <w:t>*</w:t>
      </w:r>
      <w:r>
        <w:rPr>
          <w:rFonts w:hint="eastAsia"/>
          <w:b w:val="0"/>
          <w:color w:val="auto"/>
          <w:sz w:val="28"/>
          <w:szCs w:val="28"/>
        </w:rPr>
        <w:t>四、费用结算及支付</w:t>
      </w:r>
      <w:bookmarkEnd w:id="102"/>
      <w:bookmarkEnd w:id="103"/>
    </w:p>
    <w:bookmarkEnd w:id="101"/>
    <w:p w14:paraId="4947B710">
      <w:pPr>
        <w:tabs>
          <w:tab w:val="left" w:pos="0"/>
          <w:tab w:val="left" w:pos="312"/>
        </w:tabs>
        <w:spacing w:line="360" w:lineRule="exact"/>
        <w:ind w:firstLine="480" w:firstLineChars="200"/>
        <w:rPr>
          <w:rFonts w:ascii="宋体" w:hAnsi="宋体" w:cs="宋体"/>
          <w:color w:val="auto"/>
          <w:sz w:val="24"/>
          <w:szCs w:val="24"/>
        </w:rPr>
      </w:pPr>
      <w:r>
        <w:rPr>
          <w:rFonts w:hint="eastAsia" w:ascii="宋体" w:hAnsi="宋体" w:cs="宋体"/>
          <w:color w:val="auto"/>
          <w:sz w:val="24"/>
          <w:szCs w:val="24"/>
        </w:rPr>
        <w:t>（一）成交商自行承担建设运营期间所需的水电气费，按采购人所在地物价局水、电、气供给部门所公布的居民收费标准执行，由采购人在成交商营业款中直接扣除。</w:t>
      </w:r>
    </w:p>
    <w:p w14:paraId="722F4152">
      <w:pPr>
        <w:snapToGrid w:val="0"/>
        <w:spacing w:line="400" w:lineRule="exact"/>
        <w:ind w:firstLine="480" w:firstLineChars="200"/>
        <w:rPr>
          <w:rFonts w:ascii="宋体" w:hAnsi="宋体" w:cs="宋体"/>
          <w:bCs/>
          <w:color w:val="auto"/>
          <w:sz w:val="24"/>
          <w:szCs w:val="24"/>
          <w:u w:val="single"/>
        </w:rPr>
      </w:pPr>
      <w:r>
        <w:rPr>
          <w:rFonts w:hint="eastAsia" w:ascii="宋体" w:hAnsi="宋体" w:cs="宋体"/>
          <w:bCs/>
          <w:color w:val="auto"/>
          <w:sz w:val="24"/>
          <w:szCs w:val="24"/>
          <w:u w:val="single"/>
        </w:rPr>
        <w:t>（二）考核费（暂扣）：按成交商的中标报价，采购人在成交商每月的</w:t>
      </w:r>
      <w:r>
        <w:rPr>
          <w:rFonts w:hint="eastAsia" w:ascii="宋体" w:hAnsi="宋体" w:cs="宋体"/>
          <w:color w:val="auto"/>
          <w:sz w:val="24"/>
          <w:szCs w:val="24"/>
        </w:rPr>
        <w:t>一卡通</w:t>
      </w:r>
      <w:r>
        <w:rPr>
          <w:rFonts w:hint="eastAsia" w:ascii="宋体" w:hAnsi="宋体" w:cs="宋体"/>
          <w:bCs/>
          <w:color w:val="auto"/>
          <w:sz w:val="24"/>
          <w:szCs w:val="24"/>
          <w:u w:val="single"/>
        </w:rPr>
        <w:t>营业款中扣除。</w:t>
      </w:r>
    </w:p>
    <w:p w14:paraId="4ECB882A">
      <w:pPr>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（三）成交商应向采购人支付的物业费（含生活垃圾处置费）金额：成交商营业额</w:t>
      </w:r>
      <w:r>
        <w:rPr>
          <w:rFonts w:ascii="宋体" w:hAnsi="宋体" w:cs="宋体"/>
          <w:color w:val="auto"/>
          <w:sz w:val="24"/>
          <w:szCs w:val="24"/>
        </w:rPr>
        <w:t>*7‰。由采购人在成交商</w:t>
      </w:r>
      <w:r>
        <w:rPr>
          <w:rFonts w:hint="eastAsia" w:ascii="宋体" w:hAnsi="宋体" w:cs="宋体"/>
          <w:color w:val="auto"/>
          <w:sz w:val="24"/>
          <w:szCs w:val="24"/>
        </w:rPr>
        <w:t>一卡通营业款中直接扣除。</w:t>
      </w:r>
    </w:p>
    <w:p w14:paraId="2368094A">
      <w:pPr>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（四）成交商应向采购人支付一卡通使用维护费用金额：成交商营业额</w:t>
      </w:r>
      <w:r>
        <w:rPr>
          <w:rFonts w:ascii="宋体" w:hAnsi="宋体" w:cs="宋体"/>
          <w:color w:val="auto"/>
          <w:sz w:val="24"/>
          <w:szCs w:val="24"/>
        </w:rPr>
        <w:t>*3‰。由采购人在成交商</w:t>
      </w:r>
      <w:r>
        <w:rPr>
          <w:rFonts w:hint="eastAsia" w:ascii="宋体" w:hAnsi="宋体" w:cs="宋体"/>
          <w:color w:val="auto"/>
          <w:sz w:val="24"/>
          <w:szCs w:val="24"/>
        </w:rPr>
        <w:t>一卡通营业款中直接扣除。</w:t>
      </w:r>
    </w:p>
    <w:p w14:paraId="648A76DD">
      <w:pPr>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（五）成交商的报价和各种承诺作为与采购人的结算依据，据实结算。</w:t>
      </w:r>
    </w:p>
    <w:p w14:paraId="007C8E4E">
      <w:pPr>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（六）</w:t>
      </w:r>
      <w:r>
        <w:rPr>
          <w:rFonts w:hint="eastAsia" w:ascii="宋体" w:hAnsi="宋体" w:cs="宋体"/>
          <w:bCs/>
          <w:color w:val="auto"/>
          <w:sz w:val="24"/>
          <w:szCs w:val="24"/>
        </w:rPr>
        <w:t>成交商的营收款直接进入采购人的财务收费系统，与采购人实施月结制度（应扣除成交商应向采购人支付的水电气费、物业费（含生活垃圾处置费）和</w:t>
      </w:r>
      <w:r>
        <w:rPr>
          <w:rFonts w:hint="eastAsia" w:ascii="宋体" w:hAnsi="宋体" w:cs="宋体"/>
          <w:color w:val="auto"/>
          <w:sz w:val="24"/>
          <w:szCs w:val="24"/>
        </w:rPr>
        <w:t>其他应支付的费用），成交商申请支付第一次每月营业款前，</w:t>
      </w:r>
      <w:r>
        <w:rPr>
          <w:rFonts w:hint="eastAsia" w:ascii="宋体" w:hAnsi="宋体" w:cs="宋体"/>
          <w:color w:val="auto"/>
          <w:sz w:val="24"/>
          <w:szCs w:val="24"/>
          <w:lang w:val="zh-CN"/>
        </w:rPr>
        <w:t>必须提供有效的施工图（含技术审查报告）、消防技术检测报告、营业所需的所有有效手续、装修结算审核报告、验收报告（含人员配备及资质情况、现场改造情况、视频监控情况等本采购文件要求达到的内容）</w:t>
      </w:r>
      <w:r>
        <w:rPr>
          <w:rFonts w:hint="eastAsia" w:ascii="宋体" w:hAnsi="宋体" w:cs="宋体"/>
          <w:color w:val="auto"/>
          <w:sz w:val="24"/>
          <w:szCs w:val="24"/>
        </w:rPr>
        <w:t>及采购人每月营业款支付前成交商应支付的员工工资、保险、供货商货款和其他合作商款项等支付证明</w:t>
      </w:r>
      <w:r>
        <w:rPr>
          <w:rFonts w:hint="eastAsia" w:ascii="宋体" w:hAnsi="宋体" w:cs="宋体"/>
          <w:color w:val="auto"/>
          <w:sz w:val="24"/>
          <w:szCs w:val="24"/>
          <w:lang w:val="zh-CN"/>
        </w:rPr>
        <w:t>，</w:t>
      </w:r>
      <w:r>
        <w:rPr>
          <w:rFonts w:hint="eastAsia" w:ascii="宋体" w:hAnsi="宋体" w:cs="宋体"/>
          <w:color w:val="auto"/>
          <w:sz w:val="24"/>
          <w:szCs w:val="24"/>
          <w:u w:val="single"/>
        </w:rPr>
        <w:t>包</w:t>
      </w:r>
      <w:r>
        <w:rPr>
          <w:rFonts w:ascii="宋体" w:hAnsi="宋体" w:cs="宋体"/>
          <w:color w:val="auto"/>
          <w:sz w:val="24"/>
          <w:szCs w:val="24"/>
          <w:u w:val="single"/>
        </w:rPr>
        <w:t>4的</w:t>
      </w:r>
      <w:r>
        <w:rPr>
          <w:rFonts w:hint="eastAsia" w:ascii="宋体" w:hAnsi="宋体" w:cs="宋体"/>
          <w:color w:val="auto"/>
          <w:sz w:val="24"/>
          <w:szCs w:val="24"/>
          <w:u w:val="single"/>
        </w:rPr>
        <w:t>成交商还须提供大厅（隔层）和屋顶现有的钢架结构的专业性安全监测报告，</w:t>
      </w:r>
      <w:r>
        <w:rPr>
          <w:rFonts w:hint="eastAsia" w:ascii="宋体" w:hAnsi="宋体" w:cs="宋体"/>
          <w:color w:val="auto"/>
          <w:sz w:val="24"/>
          <w:szCs w:val="24"/>
        </w:rPr>
        <w:t>最后一次的营业款支付前除应提交员工工资、保险，供货商货款和其他合作商款项等支付证明外，还应在采购人和成交商办理完书面移交手续后</w:t>
      </w:r>
      <w:r>
        <w:rPr>
          <w:rFonts w:ascii="宋体" w:hAnsi="宋体" w:cs="宋体"/>
          <w:color w:val="auto"/>
          <w:sz w:val="24"/>
          <w:szCs w:val="24"/>
        </w:rPr>
        <w:t>10日内支付。</w:t>
      </w:r>
    </w:p>
    <w:p w14:paraId="24562C23">
      <w:pPr>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七）成交商当月的营业收入和其他相关费用结算。在下月初经成交商与学校财务等相关部门核对无误后，采购人按照其内部管理程序完成审批，学校财务部门按成交商营业收入扣除成交商应支付的费用的净额，由成交商开具票据后，采购人划转到成交商账户。如营业额不足以扣除取相应费用，成交商应及时自行到学校财务部门缴纳。</w:t>
      </w:r>
    </w:p>
    <w:p w14:paraId="271F0F98">
      <w:pPr>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八）采购人如发现成交商每月营业款支付前有应支未支的员工工资、保险、供货商货款和其他合作商款项的，发现一次，给予严重警告并补齐相关支付款项再发放营业款。情节严重者，采购人有权终止合同并扣发全部履约保证金。</w:t>
      </w:r>
    </w:p>
    <w:p w14:paraId="6614FFE1">
      <w:pPr>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（九）成交商自行申办高校服务的免税事宜，营业款涉及税务等有关责任由成交商自行承担。</w:t>
      </w:r>
    </w:p>
    <w:p w14:paraId="64EA35A2">
      <w:pPr>
        <w:pStyle w:val="3"/>
        <w:spacing w:line="400" w:lineRule="exact"/>
        <w:rPr>
          <w:b w:val="0"/>
          <w:color w:val="auto"/>
          <w:sz w:val="28"/>
          <w:szCs w:val="28"/>
        </w:rPr>
      </w:pPr>
      <w:bookmarkStart w:id="104" w:name="_Toc344475123"/>
      <w:bookmarkStart w:id="105" w:name="_Toc15151"/>
      <w:bookmarkStart w:id="106" w:name="_Toc12201"/>
      <w:r>
        <w:rPr>
          <w:rStyle w:val="67"/>
          <w:color w:val="auto"/>
        </w:rPr>
        <w:t>*</w:t>
      </w:r>
      <w:r>
        <w:rPr>
          <w:rFonts w:hint="eastAsia"/>
          <w:b w:val="0"/>
          <w:color w:val="auto"/>
          <w:sz w:val="28"/>
          <w:szCs w:val="28"/>
        </w:rPr>
        <w:t>五、知识产权</w:t>
      </w:r>
      <w:bookmarkEnd w:id="104"/>
      <w:bookmarkEnd w:id="105"/>
      <w:bookmarkEnd w:id="106"/>
    </w:p>
    <w:p w14:paraId="356312D2">
      <w:pPr>
        <w:snapToGrid w:val="0"/>
        <w:spacing w:line="400" w:lineRule="exact"/>
        <w:ind w:firstLine="540"/>
        <w:rPr>
          <w:rFonts w:ascii="宋体" w:hAnsi="宋体" w:cs="宋体"/>
          <w:color w:val="auto"/>
          <w:sz w:val="24"/>
          <w:szCs w:val="24"/>
        </w:rPr>
      </w:pPr>
      <w:r>
        <w:rPr>
          <w:rFonts w:hint="eastAsia" w:ascii="宋体" w:hAnsi="宋体" w:cs="宋体"/>
          <w:color w:val="auto"/>
          <w:sz w:val="24"/>
          <w:szCs w:val="24"/>
        </w:rPr>
        <w:t>采购人在中华人民共和国境内使用成交商提供的货物及服务时免受第三方提出的侵犯其专利权或其它知识产权的起诉。如果第三方提出侵权指控，成交商应承担由此而引起的一切法律责任和费用。</w:t>
      </w:r>
    </w:p>
    <w:p w14:paraId="460E0892">
      <w:pPr>
        <w:snapToGrid w:val="0"/>
        <w:spacing w:line="440" w:lineRule="exact"/>
        <w:ind w:firstLine="480"/>
        <w:rPr>
          <w:rFonts w:ascii="宋体" w:hAnsi="宋体" w:cs="宋体"/>
          <w:color w:val="auto"/>
          <w:sz w:val="24"/>
          <w:szCs w:val="24"/>
        </w:rPr>
      </w:pPr>
      <w:r>
        <w:rPr>
          <w:rFonts w:hint="eastAsia" w:ascii="宋体" w:hAnsi="宋体" w:cs="宋体"/>
          <w:color w:val="auto"/>
          <w:sz w:val="24"/>
          <w:szCs w:val="24"/>
        </w:rPr>
        <w:t>注：若项目涉及软件开发等服务类项目知识产权的，采购人享有永久免费使用权。</w:t>
      </w:r>
      <w:bookmarkStart w:id="107" w:name="_Toc29654183"/>
    </w:p>
    <w:p w14:paraId="2613E59F">
      <w:pPr>
        <w:pStyle w:val="3"/>
        <w:spacing w:line="400" w:lineRule="exact"/>
        <w:rPr>
          <w:b w:val="0"/>
          <w:color w:val="auto"/>
          <w:sz w:val="28"/>
          <w:szCs w:val="28"/>
        </w:rPr>
      </w:pPr>
      <w:bookmarkStart w:id="108" w:name="_Toc5279"/>
      <w:bookmarkStart w:id="109" w:name="_Toc27099"/>
      <w:r>
        <w:rPr>
          <w:rStyle w:val="67"/>
          <w:color w:val="auto"/>
        </w:rPr>
        <w:t>*</w:t>
      </w:r>
      <w:r>
        <w:rPr>
          <w:rFonts w:hint="eastAsia"/>
          <w:b w:val="0"/>
          <w:color w:val="auto"/>
          <w:sz w:val="28"/>
          <w:szCs w:val="28"/>
        </w:rPr>
        <w:t>六、退出机制</w:t>
      </w:r>
      <w:bookmarkEnd w:id="107"/>
      <w:bookmarkEnd w:id="108"/>
      <w:bookmarkEnd w:id="109"/>
      <w:r>
        <w:rPr>
          <w:b w:val="0"/>
          <w:color w:val="auto"/>
          <w:sz w:val="28"/>
          <w:szCs w:val="28"/>
        </w:rPr>
        <w:t xml:space="preserve"> </w:t>
      </w:r>
    </w:p>
    <w:p w14:paraId="3ADF9626">
      <w:pPr>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一）成交商必须严格履约，非法律规定或者自然灾害等不可抗力因素不得无故停止经营或退场，否则采购人有权不退还履约保证金。成交商确实有特殊原因需要提前解约，必须在学期结束的前一个月告知采购人，</w:t>
      </w:r>
      <w:r>
        <w:rPr>
          <w:rFonts w:ascii="宋体" w:hAnsi="宋体" w:cs="宋体"/>
          <w:color w:val="auto"/>
          <w:sz w:val="24"/>
          <w:szCs w:val="24"/>
        </w:rPr>
        <w:t>，经采购人批准后方可终止协议书。</w:t>
      </w:r>
    </w:p>
    <w:p w14:paraId="5E0E488F">
      <w:pPr>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（二）成交商退出时，须在</w:t>
      </w:r>
      <w:r>
        <w:rPr>
          <w:rFonts w:ascii="宋体" w:hAnsi="宋体" w:cs="宋体"/>
          <w:color w:val="auto"/>
          <w:sz w:val="24"/>
          <w:szCs w:val="24"/>
        </w:rPr>
        <w:t>3天内无条件完成撤场并完成所有移交工作，形成书面移交手续，</w:t>
      </w:r>
      <w:r>
        <w:rPr>
          <w:rFonts w:hint="eastAsia" w:ascii="宋体" w:hAnsi="宋体" w:cs="宋体"/>
          <w:color w:val="auto"/>
          <w:sz w:val="24"/>
          <w:szCs w:val="24"/>
        </w:rPr>
        <w:t>由成交商投资的装修及设备设施不得拆除和损坏，无偿交由采购人处置且采购人不作任何补偿。否则，采购人有权不退还全部履约保证金，并列入学校黑名单，并上报相关部分纳入失信名单，所有责任由成交商自负。</w:t>
      </w:r>
    </w:p>
    <w:p w14:paraId="146D39F5">
      <w:pPr>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（三）若成交商借故拖延移交时间，采购人有权不退还全部履约保证金；同时，超过协议期满</w:t>
      </w:r>
      <w:r>
        <w:rPr>
          <w:rFonts w:ascii="宋体" w:hAnsi="宋体" w:cs="宋体"/>
          <w:color w:val="auto"/>
          <w:sz w:val="24"/>
          <w:szCs w:val="24"/>
        </w:rPr>
        <w:t>3天后采购人认为</w:t>
      </w:r>
      <w:r>
        <w:rPr>
          <w:rFonts w:hint="eastAsia" w:ascii="宋体" w:hAnsi="宋体" w:cs="宋体"/>
          <w:color w:val="auto"/>
          <w:sz w:val="24"/>
          <w:szCs w:val="24"/>
        </w:rPr>
        <w:t>成交商已经进行了撤场处理，并视成交商经营场地里的所有物品为退还或转交给采购人的设施设备，或属于成交商废弃物，采购人有权以任何方式处置所有物品，责任由成交商自负，相关清理、处理费用由成交商负责，并从其最后一个月营业款中扣除。</w:t>
      </w:r>
    </w:p>
    <w:p w14:paraId="32019788">
      <w:pPr>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（四）对于成交商无偿使用的属于采购人的资产设备，成交商在撤场时未归还采购人或非正常</w:t>
      </w:r>
      <w:r>
        <w:rPr>
          <w:rFonts w:hint="eastAsia" w:ascii="宋体" w:hAnsi="宋体" w:cs="宋体"/>
          <w:color w:val="auto"/>
          <w:kern w:val="0"/>
          <w:sz w:val="24"/>
          <w:szCs w:val="24"/>
        </w:rPr>
        <w:t>损失的</w:t>
      </w:r>
      <w:r>
        <w:rPr>
          <w:rFonts w:hint="eastAsia" w:ascii="宋体" w:hAnsi="宋体" w:cs="宋体"/>
          <w:color w:val="auto"/>
          <w:sz w:val="24"/>
          <w:szCs w:val="24"/>
        </w:rPr>
        <w:t>，采购人有权从履约保证金或营业款中扣抵，具体设备设施清单详见双方确定后的移交清单。</w:t>
      </w:r>
    </w:p>
    <w:p w14:paraId="335AC6BF">
      <w:pPr>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（五）协议期内如成交商发生严重生产安全事故，或发生食品安全事故，或发生</w:t>
      </w:r>
      <w:r>
        <w:rPr>
          <w:rFonts w:hint="eastAsia" w:ascii="宋体" w:hAnsi="宋体" w:cs="宋体"/>
          <w:color w:val="auto"/>
          <w:kern w:val="0"/>
          <w:sz w:val="24"/>
          <w:szCs w:val="24"/>
        </w:rPr>
        <w:t>较大</w:t>
      </w:r>
      <w:r>
        <w:rPr>
          <w:rFonts w:hint="eastAsia" w:ascii="宋体" w:hAnsi="宋体" w:cs="宋体"/>
          <w:color w:val="auto"/>
          <w:sz w:val="24"/>
          <w:szCs w:val="24"/>
        </w:rPr>
        <w:t>消防安全事故，或和就餐者发生冲突造成严重后果，或楼层间经营关系紧张不能主动改善，或因伙食工作引起师生或成交商内部员工（或供应商以及其他合作方）群体不满意事件等（包括“违约责任”规定的终止协议书条款），</w:t>
      </w:r>
      <w:bookmarkStart w:id="110" w:name="OLE_LINK15"/>
      <w:bookmarkStart w:id="111" w:name="OLE_LINK16"/>
      <w:r>
        <w:rPr>
          <w:rFonts w:hint="eastAsia" w:ascii="宋体" w:hAnsi="宋体" w:cs="宋体"/>
          <w:color w:val="auto"/>
          <w:sz w:val="24"/>
          <w:szCs w:val="24"/>
        </w:rPr>
        <w:t>学校有权立即终止本协议，由此产生的一切经济和法律责任一律由成交商承担，且采购人有权不退还履约保证金</w:t>
      </w:r>
      <w:bookmarkEnd w:id="110"/>
      <w:bookmarkEnd w:id="111"/>
      <w:r>
        <w:rPr>
          <w:rFonts w:hint="eastAsia" w:ascii="宋体" w:hAnsi="宋体" w:cs="宋体"/>
          <w:color w:val="auto"/>
          <w:sz w:val="24"/>
          <w:szCs w:val="24"/>
        </w:rPr>
        <w:t>。</w:t>
      </w:r>
    </w:p>
    <w:p w14:paraId="05F5FA39">
      <w:pPr>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（六）成交商员工擅自通过线上、线下等方式发布与采购人有关的负面信息给采购人带来重大经济或名誉损失的，</w:t>
      </w:r>
      <w:bookmarkStart w:id="112" w:name="OLE_LINK19"/>
      <w:bookmarkStart w:id="113" w:name="OLE_LINK22"/>
      <w:r>
        <w:rPr>
          <w:rFonts w:hint="eastAsia" w:ascii="宋体" w:hAnsi="宋体" w:cs="宋体"/>
          <w:color w:val="auto"/>
          <w:sz w:val="24"/>
          <w:szCs w:val="24"/>
        </w:rPr>
        <w:t>采购人有权立即终止本协议，由此产生的一切经济和法律责任一律由成交商承担，且采购人有权不退还履约保证金。</w:t>
      </w:r>
    </w:p>
    <w:p w14:paraId="6278E716">
      <w:pPr>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七）成交商在经营期内，如被采购人、行政主管部门、行业主管部门提出安全整改要求拒不整改或多次整改不达标的，采购人有权终止本协议，由此产生的一切经济和法律责任一律由成交商承担，且采购人有权不退还履约保证金。</w:t>
      </w:r>
    </w:p>
    <w:p w14:paraId="472968F0">
      <w:pPr>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（八）采购人因机构调整，学校规划布局改变带来的校区人数发生变化等问题，由此带来的经营风险由成交商自行承担。</w:t>
      </w:r>
    </w:p>
    <w:bookmarkEnd w:id="112"/>
    <w:bookmarkEnd w:id="113"/>
    <w:p w14:paraId="766A4F21">
      <w:pPr>
        <w:pStyle w:val="22"/>
        <w:ind w:firstLine="480" w:firstLineChars="200"/>
        <w:rPr>
          <w:rFonts w:ascii="宋体" w:hAnsi="宋体" w:eastAsia="宋体" w:cs="宋体"/>
          <w:color w:val="auto"/>
          <w:sz w:val="24"/>
          <w:szCs w:val="24"/>
        </w:rPr>
      </w:pPr>
      <w:r>
        <w:rPr>
          <w:rFonts w:ascii="宋体" w:hAnsi="宋体" w:eastAsia="宋体" w:cs="宋体"/>
          <w:color w:val="auto"/>
          <w:sz w:val="24"/>
          <w:szCs w:val="24"/>
        </w:rPr>
        <w:t xml:space="preserve">(九) </w:t>
      </w:r>
      <w:r>
        <w:rPr>
          <w:rFonts w:hint="eastAsia" w:ascii="宋体" w:hAnsi="宋体" w:eastAsia="宋体" w:cs="宋体"/>
          <w:color w:val="auto"/>
          <w:sz w:val="24"/>
          <w:szCs w:val="24"/>
        </w:rPr>
        <w:t>法律、法规规定的其它解除合同的情形。</w:t>
      </w:r>
    </w:p>
    <w:p w14:paraId="04660EDC">
      <w:pPr>
        <w:pStyle w:val="3"/>
        <w:spacing w:line="400" w:lineRule="exact"/>
        <w:rPr>
          <w:b w:val="0"/>
          <w:color w:val="auto"/>
          <w:sz w:val="28"/>
          <w:szCs w:val="28"/>
        </w:rPr>
      </w:pPr>
      <w:bookmarkStart w:id="114" w:name="_Toc9926"/>
      <w:bookmarkStart w:id="115" w:name="_Toc17755"/>
      <w:bookmarkStart w:id="116" w:name="_Toc21810"/>
      <w:r>
        <w:rPr>
          <w:rStyle w:val="67"/>
          <w:color w:val="auto"/>
        </w:rPr>
        <w:t>*</w:t>
      </w:r>
      <w:r>
        <w:rPr>
          <w:rFonts w:hint="eastAsia"/>
          <w:b w:val="0"/>
          <w:color w:val="auto"/>
          <w:sz w:val="28"/>
          <w:szCs w:val="28"/>
        </w:rPr>
        <w:t>七、违约责任</w:t>
      </w:r>
      <w:bookmarkEnd w:id="114"/>
      <w:bookmarkEnd w:id="115"/>
      <w:bookmarkEnd w:id="116"/>
    </w:p>
    <w:p w14:paraId="1A390A17">
      <w:pPr>
        <w:snapToGrid w:val="0"/>
        <w:spacing w:line="400" w:lineRule="exact"/>
        <w:ind w:firstLine="540"/>
        <w:rPr>
          <w:rFonts w:ascii="宋体" w:hAnsi="宋体" w:cs="宋体"/>
          <w:color w:val="auto"/>
          <w:sz w:val="24"/>
          <w:szCs w:val="24"/>
        </w:rPr>
      </w:pPr>
      <w:r>
        <w:rPr>
          <w:rFonts w:hint="eastAsia" w:ascii="宋体" w:hAnsi="宋体" w:cs="宋体"/>
          <w:color w:val="auto"/>
          <w:sz w:val="24"/>
          <w:szCs w:val="24"/>
        </w:rPr>
        <w:t>（一）成交商提供的服务质量、服务标准不符合采购文件及合同要求的、或履约过程中有违约行为的，采购人保留追究由此给采购人造成损失责任的权力。</w:t>
      </w:r>
    </w:p>
    <w:p w14:paraId="5F60EA92">
      <w:pPr>
        <w:spacing w:line="400" w:lineRule="exact"/>
        <w:ind w:firstLine="480" w:firstLineChars="200"/>
        <w:jc w:val="left"/>
        <w:rPr>
          <w:rFonts w:ascii="宋体" w:hAnsi="宋体" w:cs="宋体"/>
          <w:color w:val="auto"/>
          <w:sz w:val="24"/>
          <w:szCs w:val="24"/>
        </w:rPr>
      </w:pPr>
      <w:r>
        <w:rPr>
          <w:rFonts w:hint="eastAsia" w:ascii="宋体" w:hAnsi="宋体" w:cs="宋体"/>
          <w:color w:val="auto"/>
          <w:sz w:val="24"/>
          <w:szCs w:val="24"/>
        </w:rPr>
        <w:t>（二）本项目一律为一卡通刷卡消费的方式结算，新增</w:t>
      </w:r>
      <w:r>
        <w:rPr>
          <w:rFonts w:hint="eastAsia" w:ascii="宋体" w:hAnsi="宋体" w:cs="宋体"/>
          <w:bCs/>
          <w:color w:val="auto"/>
          <w:sz w:val="24"/>
          <w:szCs w:val="24"/>
        </w:rPr>
        <w:t>校园一卡通设备购置和安装费由成交供应商承担，</w:t>
      </w:r>
      <w:r>
        <w:rPr>
          <w:rFonts w:hint="eastAsia" w:ascii="宋体" w:hAnsi="宋体" w:cs="宋体"/>
          <w:color w:val="auto"/>
          <w:sz w:val="24"/>
          <w:szCs w:val="24"/>
        </w:rPr>
        <w:t>不得以任何非一卡通方式进行交易，否则经查实后中标方向采购人每次支付违约金</w:t>
      </w:r>
      <w:r>
        <w:rPr>
          <w:rFonts w:ascii="宋体" w:hAnsi="宋体" w:cs="宋体"/>
          <w:color w:val="auto"/>
          <w:sz w:val="24"/>
          <w:szCs w:val="24"/>
        </w:rPr>
        <w:t>20000元，若当月发现三次以上（含本数）违规交易的情况，按当月营业额的20%支付违约金，一年累计发现5次及以上，采购人有权解除合同。</w:t>
      </w:r>
    </w:p>
    <w:p w14:paraId="688997C9">
      <w:pPr>
        <w:spacing w:line="400" w:lineRule="exact"/>
        <w:ind w:firstLine="480" w:firstLineChars="200"/>
        <w:jc w:val="left"/>
        <w:rPr>
          <w:rFonts w:ascii="宋体" w:hAnsi="宋体" w:cs="宋体"/>
          <w:color w:val="auto"/>
          <w:sz w:val="24"/>
          <w:szCs w:val="24"/>
        </w:rPr>
      </w:pPr>
      <w:r>
        <w:rPr>
          <w:rFonts w:hint="eastAsia" w:ascii="宋体" w:hAnsi="宋体" w:cs="宋体"/>
          <w:color w:val="auto"/>
          <w:sz w:val="24"/>
          <w:szCs w:val="24"/>
        </w:rPr>
        <w:t>（三）除不可抗力外或采购人书面同意外，成交商在经营过程中不得以任何理由擅自停止供餐，否则每次按每档口支付违约金</w:t>
      </w:r>
      <w:r>
        <w:rPr>
          <w:rFonts w:ascii="宋体" w:hAnsi="宋体" w:cs="宋体"/>
          <w:color w:val="auto"/>
          <w:sz w:val="24"/>
          <w:szCs w:val="24"/>
        </w:rPr>
        <w:t>20000</w:t>
      </w:r>
      <w:r>
        <w:rPr>
          <w:rFonts w:hint="eastAsia" w:ascii="宋体" w:hAnsi="宋体" w:cs="宋体"/>
          <w:color w:val="auto"/>
          <w:sz w:val="24"/>
          <w:szCs w:val="24"/>
        </w:rPr>
        <w:t>元。</w:t>
      </w:r>
    </w:p>
    <w:p w14:paraId="598BA300">
      <w:pPr>
        <w:spacing w:line="400" w:lineRule="exact"/>
        <w:ind w:firstLine="480" w:firstLineChars="200"/>
        <w:jc w:val="left"/>
        <w:rPr>
          <w:rFonts w:ascii="宋体" w:hAnsi="宋体" w:cs="宋体"/>
          <w:color w:val="auto"/>
          <w:sz w:val="24"/>
          <w:szCs w:val="24"/>
        </w:rPr>
      </w:pPr>
      <w:r>
        <w:rPr>
          <w:rFonts w:hint="eastAsia" w:ascii="宋体" w:hAnsi="宋体" w:cs="宋体"/>
          <w:color w:val="auto"/>
          <w:sz w:val="24"/>
          <w:szCs w:val="24"/>
        </w:rPr>
        <w:t>（四）若成交商擅自变更食品售价，则按每个品种支付违约金</w:t>
      </w:r>
      <w:r>
        <w:rPr>
          <w:rFonts w:ascii="宋体" w:hAnsi="宋体" w:cs="宋体"/>
          <w:color w:val="auto"/>
          <w:sz w:val="24"/>
          <w:szCs w:val="24"/>
        </w:rPr>
        <w:t>5000元/次。</w:t>
      </w:r>
    </w:p>
    <w:p w14:paraId="39CC7892">
      <w:pPr>
        <w:spacing w:line="400" w:lineRule="exact"/>
        <w:jc w:val="left"/>
        <w:rPr>
          <w:rFonts w:ascii="宋体" w:hAnsi="宋体" w:cs="宋体"/>
          <w:color w:val="auto"/>
          <w:sz w:val="24"/>
          <w:szCs w:val="24"/>
        </w:rPr>
      </w:pPr>
      <w:r>
        <w:rPr>
          <w:rFonts w:ascii="宋体" w:hAnsi="宋体" w:cs="宋体"/>
          <w:color w:val="auto"/>
          <w:sz w:val="24"/>
          <w:szCs w:val="24"/>
        </w:rPr>
        <w:t>（五）若</w:t>
      </w:r>
      <w:r>
        <w:rPr>
          <w:rFonts w:hint="eastAsia" w:ascii="宋体" w:hAnsi="宋体" w:cs="宋体"/>
          <w:color w:val="auto"/>
          <w:sz w:val="24"/>
          <w:szCs w:val="24"/>
        </w:rPr>
        <w:t>成交商采购转基因食材或外国进口类食材，则按每个食材品种支付违约金</w:t>
      </w:r>
      <w:r>
        <w:rPr>
          <w:rFonts w:ascii="宋体" w:hAnsi="宋体" w:cs="宋体"/>
          <w:color w:val="auto"/>
          <w:sz w:val="24"/>
          <w:szCs w:val="24"/>
        </w:rPr>
        <w:t>10000元/次。</w:t>
      </w:r>
    </w:p>
    <w:p w14:paraId="21078A0F">
      <w:pPr>
        <w:spacing w:line="400" w:lineRule="exact"/>
        <w:ind w:firstLine="480" w:firstLineChars="200"/>
        <w:jc w:val="left"/>
        <w:rPr>
          <w:rFonts w:ascii="宋体" w:hAnsi="宋体" w:cs="宋体"/>
          <w:color w:val="auto"/>
          <w:sz w:val="24"/>
          <w:szCs w:val="24"/>
        </w:rPr>
      </w:pPr>
      <w:r>
        <w:rPr>
          <w:rFonts w:hint="eastAsia" w:ascii="宋体" w:hAnsi="宋体" w:cs="宋体"/>
          <w:color w:val="auto"/>
          <w:sz w:val="24"/>
          <w:szCs w:val="24"/>
        </w:rPr>
        <w:t>（六）若发生师生有效投诉，视其情况支付违约金</w:t>
      </w:r>
      <w:r>
        <w:rPr>
          <w:rFonts w:ascii="宋体" w:hAnsi="宋体" w:cs="宋体"/>
          <w:color w:val="auto"/>
          <w:sz w:val="24"/>
          <w:szCs w:val="24"/>
        </w:rPr>
        <w:t>500元及以上/次。</w:t>
      </w:r>
    </w:p>
    <w:p w14:paraId="00516F5D">
      <w:pPr>
        <w:spacing w:line="400" w:lineRule="exact"/>
        <w:ind w:firstLine="480" w:firstLineChars="200"/>
        <w:jc w:val="left"/>
        <w:rPr>
          <w:rFonts w:ascii="宋体" w:hAnsi="宋体" w:cs="宋体"/>
          <w:color w:val="auto"/>
          <w:sz w:val="24"/>
          <w:szCs w:val="24"/>
        </w:rPr>
      </w:pPr>
      <w:r>
        <w:rPr>
          <w:rFonts w:hint="eastAsia" w:ascii="宋体" w:hAnsi="宋体" w:cs="宋体"/>
          <w:color w:val="auto"/>
          <w:sz w:val="24"/>
          <w:szCs w:val="24"/>
        </w:rPr>
        <w:t>（七）若发现各类食材存在食品安全隐患的，视其情况支付违约金</w:t>
      </w:r>
      <w:r>
        <w:rPr>
          <w:rFonts w:ascii="宋体" w:hAnsi="宋体" w:cs="宋体"/>
          <w:color w:val="auto"/>
          <w:sz w:val="24"/>
          <w:szCs w:val="24"/>
        </w:rPr>
        <w:t>5000元-10000元/</w:t>
      </w:r>
      <w:r>
        <w:rPr>
          <w:rFonts w:hint="eastAsia" w:ascii="宋体" w:hAnsi="宋体" w:cs="宋体"/>
          <w:color w:val="auto"/>
          <w:sz w:val="24"/>
          <w:szCs w:val="24"/>
        </w:rPr>
        <w:t>次。</w:t>
      </w:r>
    </w:p>
    <w:p w14:paraId="7932E2E9">
      <w:pPr>
        <w:spacing w:line="400" w:lineRule="exact"/>
        <w:ind w:firstLine="480" w:firstLineChars="200"/>
        <w:jc w:val="left"/>
        <w:rPr>
          <w:rFonts w:ascii="宋体" w:hAnsi="宋体" w:cs="宋体"/>
          <w:color w:val="auto"/>
          <w:sz w:val="24"/>
          <w:szCs w:val="24"/>
        </w:rPr>
      </w:pPr>
      <w:r>
        <w:rPr>
          <w:rFonts w:hint="eastAsia" w:ascii="宋体" w:hAnsi="宋体" w:cs="宋体"/>
          <w:color w:val="auto"/>
          <w:sz w:val="24"/>
          <w:szCs w:val="24"/>
        </w:rPr>
        <w:t>（八）若成交商不服从采购人管理，不及时按照采购人的要求及时进行整改的，每次支付违约金</w:t>
      </w:r>
      <w:r>
        <w:rPr>
          <w:rFonts w:ascii="宋体" w:hAnsi="宋体" w:cs="宋体"/>
          <w:color w:val="auto"/>
          <w:sz w:val="24"/>
          <w:szCs w:val="24"/>
        </w:rPr>
        <w:t>10000元至50000元。</w:t>
      </w:r>
    </w:p>
    <w:p w14:paraId="3FBA57BD">
      <w:pPr>
        <w:spacing w:line="400" w:lineRule="exact"/>
        <w:ind w:firstLine="480" w:firstLineChars="200"/>
        <w:jc w:val="left"/>
        <w:rPr>
          <w:rFonts w:ascii="宋体" w:hAnsi="宋体" w:cs="宋体"/>
          <w:color w:val="auto"/>
          <w:sz w:val="24"/>
          <w:szCs w:val="24"/>
        </w:rPr>
      </w:pPr>
      <w:r>
        <w:rPr>
          <w:rFonts w:hint="eastAsia" w:ascii="宋体" w:hAnsi="宋体" w:cs="宋体"/>
          <w:color w:val="auto"/>
          <w:sz w:val="24"/>
          <w:szCs w:val="24"/>
        </w:rPr>
        <w:t>（九）成交商在接受市场监督管理局等有关职能部门以及上级机关等各级各类检查时，给采购人造成不良影响的，视其情节每发生一次支付违约金</w:t>
      </w:r>
      <w:r>
        <w:rPr>
          <w:rFonts w:ascii="宋体" w:hAnsi="宋体" w:cs="宋体"/>
          <w:color w:val="auto"/>
          <w:sz w:val="24"/>
          <w:szCs w:val="24"/>
        </w:rPr>
        <w:t>2000元及</w:t>
      </w:r>
      <w:r>
        <w:rPr>
          <w:rFonts w:hint="eastAsia" w:ascii="宋体" w:hAnsi="宋体" w:cs="宋体"/>
          <w:color w:val="auto"/>
          <w:sz w:val="24"/>
          <w:szCs w:val="24"/>
        </w:rPr>
        <w:t>以上；成交商提供霉烂变质食物（包括库存中有过期或霉变货物）等，每发生一次支付违约金10000元。</w:t>
      </w:r>
    </w:p>
    <w:p w14:paraId="1B1C585F">
      <w:pPr>
        <w:snapToGrid w:val="0"/>
        <w:spacing w:line="400" w:lineRule="exact"/>
        <w:ind w:firstLine="540"/>
        <w:rPr>
          <w:rFonts w:ascii="宋体" w:hAnsi="宋体" w:cs="宋体"/>
          <w:color w:val="auto"/>
          <w:sz w:val="24"/>
          <w:szCs w:val="24"/>
        </w:rPr>
      </w:pPr>
      <w:r>
        <w:rPr>
          <w:rFonts w:hint="eastAsia" w:ascii="宋体" w:hAnsi="宋体" w:cs="宋体"/>
          <w:color w:val="auto"/>
          <w:sz w:val="24"/>
          <w:szCs w:val="24"/>
        </w:rPr>
        <w:t>（十）成交商在经营过程中发生投毒或食物中毒等食品安全事故、消防安全事故时，由成交商承担一切经济责任（包括采购人及采购人相关管理人员受到的经济处罚）和法律责任，情节严重者，采购人除不退还成交商履约保证金外，还应承担</w:t>
      </w:r>
      <w:r>
        <w:rPr>
          <w:rFonts w:ascii="宋体" w:hAnsi="宋体" w:cs="宋体"/>
          <w:color w:val="auto"/>
          <w:sz w:val="24"/>
          <w:szCs w:val="24"/>
        </w:rPr>
        <w:t>50000元/次的合同违约金，且采购人有权解除合同。</w:t>
      </w:r>
    </w:p>
    <w:p w14:paraId="5FF91838">
      <w:pPr>
        <w:snapToGrid w:val="0"/>
        <w:spacing w:line="400" w:lineRule="exact"/>
        <w:ind w:firstLine="540"/>
        <w:rPr>
          <w:rFonts w:ascii="宋体" w:hAnsi="宋体" w:cs="宋体"/>
          <w:color w:val="auto"/>
          <w:sz w:val="24"/>
          <w:szCs w:val="24"/>
        </w:rPr>
      </w:pPr>
      <w:r>
        <w:rPr>
          <w:rFonts w:hint="eastAsia" w:ascii="宋体" w:hAnsi="宋体" w:cs="宋体"/>
          <w:color w:val="auto"/>
          <w:sz w:val="24"/>
          <w:szCs w:val="24"/>
        </w:rPr>
        <w:t>（十一）合同期满或经营期内解除合同时，成交商逾期未撤离，由此造成的一切后果与损失由成交商承担。成交商在合同期内可以对食堂进行再次装修，其装修费用均由成交商自行承担，同时，成交商再次装修方案必须经采购人书面书面同意后方可进行，否则每次支付违约金</w:t>
      </w:r>
      <w:r>
        <w:rPr>
          <w:rFonts w:ascii="宋体" w:hAnsi="宋体" w:cs="宋体"/>
          <w:color w:val="auto"/>
          <w:sz w:val="24"/>
          <w:szCs w:val="24"/>
        </w:rPr>
        <w:t>50000元。</w:t>
      </w:r>
    </w:p>
    <w:p w14:paraId="3ACDB79D">
      <w:pPr>
        <w:snapToGrid w:val="0"/>
        <w:spacing w:line="400" w:lineRule="exact"/>
        <w:ind w:firstLine="540"/>
        <w:rPr>
          <w:rFonts w:ascii="宋体" w:hAnsi="宋体" w:cs="宋体"/>
          <w:color w:val="auto"/>
          <w:sz w:val="24"/>
          <w:szCs w:val="24"/>
        </w:rPr>
      </w:pPr>
      <w:r>
        <w:rPr>
          <w:rFonts w:hint="eastAsia" w:ascii="宋体" w:hAnsi="宋体" w:cs="宋体"/>
          <w:color w:val="auto"/>
          <w:sz w:val="24"/>
          <w:szCs w:val="24"/>
        </w:rPr>
        <w:t>（十二）成交商因饭菜质量、价格和卫生等问题造成学生集体上</w:t>
      </w:r>
      <w:r>
        <w:rPr>
          <w:rFonts w:hint="eastAsia" w:ascii="宋体" w:hAnsi="宋体" w:cs="宋体"/>
          <w:bCs/>
          <w:color w:val="auto"/>
          <w:sz w:val="24"/>
          <w:szCs w:val="24"/>
        </w:rPr>
        <w:t>访或</w:t>
      </w:r>
      <w:r>
        <w:rPr>
          <w:rFonts w:ascii="宋体" w:hAnsi="宋体" w:cs="宋体"/>
          <w:bCs/>
          <w:color w:val="auto"/>
          <w:sz w:val="24"/>
          <w:szCs w:val="24"/>
        </w:rPr>
        <w:t>10人及其以上</w:t>
      </w:r>
      <w:r>
        <w:rPr>
          <w:rFonts w:hint="eastAsia" w:ascii="宋体" w:hAnsi="宋体" w:cs="宋体"/>
          <w:color w:val="auto"/>
          <w:sz w:val="24"/>
          <w:szCs w:val="24"/>
        </w:rPr>
        <w:t>集体签名反映问题的，经检查、检测情况属实，则每次向采购人支付违约金</w:t>
      </w:r>
      <w:r>
        <w:rPr>
          <w:rFonts w:ascii="宋体" w:hAnsi="宋体" w:cs="宋体"/>
          <w:color w:val="auto"/>
          <w:sz w:val="24"/>
          <w:szCs w:val="24"/>
        </w:rPr>
        <w:t>50000元，情节严重者采购人有权不退还全部履约保证金直至解除委托经营合同。</w:t>
      </w:r>
    </w:p>
    <w:p w14:paraId="602CB932">
      <w:pPr>
        <w:snapToGrid w:val="0"/>
        <w:spacing w:line="400" w:lineRule="exact"/>
        <w:ind w:firstLine="540"/>
        <w:rPr>
          <w:rFonts w:ascii="宋体" w:hAnsi="宋体" w:cs="宋体"/>
          <w:color w:val="auto"/>
          <w:sz w:val="24"/>
          <w:szCs w:val="24"/>
        </w:rPr>
      </w:pPr>
      <w:r>
        <w:rPr>
          <w:rFonts w:hint="eastAsia" w:ascii="宋体" w:hAnsi="宋体" w:cs="宋体"/>
          <w:color w:val="auto"/>
          <w:sz w:val="24"/>
          <w:szCs w:val="24"/>
        </w:rPr>
        <w:t>（十三）成交商在合同期内如果没有向采购人进行书面申请并获得书面同意，而擅自关闭食堂的全部或部分经营窗口的，按每档口每关闭一餐支付违约金</w:t>
      </w:r>
      <w:r>
        <w:rPr>
          <w:rFonts w:ascii="宋体" w:hAnsi="宋体" w:cs="宋体"/>
          <w:color w:val="auto"/>
          <w:sz w:val="24"/>
          <w:szCs w:val="24"/>
        </w:rPr>
        <w:t>20000</w:t>
      </w:r>
      <w:r>
        <w:rPr>
          <w:rFonts w:hint="eastAsia" w:ascii="宋体" w:hAnsi="宋体" w:cs="宋体"/>
          <w:color w:val="auto"/>
          <w:sz w:val="24"/>
          <w:szCs w:val="24"/>
        </w:rPr>
        <w:t>元。情节严重者采购人有权解除合同，并且不承担任何违约责任。</w:t>
      </w:r>
    </w:p>
    <w:p w14:paraId="1AC7DD57">
      <w:pPr>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（十四）成交商采购、销售、库房中存放“三无”食品或商品、不合格品及过期食品或商品、销售腐烂、变质食品及水果，如经查实，每发现一次成交商向采购人支付违约金</w:t>
      </w:r>
      <w:r>
        <w:rPr>
          <w:rFonts w:ascii="宋体" w:hAnsi="宋体" w:cs="宋体"/>
          <w:color w:val="auto"/>
          <w:sz w:val="24"/>
          <w:szCs w:val="24"/>
        </w:rPr>
        <w:t>10000元。情节严重者，采购人有权扣除全部履约保证金并终止合同。</w:t>
      </w:r>
    </w:p>
    <w:p w14:paraId="665ED94A">
      <w:pPr>
        <w:snapToGrid w:val="0"/>
        <w:spacing w:line="400" w:lineRule="exact"/>
        <w:ind w:firstLine="540"/>
        <w:rPr>
          <w:rFonts w:ascii="宋体" w:hAnsi="宋体" w:cs="宋体"/>
          <w:color w:val="auto"/>
          <w:sz w:val="24"/>
          <w:szCs w:val="24"/>
        </w:rPr>
      </w:pPr>
      <w:r>
        <w:rPr>
          <w:rFonts w:hint="eastAsia" w:ascii="宋体" w:hAnsi="宋体" w:cs="宋体"/>
          <w:color w:val="auto"/>
          <w:sz w:val="24"/>
          <w:szCs w:val="24"/>
        </w:rPr>
        <w:t>（十五）成交商必须做好内部人员管理，包括安全和稳定的管理。</w:t>
      </w:r>
      <w:r>
        <w:rPr>
          <w:rFonts w:hint="eastAsia" w:ascii="宋体" w:hAnsi="宋体"/>
          <w:color w:val="auto"/>
          <w:sz w:val="24"/>
          <w:szCs w:val="24"/>
        </w:rPr>
        <w:t>若因成交商资金链接断裂、内部员工工伤、工资报酬、供货商、合作商、贷款等纠纷情况出现上访或投诉事件，一经查实，成交商每次向采购人支付违约金</w:t>
      </w:r>
      <w:r>
        <w:rPr>
          <w:rFonts w:ascii="宋体" w:hAnsi="宋体"/>
          <w:color w:val="auto"/>
          <w:sz w:val="24"/>
          <w:szCs w:val="24"/>
          <w:u w:val="single"/>
        </w:rPr>
        <w:t>500000元，</w:t>
      </w:r>
      <w:r>
        <w:rPr>
          <w:rFonts w:hint="eastAsia" w:ascii="宋体" w:hAnsi="宋体"/>
          <w:color w:val="auto"/>
          <w:sz w:val="24"/>
          <w:szCs w:val="24"/>
        </w:rPr>
        <w:t>造成重大不良影响的，采购人有权单方面解除合同，并不退还全部履约保证金。</w:t>
      </w:r>
    </w:p>
    <w:p w14:paraId="583A5AD6">
      <w:pPr>
        <w:snapToGrid w:val="0"/>
        <w:spacing w:line="400" w:lineRule="exact"/>
        <w:ind w:firstLine="540"/>
        <w:rPr>
          <w:rFonts w:ascii="宋体" w:hAnsi="宋体" w:cs="宋体"/>
          <w:color w:val="auto"/>
          <w:sz w:val="24"/>
          <w:szCs w:val="24"/>
        </w:rPr>
      </w:pPr>
      <w:r>
        <w:rPr>
          <w:rFonts w:hint="eastAsia" w:ascii="宋体" w:hAnsi="宋体" w:cs="宋体"/>
          <w:color w:val="auto"/>
          <w:sz w:val="24"/>
          <w:szCs w:val="24"/>
        </w:rPr>
        <w:t>（十六）成交商在合同期内提出提前解除合同的，放弃经营资格的，必须在学期结束的前一个月告知采购人，征得采购人书面同意后方可解除本合同，所有装修及设备设施必须完好无损且无偿归采购人处置，否则成交商必须承担违约责任,采购人不退还履约保证金。</w:t>
      </w:r>
    </w:p>
    <w:p w14:paraId="14684737">
      <w:pPr>
        <w:snapToGrid w:val="0"/>
        <w:spacing w:line="400" w:lineRule="exact"/>
        <w:ind w:firstLine="540"/>
        <w:rPr>
          <w:rFonts w:ascii="宋体" w:hAnsi="宋体" w:cs="宋体"/>
          <w:color w:val="auto"/>
          <w:sz w:val="24"/>
          <w:szCs w:val="24"/>
        </w:rPr>
      </w:pPr>
      <w:r>
        <w:rPr>
          <w:rFonts w:hint="eastAsia" w:ascii="宋体" w:hAnsi="宋体" w:cs="宋体"/>
          <w:color w:val="auto"/>
          <w:sz w:val="24"/>
          <w:szCs w:val="24"/>
        </w:rPr>
        <w:t>（十七）成交商在合同期内，存在违法行为或者较为严重的违规等行为，不再适宜继续经营的，采购人有权单方提前解除本合同，不用承担任何责任。</w:t>
      </w:r>
    </w:p>
    <w:p w14:paraId="36A3294D">
      <w:pPr>
        <w:snapToGrid w:val="0"/>
        <w:spacing w:line="400" w:lineRule="exact"/>
        <w:ind w:firstLine="540"/>
        <w:rPr>
          <w:rFonts w:ascii="宋体" w:hAnsi="宋体" w:cs="宋体"/>
          <w:color w:val="auto"/>
          <w:sz w:val="24"/>
          <w:szCs w:val="24"/>
          <w:u w:val="single"/>
        </w:rPr>
      </w:pPr>
      <w:r>
        <w:rPr>
          <w:rFonts w:hint="eastAsia" w:ascii="宋体" w:hAnsi="宋体" w:cs="宋体"/>
          <w:color w:val="auto"/>
          <w:sz w:val="24"/>
          <w:szCs w:val="24"/>
        </w:rPr>
        <w:t>（十八）</w:t>
      </w:r>
      <w:r>
        <w:rPr>
          <w:rFonts w:hint="eastAsia" w:ascii="宋体" w:hAnsi="宋体" w:cs="宋体"/>
          <w:color w:val="auto"/>
          <w:sz w:val="24"/>
          <w:szCs w:val="24"/>
          <w:u w:val="single"/>
        </w:rPr>
        <w:t>成交商在投标时所有的承诺必须按照采购人的要求及时兑现，未能及时兑现的视为违约，采购人将对成交商扣罚违约金</w:t>
      </w:r>
      <w:r>
        <w:rPr>
          <w:rFonts w:ascii="宋体" w:hAnsi="宋体" w:cs="宋体"/>
          <w:color w:val="auto"/>
          <w:sz w:val="24"/>
          <w:szCs w:val="24"/>
          <w:u w:val="single"/>
        </w:rPr>
        <w:t>10万-50万元每项。情节严重者，采购人有权扣除全部履约保证金并终止合同。</w:t>
      </w:r>
    </w:p>
    <w:p w14:paraId="3F271026">
      <w:pPr>
        <w:pStyle w:val="3"/>
        <w:spacing w:line="400" w:lineRule="exact"/>
        <w:rPr>
          <w:b w:val="0"/>
          <w:color w:val="auto"/>
          <w:sz w:val="28"/>
          <w:szCs w:val="28"/>
        </w:rPr>
      </w:pPr>
      <w:bookmarkStart w:id="117" w:name="_Toc30032"/>
      <w:bookmarkStart w:id="118" w:name="_Toc7837"/>
      <w:bookmarkStart w:id="119" w:name="_Toc29951"/>
      <w:r>
        <w:rPr>
          <w:rFonts w:hint="eastAsia"/>
          <w:b w:val="0"/>
          <w:color w:val="auto"/>
          <w:sz w:val="28"/>
          <w:szCs w:val="28"/>
        </w:rPr>
        <w:t>八、保密</w:t>
      </w:r>
      <w:bookmarkEnd w:id="117"/>
      <w:bookmarkEnd w:id="118"/>
      <w:bookmarkEnd w:id="119"/>
    </w:p>
    <w:p w14:paraId="59AEED4D">
      <w:pPr>
        <w:snapToGrid w:val="0"/>
        <w:spacing w:line="400" w:lineRule="exact"/>
        <w:ind w:firstLine="540"/>
        <w:rPr>
          <w:rFonts w:ascii="宋体" w:hAnsi="宋体" w:cs="宋体"/>
          <w:color w:val="auto"/>
          <w:sz w:val="24"/>
          <w:szCs w:val="24"/>
        </w:rPr>
      </w:pPr>
      <w:r>
        <w:rPr>
          <w:rFonts w:hint="eastAsia" w:ascii="宋体" w:hAnsi="宋体" w:cs="宋体"/>
          <w:color w:val="auto"/>
          <w:sz w:val="24"/>
          <w:szCs w:val="24"/>
        </w:rPr>
        <w:t>成交商必须对采购人所涉及的用户工作秘密、业务需求、协议等内容和相关事务保密。并严格遵守保密法规和采购人工作要求，成交商若违反以上条款，采购人有权单方面解除合同并不予退还履约保证金，同时保留追究由此给采购人造成损失责任的权利。</w:t>
      </w:r>
    </w:p>
    <w:p w14:paraId="6E112574">
      <w:pPr>
        <w:pStyle w:val="3"/>
        <w:spacing w:line="400" w:lineRule="exact"/>
        <w:rPr>
          <w:b w:val="0"/>
          <w:color w:val="auto"/>
          <w:sz w:val="28"/>
          <w:szCs w:val="28"/>
        </w:rPr>
      </w:pPr>
      <w:bookmarkStart w:id="120" w:name="_Toc344475124"/>
      <w:bookmarkStart w:id="121" w:name="_Toc20259"/>
      <w:bookmarkStart w:id="122" w:name="_Toc17323"/>
      <w:r>
        <w:rPr>
          <w:rFonts w:hint="eastAsia"/>
          <w:b w:val="0"/>
          <w:color w:val="auto"/>
          <w:sz w:val="28"/>
          <w:szCs w:val="28"/>
        </w:rPr>
        <w:t>九、</w:t>
      </w:r>
      <w:bookmarkEnd w:id="120"/>
      <w:bookmarkStart w:id="123" w:name="_Toc344475125"/>
      <w:r>
        <w:rPr>
          <w:rFonts w:hint="eastAsia"/>
          <w:b w:val="0"/>
          <w:color w:val="auto"/>
          <w:sz w:val="28"/>
          <w:szCs w:val="28"/>
        </w:rPr>
        <w:t>风险提示</w:t>
      </w:r>
      <w:bookmarkEnd w:id="121"/>
      <w:bookmarkEnd w:id="122"/>
    </w:p>
    <w:bookmarkEnd w:id="123"/>
    <w:p w14:paraId="139C8ABF">
      <w:pPr>
        <w:snapToGrid w:val="0"/>
        <w:spacing w:line="400" w:lineRule="exact"/>
        <w:ind w:firstLine="540"/>
        <w:rPr>
          <w:rFonts w:ascii="宋体" w:hAnsi="宋体" w:cs="宋体"/>
          <w:color w:val="auto"/>
          <w:sz w:val="24"/>
          <w:szCs w:val="24"/>
        </w:rPr>
      </w:pPr>
      <w:r>
        <w:rPr>
          <w:rFonts w:hint="eastAsia" w:ascii="宋体" w:hAnsi="宋体" w:cs="宋体"/>
          <w:color w:val="auto"/>
          <w:sz w:val="24"/>
          <w:szCs w:val="24"/>
        </w:rPr>
        <w:t>（一）成交商在经营中无论盈亏不得减少合同约定的应缴纳的费用，并不得降低合同约定的服务品质。</w:t>
      </w:r>
    </w:p>
    <w:p w14:paraId="016A8E6A">
      <w:pPr>
        <w:snapToGrid w:val="0"/>
        <w:spacing w:line="400" w:lineRule="exact"/>
        <w:ind w:firstLine="540"/>
        <w:rPr>
          <w:rFonts w:ascii="宋体" w:hAnsi="宋体" w:cs="宋体"/>
          <w:color w:val="auto"/>
          <w:sz w:val="24"/>
          <w:szCs w:val="24"/>
        </w:rPr>
      </w:pPr>
      <w:r>
        <w:rPr>
          <w:rFonts w:hint="eastAsia" w:ascii="宋体" w:hAnsi="宋体" w:cs="宋体"/>
          <w:color w:val="auto"/>
          <w:sz w:val="24"/>
          <w:szCs w:val="24"/>
        </w:rPr>
        <w:t>（二）本项目因教育主管部门或学校建设、校区发展需要等政策因素规定须提前解除合同或终止部分食堂委托经营的，采购人提前</w:t>
      </w:r>
      <w:r>
        <w:rPr>
          <w:rFonts w:ascii="宋体" w:hAnsi="宋体" w:cs="宋体"/>
          <w:color w:val="auto"/>
          <w:sz w:val="24"/>
          <w:szCs w:val="24"/>
        </w:rPr>
        <w:t>30天通知成交商，</w:t>
      </w:r>
      <w:r>
        <w:rPr>
          <w:rFonts w:hint="eastAsia" w:ascii="宋体" w:hAnsi="宋体" w:cs="宋体"/>
          <w:color w:val="auto"/>
          <w:sz w:val="24"/>
          <w:szCs w:val="24"/>
        </w:rPr>
        <w:t>由成交商独立承担一切经济和法律责任，学校不承担任何责任。</w:t>
      </w:r>
    </w:p>
    <w:p w14:paraId="15B01B42">
      <w:pPr>
        <w:snapToGrid w:val="0"/>
        <w:spacing w:line="400" w:lineRule="exact"/>
        <w:ind w:firstLine="540"/>
        <w:rPr>
          <w:rFonts w:ascii="宋体" w:hAnsi="宋体" w:cs="宋体"/>
          <w:color w:val="auto"/>
          <w:sz w:val="24"/>
          <w:szCs w:val="24"/>
        </w:rPr>
      </w:pPr>
      <w:r>
        <w:rPr>
          <w:rFonts w:hint="eastAsia" w:ascii="宋体" w:hAnsi="宋体" w:cs="宋体"/>
          <w:color w:val="auto"/>
          <w:sz w:val="24"/>
          <w:szCs w:val="24"/>
        </w:rPr>
        <w:t>（三）本项目各食堂所在区域师生人数可能会因学校布局调整、招生计划调整等因素有所变化，供应商应自行承担相应风险。</w:t>
      </w:r>
    </w:p>
    <w:p w14:paraId="4805C73D">
      <w:pPr>
        <w:pStyle w:val="3"/>
        <w:spacing w:line="400" w:lineRule="exact"/>
        <w:rPr>
          <w:b w:val="0"/>
          <w:color w:val="auto"/>
          <w:sz w:val="28"/>
          <w:szCs w:val="28"/>
        </w:rPr>
      </w:pPr>
      <w:bookmarkStart w:id="124" w:name="_Toc19615"/>
      <w:bookmarkStart w:id="125" w:name="_Toc10665"/>
      <w:r>
        <w:rPr>
          <w:b w:val="0"/>
          <w:color w:val="auto"/>
          <w:sz w:val="28"/>
          <w:szCs w:val="28"/>
        </w:rPr>
        <w:t>*</w:t>
      </w:r>
      <w:r>
        <w:rPr>
          <w:rFonts w:hint="eastAsia"/>
          <w:b w:val="0"/>
          <w:color w:val="auto"/>
          <w:sz w:val="28"/>
          <w:szCs w:val="28"/>
        </w:rPr>
        <w:t>十、其他</w:t>
      </w:r>
      <w:bookmarkEnd w:id="124"/>
      <w:bookmarkEnd w:id="125"/>
    </w:p>
    <w:p w14:paraId="5DC37D1D">
      <w:pPr>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（一）项目过程中的一切人身、财产安全问题全部由成交商负责。</w:t>
      </w:r>
    </w:p>
    <w:p w14:paraId="3C978269">
      <w:pPr>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（二）供应商必须在投标文件中对以上条款和服务承诺明确列出，承诺内容必须达到本篇及招标文件其他条款的要求。</w:t>
      </w:r>
    </w:p>
    <w:p w14:paraId="668AF111">
      <w:pPr>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（三）其他未尽事宜在本文件第六篇采购合同中详细约定。</w:t>
      </w:r>
    </w:p>
    <w:p w14:paraId="5041D318">
      <w:pPr>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（四）食堂原有设备设施见移交清单。</w:t>
      </w:r>
    </w:p>
    <w:p w14:paraId="4747B6A2">
      <w:pPr>
        <w:snapToGrid w:val="0"/>
        <w:spacing w:line="400" w:lineRule="exact"/>
        <w:ind w:firstLine="480" w:firstLineChars="200"/>
        <w:rPr>
          <w:rFonts w:ascii="宋体" w:hAnsi="宋体" w:cs="宋体"/>
          <w:color w:val="auto"/>
          <w:sz w:val="24"/>
          <w:szCs w:val="24"/>
        </w:rPr>
      </w:pPr>
      <w:r>
        <w:rPr>
          <w:rFonts w:hint="eastAsia" w:ascii="宋体" w:hAnsi="宋体" w:eastAsia="宋体" w:cs="宋体"/>
          <w:color w:val="auto"/>
          <w:sz w:val="24"/>
          <w:szCs w:val="24"/>
        </w:rPr>
        <w:t>（五）同一供应商投标2个或3个包（最多不超过3个）的，须提供书面承诺函（承诺如果不止一个包成为排名第一的中标人，我方将按照包</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包</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包</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的先后顺序保留一个包），且各包书面承诺函必须一致。供应商投标1个包的无须提供此书面承诺函。</w:t>
      </w:r>
      <w:r>
        <w:rPr>
          <w:rFonts w:ascii="宋体" w:hAnsi="宋体" w:cs="宋体"/>
          <w:color w:val="auto"/>
          <w:sz w:val="24"/>
          <w:szCs w:val="24"/>
        </w:rPr>
        <w:br w:type="page"/>
      </w:r>
    </w:p>
    <w:p w14:paraId="1ED26011">
      <w:pPr>
        <w:snapToGrid w:val="0"/>
        <w:spacing w:line="400" w:lineRule="exact"/>
        <w:rPr>
          <w:rFonts w:ascii="宋体" w:hAnsi="宋体" w:cs="宋体"/>
          <w:color w:val="auto"/>
          <w:sz w:val="24"/>
          <w:szCs w:val="24"/>
        </w:rPr>
      </w:pPr>
    </w:p>
    <w:p w14:paraId="4D4177B2">
      <w:pPr>
        <w:pStyle w:val="3"/>
        <w:spacing w:before="0" w:after="0" w:line="360" w:lineRule="auto"/>
        <w:rPr>
          <w:rFonts w:ascii="宋体" w:hAnsi="宋体" w:eastAsia="宋体" w:cs="宋体"/>
          <w:b w:val="0"/>
          <w:color w:val="auto"/>
          <w:sz w:val="36"/>
          <w:szCs w:val="30"/>
        </w:rPr>
      </w:pPr>
      <w:bookmarkStart w:id="126" w:name="_Toc5600"/>
      <w:bookmarkStart w:id="127" w:name="_Toc12140"/>
      <w:bookmarkStart w:id="128" w:name="_Toc24951"/>
      <w:r>
        <w:rPr>
          <w:rFonts w:hint="eastAsia" w:ascii="宋体" w:hAnsi="宋体" w:eastAsia="宋体" w:cs="宋体"/>
          <w:b w:val="0"/>
          <w:color w:val="auto"/>
          <w:sz w:val="36"/>
          <w:szCs w:val="30"/>
        </w:rPr>
        <w:t>第四篇</w:t>
      </w:r>
      <w:r>
        <w:rPr>
          <w:rFonts w:ascii="宋体" w:hAnsi="宋体" w:eastAsia="宋体" w:cs="宋体"/>
          <w:b w:val="0"/>
          <w:color w:val="auto"/>
          <w:sz w:val="36"/>
          <w:szCs w:val="30"/>
        </w:rPr>
        <w:t xml:space="preserve">  </w:t>
      </w:r>
      <w:r>
        <w:rPr>
          <w:rFonts w:hint="eastAsia" w:ascii="宋体" w:hAnsi="宋体" w:eastAsia="宋体" w:cs="宋体"/>
          <w:b w:val="0"/>
          <w:color w:val="auto"/>
          <w:sz w:val="36"/>
          <w:szCs w:val="30"/>
        </w:rPr>
        <w:t>磋商程序及方法、评审标准、无效响应和采购终止</w:t>
      </w:r>
      <w:bookmarkEnd w:id="126"/>
      <w:bookmarkEnd w:id="127"/>
      <w:bookmarkEnd w:id="128"/>
    </w:p>
    <w:p w14:paraId="0FBEDF8D">
      <w:pPr>
        <w:pStyle w:val="4"/>
        <w:spacing w:before="0" w:after="0" w:line="440" w:lineRule="exact"/>
        <w:rPr>
          <w:rFonts w:ascii="宋体" w:hAnsi="宋体" w:cs="宋体"/>
          <w:b w:val="0"/>
          <w:color w:val="auto"/>
          <w:sz w:val="24"/>
          <w:szCs w:val="24"/>
        </w:rPr>
      </w:pPr>
      <w:bookmarkStart w:id="129" w:name="_Toc3002"/>
      <w:bookmarkStart w:id="130" w:name="_Toc6009"/>
      <w:bookmarkStart w:id="131" w:name="_Toc18677"/>
      <w:r>
        <w:rPr>
          <w:rFonts w:hint="eastAsia" w:ascii="宋体" w:hAnsi="宋体" w:cs="宋体"/>
          <w:b w:val="0"/>
          <w:color w:val="auto"/>
          <w:sz w:val="24"/>
          <w:szCs w:val="24"/>
        </w:rPr>
        <w:t>一、磋商程序及方法</w:t>
      </w:r>
      <w:bookmarkEnd w:id="129"/>
      <w:bookmarkEnd w:id="130"/>
      <w:bookmarkEnd w:id="131"/>
    </w:p>
    <w:p w14:paraId="2BBCEDF0">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（一）磋商按竞争性磋商文件规定的时间和地点进行，供应商须有法定代表人或其授权代表参加并签到。竞争性磋商以抽签的形式确定磋商顺序，由本项目依法组建的磋商小组分别与各供应商进行磋商。</w:t>
      </w:r>
    </w:p>
    <w:p w14:paraId="1F8DCED2">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（二）磋商小组对各供应商的资格条件、响应文件的有效性、完整性和响应程度进行审查。各供应商只有在完全符合要求的前提下，才能参与正式磋商。</w:t>
      </w:r>
    </w:p>
    <w:p w14:paraId="306C2A54">
      <w:pPr>
        <w:snapToGrid w:val="0"/>
        <w:spacing w:line="400" w:lineRule="exact"/>
        <w:ind w:firstLine="480" w:firstLineChars="200"/>
        <w:rPr>
          <w:rFonts w:ascii="宋体" w:hAnsi="宋体" w:cs="宋体"/>
          <w:color w:val="auto"/>
          <w:kern w:val="0"/>
          <w:sz w:val="24"/>
          <w:szCs w:val="24"/>
        </w:rPr>
      </w:pPr>
      <w:r>
        <w:rPr>
          <w:rFonts w:ascii="宋体" w:hAnsi="宋体" w:cs="宋体"/>
          <w:color w:val="auto"/>
          <w:sz w:val="24"/>
          <w:szCs w:val="24"/>
        </w:rPr>
        <w:t>1.</w:t>
      </w:r>
      <w:r>
        <w:rPr>
          <w:rFonts w:hint="eastAsia" w:ascii="宋体" w:hAnsi="宋体" w:cs="宋体"/>
          <w:color w:val="auto"/>
          <w:kern w:val="0"/>
          <w:sz w:val="24"/>
          <w:szCs w:val="24"/>
        </w:rPr>
        <w:t>资格性检查。依据法律法规和竞争性磋商文件的规定，对响应文件中的资格证明、等进行审查，以确定供应商是否具备磋商资格。资格性检查资料表如下：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3118"/>
        <w:gridCol w:w="4984"/>
      </w:tblGrid>
      <w:tr w14:paraId="79CD7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3F1CCCE2">
            <w:pPr>
              <w:jc w:val="center"/>
              <w:rPr>
                <w:rFonts w:ascii="宋体" w:hAnsi="宋体" w:cs="宋体"/>
                <w:color w:val="auto"/>
                <w:kern w:val="0"/>
                <w:sz w:val="21"/>
                <w:szCs w:val="21"/>
              </w:rPr>
            </w:pPr>
            <w:r>
              <w:rPr>
                <w:rFonts w:hint="eastAsia" w:ascii="宋体" w:hAnsi="宋体" w:cs="宋体"/>
                <w:color w:val="auto"/>
                <w:kern w:val="0"/>
                <w:sz w:val="21"/>
                <w:szCs w:val="21"/>
              </w:rPr>
              <w:t>序号</w:t>
            </w:r>
          </w:p>
        </w:tc>
        <w:tc>
          <w:tcPr>
            <w:tcW w:w="3827" w:type="dxa"/>
            <w:gridSpan w:val="2"/>
            <w:tcBorders>
              <w:top w:val="single" w:color="auto" w:sz="4" w:space="0"/>
              <w:left w:val="single" w:color="auto" w:sz="4" w:space="0"/>
              <w:bottom w:val="single" w:color="auto" w:sz="4" w:space="0"/>
              <w:right w:val="single" w:color="auto" w:sz="4" w:space="0"/>
            </w:tcBorders>
            <w:vAlign w:val="center"/>
          </w:tcPr>
          <w:p w14:paraId="73F6B35B">
            <w:pPr>
              <w:jc w:val="center"/>
              <w:rPr>
                <w:rFonts w:ascii="宋体" w:hAnsi="宋体" w:cs="宋体"/>
                <w:color w:val="auto"/>
                <w:kern w:val="0"/>
                <w:sz w:val="21"/>
                <w:szCs w:val="21"/>
              </w:rPr>
            </w:pPr>
            <w:r>
              <w:rPr>
                <w:rFonts w:hint="eastAsia" w:ascii="宋体" w:hAnsi="宋体" w:cs="宋体"/>
                <w:color w:val="auto"/>
                <w:kern w:val="0"/>
                <w:sz w:val="21"/>
                <w:szCs w:val="21"/>
              </w:rPr>
              <w:t>检查因素</w:t>
            </w:r>
          </w:p>
        </w:tc>
        <w:tc>
          <w:tcPr>
            <w:tcW w:w="4984" w:type="dxa"/>
            <w:tcBorders>
              <w:top w:val="single" w:color="auto" w:sz="4" w:space="0"/>
              <w:left w:val="single" w:color="auto" w:sz="4" w:space="0"/>
              <w:bottom w:val="single" w:color="auto" w:sz="4" w:space="0"/>
              <w:right w:val="single" w:color="auto" w:sz="4" w:space="0"/>
            </w:tcBorders>
            <w:vAlign w:val="center"/>
          </w:tcPr>
          <w:p w14:paraId="5464B532">
            <w:pPr>
              <w:jc w:val="center"/>
              <w:rPr>
                <w:rFonts w:ascii="宋体" w:hAnsi="宋体" w:cs="宋体"/>
                <w:color w:val="auto"/>
                <w:kern w:val="0"/>
                <w:sz w:val="21"/>
                <w:szCs w:val="21"/>
              </w:rPr>
            </w:pPr>
            <w:r>
              <w:rPr>
                <w:rFonts w:hint="eastAsia" w:ascii="宋体" w:hAnsi="宋体" w:cs="宋体"/>
                <w:color w:val="auto"/>
                <w:kern w:val="0"/>
                <w:sz w:val="21"/>
                <w:szCs w:val="21"/>
              </w:rPr>
              <w:t>检查内容</w:t>
            </w:r>
          </w:p>
        </w:tc>
      </w:tr>
      <w:tr w14:paraId="0F079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14:paraId="47632E69">
            <w:pPr>
              <w:jc w:val="center"/>
              <w:rPr>
                <w:rFonts w:ascii="宋体" w:hAnsi="宋体" w:cs="宋体"/>
                <w:color w:val="auto"/>
                <w:sz w:val="21"/>
                <w:szCs w:val="21"/>
              </w:rPr>
            </w:pPr>
            <w:r>
              <w:rPr>
                <w:rFonts w:hint="eastAsia" w:ascii="宋体" w:hAnsi="宋体" w:cs="宋体"/>
                <w:color w:val="auto"/>
                <w:sz w:val="21"/>
                <w:szCs w:val="21"/>
              </w:rPr>
              <w:t>（一）</w:t>
            </w:r>
          </w:p>
        </w:tc>
        <w:tc>
          <w:tcPr>
            <w:tcW w:w="709" w:type="dxa"/>
            <w:vMerge w:val="restart"/>
            <w:vAlign w:val="center"/>
          </w:tcPr>
          <w:p w14:paraId="65A2B602">
            <w:pPr>
              <w:rPr>
                <w:rFonts w:ascii="宋体" w:hAnsi="宋体" w:cs="宋体"/>
                <w:color w:val="auto"/>
                <w:sz w:val="21"/>
                <w:szCs w:val="21"/>
                <w:lang w:val="zh-CN"/>
              </w:rPr>
            </w:pPr>
            <w:r>
              <w:rPr>
                <w:rFonts w:hint="eastAsia" w:ascii="宋体" w:hAnsi="宋体" w:cs="宋体"/>
                <w:color w:val="auto"/>
                <w:sz w:val="21"/>
                <w:szCs w:val="21"/>
                <w:lang w:val="zh-CN"/>
              </w:rPr>
              <w:t>《中华人民共和国政府采购法》第二十二条规定</w:t>
            </w:r>
          </w:p>
        </w:tc>
        <w:tc>
          <w:tcPr>
            <w:tcW w:w="3118" w:type="dxa"/>
            <w:vAlign w:val="center"/>
          </w:tcPr>
          <w:p w14:paraId="381DE877">
            <w:pPr>
              <w:rPr>
                <w:rFonts w:ascii="宋体" w:hAnsi="宋体" w:cs="宋体"/>
                <w:color w:val="auto"/>
                <w:sz w:val="21"/>
                <w:szCs w:val="21"/>
              </w:rPr>
            </w:pPr>
            <w:r>
              <w:rPr>
                <w:rFonts w:ascii="宋体" w:hAnsi="宋体" w:cs="宋体"/>
                <w:color w:val="auto"/>
                <w:sz w:val="21"/>
                <w:szCs w:val="21"/>
              </w:rPr>
              <w:t>1.具有独立承担民事责任的能力</w:t>
            </w:r>
          </w:p>
        </w:tc>
        <w:tc>
          <w:tcPr>
            <w:tcW w:w="4984" w:type="dxa"/>
            <w:vAlign w:val="center"/>
          </w:tcPr>
          <w:p w14:paraId="231FB00F">
            <w:pPr>
              <w:rPr>
                <w:rFonts w:ascii="宋体" w:hAnsi="宋体" w:cs="宋体"/>
                <w:color w:val="auto"/>
                <w:sz w:val="21"/>
                <w:szCs w:val="21"/>
              </w:rPr>
            </w:pPr>
            <w:r>
              <w:rPr>
                <w:rFonts w:ascii="宋体" w:hAnsi="宋体" w:cs="宋体"/>
                <w:color w:val="auto"/>
                <w:sz w:val="21"/>
                <w:szCs w:val="21"/>
              </w:rPr>
              <w:t xml:space="preserve">1.供应商法人营业执照（副本）或事业单位法人证书（副本）或个体工商户营业执照或有效的自然人身份证明或社会团体法人登记证书（提供复印件）。 </w:t>
            </w:r>
          </w:p>
          <w:p w14:paraId="5AA6ABC8">
            <w:pPr>
              <w:rPr>
                <w:rFonts w:ascii="宋体" w:hAnsi="宋体" w:cs="宋体"/>
                <w:color w:val="auto"/>
                <w:sz w:val="21"/>
                <w:szCs w:val="21"/>
              </w:rPr>
            </w:pPr>
            <w:r>
              <w:rPr>
                <w:rFonts w:ascii="宋体" w:hAnsi="宋体" w:cs="宋体"/>
                <w:color w:val="auto"/>
                <w:sz w:val="21"/>
                <w:szCs w:val="21"/>
              </w:rPr>
              <w:t>2.供应</w:t>
            </w:r>
            <w:r>
              <w:rPr>
                <w:rFonts w:hint="eastAsia" w:ascii="宋体" w:hAnsi="宋体" w:cs="宋体"/>
                <w:color w:val="auto"/>
                <w:sz w:val="21"/>
                <w:szCs w:val="21"/>
              </w:rPr>
              <w:t>商法定代表人身份证明和法定代表人授权代表委托书。</w:t>
            </w:r>
          </w:p>
        </w:tc>
      </w:tr>
      <w:tr w14:paraId="78BB0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0DA470E2">
            <w:pPr>
              <w:jc w:val="center"/>
              <w:rPr>
                <w:rFonts w:ascii="宋体" w:hAnsi="宋体" w:cs="宋体"/>
                <w:color w:val="auto"/>
                <w:sz w:val="21"/>
                <w:szCs w:val="21"/>
              </w:rPr>
            </w:pPr>
          </w:p>
        </w:tc>
        <w:tc>
          <w:tcPr>
            <w:tcW w:w="709" w:type="dxa"/>
            <w:vMerge w:val="continue"/>
            <w:vAlign w:val="center"/>
          </w:tcPr>
          <w:p w14:paraId="233D338B">
            <w:pPr>
              <w:rPr>
                <w:rFonts w:ascii="宋体" w:hAnsi="宋体" w:cs="宋体"/>
                <w:color w:val="auto"/>
                <w:sz w:val="21"/>
                <w:szCs w:val="21"/>
                <w:lang w:val="zh-CN"/>
              </w:rPr>
            </w:pPr>
          </w:p>
        </w:tc>
        <w:tc>
          <w:tcPr>
            <w:tcW w:w="3118" w:type="dxa"/>
            <w:vAlign w:val="center"/>
          </w:tcPr>
          <w:p w14:paraId="18040056">
            <w:pPr>
              <w:rPr>
                <w:rFonts w:ascii="宋体" w:hAnsi="宋体" w:cs="宋体"/>
                <w:color w:val="auto"/>
                <w:sz w:val="21"/>
                <w:szCs w:val="21"/>
              </w:rPr>
            </w:pPr>
            <w:r>
              <w:rPr>
                <w:rFonts w:ascii="宋体" w:hAnsi="宋体" w:cs="宋体"/>
                <w:color w:val="auto"/>
                <w:sz w:val="21"/>
                <w:szCs w:val="21"/>
                <w:lang w:val="zh-CN"/>
              </w:rPr>
              <w:t>2.</w:t>
            </w:r>
            <w:r>
              <w:rPr>
                <w:rFonts w:hint="eastAsia" w:ascii="宋体" w:hAnsi="宋体" w:cs="宋体"/>
                <w:color w:val="auto"/>
                <w:sz w:val="21"/>
                <w:szCs w:val="21"/>
              </w:rPr>
              <w:t>具有良好的商业信誉和健全的财务会计制度</w:t>
            </w:r>
          </w:p>
        </w:tc>
        <w:tc>
          <w:tcPr>
            <w:tcW w:w="4984" w:type="dxa"/>
            <w:vMerge w:val="restart"/>
            <w:vAlign w:val="center"/>
          </w:tcPr>
          <w:p w14:paraId="033B79D3">
            <w:pPr>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1.</w:t>
            </w:r>
            <w:r>
              <w:rPr>
                <w:rFonts w:hint="eastAsia" w:ascii="宋体" w:hAnsi="宋体" w:cs="宋体"/>
                <w:color w:val="auto"/>
                <w:sz w:val="21"/>
                <w:szCs w:val="21"/>
              </w:rPr>
              <w:t>供应商提供“诚信声明”（格式详见第六篇）</w:t>
            </w:r>
            <w:r>
              <w:rPr>
                <w:rFonts w:hint="eastAsia" w:ascii="宋体" w:hAnsi="宋体" w:cs="宋体"/>
                <w:color w:val="auto"/>
                <w:sz w:val="21"/>
                <w:szCs w:val="21"/>
                <w:lang w:eastAsia="zh-CN"/>
              </w:rPr>
              <w:t>；</w:t>
            </w:r>
          </w:p>
          <w:p w14:paraId="58D80875">
            <w:pPr>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2.</w:t>
            </w:r>
            <w:r>
              <w:rPr>
                <w:rFonts w:hint="eastAsia" w:ascii="宋体" w:hAnsi="宋体" w:cs="宋体"/>
                <w:color w:val="auto"/>
                <w:sz w:val="21"/>
                <w:szCs w:val="21"/>
              </w:rPr>
              <w:t>供应商提供上一年度资产负债表、利润表、现金流量表复印件，本年度新成立的公司提供投标截止时间前一个月的财务状况报告(资产负债表、利润表、现金流量表复印件)</w:t>
            </w:r>
            <w:r>
              <w:rPr>
                <w:rFonts w:hint="eastAsia" w:ascii="宋体" w:hAnsi="宋体" w:cs="宋体"/>
                <w:color w:val="auto"/>
                <w:sz w:val="21"/>
                <w:szCs w:val="21"/>
                <w:lang w:eastAsia="zh-CN"/>
              </w:rPr>
              <w:t>；</w:t>
            </w:r>
          </w:p>
          <w:p w14:paraId="4D47C250">
            <w:pPr>
              <w:rPr>
                <w:rFonts w:ascii="宋体" w:hAnsi="宋体" w:cs="宋体"/>
                <w:color w:val="auto"/>
                <w:sz w:val="21"/>
                <w:szCs w:val="21"/>
              </w:rPr>
            </w:pPr>
            <w:r>
              <w:rPr>
                <w:rFonts w:hint="eastAsia" w:ascii="宋体" w:hAnsi="宋体" w:cs="宋体"/>
                <w:color w:val="auto"/>
                <w:sz w:val="21"/>
                <w:szCs w:val="21"/>
                <w:lang w:val="en-US" w:eastAsia="zh-CN"/>
              </w:rPr>
              <w:t>3.</w:t>
            </w:r>
            <w:r>
              <w:rPr>
                <w:rFonts w:hint="eastAsia" w:ascii="宋体" w:hAnsi="宋体" w:cs="宋体"/>
                <w:color w:val="auto"/>
                <w:sz w:val="21"/>
                <w:szCs w:val="21"/>
                <w:lang w:eastAsia="zh-CN"/>
              </w:rPr>
              <w:t>缴纳税收的证明材料</w:t>
            </w:r>
            <w:r>
              <w:rPr>
                <w:rFonts w:hint="eastAsia" w:ascii="宋体" w:hAnsi="宋体" w:cs="宋体"/>
                <w:color w:val="auto"/>
                <w:sz w:val="21"/>
                <w:szCs w:val="21"/>
                <w:lang w:val="en-US" w:eastAsia="zh-CN"/>
              </w:rPr>
              <w:t>及</w:t>
            </w:r>
            <w:r>
              <w:rPr>
                <w:rFonts w:hint="eastAsia" w:ascii="宋体" w:hAnsi="宋体" w:cs="宋体"/>
                <w:color w:val="auto"/>
                <w:sz w:val="21"/>
                <w:szCs w:val="21"/>
                <w:lang w:eastAsia="zh-CN"/>
              </w:rPr>
              <w:t>信用中国网站(www.creditchina.gov.cn)“信用信息”(包括“失信被执行人”及“重大税收违法案件当事人名单”)及“行政处罚”查询结果以及中国政府采购网(wmw:ssgp. gov.m)“政府采购严重违法失信行为纪录名单”查询结果(上述两个网站查询结果网页打印件并加盖投标人公章)。查询结果为本项目采购公告发布之日起至投标截止时间前</w:t>
            </w:r>
            <w:r>
              <w:rPr>
                <w:rFonts w:hint="eastAsia" w:ascii="宋体" w:hAnsi="宋体" w:cs="宋体"/>
                <w:color w:val="auto"/>
                <w:sz w:val="21"/>
                <w:szCs w:val="21"/>
              </w:rPr>
              <w:t>。</w:t>
            </w:r>
          </w:p>
        </w:tc>
      </w:tr>
      <w:tr w14:paraId="27B7E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253C0CB9">
            <w:pPr>
              <w:jc w:val="center"/>
              <w:rPr>
                <w:rFonts w:ascii="宋体" w:hAnsi="宋体" w:cs="宋体"/>
                <w:color w:val="auto"/>
                <w:sz w:val="21"/>
                <w:szCs w:val="21"/>
              </w:rPr>
            </w:pPr>
          </w:p>
        </w:tc>
        <w:tc>
          <w:tcPr>
            <w:tcW w:w="709" w:type="dxa"/>
            <w:vMerge w:val="continue"/>
            <w:vAlign w:val="center"/>
          </w:tcPr>
          <w:p w14:paraId="6AE49708">
            <w:pPr>
              <w:rPr>
                <w:rFonts w:ascii="宋体" w:hAnsi="宋体" w:cs="宋体"/>
                <w:color w:val="auto"/>
                <w:sz w:val="21"/>
                <w:szCs w:val="21"/>
                <w:lang w:val="zh-CN"/>
              </w:rPr>
            </w:pPr>
          </w:p>
        </w:tc>
        <w:tc>
          <w:tcPr>
            <w:tcW w:w="3118" w:type="dxa"/>
            <w:vAlign w:val="center"/>
          </w:tcPr>
          <w:p w14:paraId="322ABDF3">
            <w:pPr>
              <w:rPr>
                <w:rFonts w:ascii="宋体" w:hAnsi="宋体" w:cs="宋体"/>
                <w:color w:val="auto"/>
                <w:sz w:val="21"/>
                <w:szCs w:val="21"/>
                <w:lang w:val="zh-CN"/>
              </w:rPr>
            </w:pPr>
            <w:r>
              <w:rPr>
                <w:rFonts w:ascii="宋体" w:hAnsi="宋体" w:cs="宋体"/>
                <w:color w:val="auto"/>
                <w:sz w:val="21"/>
                <w:szCs w:val="21"/>
                <w:lang w:val="zh-CN"/>
              </w:rPr>
              <w:t>3.具有履行合同所必需的设备和专业技术能力</w:t>
            </w:r>
          </w:p>
        </w:tc>
        <w:tc>
          <w:tcPr>
            <w:tcW w:w="4984" w:type="dxa"/>
            <w:vMerge w:val="continue"/>
            <w:vAlign w:val="center"/>
          </w:tcPr>
          <w:p w14:paraId="5891A130">
            <w:pPr>
              <w:rPr>
                <w:rFonts w:ascii="宋体" w:hAnsi="宋体" w:cs="宋体"/>
                <w:color w:val="auto"/>
                <w:sz w:val="21"/>
                <w:szCs w:val="21"/>
              </w:rPr>
            </w:pPr>
          </w:p>
        </w:tc>
      </w:tr>
      <w:tr w14:paraId="265EE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074CAD67">
            <w:pPr>
              <w:jc w:val="center"/>
              <w:rPr>
                <w:rFonts w:ascii="宋体" w:hAnsi="宋体" w:cs="宋体"/>
                <w:color w:val="auto"/>
                <w:sz w:val="21"/>
                <w:szCs w:val="21"/>
              </w:rPr>
            </w:pPr>
          </w:p>
        </w:tc>
        <w:tc>
          <w:tcPr>
            <w:tcW w:w="709" w:type="dxa"/>
            <w:vMerge w:val="continue"/>
            <w:vAlign w:val="center"/>
          </w:tcPr>
          <w:p w14:paraId="70280673">
            <w:pPr>
              <w:rPr>
                <w:rFonts w:ascii="宋体" w:hAnsi="宋体" w:cs="宋体"/>
                <w:color w:val="auto"/>
                <w:sz w:val="21"/>
                <w:szCs w:val="21"/>
                <w:lang w:val="zh-CN"/>
              </w:rPr>
            </w:pPr>
          </w:p>
        </w:tc>
        <w:tc>
          <w:tcPr>
            <w:tcW w:w="3118" w:type="dxa"/>
            <w:vAlign w:val="center"/>
          </w:tcPr>
          <w:p w14:paraId="06AED1BA">
            <w:pPr>
              <w:rPr>
                <w:rFonts w:ascii="宋体" w:hAnsi="宋体" w:cs="宋体"/>
                <w:color w:val="auto"/>
                <w:sz w:val="21"/>
                <w:szCs w:val="21"/>
                <w:lang w:val="zh-CN"/>
              </w:rPr>
            </w:pPr>
            <w:r>
              <w:rPr>
                <w:rFonts w:ascii="宋体" w:hAnsi="宋体" w:cs="宋体"/>
                <w:color w:val="auto"/>
                <w:sz w:val="21"/>
                <w:szCs w:val="21"/>
                <w:lang w:val="zh-CN"/>
              </w:rPr>
              <w:t>4.有依法缴纳税收和社会保障金的良好记录</w:t>
            </w:r>
          </w:p>
        </w:tc>
        <w:tc>
          <w:tcPr>
            <w:tcW w:w="4984" w:type="dxa"/>
            <w:vMerge w:val="continue"/>
            <w:vAlign w:val="center"/>
          </w:tcPr>
          <w:p w14:paraId="29B3A674">
            <w:pPr>
              <w:rPr>
                <w:rFonts w:ascii="宋体" w:hAnsi="宋体" w:cs="宋体"/>
                <w:color w:val="auto"/>
                <w:sz w:val="21"/>
                <w:szCs w:val="21"/>
              </w:rPr>
            </w:pPr>
          </w:p>
        </w:tc>
      </w:tr>
      <w:tr w14:paraId="78722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3883CA17">
            <w:pPr>
              <w:jc w:val="center"/>
              <w:rPr>
                <w:rFonts w:ascii="宋体" w:hAnsi="宋体" w:cs="宋体"/>
                <w:color w:val="auto"/>
                <w:sz w:val="21"/>
                <w:szCs w:val="21"/>
              </w:rPr>
            </w:pPr>
          </w:p>
        </w:tc>
        <w:tc>
          <w:tcPr>
            <w:tcW w:w="709" w:type="dxa"/>
            <w:vMerge w:val="continue"/>
            <w:vAlign w:val="center"/>
          </w:tcPr>
          <w:p w14:paraId="7FF0C2B1">
            <w:pPr>
              <w:rPr>
                <w:rFonts w:ascii="宋体" w:hAnsi="宋体" w:cs="宋体"/>
                <w:color w:val="auto"/>
                <w:sz w:val="21"/>
                <w:szCs w:val="21"/>
                <w:lang w:val="zh-CN"/>
              </w:rPr>
            </w:pPr>
          </w:p>
        </w:tc>
        <w:tc>
          <w:tcPr>
            <w:tcW w:w="3118" w:type="dxa"/>
            <w:vAlign w:val="center"/>
          </w:tcPr>
          <w:p w14:paraId="3059B815">
            <w:pPr>
              <w:rPr>
                <w:rFonts w:ascii="宋体" w:hAnsi="宋体" w:cs="宋体"/>
                <w:color w:val="auto"/>
                <w:sz w:val="21"/>
                <w:szCs w:val="21"/>
                <w:lang w:val="zh-CN"/>
              </w:rPr>
            </w:pPr>
            <w:r>
              <w:rPr>
                <w:rFonts w:ascii="宋体" w:hAnsi="宋体" w:cs="宋体"/>
                <w:color w:val="auto"/>
                <w:sz w:val="21"/>
                <w:szCs w:val="21"/>
              </w:rPr>
              <w:t>5.参加政府采购活动前三年内，在经营活动中没有重大违法记录</w:t>
            </w:r>
          </w:p>
        </w:tc>
        <w:tc>
          <w:tcPr>
            <w:tcW w:w="4984" w:type="dxa"/>
            <w:vMerge w:val="continue"/>
            <w:vAlign w:val="center"/>
          </w:tcPr>
          <w:p w14:paraId="311D22FA">
            <w:pPr>
              <w:rPr>
                <w:rFonts w:ascii="宋体" w:hAnsi="宋体" w:cs="宋体"/>
                <w:color w:val="auto"/>
                <w:sz w:val="21"/>
                <w:szCs w:val="21"/>
              </w:rPr>
            </w:pPr>
          </w:p>
        </w:tc>
      </w:tr>
      <w:tr w14:paraId="1AAC8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17" w:type="dxa"/>
            <w:vMerge w:val="continue"/>
            <w:vAlign w:val="center"/>
          </w:tcPr>
          <w:p w14:paraId="3CE09653">
            <w:pPr>
              <w:jc w:val="center"/>
              <w:rPr>
                <w:rFonts w:ascii="宋体" w:hAnsi="宋体" w:cs="宋体"/>
                <w:color w:val="auto"/>
                <w:sz w:val="21"/>
                <w:szCs w:val="21"/>
              </w:rPr>
            </w:pPr>
          </w:p>
        </w:tc>
        <w:tc>
          <w:tcPr>
            <w:tcW w:w="709" w:type="dxa"/>
            <w:vMerge w:val="continue"/>
            <w:vAlign w:val="center"/>
          </w:tcPr>
          <w:p w14:paraId="0A7F8DCA">
            <w:pPr>
              <w:rPr>
                <w:rFonts w:ascii="宋体" w:hAnsi="宋体" w:cs="宋体"/>
                <w:color w:val="auto"/>
                <w:sz w:val="21"/>
                <w:szCs w:val="21"/>
              </w:rPr>
            </w:pPr>
          </w:p>
        </w:tc>
        <w:tc>
          <w:tcPr>
            <w:tcW w:w="3118" w:type="dxa"/>
            <w:vAlign w:val="center"/>
          </w:tcPr>
          <w:p w14:paraId="616AFB52">
            <w:pPr>
              <w:rPr>
                <w:rFonts w:ascii="宋体" w:hAnsi="宋体" w:cs="宋体"/>
                <w:color w:val="auto"/>
                <w:sz w:val="21"/>
                <w:szCs w:val="21"/>
              </w:rPr>
            </w:pPr>
            <w:r>
              <w:rPr>
                <w:rFonts w:ascii="宋体" w:hAnsi="宋体" w:cs="宋体"/>
                <w:color w:val="auto"/>
                <w:sz w:val="21"/>
                <w:szCs w:val="21"/>
              </w:rPr>
              <w:t>6.法律、行政法规规定的其他条件</w:t>
            </w:r>
          </w:p>
        </w:tc>
        <w:tc>
          <w:tcPr>
            <w:tcW w:w="4984" w:type="dxa"/>
            <w:vAlign w:val="center"/>
          </w:tcPr>
          <w:p w14:paraId="67B1FA78">
            <w:pPr>
              <w:rPr>
                <w:rFonts w:ascii="宋体" w:hAnsi="宋体" w:cs="宋体"/>
                <w:color w:val="auto"/>
                <w:sz w:val="21"/>
                <w:szCs w:val="21"/>
              </w:rPr>
            </w:pPr>
          </w:p>
        </w:tc>
      </w:tr>
      <w:tr w14:paraId="610C5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17" w:type="dxa"/>
            <w:vMerge w:val="continue"/>
            <w:vAlign w:val="center"/>
          </w:tcPr>
          <w:p w14:paraId="2D546AF4">
            <w:pPr>
              <w:jc w:val="center"/>
              <w:rPr>
                <w:rFonts w:ascii="宋体" w:hAnsi="宋体" w:cs="宋体"/>
                <w:color w:val="auto"/>
                <w:sz w:val="21"/>
                <w:szCs w:val="21"/>
              </w:rPr>
            </w:pPr>
          </w:p>
        </w:tc>
        <w:tc>
          <w:tcPr>
            <w:tcW w:w="709" w:type="dxa"/>
            <w:vMerge w:val="continue"/>
            <w:vAlign w:val="center"/>
          </w:tcPr>
          <w:p w14:paraId="48399FAC">
            <w:pPr>
              <w:rPr>
                <w:rFonts w:ascii="宋体" w:hAnsi="宋体" w:cs="宋体"/>
                <w:color w:val="auto"/>
                <w:sz w:val="21"/>
                <w:szCs w:val="21"/>
              </w:rPr>
            </w:pPr>
          </w:p>
        </w:tc>
        <w:tc>
          <w:tcPr>
            <w:tcW w:w="3118" w:type="dxa"/>
            <w:vAlign w:val="center"/>
          </w:tcPr>
          <w:p w14:paraId="3D89928A">
            <w:pPr>
              <w:rPr>
                <w:rFonts w:ascii="宋体" w:hAnsi="宋体" w:cs="宋体"/>
                <w:color w:val="auto"/>
                <w:sz w:val="21"/>
                <w:szCs w:val="21"/>
              </w:rPr>
            </w:pPr>
            <w:r>
              <w:rPr>
                <w:rFonts w:ascii="宋体" w:hAnsi="宋体" w:cs="宋体"/>
                <w:color w:val="auto"/>
                <w:sz w:val="21"/>
                <w:szCs w:val="21"/>
              </w:rPr>
              <w:t>7.本项目的特定资格要求</w:t>
            </w:r>
          </w:p>
        </w:tc>
        <w:tc>
          <w:tcPr>
            <w:tcW w:w="4984" w:type="dxa"/>
            <w:vAlign w:val="center"/>
          </w:tcPr>
          <w:p w14:paraId="1FB06623">
            <w:pPr>
              <w:rPr>
                <w:rFonts w:ascii="宋体" w:hAnsi="宋体" w:cs="宋体"/>
                <w:color w:val="auto"/>
                <w:sz w:val="21"/>
                <w:szCs w:val="21"/>
              </w:rPr>
            </w:pPr>
            <w:r>
              <w:rPr>
                <w:rFonts w:hint="eastAsia" w:ascii="宋体" w:hAnsi="宋体" w:cs="宋体"/>
                <w:color w:val="auto"/>
                <w:sz w:val="21"/>
                <w:szCs w:val="21"/>
              </w:rPr>
              <w:t>按“第一篇三、供应商资格要求（三）本项目的特定资格要求”的要求提交（如果有）。</w:t>
            </w:r>
          </w:p>
        </w:tc>
      </w:tr>
      <w:tr w14:paraId="09EAF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F094DCF">
            <w:pPr>
              <w:jc w:val="center"/>
              <w:rPr>
                <w:rFonts w:ascii="宋体" w:hAnsi="宋体" w:cs="宋体"/>
                <w:color w:val="auto"/>
                <w:sz w:val="21"/>
                <w:szCs w:val="21"/>
              </w:rPr>
            </w:pPr>
            <w:r>
              <w:rPr>
                <w:rFonts w:hint="eastAsia" w:ascii="宋体" w:hAnsi="宋体" w:cs="宋体"/>
                <w:color w:val="auto"/>
                <w:sz w:val="21"/>
                <w:szCs w:val="21"/>
              </w:rPr>
              <w:t>（二）</w:t>
            </w:r>
          </w:p>
        </w:tc>
        <w:tc>
          <w:tcPr>
            <w:tcW w:w="3827" w:type="dxa"/>
            <w:gridSpan w:val="2"/>
            <w:vAlign w:val="center"/>
          </w:tcPr>
          <w:p w14:paraId="52F94B7E">
            <w:pPr>
              <w:rPr>
                <w:rFonts w:ascii="宋体" w:hAnsi="宋体" w:cs="宋体"/>
                <w:color w:val="auto"/>
                <w:sz w:val="21"/>
                <w:szCs w:val="21"/>
              </w:rPr>
            </w:pPr>
            <w:r>
              <w:rPr>
                <w:rFonts w:hint="eastAsia" w:ascii="宋体" w:hAnsi="宋体" w:cs="宋体"/>
                <w:color w:val="auto"/>
                <w:sz w:val="21"/>
                <w:szCs w:val="21"/>
              </w:rPr>
              <w:t>保证金</w:t>
            </w:r>
          </w:p>
        </w:tc>
        <w:tc>
          <w:tcPr>
            <w:tcW w:w="4984" w:type="dxa"/>
            <w:vAlign w:val="center"/>
          </w:tcPr>
          <w:p w14:paraId="3542F028">
            <w:pPr>
              <w:rPr>
                <w:rFonts w:ascii="宋体" w:hAnsi="宋体" w:cs="宋体"/>
                <w:color w:val="auto"/>
                <w:sz w:val="21"/>
                <w:szCs w:val="21"/>
              </w:rPr>
            </w:pPr>
            <w:r>
              <w:rPr>
                <w:rFonts w:hint="eastAsia" w:ascii="宋体" w:hAnsi="宋体" w:cs="宋体"/>
                <w:color w:val="auto"/>
                <w:sz w:val="21"/>
                <w:szCs w:val="21"/>
              </w:rPr>
              <w:t>按照竞争性</w:t>
            </w:r>
            <w:r>
              <w:rPr>
                <w:rFonts w:hint="eastAsia" w:ascii="宋体" w:hAnsi="宋体" w:cs="宋体"/>
                <w:color w:val="auto"/>
                <w:sz w:val="21"/>
                <w:szCs w:val="21"/>
                <w:lang w:val="en-US" w:eastAsia="zh-CN"/>
              </w:rPr>
              <w:t>磋商</w:t>
            </w:r>
            <w:r>
              <w:rPr>
                <w:rFonts w:hint="eastAsia" w:ascii="宋体" w:hAnsi="宋体" w:cs="宋体"/>
                <w:color w:val="auto"/>
                <w:sz w:val="21"/>
                <w:szCs w:val="21"/>
              </w:rPr>
              <w:t>文件要求足额交纳所参与包的保证金。</w:t>
            </w:r>
          </w:p>
        </w:tc>
      </w:tr>
    </w:tbl>
    <w:p w14:paraId="1CC20FB8">
      <w:pPr>
        <w:snapToGrid w:val="0"/>
        <w:spacing w:line="400" w:lineRule="exact"/>
        <w:ind w:firstLine="480" w:firstLineChars="200"/>
        <w:rPr>
          <w:rFonts w:ascii="宋体" w:hAnsi="宋体" w:cs="宋体"/>
          <w:bCs/>
          <w:color w:val="auto"/>
          <w:kern w:val="0"/>
          <w:sz w:val="24"/>
          <w:szCs w:val="24"/>
          <w:u w:val="single"/>
        </w:rPr>
      </w:pPr>
      <w:r>
        <w:rPr>
          <w:rFonts w:hint="eastAsia" w:ascii="宋体" w:hAnsi="宋体" w:cs="宋体"/>
          <w:color w:val="auto"/>
          <w:kern w:val="0"/>
          <w:sz w:val="24"/>
          <w:szCs w:val="24"/>
        </w:rPr>
        <w:t>注：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额”的认定标准，按照“财政部关于《中华人民共和国政府采购法实施条例》第十九条第一款“较大数额罚款”具体适用问题的意见（财库〔</w:t>
      </w:r>
      <w:r>
        <w:rPr>
          <w:rFonts w:ascii="宋体" w:hAnsi="宋体" w:cs="宋体"/>
          <w:color w:val="auto"/>
          <w:kern w:val="0"/>
          <w:sz w:val="24"/>
          <w:szCs w:val="24"/>
        </w:rPr>
        <w:t xml:space="preserve">2022〕3 </w:t>
      </w:r>
      <w:r>
        <w:rPr>
          <w:rFonts w:hint="eastAsia" w:ascii="宋体" w:hAnsi="宋体" w:cs="宋体"/>
          <w:color w:val="auto"/>
          <w:kern w:val="0"/>
          <w:sz w:val="24"/>
          <w:szCs w:val="24"/>
        </w:rPr>
        <w:t>号）”执行。</w:t>
      </w:r>
      <w:r>
        <w:rPr>
          <w:rFonts w:hint="eastAsia" w:ascii="宋体" w:hAnsi="宋体" w:cs="宋体"/>
          <w:bCs/>
          <w:color w:val="auto"/>
          <w:kern w:val="0"/>
          <w:sz w:val="24"/>
          <w:szCs w:val="24"/>
          <w:u w:val="single"/>
        </w:rPr>
        <w:t>供应商可于响应文件递交截止时间前通过</w:t>
      </w:r>
      <w:r>
        <w:rPr>
          <w:rFonts w:ascii="宋体" w:hAnsi="宋体" w:cs="宋体"/>
          <w:bCs/>
          <w:color w:val="auto"/>
          <w:kern w:val="0"/>
          <w:sz w:val="24"/>
          <w:szCs w:val="24"/>
          <w:u w:val="single"/>
        </w:rPr>
        <w:t xml:space="preserve"> </w:t>
      </w:r>
      <w:r>
        <w:rPr>
          <w:rFonts w:hint="eastAsia" w:ascii="宋体" w:hAnsi="宋体" w:cs="宋体"/>
          <w:bCs/>
          <w:color w:val="auto"/>
          <w:kern w:val="0"/>
          <w:sz w:val="24"/>
          <w:szCs w:val="24"/>
          <w:u w:val="single"/>
        </w:rPr>
        <w:t>“信用中国”网站</w:t>
      </w:r>
      <w:r>
        <w:rPr>
          <w:rFonts w:ascii="宋体" w:hAnsi="宋体" w:cs="宋体"/>
          <w:bCs/>
          <w:color w:val="auto"/>
          <w:kern w:val="0"/>
          <w:sz w:val="24"/>
          <w:szCs w:val="24"/>
          <w:u w:val="single"/>
        </w:rPr>
        <w:t>(www.creditchina.gov.cn)、"中国政府采购网"(www.ccgp.gov.cn)等渠道查询信用记录并提交查询结果截图。</w:t>
      </w:r>
    </w:p>
    <w:p w14:paraId="2973397F">
      <w:pPr>
        <w:spacing w:line="400" w:lineRule="exact"/>
        <w:ind w:firstLine="480" w:firstLineChars="200"/>
        <w:rPr>
          <w:rFonts w:ascii="宋体" w:hAnsi="宋体" w:cs="宋体"/>
          <w:color w:val="auto"/>
          <w:kern w:val="0"/>
          <w:sz w:val="24"/>
          <w:szCs w:val="24"/>
        </w:rPr>
      </w:pPr>
      <w:r>
        <w:rPr>
          <w:rFonts w:ascii="宋体" w:hAnsi="宋体" w:cs="宋体"/>
          <w:color w:val="auto"/>
          <w:kern w:val="0"/>
          <w:sz w:val="24"/>
          <w:szCs w:val="24"/>
        </w:rPr>
        <w:t>2.符合性审查。依据竞争性磋商文件的规定，从响应文件的有效性、完整性和对竞争性磋商文件的响应程度进行审查，以确定是否对竞争性磋商文件的实质性要求</w:t>
      </w:r>
      <w:r>
        <w:rPr>
          <w:rFonts w:hint="eastAsia" w:ascii="宋体" w:hAnsi="宋体" w:cs="宋体"/>
          <w:color w:val="auto"/>
          <w:kern w:val="0"/>
          <w:sz w:val="24"/>
          <w:szCs w:val="24"/>
        </w:rPr>
        <w:t>作出响应。符合性审查资料表如下：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0"/>
        <w:gridCol w:w="1984"/>
        <w:gridCol w:w="5409"/>
      </w:tblGrid>
      <w:tr w14:paraId="61C46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75" w:type="dxa"/>
            <w:vAlign w:val="center"/>
          </w:tcPr>
          <w:p w14:paraId="711FA55F">
            <w:pPr>
              <w:jc w:val="center"/>
              <w:rPr>
                <w:rFonts w:ascii="宋体" w:hAnsi="宋体" w:cs="宋体"/>
                <w:color w:val="auto"/>
                <w:kern w:val="0"/>
                <w:sz w:val="21"/>
                <w:szCs w:val="21"/>
              </w:rPr>
            </w:pPr>
            <w:r>
              <w:rPr>
                <w:rFonts w:hint="eastAsia" w:ascii="宋体" w:hAnsi="宋体" w:cs="宋体"/>
                <w:color w:val="auto"/>
                <w:kern w:val="0"/>
                <w:sz w:val="21"/>
                <w:szCs w:val="21"/>
              </w:rPr>
              <w:t>序号</w:t>
            </w:r>
          </w:p>
        </w:tc>
        <w:tc>
          <w:tcPr>
            <w:tcW w:w="3544" w:type="dxa"/>
            <w:gridSpan w:val="2"/>
            <w:vAlign w:val="center"/>
          </w:tcPr>
          <w:p w14:paraId="2DA0688E">
            <w:pPr>
              <w:jc w:val="center"/>
              <w:rPr>
                <w:rFonts w:ascii="宋体" w:hAnsi="宋体" w:cs="宋体"/>
                <w:color w:val="auto"/>
                <w:kern w:val="0"/>
                <w:sz w:val="21"/>
                <w:szCs w:val="21"/>
              </w:rPr>
            </w:pPr>
            <w:r>
              <w:rPr>
                <w:rFonts w:hint="eastAsia" w:ascii="宋体" w:hAnsi="宋体" w:cs="宋体"/>
                <w:color w:val="auto"/>
                <w:kern w:val="0"/>
                <w:sz w:val="21"/>
                <w:szCs w:val="21"/>
              </w:rPr>
              <w:t>评审因素</w:t>
            </w:r>
          </w:p>
        </w:tc>
        <w:tc>
          <w:tcPr>
            <w:tcW w:w="5409" w:type="dxa"/>
            <w:vAlign w:val="center"/>
          </w:tcPr>
          <w:p w14:paraId="0F518518">
            <w:pPr>
              <w:jc w:val="center"/>
              <w:rPr>
                <w:rFonts w:ascii="宋体" w:hAnsi="宋体" w:cs="宋体"/>
                <w:color w:val="auto"/>
                <w:kern w:val="0"/>
                <w:sz w:val="21"/>
                <w:szCs w:val="21"/>
              </w:rPr>
            </w:pPr>
            <w:r>
              <w:rPr>
                <w:rFonts w:hint="eastAsia" w:ascii="宋体" w:hAnsi="宋体" w:cs="宋体"/>
                <w:color w:val="auto"/>
                <w:kern w:val="0"/>
                <w:sz w:val="21"/>
                <w:szCs w:val="21"/>
              </w:rPr>
              <w:t>评审标准</w:t>
            </w:r>
          </w:p>
        </w:tc>
      </w:tr>
      <w:tr w14:paraId="69DFA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75" w:type="dxa"/>
            <w:vMerge w:val="restart"/>
            <w:vAlign w:val="center"/>
          </w:tcPr>
          <w:p w14:paraId="2573E6D5">
            <w:pPr>
              <w:jc w:val="center"/>
              <w:rPr>
                <w:rFonts w:ascii="宋体" w:hAnsi="宋体" w:cs="宋体"/>
                <w:color w:val="auto"/>
                <w:kern w:val="0"/>
                <w:sz w:val="21"/>
                <w:szCs w:val="21"/>
              </w:rPr>
            </w:pPr>
            <w:r>
              <w:rPr>
                <w:rFonts w:ascii="宋体" w:hAnsi="宋体" w:cs="宋体"/>
                <w:color w:val="auto"/>
                <w:kern w:val="0"/>
                <w:sz w:val="21"/>
                <w:szCs w:val="21"/>
              </w:rPr>
              <w:t>1</w:t>
            </w:r>
          </w:p>
        </w:tc>
        <w:tc>
          <w:tcPr>
            <w:tcW w:w="1560" w:type="dxa"/>
            <w:vMerge w:val="restart"/>
            <w:vAlign w:val="center"/>
          </w:tcPr>
          <w:p w14:paraId="41845088">
            <w:pPr>
              <w:rPr>
                <w:rFonts w:ascii="宋体" w:hAnsi="宋体" w:cs="宋体"/>
                <w:color w:val="auto"/>
                <w:kern w:val="0"/>
                <w:sz w:val="21"/>
                <w:szCs w:val="21"/>
              </w:rPr>
            </w:pPr>
            <w:r>
              <w:rPr>
                <w:rFonts w:hint="eastAsia" w:ascii="宋体" w:hAnsi="宋体" w:cs="宋体"/>
                <w:color w:val="auto"/>
                <w:kern w:val="0"/>
                <w:sz w:val="21"/>
                <w:szCs w:val="21"/>
              </w:rPr>
              <w:t>有效性审查</w:t>
            </w:r>
          </w:p>
        </w:tc>
        <w:tc>
          <w:tcPr>
            <w:tcW w:w="1984" w:type="dxa"/>
            <w:vAlign w:val="center"/>
          </w:tcPr>
          <w:p w14:paraId="7D70942D">
            <w:pPr>
              <w:rPr>
                <w:rFonts w:ascii="宋体" w:hAnsi="宋体" w:cs="宋体"/>
                <w:color w:val="auto"/>
                <w:kern w:val="0"/>
                <w:sz w:val="21"/>
                <w:szCs w:val="21"/>
              </w:rPr>
            </w:pPr>
            <w:r>
              <w:rPr>
                <w:rFonts w:hint="eastAsia" w:ascii="宋体" w:hAnsi="宋体" w:cs="宋体"/>
                <w:color w:val="auto"/>
                <w:sz w:val="21"/>
                <w:szCs w:val="21"/>
              </w:rPr>
              <w:t>响应文件签署或盖章</w:t>
            </w:r>
          </w:p>
        </w:tc>
        <w:tc>
          <w:tcPr>
            <w:tcW w:w="5409" w:type="dxa"/>
            <w:vAlign w:val="center"/>
          </w:tcPr>
          <w:p w14:paraId="63B7E171">
            <w:pPr>
              <w:rPr>
                <w:rFonts w:ascii="宋体" w:hAnsi="宋体" w:cs="宋体"/>
                <w:color w:val="auto"/>
                <w:kern w:val="0"/>
                <w:sz w:val="21"/>
                <w:szCs w:val="21"/>
              </w:rPr>
            </w:pPr>
            <w:r>
              <w:rPr>
                <w:rFonts w:hint="eastAsia" w:ascii="宋体" w:hAnsi="宋体" w:cs="宋体"/>
                <w:color w:val="auto"/>
                <w:sz w:val="21"/>
                <w:szCs w:val="21"/>
              </w:rPr>
              <w:t>按竞争性磋商文件“第七篇响应文件编制要求”要求签署或盖章。</w:t>
            </w:r>
          </w:p>
        </w:tc>
      </w:tr>
      <w:tr w14:paraId="3E4FF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675" w:type="dxa"/>
            <w:vMerge w:val="continue"/>
            <w:vAlign w:val="center"/>
          </w:tcPr>
          <w:p w14:paraId="4D23BA2F">
            <w:pPr>
              <w:jc w:val="center"/>
              <w:rPr>
                <w:rFonts w:ascii="宋体" w:hAnsi="宋体" w:cs="宋体"/>
                <w:color w:val="auto"/>
                <w:kern w:val="0"/>
                <w:sz w:val="21"/>
                <w:szCs w:val="21"/>
              </w:rPr>
            </w:pPr>
          </w:p>
        </w:tc>
        <w:tc>
          <w:tcPr>
            <w:tcW w:w="1560" w:type="dxa"/>
            <w:vMerge w:val="continue"/>
            <w:vAlign w:val="center"/>
          </w:tcPr>
          <w:p w14:paraId="2CDCC5B0">
            <w:pPr>
              <w:rPr>
                <w:rFonts w:ascii="宋体" w:hAnsi="宋体" w:cs="宋体"/>
                <w:color w:val="auto"/>
                <w:kern w:val="0"/>
                <w:sz w:val="21"/>
                <w:szCs w:val="21"/>
              </w:rPr>
            </w:pPr>
          </w:p>
        </w:tc>
        <w:tc>
          <w:tcPr>
            <w:tcW w:w="1984" w:type="dxa"/>
            <w:vAlign w:val="center"/>
          </w:tcPr>
          <w:p w14:paraId="714F61F0">
            <w:pPr>
              <w:rPr>
                <w:rFonts w:ascii="宋体" w:hAnsi="宋体" w:cs="宋体"/>
                <w:color w:val="auto"/>
                <w:sz w:val="21"/>
                <w:szCs w:val="21"/>
              </w:rPr>
            </w:pPr>
            <w:r>
              <w:rPr>
                <w:rFonts w:hint="eastAsia" w:ascii="宋体" w:hAnsi="宋体" w:cs="宋体"/>
                <w:color w:val="auto"/>
                <w:sz w:val="21"/>
                <w:szCs w:val="21"/>
              </w:rPr>
              <w:t>法定代表人身份证明及授权委托书</w:t>
            </w:r>
          </w:p>
        </w:tc>
        <w:tc>
          <w:tcPr>
            <w:tcW w:w="5409" w:type="dxa"/>
            <w:vAlign w:val="center"/>
          </w:tcPr>
          <w:p w14:paraId="44085267">
            <w:pPr>
              <w:rPr>
                <w:rFonts w:ascii="宋体" w:hAnsi="宋体" w:cs="宋体"/>
                <w:color w:val="auto"/>
                <w:sz w:val="21"/>
                <w:szCs w:val="21"/>
              </w:rPr>
            </w:pPr>
            <w:r>
              <w:rPr>
                <w:rFonts w:hint="eastAsia" w:ascii="宋体" w:hAnsi="宋体" w:cs="宋体"/>
                <w:color w:val="auto"/>
                <w:sz w:val="21"/>
                <w:szCs w:val="21"/>
              </w:rPr>
              <w:t>法定代表人身份证明及授权委托书有效，符合竞争性磋商文件规定的格式，签署或盖章齐全。</w:t>
            </w:r>
          </w:p>
        </w:tc>
      </w:tr>
      <w:tr w14:paraId="3AB8C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75" w:type="dxa"/>
            <w:vMerge w:val="continue"/>
            <w:vAlign w:val="center"/>
          </w:tcPr>
          <w:p w14:paraId="6660A7E9">
            <w:pPr>
              <w:jc w:val="center"/>
              <w:rPr>
                <w:rFonts w:ascii="宋体" w:hAnsi="宋体" w:cs="宋体"/>
                <w:color w:val="auto"/>
                <w:kern w:val="0"/>
                <w:sz w:val="21"/>
                <w:szCs w:val="21"/>
              </w:rPr>
            </w:pPr>
          </w:p>
        </w:tc>
        <w:tc>
          <w:tcPr>
            <w:tcW w:w="1560" w:type="dxa"/>
            <w:vMerge w:val="continue"/>
            <w:vAlign w:val="center"/>
          </w:tcPr>
          <w:p w14:paraId="32178361">
            <w:pPr>
              <w:rPr>
                <w:rFonts w:ascii="宋体" w:hAnsi="宋体" w:cs="宋体"/>
                <w:color w:val="auto"/>
                <w:kern w:val="0"/>
                <w:sz w:val="21"/>
                <w:szCs w:val="21"/>
              </w:rPr>
            </w:pPr>
          </w:p>
        </w:tc>
        <w:tc>
          <w:tcPr>
            <w:tcW w:w="1984" w:type="dxa"/>
            <w:vAlign w:val="center"/>
          </w:tcPr>
          <w:p w14:paraId="70D66E24">
            <w:pPr>
              <w:rPr>
                <w:rFonts w:ascii="宋体" w:hAnsi="宋体" w:cs="宋体"/>
                <w:color w:val="auto"/>
                <w:sz w:val="21"/>
                <w:szCs w:val="21"/>
                <w:lang w:val="zh-CN"/>
              </w:rPr>
            </w:pPr>
            <w:r>
              <w:rPr>
                <w:rFonts w:hint="eastAsia" w:ascii="宋体" w:hAnsi="宋体" w:cs="宋体"/>
                <w:color w:val="auto"/>
                <w:sz w:val="21"/>
                <w:szCs w:val="21"/>
              </w:rPr>
              <w:t>响应</w:t>
            </w:r>
            <w:r>
              <w:rPr>
                <w:rFonts w:hint="eastAsia" w:ascii="宋体" w:hAnsi="宋体" w:cs="宋体"/>
                <w:color w:val="auto"/>
                <w:sz w:val="21"/>
                <w:szCs w:val="21"/>
                <w:lang w:val="zh-CN"/>
              </w:rPr>
              <w:t>方案</w:t>
            </w:r>
          </w:p>
        </w:tc>
        <w:tc>
          <w:tcPr>
            <w:tcW w:w="5409" w:type="dxa"/>
            <w:vAlign w:val="center"/>
          </w:tcPr>
          <w:p w14:paraId="29ED746B">
            <w:pPr>
              <w:rPr>
                <w:rFonts w:ascii="宋体" w:hAnsi="宋体" w:cs="宋体"/>
                <w:color w:val="auto"/>
                <w:kern w:val="0"/>
                <w:sz w:val="21"/>
                <w:szCs w:val="21"/>
              </w:rPr>
            </w:pPr>
            <w:r>
              <w:rPr>
                <w:rFonts w:hint="eastAsia" w:ascii="宋体" w:hAnsi="宋体" w:cs="宋体"/>
                <w:color w:val="auto"/>
                <w:sz w:val="21"/>
                <w:szCs w:val="21"/>
                <w:lang w:val="zh-CN"/>
              </w:rPr>
              <w:t>每个包只能有一个</w:t>
            </w:r>
            <w:r>
              <w:rPr>
                <w:rFonts w:hint="eastAsia" w:ascii="宋体" w:hAnsi="宋体" w:cs="宋体"/>
                <w:color w:val="auto"/>
                <w:sz w:val="21"/>
                <w:szCs w:val="21"/>
              </w:rPr>
              <w:t>响应</w:t>
            </w:r>
            <w:r>
              <w:rPr>
                <w:rFonts w:hint="eastAsia" w:ascii="宋体" w:hAnsi="宋体" w:cs="宋体"/>
                <w:color w:val="auto"/>
                <w:sz w:val="21"/>
                <w:szCs w:val="21"/>
                <w:lang w:val="zh-CN"/>
              </w:rPr>
              <w:t>方案。</w:t>
            </w:r>
          </w:p>
        </w:tc>
      </w:tr>
      <w:tr w14:paraId="7244F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75" w:type="dxa"/>
            <w:vMerge w:val="continue"/>
            <w:vAlign w:val="center"/>
          </w:tcPr>
          <w:p w14:paraId="21FB19A5">
            <w:pPr>
              <w:jc w:val="center"/>
              <w:rPr>
                <w:rFonts w:ascii="宋体" w:hAnsi="宋体" w:cs="宋体"/>
                <w:color w:val="auto"/>
                <w:kern w:val="0"/>
                <w:sz w:val="21"/>
                <w:szCs w:val="21"/>
              </w:rPr>
            </w:pPr>
          </w:p>
        </w:tc>
        <w:tc>
          <w:tcPr>
            <w:tcW w:w="1560" w:type="dxa"/>
            <w:vMerge w:val="continue"/>
            <w:vAlign w:val="center"/>
          </w:tcPr>
          <w:p w14:paraId="4CADD197">
            <w:pPr>
              <w:rPr>
                <w:rFonts w:ascii="宋体" w:hAnsi="宋体" w:cs="宋体"/>
                <w:color w:val="auto"/>
                <w:kern w:val="0"/>
                <w:sz w:val="21"/>
                <w:szCs w:val="21"/>
              </w:rPr>
            </w:pPr>
          </w:p>
        </w:tc>
        <w:tc>
          <w:tcPr>
            <w:tcW w:w="1984" w:type="dxa"/>
            <w:vAlign w:val="center"/>
          </w:tcPr>
          <w:p w14:paraId="6AA263E8">
            <w:pPr>
              <w:rPr>
                <w:rFonts w:ascii="宋体" w:hAnsi="宋体" w:cs="宋体"/>
                <w:color w:val="auto"/>
                <w:sz w:val="21"/>
                <w:szCs w:val="21"/>
                <w:lang w:val="zh-CN"/>
              </w:rPr>
            </w:pPr>
            <w:r>
              <w:rPr>
                <w:rFonts w:hint="eastAsia" w:ascii="宋体" w:hAnsi="宋体" w:cs="宋体"/>
                <w:color w:val="auto"/>
                <w:sz w:val="21"/>
                <w:szCs w:val="21"/>
              </w:rPr>
              <w:t>报价唯一</w:t>
            </w:r>
          </w:p>
        </w:tc>
        <w:tc>
          <w:tcPr>
            <w:tcW w:w="5409" w:type="dxa"/>
            <w:vAlign w:val="center"/>
          </w:tcPr>
          <w:p w14:paraId="7EF3E9DC">
            <w:pPr>
              <w:rPr>
                <w:rFonts w:ascii="宋体" w:hAnsi="宋体" w:cs="宋体"/>
                <w:color w:val="auto"/>
                <w:kern w:val="0"/>
                <w:sz w:val="21"/>
                <w:szCs w:val="21"/>
              </w:rPr>
            </w:pPr>
            <w:r>
              <w:rPr>
                <w:rFonts w:hint="eastAsia" w:ascii="宋体" w:hAnsi="宋体" w:cs="宋体"/>
                <w:color w:val="auto"/>
                <w:sz w:val="21"/>
                <w:szCs w:val="21"/>
              </w:rPr>
              <w:t>只能有一个有效报价，不得提交选择性报价。</w:t>
            </w:r>
          </w:p>
        </w:tc>
      </w:tr>
      <w:tr w14:paraId="249E4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675" w:type="dxa"/>
            <w:vAlign w:val="center"/>
          </w:tcPr>
          <w:p w14:paraId="2910E051">
            <w:pPr>
              <w:jc w:val="center"/>
              <w:rPr>
                <w:rFonts w:ascii="宋体" w:hAnsi="宋体" w:cs="宋体"/>
                <w:color w:val="auto"/>
                <w:kern w:val="0"/>
                <w:sz w:val="21"/>
                <w:szCs w:val="21"/>
              </w:rPr>
            </w:pPr>
            <w:r>
              <w:rPr>
                <w:rFonts w:ascii="宋体" w:hAnsi="宋体" w:cs="宋体"/>
                <w:color w:val="auto"/>
                <w:kern w:val="0"/>
                <w:sz w:val="21"/>
                <w:szCs w:val="21"/>
              </w:rPr>
              <w:t>2</w:t>
            </w:r>
          </w:p>
        </w:tc>
        <w:tc>
          <w:tcPr>
            <w:tcW w:w="1560" w:type="dxa"/>
            <w:vAlign w:val="center"/>
          </w:tcPr>
          <w:p w14:paraId="7D66A3DE">
            <w:pPr>
              <w:rPr>
                <w:rFonts w:ascii="宋体" w:hAnsi="宋体" w:cs="宋体"/>
                <w:color w:val="auto"/>
                <w:kern w:val="0"/>
                <w:sz w:val="21"/>
                <w:szCs w:val="21"/>
              </w:rPr>
            </w:pPr>
            <w:r>
              <w:rPr>
                <w:rFonts w:hint="eastAsia" w:ascii="宋体" w:hAnsi="宋体" w:cs="宋体"/>
                <w:color w:val="auto"/>
                <w:kern w:val="0"/>
                <w:sz w:val="21"/>
                <w:szCs w:val="21"/>
              </w:rPr>
              <w:t>完整性审查</w:t>
            </w:r>
          </w:p>
        </w:tc>
        <w:tc>
          <w:tcPr>
            <w:tcW w:w="1984" w:type="dxa"/>
            <w:vAlign w:val="center"/>
          </w:tcPr>
          <w:p w14:paraId="77644682">
            <w:pPr>
              <w:rPr>
                <w:rFonts w:ascii="宋体" w:hAnsi="宋体" w:cs="宋体"/>
                <w:color w:val="auto"/>
                <w:kern w:val="0"/>
                <w:sz w:val="21"/>
                <w:szCs w:val="21"/>
              </w:rPr>
            </w:pPr>
            <w:r>
              <w:rPr>
                <w:rFonts w:hint="eastAsia" w:ascii="宋体" w:hAnsi="宋体" w:cs="宋体"/>
                <w:color w:val="auto"/>
                <w:sz w:val="21"/>
                <w:szCs w:val="21"/>
              </w:rPr>
              <w:t>响应</w:t>
            </w:r>
            <w:r>
              <w:rPr>
                <w:rFonts w:hint="eastAsia" w:ascii="宋体" w:hAnsi="宋体" w:cs="宋体"/>
                <w:color w:val="auto"/>
                <w:sz w:val="21"/>
                <w:szCs w:val="21"/>
                <w:lang w:val="zh-CN"/>
              </w:rPr>
              <w:t>文件份数</w:t>
            </w:r>
          </w:p>
        </w:tc>
        <w:tc>
          <w:tcPr>
            <w:tcW w:w="5409" w:type="dxa"/>
            <w:vAlign w:val="center"/>
          </w:tcPr>
          <w:p w14:paraId="71648890">
            <w:pPr>
              <w:rPr>
                <w:rFonts w:ascii="宋体" w:hAnsi="宋体" w:cs="宋体"/>
                <w:color w:val="auto"/>
                <w:kern w:val="0"/>
                <w:sz w:val="21"/>
                <w:szCs w:val="21"/>
              </w:rPr>
            </w:pPr>
            <w:r>
              <w:rPr>
                <w:rFonts w:hint="eastAsia" w:ascii="宋体" w:hAnsi="宋体" w:cs="宋体"/>
                <w:color w:val="auto"/>
                <w:sz w:val="21"/>
                <w:szCs w:val="21"/>
              </w:rPr>
              <w:t>响应</w:t>
            </w:r>
            <w:r>
              <w:rPr>
                <w:rFonts w:hint="eastAsia" w:ascii="宋体" w:hAnsi="宋体" w:cs="宋体"/>
                <w:color w:val="auto"/>
                <w:sz w:val="21"/>
                <w:szCs w:val="21"/>
                <w:lang w:val="zh-CN"/>
              </w:rPr>
              <w:t>文件正、副本数量（含电子文档）符合</w:t>
            </w:r>
            <w:r>
              <w:rPr>
                <w:rFonts w:hint="eastAsia" w:ascii="宋体" w:hAnsi="宋体" w:cs="宋体"/>
                <w:color w:val="auto"/>
                <w:sz w:val="21"/>
                <w:szCs w:val="21"/>
              </w:rPr>
              <w:t>竞争性磋商</w:t>
            </w:r>
            <w:r>
              <w:rPr>
                <w:rFonts w:hint="eastAsia" w:ascii="宋体" w:hAnsi="宋体" w:cs="宋体"/>
                <w:color w:val="auto"/>
                <w:sz w:val="21"/>
                <w:szCs w:val="21"/>
                <w:lang w:val="zh-CN"/>
              </w:rPr>
              <w:t>文件要求。</w:t>
            </w:r>
          </w:p>
        </w:tc>
      </w:tr>
      <w:tr w14:paraId="2C0E5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75" w:type="dxa"/>
            <w:vMerge w:val="restart"/>
            <w:vAlign w:val="center"/>
          </w:tcPr>
          <w:p w14:paraId="19B6B782">
            <w:pPr>
              <w:jc w:val="center"/>
              <w:rPr>
                <w:rFonts w:ascii="宋体" w:hAnsi="宋体" w:cs="宋体"/>
                <w:color w:val="auto"/>
                <w:kern w:val="0"/>
                <w:sz w:val="21"/>
                <w:szCs w:val="21"/>
              </w:rPr>
            </w:pPr>
            <w:r>
              <w:rPr>
                <w:rFonts w:ascii="宋体" w:hAnsi="宋体" w:cs="宋体"/>
                <w:color w:val="auto"/>
                <w:kern w:val="0"/>
                <w:sz w:val="21"/>
                <w:szCs w:val="21"/>
              </w:rPr>
              <w:t>3</w:t>
            </w:r>
          </w:p>
        </w:tc>
        <w:tc>
          <w:tcPr>
            <w:tcW w:w="1560" w:type="dxa"/>
            <w:vMerge w:val="restart"/>
            <w:vAlign w:val="center"/>
          </w:tcPr>
          <w:p w14:paraId="2766A87C">
            <w:pPr>
              <w:rPr>
                <w:rFonts w:ascii="宋体" w:hAnsi="宋体" w:cs="宋体"/>
                <w:color w:val="auto"/>
                <w:sz w:val="21"/>
                <w:szCs w:val="21"/>
                <w:lang w:val="zh-CN"/>
              </w:rPr>
            </w:pPr>
            <w:r>
              <w:rPr>
                <w:rFonts w:hint="eastAsia" w:ascii="宋体" w:hAnsi="宋体" w:cs="宋体"/>
                <w:color w:val="auto"/>
                <w:kern w:val="0"/>
                <w:sz w:val="21"/>
                <w:szCs w:val="21"/>
              </w:rPr>
              <w:t>响应程度审查</w:t>
            </w:r>
          </w:p>
        </w:tc>
        <w:tc>
          <w:tcPr>
            <w:tcW w:w="1984" w:type="dxa"/>
            <w:vAlign w:val="center"/>
          </w:tcPr>
          <w:p w14:paraId="400633FD">
            <w:pPr>
              <w:rPr>
                <w:rFonts w:ascii="宋体" w:hAnsi="宋体" w:cs="宋体"/>
                <w:color w:val="auto"/>
                <w:kern w:val="0"/>
                <w:sz w:val="21"/>
                <w:szCs w:val="21"/>
              </w:rPr>
            </w:pPr>
            <w:r>
              <w:rPr>
                <w:rFonts w:hint="eastAsia" w:ascii="宋体" w:hAnsi="宋体" w:cs="宋体"/>
                <w:color w:val="auto"/>
                <w:kern w:val="0"/>
                <w:sz w:val="21"/>
                <w:szCs w:val="21"/>
              </w:rPr>
              <w:t>实质性响应</w:t>
            </w:r>
          </w:p>
        </w:tc>
        <w:tc>
          <w:tcPr>
            <w:tcW w:w="5409" w:type="dxa"/>
            <w:vAlign w:val="center"/>
          </w:tcPr>
          <w:p w14:paraId="1CA51155">
            <w:pPr>
              <w:pStyle w:val="32"/>
              <w:rPr>
                <w:rFonts w:ascii="宋体" w:hAnsi="宋体" w:cs="宋体"/>
                <w:color w:val="auto"/>
                <w:kern w:val="0"/>
                <w:sz w:val="21"/>
                <w:szCs w:val="21"/>
              </w:rPr>
            </w:pPr>
            <w:r>
              <w:rPr>
                <w:rFonts w:hint="eastAsia" w:ascii="宋体" w:hAnsi="宋体" w:cs="宋体"/>
                <w:color w:val="auto"/>
                <w:kern w:val="0"/>
                <w:sz w:val="21"/>
                <w:szCs w:val="21"/>
              </w:rPr>
              <w:t>竞争性磋商文件第二篇、第三篇“</w:t>
            </w:r>
            <w:r>
              <w:rPr>
                <w:rFonts w:ascii="宋体" w:hAnsi="宋体" w:cs="宋体"/>
                <w:color w:val="auto"/>
                <w:sz w:val="24"/>
                <w:szCs w:val="24"/>
              </w:rPr>
              <w:t>*</w:t>
            </w:r>
            <w:r>
              <w:rPr>
                <w:rFonts w:hint="eastAsia" w:ascii="宋体" w:hAnsi="宋体" w:cs="宋体"/>
                <w:color w:val="auto"/>
                <w:kern w:val="0"/>
                <w:sz w:val="21"/>
                <w:szCs w:val="21"/>
              </w:rPr>
              <w:t>”标注部分。</w:t>
            </w:r>
          </w:p>
        </w:tc>
      </w:tr>
      <w:tr w14:paraId="62871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675" w:type="dxa"/>
            <w:vMerge w:val="continue"/>
            <w:vAlign w:val="center"/>
          </w:tcPr>
          <w:p w14:paraId="3FDD86FB">
            <w:pPr>
              <w:jc w:val="center"/>
              <w:rPr>
                <w:rFonts w:ascii="宋体" w:hAnsi="宋体" w:cs="宋体"/>
                <w:color w:val="auto"/>
                <w:kern w:val="0"/>
                <w:sz w:val="21"/>
                <w:szCs w:val="21"/>
              </w:rPr>
            </w:pPr>
          </w:p>
        </w:tc>
        <w:tc>
          <w:tcPr>
            <w:tcW w:w="1560" w:type="dxa"/>
            <w:vMerge w:val="continue"/>
            <w:vAlign w:val="center"/>
          </w:tcPr>
          <w:p w14:paraId="2490F597">
            <w:pPr>
              <w:rPr>
                <w:rFonts w:ascii="宋体" w:hAnsi="宋体" w:cs="宋体"/>
                <w:color w:val="auto"/>
                <w:sz w:val="21"/>
                <w:szCs w:val="21"/>
                <w:lang w:val="zh-CN"/>
              </w:rPr>
            </w:pPr>
          </w:p>
        </w:tc>
        <w:tc>
          <w:tcPr>
            <w:tcW w:w="1984" w:type="dxa"/>
            <w:vAlign w:val="center"/>
          </w:tcPr>
          <w:p w14:paraId="083D5B67">
            <w:pPr>
              <w:rPr>
                <w:rFonts w:ascii="宋体" w:hAnsi="宋体" w:cs="宋体"/>
                <w:color w:val="auto"/>
                <w:kern w:val="0"/>
                <w:sz w:val="21"/>
                <w:szCs w:val="21"/>
              </w:rPr>
            </w:pPr>
            <w:r>
              <w:rPr>
                <w:rFonts w:hint="eastAsia" w:ascii="宋体" w:hAnsi="宋体" w:cs="宋体"/>
                <w:color w:val="auto"/>
                <w:kern w:val="0"/>
                <w:sz w:val="21"/>
                <w:szCs w:val="21"/>
              </w:rPr>
              <w:t>磋商有效期</w:t>
            </w:r>
          </w:p>
        </w:tc>
        <w:tc>
          <w:tcPr>
            <w:tcW w:w="5409" w:type="dxa"/>
            <w:vAlign w:val="center"/>
          </w:tcPr>
          <w:p w14:paraId="57B65367">
            <w:pPr>
              <w:rPr>
                <w:rFonts w:ascii="宋体" w:hAnsi="宋体" w:cs="宋体"/>
                <w:color w:val="auto"/>
                <w:kern w:val="0"/>
                <w:sz w:val="21"/>
                <w:szCs w:val="21"/>
              </w:rPr>
            </w:pPr>
            <w:r>
              <w:rPr>
                <w:rFonts w:hint="eastAsia" w:ascii="宋体" w:hAnsi="宋体" w:cs="宋体"/>
                <w:color w:val="auto"/>
                <w:kern w:val="0"/>
                <w:sz w:val="21"/>
                <w:szCs w:val="21"/>
              </w:rPr>
              <w:t>响应文件及有关承诺文件有效期为提交响应文件截止时间起</w:t>
            </w:r>
            <w:r>
              <w:rPr>
                <w:rFonts w:ascii="宋体" w:hAnsi="宋体" w:cs="宋体"/>
                <w:color w:val="auto"/>
                <w:kern w:val="0"/>
                <w:sz w:val="21"/>
                <w:szCs w:val="21"/>
              </w:rPr>
              <w:t>90天。</w:t>
            </w:r>
          </w:p>
        </w:tc>
      </w:tr>
    </w:tbl>
    <w:p w14:paraId="724FF250">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三）澄清有关问题。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2318FC9">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四）磋商小组要求供应商澄清、说明或者更正响应文件应当以书面形式作出。供应商的澄清、说明或者更正应当由法定代表人（或其授权代表）或自然人（供应商为自然人）签署或者加盖公章。由授权代表签署的，应当附法定代表人授权书。供应商为自然人的，应当由本人签署并附身份证明。</w:t>
      </w:r>
    </w:p>
    <w:p w14:paraId="69EA38AF">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（五）在磋商过程中磋商的任何一方不得向他人透露与磋商有关的服务资料、价格或其他信息。</w:t>
      </w:r>
    </w:p>
    <w:p w14:paraId="76E4AFFA">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六）在磋商过程中，磋商小组可以根据竞争性磋商文件和磋商情况实质性变动采购需求中的服务、商务要求以及合同草案条款，但不得变动竞争性磋商文件中的其他内容。实质性变动的内容，须经采购人代表确认。对竞争性磋商文件作出的实质性变动是竞争性磋商文件的有效组成部分，磋商小组应当及时以书面形式同时通知所有参加磋商的供应商。</w:t>
      </w:r>
    </w:p>
    <w:p w14:paraId="3515631F">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（七）供应商在磋商时作出的所有书面承诺须由法定代表人（或其授权代表）或自然人（供应商为自然人）签署。</w:t>
      </w:r>
    </w:p>
    <w:p w14:paraId="288A5D31">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八）经磋商确定最终采购需求且磋商结束后，供应商应当按照竞争性磋商文件的变动情况和磋商小组的要求重新提交响应文件或重新做出相关的书面承诺，最后书面提交最后报价及有关承诺（《最后报价表》在磋商现场向供应商提供）。已提交响应文件但未在规定时间内进行最后报价的供应商，视为放弃最后报价，以供应商响应文件中的报价为准。</w:t>
      </w:r>
    </w:p>
    <w:p w14:paraId="1027B1CA">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（九）磋商小组采用综合评分法对提交最后报价的供应商的响应文件和最后报价（含有效书面承诺）进行综合评分。</w:t>
      </w:r>
      <w:r>
        <w:rPr>
          <w:rFonts w:hint="eastAsia" w:ascii="宋体" w:hAnsi="宋体" w:cs="宋体"/>
          <w:color w:val="auto"/>
          <w:kern w:val="0"/>
          <w:sz w:val="24"/>
          <w:szCs w:val="24"/>
        </w:rPr>
        <w:t>综合评分法，是指响应文件满足竞争性磋商文件全部实质性要求且按照评审因素的量化指标评审得分最高的供应商为成交候选供应商的评审方法。供应商总得分为价格、服务、商务等评定因素分别按照相应权重值计算分项得分后相加，满分为</w:t>
      </w:r>
      <w:r>
        <w:rPr>
          <w:rFonts w:ascii="宋体" w:hAnsi="宋体" w:cs="宋体"/>
          <w:color w:val="auto"/>
          <w:kern w:val="0"/>
          <w:sz w:val="24"/>
          <w:szCs w:val="24"/>
        </w:rPr>
        <w:t>100分</w:t>
      </w:r>
      <w:r>
        <w:rPr>
          <w:rFonts w:hint="eastAsia" w:ascii="宋体" w:hAnsi="宋体" w:cs="宋体"/>
          <w:color w:val="auto"/>
          <w:sz w:val="24"/>
          <w:szCs w:val="24"/>
        </w:rPr>
        <w:t>。</w:t>
      </w:r>
    </w:p>
    <w:p w14:paraId="06C712F6">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（十）磋商小组各成员独立对每个有效响应（通过资格性审查、</w:t>
      </w:r>
      <w:r>
        <w:rPr>
          <w:rFonts w:hint="eastAsia" w:ascii="宋体" w:hAnsi="宋体" w:cs="宋体"/>
          <w:color w:val="auto"/>
          <w:kern w:val="0"/>
          <w:sz w:val="24"/>
          <w:szCs w:val="24"/>
        </w:rPr>
        <w:t>符合性审查的供应商</w:t>
      </w:r>
      <w:r>
        <w:rPr>
          <w:rFonts w:hint="eastAsia" w:ascii="宋体" w:hAnsi="宋体" w:cs="宋体"/>
          <w:color w:val="auto"/>
          <w:sz w:val="24"/>
          <w:szCs w:val="24"/>
        </w:rPr>
        <w:t>）的文件进行评价、打分，然后汇总每个供应商每项评分因素的得分，并根据综合评分情况按照评审得分由高到低顺序推荐</w:t>
      </w:r>
      <w:r>
        <w:rPr>
          <w:rFonts w:ascii="宋体" w:hAnsi="宋体" w:cs="宋体"/>
          <w:color w:val="auto"/>
          <w:sz w:val="24"/>
          <w:szCs w:val="24"/>
        </w:rPr>
        <w:t>3名以上成交候选供应商，并编写评审报告。若供应商的评审得分相同的，按照最后报价由低到高的顺序排列推荐。评审得分且最后报价相同的，按照服务指标优劣顺序排列推荐。以上都相同的，按商务条款的优劣顺序排列推荐。（提示：请慎重考虑是否推荐服务部分得分为0分的供应商成为成交候选供应商，应在</w:t>
      </w:r>
      <w:r>
        <w:rPr>
          <w:rFonts w:hint="eastAsia" w:ascii="宋体" w:hAnsi="宋体" w:cs="宋体"/>
          <w:color w:val="auto"/>
          <w:kern w:val="0"/>
          <w:sz w:val="24"/>
          <w:szCs w:val="24"/>
        </w:rPr>
        <w:t>竞争性磋商文件</w:t>
      </w:r>
      <w:r>
        <w:rPr>
          <w:rFonts w:hint="eastAsia" w:ascii="宋体" w:hAnsi="宋体" w:cs="宋体"/>
          <w:color w:val="auto"/>
          <w:sz w:val="24"/>
          <w:szCs w:val="24"/>
        </w:rPr>
        <w:t>中对该种情况的处理方式予以明确。）</w:t>
      </w:r>
    </w:p>
    <w:p w14:paraId="1DEAF4DE">
      <w:pPr>
        <w:pStyle w:val="4"/>
        <w:spacing w:before="0" w:after="0" w:line="440" w:lineRule="exact"/>
        <w:rPr>
          <w:rFonts w:hint="eastAsia" w:ascii="宋体" w:hAnsi="宋体" w:eastAsia="宋体" w:cs="宋体"/>
          <w:b w:val="0"/>
          <w:color w:val="auto"/>
          <w:sz w:val="24"/>
          <w:szCs w:val="24"/>
          <w:lang w:eastAsia="zh-CN"/>
        </w:rPr>
      </w:pPr>
      <w:bookmarkStart w:id="132" w:name="_Toc21379"/>
      <w:bookmarkStart w:id="133" w:name="_Toc24704"/>
      <w:bookmarkStart w:id="134" w:name="_Toc102227320"/>
      <w:bookmarkStart w:id="135" w:name="_Toc342913394"/>
      <w:r>
        <w:rPr>
          <w:rFonts w:hint="eastAsia" w:ascii="宋体" w:hAnsi="宋体" w:cs="宋体"/>
          <w:b w:val="0"/>
          <w:color w:val="auto"/>
          <w:sz w:val="24"/>
          <w:szCs w:val="24"/>
        </w:rPr>
        <w:t>二、评审标准</w:t>
      </w:r>
      <w:bookmarkEnd w:id="132"/>
      <w:r>
        <w:rPr>
          <w:rFonts w:hint="eastAsia" w:ascii="宋体" w:hAnsi="宋体" w:cs="宋体"/>
          <w:b w:val="0"/>
          <w:color w:val="auto"/>
          <w:sz w:val="24"/>
          <w:szCs w:val="24"/>
          <w:lang w:eastAsia="zh-CN"/>
        </w:rPr>
        <w:t>（</w:t>
      </w:r>
      <w:r>
        <w:rPr>
          <w:rFonts w:hint="eastAsia" w:ascii="宋体" w:hAnsi="宋体" w:cs="宋体"/>
          <w:b w:val="0"/>
          <w:color w:val="auto"/>
          <w:sz w:val="24"/>
          <w:szCs w:val="24"/>
          <w:lang w:val="en-US" w:eastAsia="zh-CN"/>
        </w:rPr>
        <w:t>适用于包1</w:t>
      </w:r>
      <w:r>
        <w:rPr>
          <w:rFonts w:hint="eastAsia" w:ascii="微软雅黑" w:hAnsi="微软雅黑" w:eastAsia="微软雅黑" w:cs="微软雅黑"/>
          <w:b w:val="0"/>
          <w:color w:val="auto"/>
          <w:sz w:val="24"/>
          <w:szCs w:val="24"/>
          <w:lang w:val="en-US" w:eastAsia="zh-CN"/>
        </w:rPr>
        <w:t>～</w:t>
      </w:r>
      <w:r>
        <w:rPr>
          <w:rFonts w:hint="eastAsia" w:ascii="宋体" w:hAnsi="宋体" w:cs="宋体"/>
          <w:b w:val="0"/>
          <w:color w:val="auto"/>
          <w:sz w:val="24"/>
          <w:szCs w:val="24"/>
          <w:lang w:val="en-US" w:eastAsia="zh-CN"/>
        </w:rPr>
        <w:t>包5</w:t>
      </w:r>
      <w:r>
        <w:rPr>
          <w:rFonts w:hint="eastAsia" w:ascii="宋体" w:hAnsi="宋体" w:cs="宋体"/>
          <w:b w:val="0"/>
          <w:color w:val="auto"/>
          <w:sz w:val="24"/>
          <w:szCs w:val="24"/>
          <w:lang w:eastAsia="zh-CN"/>
        </w:rPr>
        <w:t>）</w:t>
      </w:r>
      <w:bookmarkEnd w:id="133"/>
    </w:p>
    <w:tbl>
      <w:tblPr>
        <w:tblStyle w:val="59"/>
        <w:tblW w:w="98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36"/>
        <w:gridCol w:w="688"/>
        <w:gridCol w:w="5361"/>
        <w:gridCol w:w="1995"/>
      </w:tblGrid>
      <w:tr w14:paraId="3888D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19259563">
            <w:pPr>
              <w:snapToGrid w:val="0"/>
              <w:spacing w:line="400" w:lineRule="exact"/>
              <w:rPr>
                <w:rFonts w:ascii="宋体" w:hAnsi="宋体" w:cs="宋体"/>
                <w:b/>
                <w:bCs/>
                <w:color w:val="auto"/>
                <w:sz w:val="24"/>
                <w:szCs w:val="24"/>
              </w:rPr>
            </w:pPr>
            <w:r>
              <w:rPr>
                <w:rFonts w:hint="eastAsia" w:ascii="宋体" w:hAnsi="宋体" w:cs="宋体"/>
                <w:b/>
                <w:bCs/>
                <w:color w:val="auto"/>
                <w:sz w:val="24"/>
                <w:szCs w:val="24"/>
              </w:rPr>
              <w:t>序号</w:t>
            </w:r>
          </w:p>
        </w:tc>
        <w:tc>
          <w:tcPr>
            <w:tcW w:w="1134" w:type="dxa"/>
            <w:vAlign w:val="center"/>
          </w:tcPr>
          <w:p w14:paraId="446A16CB">
            <w:pPr>
              <w:snapToGrid w:val="0"/>
              <w:spacing w:line="400" w:lineRule="exact"/>
              <w:rPr>
                <w:rFonts w:ascii="宋体" w:hAnsi="宋体" w:cs="宋体"/>
                <w:b/>
                <w:bCs/>
                <w:color w:val="auto"/>
                <w:sz w:val="24"/>
                <w:szCs w:val="24"/>
              </w:rPr>
            </w:pPr>
            <w:r>
              <w:rPr>
                <w:rFonts w:hint="eastAsia" w:ascii="宋体" w:hAnsi="宋体" w:cs="宋体"/>
                <w:b/>
                <w:bCs/>
                <w:color w:val="auto"/>
                <w:sz w:val="24"/>
                <w:szCs w:val="24"/>
              </w:rPr>
              <w:t>评分因素及权值</w:t>
            </w:r>
          </w:p>
        </w:tc>
        <w:tc>
          <w:tcPr>
            <w:tcW w:w="724" w:type="dxa"/>
            <w:gridSpan w:val="2"/>
            <w:vAlign w:val="center"/>
          </w:tcPr>
          <w:p w14:paraId="4A76D565">
            <w:pPr>
              <w:snapToGrid w:val="0"/>
              <w:spacing w:line="400" w:lineRule="exact"/>
              <w:rPr>
                <w:rFonts w:ascii="宋体" w:hAnsi="宋体" w:cs="宋体"/>
                <w:b/>
                <w:bCs/>
                <w:color w:val="auto"/>
                <w:sz w:val="24"/>
                <w:szCs w:val="24"/>
              </w:rPr>
            </w:pPr>
            <w:r>
              <w:rPr>
                <w:rFonts w:hint="eastAsia" w:ascii="宋体" w:hAnsi="宋体" w:cs="宋体"/>
                <w:b/>
                <w:bCs/>
                <w:color w:val="auto"/>
                <w:sz w:val="24"/>
                <w:szCs w:val="24"/>
              </w:rPr>
              <w:t>分值</w:t>
            </w:r>
          </w:p>
        </w:tc>
        <w:tc>
          <w:tcPr>
            <w:tcW w:w="5361" w:type="dxa"/>
            <w:vAlign w:val="center"/>
          </w:tcPr>
          <w:p w14:paraId="1D6FB57B">
            <w:pPr>
              <w:snapToGrid w:val="0"/>
              <w:spacing w:line="400" w:lineRule="exact"/>
              <w:ind w:firstLine="482" w:firstLineChars="200"/>
              <w:rPr>
                <w:rFonts w:ascii="宋体" w:hAnsi="宋体" w:cs="宋体"/>
                <w:b/>
                <w:bCs/>
                <w:color w:val="auto"/>
                <w:sz w:val="24"/>
                <w:szCs w:val="24"/>
              </w:rPr>
            </w:pPr>
            <w:r>
              <w:rPr>
                <w:rFonts w:hint="eastAsia" w:ascii="宋体" w:hAnsi="宋体" w:cs="宋体"/>
                <w:b/>
                <w:bCs/>
                <w:color w:val="auto"/>
                <w:sz w:val="24"/>
                <w:szCs w:val="24"/>
              </w:rPr>
              <w:t>评分标准</w:t>
            </w:r>
          </w:p>
        </w:tc>
        <w:tc>
          <w:tcPr>
            <w:tcW w:w="1995" w:type="dxa"/>
            <w:vAlign w:val="center"/>
          </w:tcPr>
          <w:p w14:paraId="72F0703B">
            <w:pPr>
              <w:snapToGrid w:val="0"/>
              <w:spacing w:line="400" w:lineRule="exact"/>
              <w:rPr>
                <w:rFonts w:ascii="宋体" w:hAnsi="宋体" w:cs="宋体"/>
                <w:b/>
                <w:bCs/>
                <w:color w:val="auto"/>
                <w:sz w:val="24"/>
                <w:szCs w:val="24"/>
              </w:rPr>
            </w:pPr>
            <w:r>
              <w:rPr>
                <w:rFonts w:hint="eastAsia" w:ascii="宋体" w:hAnsi="宋体" w:cs="宋体"/>
                <w:b/>
                <w:bCs/>
                <w:color w:val="auto"/>
                <w:sz w:val="24"/>
                <w:szCs w:val="24"/>
              </w:rPr>
              <w:t>备注</w:t>
            </w:r>
          </w:p>
        </w:tc>
      </w:tr>
      <w:tr w14:paraId="53030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jc w:val="center"/>
        </w:trPr>
        <w:tc>
          <w:tcPr>
            <w:tcW w:w="675" w:type="dxa"/>
            <w:vAlign w:val="center"/>
          </w:tcPr>
          <w:p w14:paraId="142C825A">
            <w:pPr>
              <w:snapToGrid w:val="0"/>
              <w:spacing w:line="400" w:lineRule="exact"/>
              <w:rPr>
                <w:rFonts w:ascii="宋体" w:hAnsi="宋体" w:cs="宋体"/>
                <w:b/>
                <w:bCs/>
                <w:color w:val="auto"/>
                <w:sz w:val="21"/>
                <w:szCs w:val="21"/>
              </w:rPr>
            </w:pPr>
            <w:r>
              <w:rPr>
                <w:rFonts w:hint="eastAsia" w:ascii="宋体" w:hAnsi="宋体" w:cs="宋体"/>
                <w:b/>
                <w:bCs/>
                <w:color w:val="auto"/>
                <w:sz w:val="21"/>
                <w:szCs w:val="21"/>
              </w:rPr>
              <w:t>1</w:t>
            </w:r>
          </w:p>
        </w:tc>
        <w:tc>
          <w:tcPr>
            <w:tcW w:w="1134" w:type="dxa"/>
            <w:vAlign w:val="center"/>
          </w:tcPr>
          <w:p w14:paraId="780BB9CE">
            <w:pPr>
              <w:snapToGrid w:val="0"/>
              <w:spacing w:line="400" w:lineRule="exact"/>
              <w:rPr>
                <w:rFonts w:ascii="宋体" w:hAnsi="宋体" w:cs="宋体"/>
                <w:b/>
                <w:bCs/>
                <w:color w:val="auto"/>
                <w:sz w:val="21"/>
                <w:szCs w:val="21"/>
              </w:rPr>
            </w:pPr>
            <w:r>
              <w:rPr>
                <w:rFonts w:hint="eastAsia" w:ascii="宋体" w:hAnsi="宋体" w:cs="宋体"/>
                <w:b/>
                <w:bCs/>
                <w:color w:val="auto"/>
                <w:sz w:val="21"/>
                <w:szCs w:val="21"/>
              </w:rPr>
              <w:t>考核费（</w:t>
            </w:r>
            <w:r>
              <w:rPr>
                <w:rFonts w:ascii="宋体" w:hAnsi="宋体" w:cs="宋体"/>
                <w:b/>
                <w:bCs/>
                <w:color w:val="auto"/>
                <w:sz w:val="21"/>
                <w:szCs w:val="21"/>
              </w:rPr>
              <w:t>75%</w:t>
            </w:r>
            <w:r>
              <w:rPr>
                <w:rFonts w:hint="eastAsia" w:ascii="宋体" w:hAnsi="宋体" w:cs="宋体"/>
                <w:b/>
                <w:bCs/>
                <w:color w:val="auto"/>
                <w:sz w:val="21"/>
                <w:szCs w:val="21"/>
              </w:rPr>
              <w:t>）</w:t>
            </w:r>
          </w:p>
        </w:tc>
        <w:tc>
          <w:tcPr>
            <w:tcW w:w="724" w:type="dxa"/>
            <w:gridSpan w:val="2"/>
            <w:vAlign w:val="center"/>
          </w:tcPr>
          <w:p w14:paraId="01DE318D">
            <w:pPr>
              <w:widowControl/>
              <w:jc w:val="left"/>
              <w:rPr>
                <w:rFonts w:ascii="宋体" w:hAnsi="宋体" w:cs="宋体"/>
                <w:b/>
                <w:bCs/>
                <w:color w:val="auto"/>
                <w:sz w:val="21"/>
                <w:szCs w:val="21"/>
              </w:rPr>
            </w:pPr>
          </w:p>
          <w:p w14:paraId="3B31C8A2">
            <w:pPr>
              <w:snapToGrid w:val="0"/>
              <w:spacing w:line="400" w:lineRule="exact"/>
              <w:rPr>
                <w:rFonts w:ascii="宋体" w:hAnsi="宋体" w:cs="宋体"/>
                <w:b/>
                <w:bCs/>
                <w:color w:val="auto"/>
                <w:sz w:val="21"/>
                <w:szCs w:val="21"/>
              </w:rPr>
            </w:pPr>
            <w:r>
              <w:rPr>
                <w:rFonts w:ascii="宋体" w:hAnsi="宋体" w:cs="宋体"/>
                <w:b/>
                <w:bCs/>
                <w:color w:val="auto"/>
                <w:sz w:val="21"/>
                <w:szCs w:val="21"/>
              </w:rPr>
              <w:t>75</w:t>
            </w:r>
            <w:r>
              <w:rPr>
                <w:rFonts w:hint="eastAsia" w:ascii="宋体" w:hAnsi="宋体" w:cs="宋体"/>
                <w:b/>
                <w:bCs/>
                <w:color w:val="auto"/>
                <w:sz w:val="21"/>
                <w:szCs w:val="21"/>
              </w:rPr>
              <w:t>分</w:t>
            </w:r>
          </w:p>
        </w:tc>
        <w:tc>
          <w:tcPr>
            <w:tcW w:w="5361" w:type="dxa"/>
            <w:vAlign w:val="center"/>
          </w:tcPr>
          <w:p w14:paraId="14D181ED">
            <w:pPr>
              <w:snapToGrid w:val="0"/>
              <w:spacing w:line="240" w:lineRule="exact"/>
              <w:ind w:firstLine="420" w:firstLineChars="200"/>
              <w:rPr>
                <w:rFonts w:ascii="宋体" w:hAnsi="宋体" w:cs="宋体"/>
                <w:bCs/>
                <w:color w:val="auto"/>
                <w:sz w:val="21"/>
                <w:szCs w:val="21"/>
              </w:rPr>
            </w:pPr>
            <w:r>
              <w:rPr>
                <w:rFonts w:hint="eastAsia" w:ascii="宋体" w:hAnsi="宋体" w:cs="宋体"/>
                <w:bCs/>
                <w:color w:val="auto"/>
                <w:sz w:val="21"/>
                <w:szCs w:val="21"/>
              </w:rPr>
              <w:t>本项目按营业收入的一定比例暂扣考核费，考核费报价为</w:t>
            </w:r>
            <w:r>
              <w:rPr>
                <w:rFonts w:ascii="宋体" w:hAnsi="宋体" w:cs="宋体"/>
                <w:bCs/>
                <w:color w:val="auto"/>
                <w:sz w:val="21"/>
                <w:szCs w:val="21"/>
              </w:rPr>
              <w:t>:</w:t>
            </w:r>
            <w:r>
              <w:rPr>
                <w:rFonts w:hint="eastAsia" w:ascii="宋体" w:hAnsi="宋体" w:cs="宋体"/>
                <w:bCs/>
                <w:color w:val="auto"/>
                <w:sz w:val="21"/>
                <w:szCs w:val="21"/>
              </w:rPr>
              <w:t>按百分比报价。</w:t>
            </w:r>
          </w:p>
          <w:p w14:paraId="472024F6">
            <w:pPr>
              <w:snapToGrid w:val="0"/>
              <w:spacing w:line="240" w:lineRule="exact"/>
              <w:rPr>
                <w:rFonts w:ascii="宋体" w:hAnsi="宋体" w:cs="宋体"/>
                <w:bCs/>
                <w:color w:val="auto"/>
                <w:sz w:val="21"/>
                <w:szCs w:val="21"/>
              </w:rPr>
            </w:pPr>
            <w:r>
              <w:rPr>
                <w:rFonts w:hint="eastAsia" w:ascii="宋体" w:hAnsi="宋体" w:cs="宋体"/>
                <w:bCs/>
                <w:color w:val="auto"/>
                <w:sz w:val="21"/>
                <w:szCs w:val="21"/>
              </w:rPr>
              <w:t>评分规则说明：</w:t>
            </w:r>
            <w:r>
              <w:rPr>
                <w:rFonts w:ascii="宋体" w:hAnsi="宋体" w:cs="宋体"/>
                <w:bCs/>
                <w:color w:val="auto"/>
                <w:sz w:val="21"/>
                <w:szCs w:val="21"/>
              </w:rPr>
              <w:t xml:space="preserve">  </w:t>
            </w:r>
          </w:p>
          <w:p w14:paraId="5CA3176C">
            <w:pPr>
              <w:snapToGrid w:val="0"/>
              <w:spacing w:line="240" w:lineRule="exact"/>
              <w:ind w:firstLine="420" w:firstLineChars="200"/>
              <w:rPr>
                <w:rFonts w:ascii="宋体" w:hAnsi="宋体" w:cs="宋体"/>
                <w:bCs/>
                <w:color w:val="auto"/>
                <w:sz w:val="21"/>
                <w:szCs w:val="21"/>
              </w:rPr>
            </w:pPr>
            <w:r>
              <w:rPr>
                <w:rFonts w:hint="eastAsia" w:ascii="宋体" w:hAnsi="宋体" w:cs="宋体"/>
                <w:bCs/>
                <w:color w:val="auto"/>
                <w:sz w:val="21"/>
                <w:szCs w:val="21"/>
              </w:rPr>
              <w:t>满足资格性、符合性要求且最后报价最高的供应商的价格为磋商基准价，价格评分采用反向计分法，报价越高得分越高。最低报价得</w:t>
            </w:r>
            <w:r>
              <w:rPr>
                <w:rFonts w:ascii="宋体" w:hAnsi="宋体" w:cs="宋体"/>
                <w:bCs/>
                <w:color w:val="auto"/>
                <w:sz w:val="21"/>
                <w:szCs w:val="21"/>
              </w:rPr>
              <w:t>60</w:t>
            </w:r>
            <w:r>
              <w:rPr>
                <w:rFonts w:hint="eastAsia" w:ascii="宋体" w:hAnsi="宋体" w:cs="宋体"/>
                <w:bCs/>
                <w:color w:val="auto"/>
                <w:sz w:val="21"/>
                <w:szCs w:val="21"/>
              </w:rPr>
              <w:t>分，最高报价得</w:t>
            </w:r>
            <w:r>
              <w:rPr>
                <w:rFonts w:ascii="宋体" w:hAnsi="宋体" w:cs="宋体"/>
                <w:bCs/>
                <w:color w:val="auto"/>
                <w:sz w:val="21"/>
                <w:szCs w:val="21"/>
              </w:rPr>
              <w:t>75</w:t>
            </w:r>
            <w:r>
              <w:rPr>
                <w:rFonts w:hint="eastAsia" w:ascii="宋体" w:hAnsi="宋体" w:cs="宋体"/>
                <w:bCs/>
                <w:color w:val="auto"/>
                <w:sz w:val="21"/>
                <w:szCs w:val="21"/>
              </w:rPr>
              <w:t>分，中间报价按线性插值法计算。</w:t>
            </w:r>
          </w:p>
          <w:p w14:paraId="0ABA3A8A">
            <w:pPr>
              <w:snapToGrid w:val="0"/>
              <w:spacing w:line="240" w:lineRule="exact"/>
              <w:rPr>
                <w:rFonts w:ascii="宋体" w:hAnsi="宋体" w:cs="宋体"/>
                <w:bCs/>
                <w:color w:val="auto"/>
                <w:sz w:val="21"/>
                <w:szCs w:val="21"/>
              </w:rPr>
            </w:pPr>
            <w:r>
              <w:rPr>
                <w:rFonts w:hint="eastAsia" w:ascii="宋体" w:hAnsi="宋体" w:cs="宋体"/>
                <w:bCs/>
                <w:color w:val="auto"/>
                <w:sz w:val="21"/>
                <w:szCs w:val="21"/>
              </w:rPr>
              <w:t>价格得分计算公式：</w:t>
            </w:r>
            <w:r>
              <w:rPr>
                <w:rFonts w:ascii="宋体" w:hAnsi="宋体" w:cs="宋体"/>
                <w:bCs/>
                <w:color w:val="auto"/>
                <w:sz w:val="21"/>
                <w:szCs w:val="21"/>
              </w:rPr>
              <w:t xml:space="preserve">  </w:t>
            </w:r>
          </w:p>
          <w:p w14:paraId="01C80966">
            <w:pPr>
              <w:snapToGrid w:val="0"/>
              <w:spacing w:line="240" w:lineRule="exact"/>
              <w:rPr>
                <w:rFonts w:ascii="宋体" w:hAnsi="宋体" w:cs="宋体"/>
                <w:bCs/>
                <w:color w:val="auto"/>
                <w:sz w:val="21"/>
                <w:szCs w:val="21"/>
              </w:rPr>
            </w:pPr>
            <w:r>
              <w:rPr>
                <w:rFonts w:hint="eastAsia" w:ascii="宋体" w:hAnsi="宋体" w:cs="宋体"/>
                <w:bCs/>
                <w:color w:val="auto"/>
                <w:sz w:val="21"/>
                <w:szCs w:val="21"/>
              </w:rPr>
              <w:t>价格得分</w:t>
            </w:r>
            <w:r>
              <w:rPr>
                <w:rFonts w:ascii="宋体" w:hAnsi="宋体" w:cs="宋体"/>
                <w:bCs/>
                <w:color w:val="auto"/>
                <w:sz w:val="21"/>
                <w:szCs w:val="21"/>
              </w:rPr>
              <w:t>=60+15</w:t>
            </w:r>
            <w:r>
              <w:rPr>
                <w:rFonts w:hint="eastAsia" w:ascii="宋体" w:hAnsi="宋体" w:cs="宋体"/>
                <w:bCs/>
                <w:color w:val="auto"/>
                <w:sz w:val="21"/>
                <w:szCs w:val="21"/>
              </w:rPr>
              <w:t>×</w:t>
            </w:r>
            <w:r>
              <w:rPr>
                <w:rFonts w:ascii="宋体" w:hAnsi="宋体" w:cs="宋体"/>
                <w:bCs/>
                <w:color w:val="auto"/>
                <w:sz w:val="21"/>
                <w:szCs w:val="21"/>
              </w:rPr>
              <w:t>[(</w:t>
            </w:r>
            <w:r>
              <w:rPr>
                <w:rFonts w:hint="eastAsia" w:ascii="宋体" w:hAnsi="宋体" w:cs="宋体"/>
                <w:bCs/>
                <w:color w:val="auto"/>
                <w:sz w:val="21"/>
                <w:szCs w:val="21"/>
              </w:rPr>
              <w:t>投标报价</w:t>
            </w:r>
            <w:r>
              <w:rPr>
                <w:rFonts w:ascii="宋体" w:hAnsi="宋体" w:cs="宋体"/>
                <w:bCs/>
                <w:color w:val="auto"/>
                <w:sz w:val="21"/>
                <w:szCs w:val="21"/>
              </w:rPr>
              <w:t>-</w:t>
            </w:r>
            <w:r>
              <w:rPr>
                <w:rFonts w:hint="eastAsia" w:ascii="宋体" w:hAnsi="宋体" w:cs="宋体"/>
                <w:bCs/>
                <w:color w:val="auto"/>
                <w:sz w:val="21"/>
                <w:szCs w:val="21"/>
              </w:rPr>
              <w:t>最低报价</w:t>
            </w:r>
            <w:r>
              <w:rPr>
                <w:rFonts w:ascii="宋体" w:hAnsi="宋体" w:cs="宋体"/>
                <w:bCs/>
                <w:color w:val="auto"/>
                <w:sz w:val="21"/>
                <w:szCs w:val="21"/>
              </w:rPr>
              <w:t>)/(</w:t>
            </w:r>
            <w:r>
              <w:rPr>
                <w:rFonts w:hint="eastAsia" w:ascii="宋体" w:hAnsi="宋体" w:cs="宋体"/>
                <w:bCs/>
                <w:color w:val="auto"/>
                <w:sz w:val="21"/>
                <w:szCs w:val="21"/>
              </w:rPr>
              <w:t>最高报价</w:t>
            </w:r>
            <w:r>
              <w:rPr>
                <w:rFonts w:ascii="宋体" w:hAnsi="宋体" w:cs="宋体"/>
                <w:bCs/>
                <w:color w:val="auto"/>
                <w:sz w:val="21"/>
                <w:szCs w:val="21"/>
              </w:rPr>
              <w:t>-</w:t>
            </w:r>
            <w:r>
              <w:rPr>
                <w:rFonts w:hint="eastAsia" w:ascii="宋体" w:hAnsi="宋体" w:cs="宋体"/>
                <w:bCs/>
                <w:color w:val="auto"/>
                <w:sz w:val="21"/>
                <w:szCs w:val="21"/>
              </w:rPr>
              <w:t>最低报价</w:t>
            </w:r>
            <w:r>
              <w:rPr>
                <w:rFonts w:ascii="宋体" w:hAnsi="宋体" w:cs="宋体"/>
                <w:bCs/>
                <w:color w:val="auto"/>
                <w:sz w:val="21"/>
                <w:szCs w:val="21"/>
              </w:rPr>
              <w:t xml:space="preserve">)] </w:t>
            </w:r>
          </w:p>
          <w:p w14:paraId="54E38019">
            <w:pPr>
              <w:snapToGrid w:val="0"/>
              <w:spacing w:line="240" w:lineRule="exact"/>
              <w:rPr>
                <w:rFonts w:ascii="宋体" w:hAnsi="宋体" w:cs="宋体"/>
                <w:bCs/>
                <w:color w:val="auto"/>
                <w:sz w:val="21"/>
                <w:szCs w:val="21"/>
              </w:rPr>
            </w:pPr>
            <w:r>
              <w:rPr>
                <w:rFonts w:ascii="宋体" w:hAnsi="宋体" w:cs="宋体"/>
                <w:bCs/>
                <w:color w:val="auto"/>
                <w:sz w:val="21"/>
                <w:szCs w:val="21"/>
              </w:rPr>
              <w:t>1.</w:t>
            </w:r>
            <w:r>
              <w:rPr>
                <w:rFonts w:hint="eastAsia" w:ascii="宋体" w:hAnsi="宋体" w:cs="宋体"/>
                <w:bCs/>
                <w:color w:val="auto"/>
                <w:sz w:val="21"/>
                <w:szCs w:val="21"/>
              </w:rPr>
              <w:t>异常处理：所有报价相同时：均得</w:t>
            </w:r>
            <w:r>
              <w:rPr>
                <w:rFonts w:ascii="宋体" w:hAnsi="宋体" w:cs="宋体"/>
                <w:bCs/>
                <w:color w:val="auto"/>
                <w:sz w:val="21"/>
                <w:szCs w:val="21"/>
              </w:rPr>
              <w:t>67.5</w:t>
            </w:r>
            <w:r>
              <w:rPr>
                <w:rFonts w:hint="eastAsia" w:ascii="宋体" w:hAnsi="宋体" w:cs="宋体"/>
                <w:bCs/>
                <w:color w:val="auto"/>
                <w:sz w:val="21"/>
                <w:szCs w:val="21"/>
              </w:rPr>
              <w:t>分（区间中值）</w:t>
            </w:r>
            <w:r>
              <w:rPr>
                <w:rFonts w:ascii="宋体" w:hAnsi="宋体" w:cs="宋体"/>
                <w:bCs/>
                <w:color w:val="auto"/>
                <w:sz w:val="21"/>
                <w:szCs w:val="21"/>
              </w:rPr>
              <w:t xml:space="preserve">  </w:t>
            </w:r>
          </w:p>
          <w:p w14:paraId="3A189D4B">
            <w:pPr>
              <w:snapToGrid w:val="0"/>
              <w:spacing w:line="240" w:lineRule="exact"/>
              <w:rPr>
                <w:rFonts w:ascii="宋体" w:hAnsi="宋体" w:cs="宋体"/>
                <w:bCs/>
                <w:color w:val="auto"/>
                <w:sz w:val="21"/>
                <w:szCs w:val="21"/>
              </w:rPr>
            </w:pPr>
            <w:r>
              <w:rPr>
                <w:rFonts w:ascii="宋体" w:hAnsi="宋体" w:cs="宋体"/>
                <w:bCs/>
                <w:color w:val="auto"/>
                <w:sz w:val="21"/>
                <w:szCs w:val="21"/>
              </w:rPr>
              <w:t>2.</w:t>
            </w:r>
            <w:r>
              <w:rPr>
                <w:rFonts w:hint="eastAsia" w:ascii="宋体" w:hAnsi="宋体" w:cs="宋体"/>
                <w:bCs/>
                <w:color w:val="auto"/>
                <w:sz w:val="21"/>
                <w:szCs w:val="21"/>
              </w:rPr>
              <w:t>数据修正：计算结果保留两位小数，小数点后第三位四舍五入。</w:t>
            </w:r>
            <w:r>
              <w:rPr>
                <w:rFonts w:ascii="宋体" w:hAnsi="宋体" w:cs="宋体"/>
                <w:bCs/>
                <w:color w:val="auto"/>
                <w:sz w:val="21"/>
                <w:szCs w:val="21"/>
              </w:rPr>
              <w:t xml:space="preserve"> </w:t>
            </w:r>
          </w:p>
          <w:p w14:paraId="668CF97D">
            <w:pPr>
              <w:snapToGrid w:val="0"/>
              <w:spacing w:line="240" w:lineRule="exact"/>
              <w:rPr>
                <w:rFonts w:hint="eastAsia" w:ascii="宋体" w:hAnsi="宋体" w:eastAsia="宋体" w:cs="宋体"/>
                <w:bCs/>
                <w:color w:val="auto"/>
                <w:sz w:val="21"/>
                <w:szCs w:val="21"/>
                <w:lang w:eastAsia="zh-CN"/>
              </w:rPr>
            </w:pPr>
            <w:r>
              <w:rPr>
                <w:rFonts w:ascii="宋体" w:hAnsi="宋体" w:cs="宋体"/>
                <w:bCs/>
                <w:color w:val="auto"/>
                <w:sz w:val="21"/>
                <w:szCs w:val="21"/>
              </w:rPr>
              <w:t>3.</w:t>
            </w:r>
            <w:r>
              <w:rPr>
                <w:rFonts w:hint="eastAsia" w:ascii="宋体" w:hAnsi="宋体" w:cs="宋体"/>
                <w:bCs/>
                <w:color w:val="auto"/>
                <w:sz w:val="21"/>
                <w:szCs w:val="21"/>
              </w:rPr>
              <w:t>举例：假定</w:t>
            </w:r>
            <w:r>
              <w:rPr>
                <w:rFonts w:ascii="宋体" w:hAnsi="宋体" w:cs="宋体"/>
                <w:bCs/>
                <w:color w:val="auto"/>
                <w:sz w:val="21"/>
                <w:szCs w:val="21"/>
              </w:rPr>
              <w:t>4</w:t>
            </w:r>
            <w:r>
              <w:rPr>
                <w:rFonts w:hint="eastAsia" w:ascii="宋体" w:hAnsi="宋体" w:cs="宋体"/>
                <w:bCs/>
                <w:color w:val="auto"/>
                <w:sz w:val="21"/>
                <w:szCs w:val="21"/>
              </w:rPr>
              <w:t>人投标，投标人</w:t>
            </w:r>
            <w:r>
              <w:rPr>
                <w:rFonts w:ascii="宋体" w:hAnsi="宋体" w:cs="宋体"/>
                <w:bCs/>
                <w:color w:val="auto"/>
                <w:sz w:val="21"/>
                <w:szCs w:val="21"/>
              </w:rPr>
              <w:t>1</w:t>
            </w:r>
            <w:r>
              <w:rPr>
                <w:rFonts w:hint="eastAsia" w:ascii="宋体" w:hAnsi="宋体" w:cs="宋体"/>
                <w:bCs/>
                <w:color w:val="auto"/>
                <w:sz w:val="21"/>
                <w:szCs w:val="21"/>
              </w:rPr>
              <w:t>报价</w:t>
            </w:r>
            <w:r>
              <w:rPr>
                <w:rFonts w:ascii="宋体" w:hAnsi="宋体" w:cs="宋体"/>
                <w:bCs/>
                <w:color w:val="auto"/>
                <w:sz w:val="21"/>
                <w:szCs w:val="21"/>
              </w:rPr>
              <w:t>8%</w:t>
            </w:r>
            <w:r>
              <w:rPr>
                <w:rFonts w:hint="eastAsia" w:ascii="宋体" w:hAnsi="宋体" w:cs="宋体"/>
                <w:bCs/>
                <w:color w:val="auto"/>
                <w:sz w:val="21"/>
                <w:szCs w:val="21"/>
              </w:rPr>
              <w:t>，投标人</w:t>
            </w:r>
            <w:r>
              <w:rPr>
                <w:rFonts w:ascii="宋体" w:hAnsi="宋体" w:cs="宋体"/>
                <w:bCs/>
                <w:color w:val="auto"/>
                <w:sz w:val="21"/>
                <w:szCs w:val="21"/>
              </w:rPr>
              <w:t>2</w:t>
            </w:r>
            <w:r>
              <w:rPr>
                <w:rFonts w:hint="eastAsia" w:ascii="宋体" w:hAnsi="宋体" w:cs="宋体"/>
                <w:bCs/>
                <w:color w:val="auto"/>
                <w:sz w:val="21"/>
                <w:szCs w:val="21"/>
              </w:rPr>
              <w:t>报价</w:t>
            </w:r>
            <w:r>
              <w:rPr>
                <w:rFonts w:ascii="宋体" w:hAnsi="宋体" w:cs="宋体"/>
                <w:bCs/>
                <w:color w:val="auto"/>
                <w:sz w:val="21"/>
                <w:szCs w:val="21"/>
              </w:rPr>
              <w:t>10%</w:t>
            </w:r>
            <w:r>
              <w:rPr>
                <w:rFonts w:hint="eastAsia" w:ascii="宋体" w:hAnsi="宋体" w:cs="宋体"/>
                <w:bCs/>
                <w:color w:val="auto"/>
                <w:sz w:val="21"/>
                <w:szCs w:val="21"/>
              </w:rPr>
              <w:t>，投标人</w:t>
            </w:r>
            <w:r>
              <w:rPr>
                <w:rFonts w:ascii="宋体" w:hAnsi="宋体" w:cs="宋体"/>
                <w:bCs/>
                <w:color w:val="auto"/>
                <w:sz w:val="21"/>
                <w:szCs w:val="21"/>
              </w:rPr>
              <w:t>3</w:t>
            </w:r>
            <w:r>
              <w:rPr>
                <w:rFonts w:hint="eastAsia" w:ascii="宋体" w:hAnsi="宋体" w:cs="宋体"/>
                <w:bCs/>
                <w:color w:val="auto"/>
                <w:sz w:val="21"/>
                <w:szCs w:val="21"/>
              </w:rPr>
              <w:t>报价</w:t>
            </w:r>
            <w:r>
              <w:rPr>
                <w:rFonts w:ascii="宋体" w:hAnsi="宋体" w:cs="宋体"/>
                <w:bCs/>
                <w:color w:val="auto"/>
                <w:sz w:val="21"/>
                <w:szCs w:val="21"/>
              </w:rPr>
              <w:t>12%</w:t>
            </w:r>
            <w:r>
              <w:rPr>
                <w:rFonts w:hint="eastAsia" w:ascii="宋体" w:hAnsi="宋体" w:cs="宋体"/>
                <w:bCs/>
                <w:color w:val="auto"/>
                <w:sz w:val="21"/>
                <w:szCs w:val="21"/>
              </w:rPr>
              <w:t>，投标人</w:t>
            </w:r>
            <w:r>
              <w:rPr>
                <w:rFonts w:ascii="宋体" w:hAnsi="宋体" w:cs="宋体"/>
                <w:bCs/>
                <w:color w:val="auto"/>
                <w:sz w:val="21"/>
                <w:szCs w:val="21"/>
              </w:rPr>
              <w:t>4</w:t>
            </w:r>
            <w:r>
              <w:rPr>
                <w:rFonts w:hint="eastAsia" w:ascii="宋体" w:hAnsi="宋体" w:cs="宋体"/>
                <w:bCs/>
                <w:color w:val="auto"/>
                <w:sz w:val="21"/>
                <w:szCs w:val="21"/>
              </w:rPr>
              <w:t>报价</w:t>
            </w:r>
            <w:r>
              <w:rPr>
                <w:rFonts w:ascii="宋体" w:hAnsi="宋体" w:cs="宋体"/>
                <w:bCs/>
                <w:color w:val="auto"/>
                <w:sz w:val="21"/>
                <w:szCs w:val="21"/>
              </w:rPr>
              <w:t>15%</w:t>
            </w:r>
            <w:r>
              <w:rPr>
                <w:rFonts w:hint="eastAsia" w:ascii="宋体" w:hAnsi="宋体" w:cs="宋体"/>
                <w:bCs/>
                <w:color w:val="auto"/>
                <w:sz w:val="21"/>
                <w:szCs w:val="21"/>
                <w:lang w:eastAsia="zh-CN"/>
              </w:rPr>
              <w:t>。</w:t>
            </w:r>
          </w:p>
          <w:p w14:paraId="7B1150C2">
            <w:pPr>
              <w:snapToGrid w:val="0"/>
              <w:spacing w:line="240" w:lineRule="exact"/>
              <w:rPr>
                <w:rFonts w:ascii="宋体" w:hAnsi="宋体" w:cs="宋体"/>
                <w:bCs/>
                <w:color w:val="auto"/>
                <w:sz w:val="21"/>
                <w:szCs w:val="21"/>
              </w:rPr>
            </w:pPr>
            <w:r>
              <w:rPr>
                <w:rFonts w:hint="eastAsia" w:ascii="宋体" w:hAnsi="宋体" w:cs="宋体"/>
                <w:bCs/>
                <w:color w:val="auto"/>
                <w:sz w:val="21"/>
                <w:szCs w:val="21"/>
              </w:rPr>
              <w:t>投标人</w:t>
            </w:r>
            <w:r>
              <w:rPr>
                <w:rFonts w:ascii="宋体" w:hAnsi="宋体" w:cs="宋体"/>
                <w:bCs/>
                <w:color w:val="auto"/>
                <w:sz w:val="21"/>
                <w:szCs w:val="21"/>
              </w:rPr>
              <w:t>1</w:t>
            </w:r>
            <w:r>
              <w:rPr>
                <w:rFonts w:hint="eastAsia" w:ascii="宋体" w:hAnsi="宋体" w:cs="宋体"/>
                <w:bCs/>
                <w:color w:val="auto"/>
                <w:sz w:val="21"/>
                <w:szCs w:val="21"/>
              </w:rPr>
              <w:t>报价得分</w:t>
            </w:r>
            <w:r>
              <w:rPr>
                <w:rFonts w:ascii="宋体" w:hAnsi="宋体" w:cs="宋体"/>
                <w:bCs/>
                <w:color w:val="auto"/>
                <w:sz w:val="21"/>
                <w:szCs w:val="21"/>
              </w:rPr>
              <w:t>=60+15*[(8%-8%)/(15%-8%)]=60</w:t>
            </w:r>
            <w:r>
              <w:rPr>
                <w:rFonts w:hint="eastAsia" w:ascii="宋体" w:hAnsi="宋体" w:cs="宋体"/>
                <w:bCs/>
                <w:color w:val="auto"/>
                <w:sz w:val="21"/>
                <w:szCs w:val="21"/>
              </w:rPr>
              <w:t>分</w:t>
            </w:r>
          </w:p>
          <w:p w14:paraId="4E3FBA18">
            <w:pPr>
              <w:snapToGrid w:val="0"/>
              <w:spacing w:line="240" w:lineRule="exact"/>
              <w:rPr>
                <w:rFonts w:ascii="宋体" w:hAnsi="宋体" w:cs="宋体"/>
                <w:bCs/>
                <w:color w:val="auto"/>
                <w:sz w:val="21"/>
                <w:szCs w:val="21"/>
              </w:rPr>
            </w:pPr>
            <w:r>
              <w:rPr>
                <w:rFonts w:hint="eastAsia" w:ascii="宋体" w:hAnsi="宋体" w:cs="宋体"/>
                <w:bCs/>
                <w:color w:val="auto"/>
                <w:sz w:val="21"/>
                <w:szCs w:val="21"/>
              </w:rPr>
              <w:t>投标人</w:t>
            </w:r>
            <w:r>
              <w:rPr>
                <w:rFonts w:ascii="宋体" w:hAnsi="宋体" w:cs="宋体"/>
                <w:bCs/>
                <w:color w:val="auto"/>
                <w:sz w:val="21"/>
                <w:szCs w:val="21"/>
              </w:rPr>
              <w:t>2</w:t>
            </w:r>
            <w:r>
              <w:rPr>
                <w:rFonts w:hint="eastAsia" w:ascii="宋体" w:hAnsi="宋体" w:cs="宋体"/>
                <w:bCs/>
                <w:color w:val="auto"/>
                <w:sz w:val="21"/>
                <w:szCs w:val="21"/>
              </w:rPr>
              <w:t>报价得分</w:t>
            </w:r>
            <w:r>
              <w:rPr>
                <w:rFonts w:ascii="宋体" w:hAnsi="宋体" w:cs="宋体"/>
                <w:bCs/>
                <w:color w:val="auto"/>
                <w:sz w:val="21"/>
                <w:szCs w:val="21"/>
              </w:rPr>
              <w:t>=60+15*[(10%-8%)/(15%-8%)]=64.29</w:t>
            </w:r>
            <w:r>
              <w:rPr>
                <w:rFonts w:hint="eastAsia" w:ascii="宋体" w:hAnsi="宋体" w:cs="宋体"/>
                <w:bCs/>
                <w:color w:val="auto"/>
                <w:sz w:val="21"/>
                <w:szCs w:val="21"/>
              </w:rPr>
              <w:t>分</w:t>
            </w:r>
          </w:p>
          <w:p w14:paraId="58E205C7">
            <w:pPr>
              <w:snapToGrid w:val="0"/>
              <w:spacing w:line="240" w:lineRule="exact"/>
              <w:rPr>
                <w:rFonts w:ascii="宋体" w:hAnsi="宋体" w:cs="宋体"/>
                <w:bCs/>
                <w:color w:val="auto"/>
                <w:sz w:val="21"/>
                <w:szCs w:val="21"/>
              </w:rPr>
            </w:pPr>
            <w:r>
              <w:rPr>
                <w:rFonts w:hint="eastAsia" w:ascii="宋体" w:hAnsi="宋体" w:cs="宋体"/>
                <w:bCs/>
                <w:color w:val="auto"/>
                <w:sz w:val="21"/>
                <w:szCs w:val="21"/>
              </w:rPr>
              <w:t>投标人</w:t>
            </w:r>
            <w:r>
              <w:rPr>
                <w:rFonts w:ascii="宋体" w:hAnsi="宋体" w:cs="宋体"/>
                <w:bCs/>
                <w:color w:val="auto"/>
                <w:sz w:val="21"/>
                <w:szCs w:val="21"/>
              </w:rPr>
              <w:t>3</w:t>
            </w:r>
            <w:r>
              <w:rPr>
                <w:rFonts w:hint="eastAsia" w:ascii="宋体" w:hAnsi="宋体" w:cs="宋体"/>
                <w:bCs/>
                <w:color w:val="auto"/>
                <w:sz w:val="21"/>
                <w:szCs w:val="21"/>
              </w:rPr>
              <w:t>报价得分</w:t>
            </w:r>
            <w:r>
              <w:rPr>
                <w:rFonts w:ascii="宋体" w:hAnsi="宋体" w:cs="宋体"/>
                <w:bCs/>
                <w:color w:val="auto"/>
                <w:sz w:val="21"/>
                <w:szCs w:val="21"/>
              </w:rPr>
              <w:t>=60+15*[(12%-8%)/(15%-8%)]=68.57</w:t>
            </w:r>
            <w:r>
              <w:rPr>
                <w:rFonts w:hint="eastAsia" w:ascii="宋体" w:hAnsi="宋体" w:cs="宋体"/>
                <w:bCs/>
                <w:color w:val="auto"/>
                <w:sz w:val="21"/>
                <w:szCs w:val="21"/>
              </w:rPr>
              <w:t>分</w:t>
            </w:r>
          </w:p>
          <w:p w14:paraId="35FB7671">
            <w:pPr>
              <w:snapToGrid w:val="0"/>
              <w:spacing w:line="240" w:lineRule="exact"/>
              <w:rPr>
                <w:rFonts w:ascii="宋体" w:hAnsi="宋体" w:cs="宋体"/>
                <w:bCs/>
                <w:color w:val="auto"/>
                <w:sz w:val="21"/>
                <w:szCs w:val="21"/>
              </w:rPr>
            </w:pPr>
            <w:r>
              <w:rPr>
                <w:rFonts w:hint="eastAsia" w:ascii="宋体" w:hAnsi="宋体" w:cs="宋体"/>
                <w:bCs/>
                <w:color w:val="auto"/>
                <w:sz w:val="21"/>
                <w:szCs w:val="21"/>
              </w:rPr>
              <w:t>投标人</w:t>
            </w:r>
            <w:r>
              <w:rPr>
                <w:rFonts w:ascii="宋体" w:hAnsi="宋体" w:cs="宋体"/>
                <w:bCs/>
                <w:color w:val="auto"/>
                <w:sz w:val="21"/>
                <w:szCs w:val="21"/>
              </w:rPr>
              <w:t>4</w:t>
            </w:r>
            <w:r>
              <w:rPr>
                <w:rFonts w:hint="eastAsia" w:ascii="宋体" w:hAnsi="宋体" w:cs="宋体"/>
                <w:bCs/>
                <w:color w:val="auto"/>
                <w:sz w:val="21"/>
                <w:szCs w:val="21"/>
              </w:rPr>
              <w:t>报价得分</w:t>
            </w:r>
            <w:r>
              <w:rPr>
                <w:rFonts w:ascii="宋体" w:hAnsi="宋体" w:cs="宋体"/>
                <w:bCs/>
                <w:color w:val="auto"/>
                <w:sz w:val="21"/>
                <w:szCs w:val="21"/>
              </w:rPr>
              <w:t>=60+15*[(15%-8%)/(15%-8%)]=75</w:t>
            </w:r>
            <w:r>
              <w:rPr>
                <w:rFonts w:hint="eastAsia" w:ascii="宋体" w:hAnsi="宋体" w:cs="宋体"/>
                <w:bCs/>
                <w:color w:val="auto"/>
                <w:sz w:val="21"/>
                <w:szCs w:val="21"/>
              </w:rPr>
              <w:t>分</w:t>
            </w:r>
          </w:p>
        </w:tc>
        <w:tc>
          <w:tcPr>
            <w:tcW w:w="1995" w:type="dxa"/>
            <w:vAlign w:val="center"/>
          </w:tcPr>
          <w:p w14:paraId="2B53605F">
            <w:pPr>
              <w:snapToGrid w:val="0"/>
              <w:spacing w:line="240" w:lineRule="exact"/>
              <w:rPr>
                <w:rFonts w:ascii="宋体" w:hAnsi="宋体" w:cs="宋体"/>
                <w:bCs/>
                <w:color w:val="auto"/>
                <w:sz w:val="21"/>
                <w:szCs w:val="21"/>
              </w:rPr>
            </w:pPr>
          </w:p>
        </w:tc>
      </w:tr>
      <w:tr w14:paraId="16C3E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4" w:hRule="atLeast"/>
          <w:jc w:val="center"/>
        </w:trPr>
        <w:tc>
          <w:tcPr>
            <w:tcW w:w="675" w:type="dxa"/>
            <w:vMerge w:val="restart"/>
            <w:vAlign w:val="center"/>
          </w:tcPr>
          <w:p w14:paraId="61D49A03">
            <w:pPr>
              <w:snapToGrid w:val="0"/>
              <w:spacing w:line="400" w:lineRule="exact"/>
              <w:rPr>
                <w:rFonts w:ascii="宋体" w:hAnsi="宋体" w:cs="宋体"/>
                <w:color w:val="auto"/>
                <w:sz w:val="21"/>
                <w:szCs w:val="21"/>
              </w:rPr>
            </w:pPr>
            <w:r>
              <w:rPr>
                <w:rFonts w:hint="eastAsia" w:ascii="宋体" w:hAnsi="宋体" w:cs="宋体"/>
                <w:b/>
                <w:bCs/>
                <w:color w:val="auto"/>
                <w:sz w:val="21"/>
                <w:szCs w:val="21"/>
              </w:rPr>
              <w:t>2</w:t>
            </w:r>
          </w:p>
        </w:tc>
        <w:tc>
          <w:tcPr>
            <w:tcW w:w="1134" w:type="dxa"/>
            <w:vMerge w:val="restart"/>
            <w:vAlign w:val="center"/>
          </w:tcPr>
          <w:p w14:paraId="68E00008">
            <w:pPr>
              <w:snapToGrid w:val="0"/>
              <w:spacing w:line="400" w:lineRule="exact"/>
              <w:rPr>
                <w:rFonts w:ascii="宋体" w:hAnsi="宋体" w:cs="宋体"/>
                <w:b/>
                <w:bCs/>
                <w:color w:val="auto"/>
                <w:sz w:val="21"/>
                <w:szCs w:val="21"/>
              </w:rPr>
            </w:pPr>
            <w:r>
              <w:rPr>
                <w:rFonts w:hint="eastAsia" w:ascii="宋体" w:hAnsi="宋体" w:cs="宋体"/>
                <w:b/>
                <w:bCs/>
                <w:color w:val="auto"/>
                <w:sz w:val="21"/>
                <w:szCs w:val="21"/>
              </w:rPr>
              <w:t>技术标得分</w:t>
            </w:r>
          </w:p>
          <w:p w14:paraId="05BA7EDE">
            <w:pPr>
              <w:snapToGrid w:val="0"/>
              <w:spacing w:line="400" w:lineRule="exact"/>
              <w:rPr>
                <w:rFonts w:ascii="宋体" w:hAnsi="宋体" w:cs="宋体"/>
                <w:color w:val="auto"/>
                <w:sz w:val="21"/>
                <w:szCs w:val="21"/>
              </w:rPr>
            </w:pPr>
            <w:r>
              <w:rPr>
                <w:rFonts w:ascii="宋体" w:hAnsi="宋体" w:cs="宋体"/>
                <w:b/>
                <w:bCs/>
                <w:color w:val="auto"/>
                <w:sz w:val="21"/>
                <w:szCs w:val="21"/>
              </w:rPr>
              <w:t>(5%)</w:t>
            </w:r>
          </w:p>
        </w:tc>
        <w:tc>
          <w:tcPr>
            <w:tcW w:w="724" w:type="dxa"/>
            <w:gridSpan w:val="2"/>
            <w:vMerge w:val="restart"/>
            <w:vAlign w:val="center"/>
          </w:tcPr>
          <w:p w14:paraId="58EF6A2B">
            <w:pPr>
              <w:widowControl/>
              <w:jc w:val="left"/>
              <w:rPr>
                <w:rFonts w:ascii="宋体" w:hAnsi="宋体" w:cs="宋体"/>
                <w:color w:val="auto"/>
                <w:sz w:val="21"/>
                <w:szCs w:val="21"/>
              </w:rPr>
            </w:pPr>
            <w:r>
              <w:rPr>
                <w:rFonts w:ascii="宋体" w:hAnsi="宋体" w:cs="宋体"/>
                <w:b/>
                <w:bCs/>
                <w:color w:val="auto"/>
                <w:sz w:val="21"/>
                <w:szCs w:val="21"/>
              </w:rPr>
              <w:t>5</w:t>
            </w:r>
            <w:r>
              <w:rPr>
                <w:rFonts w:hint="eastAsia" w:ascii="宋体" w:hAnsi="宋体" w:cs="宋体"/>
                <w:b/>
                <w:bCs/>
                <w:color w:val="auto"/>
                <w:sz w:val="21"/>
                <w:szCs w:val="21"/>
              </w:rPr>
              <w:t>分</w:t>
            </w:r>
          </w:p>
        </w:tc>
        <w:tc>
          <w:tcPr>
            <w:tcW w:w="5361" w:type="dxa"/>
          </w:tcPr>
          <w:p w14:paraId="51BF73A5">
            <w:pPr>
              <w:numPr>
                <w:ilvl w:val="-1"/>
                <w:numId w:val="0"/>
              </w:numPr>
              <w:snapToGrid w:val="0"/>
              <w:spacing w:line="240" w:lineRule="exact"/>
              <w:rPr>
                <w:rFonts w:ascii="宋体" w:hAnsi="宋体" w:cs="宋体"/>
                <w:bCs/>
                <w:color w:val="auto"/>
                <w:sz w:val="21"/>
                <w:szCs w:val="21"/>
              </w:rPr>
            </w:pPr>
            <w:r>
              <w:rPr>
                <w:rFonts w:hint="eastAsia" w:ascii="宋体" w:hAnsi="宋体" w:cs="宋体"/>
                <w:bCs/>
                <w:color w:val="auto"/>
                <w:sz w:val="21"/>
                <w:szCs w:val="21"/>
              </w:rPr>
              <w:t>技术参数</w:t>
            </w:r>
            <w:r>
              <w:rPr>
                <w:rFonts w:ascii="宋体" w:hAnsi="宋体" w:cs="宋体"/>
                <w:bCs/>
                <w:color w:val="auto"/>
                <w:sz w:val="21"/>
                <w:szCs w:val="21"/>
              </w:rPr>
              <w:t>1.5</w:t>
            </w:r>
            <w:r>
              <w:rPr>
                <w:rFonts w:hint="eastAsia" w:ascii="宋体" w:hAnsi="宋体" w:cs="宋体"/>
                <w:bCs/>
                <w:color w:val="auto"/>
                <w:sz w:val="21"/>
                <w:szCs w:val="21"/>
              </w:rPr>
              <w:t>分</w:t>
            </w:r>
          </w:p>
          <w:p w14:paraId="767FFBB5">
            <w:pPr>
              <w:snapToGrid w:val="0"/>
              <w:spacing w:line="240" w:lineRule="exact"/>
              <w:rPr>
                <w:rFonts w:ascii="宋体" w:hAnsi="宋体" w:cs="宋体"/>
                <w:bCs/>
                <w:color w:val="auto"/>
                <w:sz w:val="21"/>
                <w:szCs w:val="21"/>
              </w:rPr>
            </w:pPr>
            <w:r>
              <w:rPr>
                <w:rFonts w:hint="eastAsia" w:ascii="宋体" w:hAnsi="宋体" w:cs="宋体"/>
                <w:bCs/>
                <w:color w:val="auto"/>
                <w:sz w:val="21"/>
                <w:szCs w:val="21"/>
              </w:rPr>
              <w:t>有效供应商的起评分为</w:t>
            </w:r>
            <w:r>
              <w:rPr>
                <w:rFonts w:ascii="宋体" w:hAnsi="宋体" w:cs="宋体"/>
                <w:bCs/>
                <w:color w:val="auto"/>
                <w:sz w:val="21"/>
                <w:szCs w:val="21"/>
              </w:rPr>
              <w:t>1.5</w:t>
            </w:r>
            <w:r>
              <w:rPr>
                <w:rFonts w:hint="eastAsia" w:ascii="宋体" w:hAnsi="宋体" w:cs="宋体"/>
                <w:bCs/>
                <w:color w:val="auto"/>
                <w:sz w:val="21"/>
                <w:szCs w:val="21"/>
              </w:rPr>
              <w:t>分。</w:t>
            </w:r>
          </w:p>
          <w:p w14:paraId="609C4334">
            <w:pPr>
              <w:snapToGrid w:val="0"/>
              <w:spacing w:line="240" w:lineRule="exact"/>
              <w:rPr>
                <w:rFonts w:ascii="宋体" w:hAnsi="宋体" w:cs="宋体"/>
                <w:bCs/>
                <w:color w:val="auto"/>
                <w:sz w:val="21"/>
                <w:szCs w:val="21"/>
              </w:rPr>
            </w:pPr>
            <w:r>
              <w:rPr>
                <w:rFonts w:hint="eastAsia" w:ascii="宋体" w:hAnsi="宋体" w:cs="宋体"/>
                <w:bCs/>
                <w:color w:val="auto"/>
                <w:sz w:val="21"/>
                <w:szCs w:val="21"/>
              </w:rPr>
              <w:t>扣分条款：</w:t>
            </w:r>
          </w:p>
          <w:p w14:paraId="0F53E84E">
            <w:pPr>
              <w:snapToGrid w:val="0"/>
              <w:spacing w:line="240" w:lineRule="exact"/>
              <w:rPr>
                <w:rFonts w:ascii="宋体" w:hAnsi="宋体" w:cs="宋体"/>
                <w:bCs/>
                <w:color w:val="auto"/>
                <w:sz w:val="21"/>
                <w:szCs w:val="21"/>
              </w:rPr>
            </w:pPr>
            <w:r>
              <w:rPr>
                <w:rFonts w:hint="eastAsia" w:ascii="宋体" w:hAnsi="宋体" w:cs="宋体"/>
                <w:bCs/>
                <w:color w:val="auto"/>
                <w:sz w:val="21"/>
                <w:szCs w:val="21"/>
              </w:rPr>
              <w:t>重要参数【本招标文件第二篇中带</w:t>
            </w:r>
            <w:r>
              <w:rPr>
                <w:rFonts w:ascii="宋体" w:hAnsi="宋体" w:cs="宋体"/>
                <w:bCs/>
                <w:color w:val="auto"/>
                <w:sz w:val="21"/>
                <w:szCs w:val="21"/>
              </w:rPr>
              <w:t>*</w:t>
            </w:r>
            <w:r>
              <w:rPr>
                <w:rFonts w:hint="eastAsia" w:ascii="宋体" w:hAnsi="宋体" w:cs="宋体"/>
                <w:bCs/>
                <w:color w:val="auto"/>
                <w:sz w:val="21"/>
                <w:szCs w:val="21"/>
              </w:rPr>
              <w:t>号标注的部分】，必须全部达到招标文件要求，如有负偏离，技术标得分为</w:t>
            </w:r>
            <w:r>
              <w:rPr>
                <w:rFonts w:ascii="宋体" w:hAnsi="宋体" w:cs="宋体"/>
                <w:bCs/>
                <w:color w:val="auto"/>
                <w:sz w:val="21"/>
                <w:szCs w:val="21"/>
              </w:rPr>
              <w:t>0</w:t>
            </w:r>
            <w:r>
              <w:rPr>
                <w:rFonts w:hint="eastAsia" w:ascii="宋体" w:hAnsi="宋体" w:cs="宋体"/>
                <w:bCs/>
                <w:color w:val="auto"/>
                <w:sz w:val="21"/>
                <w:szCs w:val="21"/>
              </w:rPr>
              <w:t>分，该标作为废标处理。</w:t>
            </w:r>
          </w:p>
          <w:p w14:paraId="79354C14">
            <w:pPr>
              <w:snapToGrid w:val="0"/>
              <w:spacing w:line="240" w:lineRule="exact"/>
              <w:rPr>
                <w:rFonts w:ascii="宋体" w:hAnsi="宋体" w:cs="宋体"/>
                <w:bCs/>
                <w:color w:val="auto"/>
                <w:sz w:val="21"/>
                <w:szCs w:val="21"/>
              </w:rPr>
            </w:pPr>
            <w:r>
              <w:rPr>
                <w:rFonts w:hint="eastAsia" w:ascii="宋体" w:hAnsi="宋体" w:cs="宋体"/>
                <w:bCs/>
                <w:color w:val="auto"/>
                <w:sz w:val="21"/>
                <w:szCs w:val="21"/>
              </w:rPr>
              <w:t>一般参数【本招标文件第二篇中未带</w:t>
            </w:r>
            <w:r>
              <w:rPr>
                <w:rFonts w:ascii="宋体" w:hAnsi="宋体" w:cs="宋体"/>
                <w:bCs/>
                <w:color w:val="auto"/>
                <w:sz w:val="21"/>
                <w:szCs w:val="21"/>
              </w:rPr>
              <w:t>*</w:t>
            </w:r>
            <w:r>
              <w:rPr>
                <w:rFonts w:hint="eastAsia" w:ascii="宋体" w:hAnsi="宋体" w:cs="宋体"/>
                <w:bCs/>
                <w:color w:val="auto"/>
                <w:sz w:val="21"/>
                <w:szCs w:val="21"/>
              </w:rPr>
              <w:t>号标注的部分】达不到招标文件要求的，每负偏离一条从起评分中扣除</w:t>
            </w:r>
            <w:r>
              <w:rPr>
                <w:rFonts w:ascii="宋体" w:hAnsi="宋体" w:cs="宋体"/>
                <w:bCs/>
                <w:color w:val="auto"/>
                <w:sz w:val="21"/>
                <w:szCs w:val="21"/>
              </w:rPr>
              <w:t>0.5</w:t>
            </w:r>
            <w:r>
              <w:rPr>
                <w:rFonts w:hint="eastAsia" w:ascii="宋体" w:hAnsi="宋体" w:cs="宋体"/>
                <w:bCs/>
                <w:color w:val="auto"/>
                <w:sz w:val="21"/>
                <w:szCs w:val="21"/>
              </w:rPr>
              <w:t>分，起评分</w:t>
            </w:r>
            <w:r>
              <w:rPr>
                <w:rFonts w:ascii="宋体" w:hAnsi="宋体" w:cs="宋体"/>
                <w:bCs/>
                <w:color w:val="auto"/>
                <w:sz w:val="21"/>
                <w:szCs w:val="21"/>
              </w:rPr>
              <w:t>1.5</w:t>
            </w:r>
            <w:r>
              <w:rPr>
                <w:rFonts w:hint="eastAsia" w:ascii="宋体" w:hAnsi="宋体" w:cs="宋体"/>
                <w:bCs/>
                <w:color w:val="auto"/>
                <w:sz w:val="21"/>
                <w:szCs w:val="21"/>
              </w:rPr>
              <w:t>分扣完为止。</w:t>
            </w:r>
          </w:p>
        </w:tc>
        <w:tc>
          <w:tcPr>
            <w:tcW w:w="1995" w:type="dxa"/>
          </w:tcPr>
          <w:p w14:paraId="450A8AE3">
            <w:pPr>
              <w:snapToGrid w:val="0"/>
              <w:spacing w:line="240" w:lineRule="exact"/>
              <w:rPr>
                <w:rFonts w:ascii="宋体" w:hAnsi="宋体" w:cs="宋体"/>
                <w:bCs/>
                <w:color w:val="auto"/>
                <w:sz w:val="21"/>
                <w:szCs w:val="21"/>
              </w:rPr>
            </w:pPr>
          </w:p>
        </w:tc>
      </w:tr>
      <w:tr w14:paraId="46486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675" w:type="dxa"/>
            <w:vMerge w:val="continue"/>
            <w:vAlign w:val="center"/>
          </w:tcPr>
          <w:p w14:paraId="22C36787">
            <w:pPr>
              <w:snapToGrid w:val="0"/>
              <w:spacing w:line="400" w:lineRule="exact"/>
              <w:rPr>
                <w:rFonts w:ascii="宋体" w:hAnsi="宋体" w:cs="宋体"/>
                <w:b/>
                <w:bCs/>
                <w:color w:val="auto"/>
                <w:sz w:val="21"/>
                <w:szCs w:val="21"/>
              </w:rPr>
            </w:pPr>
          </w:p>
        </w:tc>
        <w:tc>
          <w:tcPr>
            <w:tcW w:w="1134" w:type="dxa"/>
            <w:vMerge w:val="continue"/>
            <w:vAlign w:val="center"/>
          </w:tcPr>
          <w:p w14:paraId="24C27FD4">
            <w:pPr>
              <w:snapToGrid w:val="0"/>
              <w:spacing w:line="400" w:lineRule="exact"/>
              <w:rPr>
                <w:rFonts w:ascii="宋体" w:hAnsi="宋体" w:cs="宋体"/>
                <w:b/>
                <w:bCs/>
                <w:color w:val="auto"/>
                <w:sz w:val="21"/>
                <w:szCs w:val="21"/>
              </w:rPr>
            </w:pPr>
          </w:p>
        </w:tc>
        <w:tc>
          <w:tcPr>
            <w:tcW w:w="724" w:type="dxa"/>
            <w:gridSpan w:val="2"/>
            <w:vMerge w:val="continue"/>
            <w:vAlign w:val="center"/>
          </w:tcPr>
          <w:p w14:paraId="7120A811">
            <w:pPr>
              <w:widowControl/>
              <w:jc w:val="left"/>
              <w:rPr>
                <w:rFonts w:ascii="宋体" w:hAnsi="宋体" w:cs="宋体"/>
                <w:b/>
                <w:bCs/>
                <w:color w:val="auto"/>
                <w:sz w:val="21"/>
                <w:szCs w:val="21"/>
              </w:rPr>
            </w:pPr>
          </w:p>
        </w:tc>
        <w:tc>
          <w:tcPr>
            <w:tcW w:w="5361" w:type="dxa"/>
          </w:tcPr>
          <w:p w14:paraId="1451557A">
            <w:pPr>
              <w:snapToGrid w:val="0"/>
              <w:spacing w:line="240" w:lineRule="exact"/>
              <w:rPr>
                <w:rFonts w:ascii="宋体" w:hAnsi="宋体" w:cs="宋体"/>
                <w:bCs/>
                <w:color w:val="auto"/>
                <w:sz w:val="21"/>
                <w:szCs w:val="21"/>
              </w:rPr>
            </w:pPr>
            <w:r>
              <w:rPr>
                <w:rFonts w:hint="eastAsia" w:ascii="宋体" w:hAnsi="宋体" w:cs="宋体"/>
                <w:bCs/>
                <w:color w:val="auto"/>
                <w:sz w:val="21"/>
                <w:szCs w:val="21"/>
              </w:rPr>
              <w:t>二、项目管理班子人员配备（</w:t>
            </w:r>
            <w:r>
              <w:rPr>
                <w:rFonts w:ascii="宋体" w:hAnsi="宋体" w:cs="宋体"/>
                <w:bCs/>
                <w:color w:val="auto"/>
                <w:sz w:val="21"/>
                <w:szCs w:val="21"/>
              </w:rPr>
              <w:t>3.5</w:t>
            </w:r>
            <w:r>
              <w:rPr>
                <w:rFonts w:hint="eastAsia" w:ascii="宋体" w:hAnsi="宋体" w:cs="宋体"/>
                <w:bCs/>
                <w:color w:val="auto"/>
                <w:sz w:val="21"/>
                <w:szCs w:val="21"/>
              </w:rPr>
              <w:t>分）</w:t>
            </w:r>
          </w:p>
          <w:p w14:paraId="6BD13F46">
            <w:pPr>
              <w:snapToGrid w:val="0"/>
              <w:spacing w:line="240" w:lineRule="exact"/>
              <w:rPr>
                <w:rFonts w:ascii="宋体" w:hAnsi="宋体" w:cs="宋体"/>
                <w:bCs/>
                <w:color w:val="auto"/>
                <w:sz w:val="21"/>
                <w:szCs w:val="21"/>
              </w:rPr>
            </w:pPr>
            <w:r>
              <w:rPr>
                <w:rFonts w:ascii="宋体" w:hAnsi="宋体" w:cs="宋体"/>
                <w:bCs/>
                <w:color w:val="auto"/>
                <w:sz w:val="21"/>
                <w:szCs w:val="21"/>
              </w:rPr>
              <w:t>1.</w:t>
            </w:r>
            <w:r>
              <w:rPr>
                <w:rFonts w:hint="eastAsia" w:ascii="宋体" w:hAnsi="宋体" w:cs="宋体"/>
                <w:bCs/>
                <w:color w:val="auto"/>
                <w:sz w:val="21"/>
                <w:szCs w:val="21"/>
              </w:rPr>
              <w:t>项目负责人素质、经验（</w:t>
            </w:r>
            <w:r>
              <w:rPr>
                <w:rFonts w:ascii="宋体" w:hAnsi="宋体" w:cs="宋体"/>
                <w:bCs/>
                <w:color w:val="auto"/>
                <w:sz w:val="21"/>
                <w:szCs w:val="21"/>
              </w:rPr>
              <w:t>2</w:t>
            </w:r>
            <w:r>
              <w:rPr>
                <w:rFonts w:hint="eastAsia" w:ascii="宋体" w:hAnsi="宋体" w:cs="宋体"/>
                <w:bCs/>
                <w:color w:val="auto"/>
                <w:sz w:val="21"/>
                <w:szCs w:val="21"/>
              </w:rPr>
              <w:t>分）</w:t>
            </w:r>
          </w:p>
          <w:p w14:paraId="525DE22E">
            <w:pPr>
              <w:snapToGrid w:val="0"/>
              <w:spacing w:line="240" w:lineRule="exact"/>
              <w:rPr>
                <w:rFonts w:ascii="宋体" w:hAnsi="宋体" w:cs="宋体"/>
                <w:bCs/>
                <w:color w:val="auto"/>
                <w:sz w:val="21"/>
                <w:szCs w:val="21"/>
              </w:rPr>
            </w:pPr>
            <w:r>
              <w:rPr>
                <w:rFonts w:hint="eastAsia" w:ascii="宋体" w:hAnsi="宋体" w:cs="宋体"/>
                <w:bCs/>
                <w:color w:val="auto"/>
                <w:sz w:val="21"/>
                <w:szCs w:val="21"/>
              </w:rPr>
              <w:t>项目负责人经验丰富，同一人同时满足以下条件（取得相关证书日期应在公告发布日期之前）得分</w:t>
            </w:r>
            <w:r>
              <w:rPr>
                <w:rFonts w:ascii="宋体" w:hAnsi="宋体" w:cs="宋体"/>
                <w:bCs/>
                <w:color w:val="auto"/>
                <w:sz w:val="21"/>
                <w:szCs w:val="21"/>
              </w:rPr>
              <w:t>2</w:t>
            </w:r>
            <w:r>
              <w:rPr>
                <w:rFonts w:hint="eastAsia" w:ascii="宋体" w:hAnsi="宋体" w:cs="宋体"/>
                <w:bCs/>
                <w:color w:val="auto"/>
                <w:sz w:val="21"/>
                <w:szCs w:val="21"/>
              </w:rPr>
              <w:t>分，不同时满足不得分：</w:t>
            </w:r>
          </w:p>
          <w:p w14:paraId="39A09D76">
            <w:pPr>
              <w:snapToGrid w:val="0"/>
              <w:spacing w:line="240" w:lineRule="exact"/>
              <w:rPr>
                <w:rFonts w:ascii="宋体" w:hAnsi="宋体" w:cs="宋体"/>
                <w:bCs/>
                <w:color w:val="auto"/>
                <w:sz w:val="21"/>
                <w:szCs w:val="21"/>
              </w:rPr>
            </w:pPr>
            <w:r>
              <w:rPr>
                <w:rFonts w:ascii="宋体" w:hAnsi="宋体" w:cs="宋体"/>
                <w:bCs/>
                <w:color w:val="auto"/>
                <w:sz w:val="21"/>
                <w:szCs w:val="21"/>
              </w:rPr>
              <w:t>a.</w:t>
            </w:r>
            <w:r>
              <w:rPr>
                <w:rFonts w:hint="eastAsia" w:ascii="宋体" w:hAnsi="宋体" w:cs="宋体"/>
                <w:bCs/>
                <w:color w:val="auto"/>
                <w:sz w:val="21"/>
                <w:szCs w:val="21"/>
              </w:rPr>
              <w:t>具有专科及以上学历</w:t>
            </w:r>
            <w:r>
              <w:rPr>
                <w:rFonts w:ascii="宋体" w:hAnsi="宋体" w:cs="宋体"/>
                <w:bCs/>
                <w:color w:val="auto"/>
                <w:sz w:val="21"/>
                <w:szCs w:val="21"/>
              </w:rPr>
              <w:t>(</w:t>
            </w:r>
            <w:r>
              <w:rPr>
                <w:rFonts w:hint="eastAsia" w:ascii="宋体" w:hAnsi="宋体" w:cs="宋体"/>
                <w:bCs/>
                <w:color w:val="auto"/>
                <w:sz w:val="21"/>
                <w:szCs w:val="21"/>
              </w:rPr>
              <w:t>提供毕业证书复印件和学信网查询截图）。</w:t>
            </w:r>
          </w:p>
          <w:p w14:paraId="612E73E1">
            <w:pPr>
              <w:snapToGrid w:val="0"/>
              <w:spacing w:line="240" w:lineRule="exact"/>
              <w:rPr>
                <w:rFonts w:ascii="宋体" w:hAnsi="宋体" w:cs="宋体"/>
                <w:bCs/>
                <w:color w:val="auto"/>
                <w:sz w:val="21"/>
                <w:szCs w:val="21"/>
              </w:rPr>
            </w:pPr>
            <w:r>
              <w:rPr>
                <w:rFonts w:ascii="宋体" w:hAnsi="宋体" w:cs="宋体"/>
                <w:bCs/>
                <w:color w:val="auto"/>
                <w:sz w:val="21"/>
                <w:szCs w:val="21"/>
              </w:rPr>
              <w:t>b.</w:t>
            </w:r>
            <w:r>
              <w:rPr>
                <w:rFonts w:hint="eastAsia" w:ascii="宋体" w:hAnsi="宋体" w:cs="宋体"/>
                <w:bCs/>
                <w:color w:val="auto"/>
                <w:sz w:val="21"/>
                <w:szCs w:val="21"/>
              </w:rPr>
              <w:t>具有连续</w:t>
            </w:r>
            <w:r>
              <w:rPr>
                <w:rFonts w:ascii="宋体" w:hAnsi="宋体" w:cs="宋体"/>
                <w:bCs/>
                <w:color w:val="auto"/>
                <w:sz w:val="21"/>
                <w:szCs w:val="21"/>
              </w:rPr>
              <w:t>5</w:t>
            </w:r>
            <w:r>
              <w:rPr>
                <w:rFonts w:hint="eastAsia" w:ascii="宋体" w:hAnsi="宋体" w:cs="宋体"/>
                <w:bCs/>
                <w:color w:val="auto"/>
                <w:sz w:val="21"/>
                <w:szCs w:val="21"/>
              </w:rPr>
              <w:t>年高校食堂餐饮管理经验。（提供供应商所服务高校的正式合同复印件加盖供应商鲜章、任职经历证明并加盖供应商所服务高校公章，提供供应商社保缴纳证明材料，连续</w:t>
            </w:r>
            <w:r>
              <w:rPr>
                <w:rFonts w:ascii="宋体" w:hAnsi="宋体" w:cs="宋体"/>
                <w:bCs/>
                <w:color w:val="auto"/>
                <w:sz w:val="21"/>
                <w:szCs w:val="21"/>
              </w:rPr>
              <w:t>5</w:t>
            </w:r>
            <w:r>
              <w:rPr>
                <w:rFonts w:hint="eastAsia" w:ascii="宋体" w:hAnsi="宋体" w:cs="宋体"/>
                <w:bCs/>
                <w:color w:val="auto"/>
                <w:sz w:val="21"/>
                <w:szCs w:val="21"/>
              </w:rPr>
              <w:t>年社保）</w:t>
            </w:r>
          </w:p>
          <w:p w14:paraId="60604FCF">
            <w:pPr>
              <w:snapToGrid w:val="0"/>
              <w:spacing w:line="240" w:lineRule="exact"/>
              <w:rPr>
                <w:rFonts w:ascii="宋体" w:hAnsi="宋体" w:cs="宋体"/>
                <w:bCs/>
                <w:color w:val="auto"/>
                <w:sz w:val="21"/>
                <w:szCs w:val="21"/>
              </w:rPr>
            </w:pPr>
            <w:r>
              <w:rPr>
                <w:rFonts w:ascii="宋体" w:hAnsi="宋体" w:cs="宋体"/>
                <w:bCs/>
                <w:color w:val="auto"/>
                <w:sz w:val="21"/>
                <w:szCs w:val="21"/>
              </w:rPr>
              <w:t>c.</w:t>
            </w:r>
            <w:r>
              <w:rPr>
                <w:rFonts w:hint="eastAsia" w:ascii="宋体" w:hAnsi="宋体" w:cs="宋体"/>
                <w:bCs/>
                <w:color w:val="auto"/>
                <w:sz w:val="21"/>
                <w:szCs w:val="21"/>
              </w:rPr>
              <w:t>具有高级餐饮职业经理人资格证书（提供证书复印件并加盖供应商公章）。</w:t>
            </w:r>
          </w:p>
          <w:p w14:paraId="690FA045">
            <w:pPr>
              <w:snapToGrid w:val="0"/>
              <w:spacing w:line="240" w:lineRule="exact"/>
              <w:rPr>
                <w:rFonts w:ascii="宋体" w:hAnsi="宋体" w:cs="宋体"/>
                <w:bCs/>
                <w:color w:val="auto"/>
                <w:sz w:val="21"/>
                <w:szCs w:val="21"/>
              </w:rPr>
            </w:pPr>
            <w:r>
              <w:rPr>
                <w:rFonts w:ascii="宋体" w:hAnsi="宋体" w:cs="宋体"/>
                <w:bCs/>
                <w:color w:val="auto"/>
                <w:sz w:val="21"/>
                <w:szCs w:val="21"/>
              </w:rPr>
              <w:t>d.</w:t>
            </w:r>
            <w:r>
              <w:rPr>
                <w:rFonts w:hint="eastAsia" w:ascii="宋体" w:hAnsi="宋体" w:cs="宋体"/>
                <w:bCs/>
                <w:color w:val="auto"/>
                <w:sz w:val="21"/>
                <w:szCs w:val="21"/>
              </w:rPr>
              <w:t>具有国家市场监督管理总局认证认可的食品安全总监或者食品安全管理员证书（提供证书复印件并加盖供应商公章）。</w:t>
            </w:r>
          </w:p>
          <w:p w14:paraId="04A8B668">
            <w:pPr>
              <w:snapToGrid w:val="0"/>
              <w:spacing w:line="240" w:lineRule="exact"/>
              <w:rPr>
                <w:rFonts w:ascii="宋体" w:hAnsi="宋体" w:cs="宋体"/>
                <w:bCs/>
                <w:color w:val="auto"/>
                <w:sz w:val="21"/>
                <w:szCs w:val="21"/>
              </w:rPr>
            </w:pPr>
            <w:r>
              <w:rPr>
                <w:rFonts w:ascii="宋体" w:hAnsi="宋体" w:cs="宋体"/>
                <w:bCs/>
                <w:color w:val="auto"/>
                <w:sz w:val="21"/>
                <w:szCs w:val="21"/>
              </w:rPr>
              <w:t>2.</w:t>
            </w:r>
            <w:r>
              <w:rPr>
                <w:rFonts w:hint="eastAsia" w:ascii="宋体" w:hAnsi="宋体" w:cs="宋体"/>
                <w:bCs/>
                <w:color w:val="auto"/>
                <w:sz w:val="21"/>
                <w:szCs w:val="21"/>
              </w:rPr>
              <w:t>厨师长资质，供应商为本项目配备的厨师长具备人力资源和社会保障部门颁发的一级</w:t>
            </w:r>
            <w:r>
              <w:rPr>
                <w:rFonts w:ascii="宋体" w:hAnsi="宋体" w:cs="宋体"/>
                <w:bCs/>
                <w:color w:val="auto"/>
                <w:sz w:val="21"/>
                <w:szCs w:val="21"/>
              </w:rPr>
              <w:t>/</w:t>
            </w:r>
            <w:r>
              <w:rPr>
                <w:rFonts w:hint="eastAsia" w:ascii="宋体" w:hAnsi="宋体" w:cs="宋体"/>
                <w:bCs/>
                <w:color w:val="auto"/>
                <w:sz w:val="21"/>
                <w:szCs w:val="21"/>
              </w:rPr>
              <w:t>高级技师烹调师证书或者一级</w:t>
            </w:r>
            <w:r>
              <w:rPr>
                <w:rFonts w:ascii="宋体" w:hAnsi="宋体" w:cs="宋体"/>
                <w:bCs/>
                <w:color w:val="auto"/>
                <w:sz w:val="21"/>
                <w:szCs w:val="21"/>
              </w:rPr>
              <w:t>/</w:t>
            </w:r>
            <w:r>
              <w:rPr>
                <w:rFonts w:hint="eastAsia" w:ascii="宋体" w:hAnsi="宋体" w:cs="宋体"/>
                <w:bCs/>
                <w:color w:val="auto"/>
                <w:sz w:val="21"/>
                <w:szCs w:val="21"/>
              </w:rPr>
              <w:t>高级技师厨师证书，</w:t>
            </w:r>
            <w:r>
              <w:rPr>
                <w:rFonts w:ascii="宋体" w:hAnsi="宋体" w:cs="宋体"/>
                <w:bCs/>
                <w:color w:val="auto"/>
                <w:sz w:val="21"/>
                <w:szCs w:val="21"/>
              </w:rPr>
              <w:t>0.5</w:t>
            </w:r>
            <w:r>
              <w:rPr>
                <w:rFonts w:hint="eastAsia" w:ascii="宋体" w:hAnsi="宋体" w:cs="宋体"/>
                <w:bCs/>
                <w:color w:val="auto"/>
                <w:sz w:val="21"/>
                <w:szCs w:val="21"/>
              </w:rPr>
              <w:t>分。提供证书复印并加盖供应商公章。</w:t>
            </w:r>
          </w:p>
          <w:p w14:paraId="6C4F9709">
            <w:pPr>
              <w:snapToGrid w:val="0"/>
              <w:spacing w:line="240" w:lineRule="exact"/>
              <w:rPr>
                <w:rFonts w:ascii="宋体" w:hAnsi="宋体" w:cs="宋体"/>
                <w:bCs/>
                <w:color w:val="auto"/>
                <w:sz w:val="21"/>
                <w:szCs w:val="21"/>
              </w:rPr>
            </w:pPr>
            <w:r>
              <w:rPr>
                <w:rFonts w:ascii="宋体" w:hAnsi="宋体" w:cs="宋体"/>
                <w:bCs/>
                <w:color w:val="auto"/>
                <w:sz w:val="21"/>
                <w:szCs w:val="21"/>
              </w:rPr>
              <w:t>3.</w:t>
            </w:r>
            <w:r>
              <w:rPr>
                <w:rFonts w:hint="eastAsia" w:ascii="宋体" w:hAnsi="宋体" w:cs="宋体"/>
                <w:bCs/>
                <w:color w:val="auto"/>
                <w:sz w:val="21"/>
                <w:szCs w:val="21"/>
              </w:rPr>
              <w:t>供应商为本项目配备的安全员为专科及以上学历同时具备国家级市场监督管理总局认证认可的食品安全员证书得</w:t>
            </w:r>
            <w:r>
              <w:rPr>
                <w:rFonts w:ascii="宋体" w:hAnsi="宋体" w:cs="宋体"/>
                <w:bCs/>
                <w:color w:val="auto"/>
                <w:sz w:val="21"/>
                <w:szCs w:val="21"/>
              </w:rPr>
              <w:t>0.5</w:t>
            </w:r>
            <w:r>
              <w:rPr>
                <w:rFonts w:hint="eastAsia" w:ascii="宋体" w:hAnsi="宋体" w:cs="宋体"/>
                <w:bCs/>
                <w:color w:val="auto"/>
                <w:sz w:val="21"/>
                <w:szCs w:val="21"/>
              </w:rPr>
              <w:t>分。提供证书复印并加盖供应商公章。</w:t>
            </w:r>
          </w:p>
          <w:p w14:paraId="050C463B">
            <w:pPr>
              <w:snapToGrid w:val="0"/>
              <w:spacing w:line="240" w:lineRule="exact"/>
              <w:rPr>
                <w:rFonts w:ascii="宋体" w:hAnsi="宋体" w:cs="宋体"/>
                <w:bCs/>
                <w:color w:val="auto"/>
                <w:sz w:val="21"/>
                <w:szCs w:val="21"/>
              </w:rPr>
            </w:pPr>
            <w:r>
              <w:rPr>
                <w:rFonts w:ascii="宋体" w:hAnsi="宋体" w:cs="宋体"/>
                <w:bCs/>
                <w:color w:val="auto"/>
                <w:sz w:val="21"/>
                <w:szCs w:val="21"/>
              </w:rPr>
              <w:t>4.</w:t>
            </w:r>
            <w:r>
              <w:rPr>
                <w:rFonts w:hint="eastAsia" w:ascii="宋体" w:hAnsi="宋体" w:cs="宋体"/>
                <w:bCs/>
                <w:color w:val="auto"/>
                <w:sz w:val="21"/>
                <w:szCs w:val="21"/>
              </w:rPr>
              <w:t>供应商承诺投保最低额为</w:t>
            </w:r>
            <w:r>
              <w:rPr>
                <w:rFonts w:ascii="宋体" w:hAnsi="宋体" w:cs="宋体"/>
                <w:bCs/>
                <w:color w:val="auto"/>
                <w:sz w:val="21"/>
                <w:szCs w:val="21"/>
              </w:rPr>
              <w:t>1000</w:t>
            </w:r>
            <w:r>
              <w:rPr>
                <w:rFonts w:hint="eastAsia" w:ascii="宋体" w:hAnsi="宋体" w:cs="宋体"/>
                <w:bCs/>
                <w:color w:val="auto"/>
                <w:sz w:val="21"/>
                <w:szCs w:val="21"/>
              </w:rPr>
              <w:t>万元人民币的食品安全责任险（含公众责任险），且每人财产损失险保额不低于</w:t>
            </w:r>
            <w:r>
              <w:rPr>
                <w:rFonts w:ascii="宋体" w:hAnsi="宋体" w:cs="宋体"/>
                <w:bCs/>
                <w:color w:val="auto"/>
                <w:sz w:val="21"/>
                <w:szCs w:val="21"/>
              </w:rPr>
              <w:t>10</w:t>
            </w:r>
            <w:r>
              <w:rPr>
                <w:rFonts w:hint="eastAsia" w:ascii="宋体" w:hAnsi="宋体" w:cs="宋体"/>
                <w:bCs/>
                <w:color w:val="auto"/>
                <w:sz w:val="21"/>
                <w:szCs w:val="21"/>
              </w:rPr>
              <w:t>万和人身伤害每人不低于</w:t>
            </w:r>
            <w:r>
              <w:rPr>
                <w:rFonts w:ascii="宋体" w:hAnsi="宋体" w:cs="宋体"/>
                <w:bCs/>
                <w:color w:val="auto"/>
                <w:sz w:val="21"/>
                <w:szCs w:val="21"/>
              </w:rPr>
              <w:t>50</w:t>
            </w:r>
            <w:r>
              <w:rPr>
                <w:rFonts w:hint="eastAsia" w:ascii="宋体" w:hAnsi="宋体" w:cs="宋体"/>
                <w:bCs/>
                <w:color w:val="auto"/>
                <w:sz w:val="21"/>
                <w:szCs w:val="21"/>
              </w:rPr>
              <w:t>万，得</w:t>
            </w:r>
            <w:r>
              <w:rPr>
                <w:rFonts w:ascii="宋体" w:hAnsi="宋体" w:cs="宋体"/>
                <w:bCs/>
                <w:color w:val="auto"/>
                <w:sz w:val="21"/>
                <w:szCs w:val="21"/>
              </w:rPr>
              <w:t>0.5</w:t>
            </w:r>
            <w:r>
              <w:rPr>
                <w:rFonts w:hint="eastAsia" w:ascii="宋体" w:hAnsi="宋体" w:cs="宋体"/>
                <w:bCs/>
                <w:color w:val="auto"/>
                <w:sz w:val="21"/>
                <w:szCs w:val="21"/>
              </w:rPr>
              <w:t>分。无承诺的，该项得</w:t>
            </w:r>
            <w:r>
              <w:rPr>
                <w:rFonts w:ascii="宋体" w:hAnsi="宋体" w:cs="宋体"/>
                <w:bCs/>
                <w:color w:val="auto"/>
                <w:sz w:val="21"/>
                <w:szCs w:val="21"/>
              </w:rPr>
              <w:t>0</w:t>
            </w:r>
            <w:r>
              <w:rPr>
                <w:rFonts w:hint="eastAsia" w:ascii="宋体" w:hAnsi="宋体" w:cs="宋体"/>
                <w:bCs/>
                <w:color w:val="auto"/>
                <w:sz w:val="21"/>
                <w:szCs w:val="21"/>
              </w:rPr>
              <w:t>分。（提供承诺书加盖供应商公章，格式自定）。若开业前成交商未按承诺购买，则由采购人代购，费用由成交商承担（采购人从最近一次营业款中扣除）</w:t>
            </w:r>
          </w:p>
          <w:p w14:paraId="41F2D42F">
            <w:pPr>
              <w:snapToGrid w:val="0"/>
              <w:spacing w:line="240" w:lineRule="exact"/>
              <w:ind w:firstLine="420" w:firstLineChars="200"/>
              <w:rPr>
                <w:rFonts w:ascii="宋体" w:hAnsi="宋体" w:cs="宋体"/>
                <w:bCs/>
                <w:color w:val="auto"/>
                <w:sz w:val="21"/>
                <w:szCs w:val="21"/>
              </w:rPr>
            </w:pPr>
          </w:p>
        </w:tc>
        <w:tc>
          <w:tcPr>
            <w:tcW w:w="1995" w:type="dxa"/>
          </w:tcPr>
          <w:p w14:paraId="7A7F317F">
            <w:pPr>
              <w:snapToGrid w:val="0"/>
              <w:spacing w:line="240" w:lineRule="exact"/>
              <w:rPr>
                <w:rFonts w:ascii="宋体" w:hAnsi="宋体" w:cs="宋体"/>
                <w:bCs/>
                <w:color w:val="auto"/>
                <w:sz w:val="21"/>
                <w:szCs w:val="21"/>
              </w:rPr>
            </w:pPr>
          </w:p>
          <w:p w14:paraId="78D1F511">
            <w:pPr>
              <w:snapToGrid w:val="0"/>
              <w:spacing w:line="240" w:lineRule="exact"/>
              <w:rPr>
                <w:rFonts w:ascii="宋体" w:hAnsi="宋体" w:cs="宋体"/>
                <w:bCs/>
                <w:color w:val="auto"/>
                <w:sz w:val="21"/>
                <w:szCs w:val="21"/>
              </w:rPr>
            </w:pPr>
          </w:p>
          <w:p w14:paraId="415F0BB1">
            <w:pPr>
              <w:snapToGrid w:val="0"/>
              <w:spacing w:line="240" w:lineRule="exact"/>
              <w:rPr>
                <w:rFonts w:ascii="宋体" w:hAnsi="宋体" w:cs="宋体"/>
                <w:bCs/>
                <w:color w:val="auto"/>
                <w:sz w:val="21"/>
                <w:szCs w:val="21"/>
              </w:rPr>
            </w:pPr>
            <w:r>
              <w:rPr>
                <w:rFonts w:hint="eastAsia" w:ascii="宋体" w:hAnsi="宋体" w:cs="宋体"/>
                <w:bCs/>
                <w:color w:val="auto"/>
                <w:sz w:val="21"/>
                <w:szCs w:val="21"/>
              </w:rPr>
              <w:t>提供项目管理班子人员劳动合同复印件加盖供应商公章和2025年1月至2025年5月期间连续5个月的养老保险证明材料（复印件加盖供应商公章，原件现场备查）。 提供购买本项目食品安全责任险承诺书原件。</w:t>
            </w:r>
          </w:p>
          <w:p w14:paraId="155463FC">
            <w:pPr>
              <w:snapToGrid w:val="0"/>
              <w:spacing w:line="240" w:lineRule="exact"/>
              <w:rPr>
                <w:rFonts w:ascii="宋体" w:hAnsi="宋体" w:cs="宋体"/>
                <w:color w:val="auto"/>
                <w:sz w:val="21"/>
                <w:szCs w:val="21"/>
              </w:rPr>
            </w:pPr>
          </w:p>
        </w:tc>
      </w:tr>
      <w:tr w14:paraId="5C619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9" w:type="dxa"/>
            <w:gridSpan w:val="6"/>
            <w:vAlign w:val="center"/>
          </w:tcPr>
          <w:p w14:paraId="4DBA2648">
            <w:pPr>
              <w:snapToGrid w:val="0"/>
              <w:spacing w:line="400" w:lineRule="exact"/>
              <w:rPr>
                <w:rFonts w:ascii="宋体" w:hAnsi="宋体" w:cs="宋体"/>
                <w:bCs/>
                <w:color w:val="auto"/>
                <w:sz w:val="21"/>
                <w:szCs w:val="21"/>
              </w:rPr>
            </w:pPr>
            <w:bookmarkStart w:id="136" w:name="OLE_LINK23"/>
            <w:r>
              <w:rPr>
                <w:rFonts w:hint="eastAsia" w:ascii="宋体" w:hAnsi="宋体" w:cs="宋体"/>
                <w:b/>
                <w:color w:val="auto"/>
                <w:sz w:val="21"/>
                <w:szCs w:val="21"/>
              </w:rPr>
              <w:t>供应商的应答应满足招标文件“第三篇 项目商务要求”，有一条不满足的，商务标分（20分）为0分，且不再进入商务部分的评审。</w:t>
            </w:r>
            <w:bookmarkEnd w:id="136"/>
          </w:p>
        </w:tc>
      </w:tr>
      <w:tr w14:paraId="57DFC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675" w:type="dxa"/>
            <w:vMerge w:val="restart"/>
            <w:vAlign w:val="center"/>
          </w:tcPr>
          <w:p w14:paraId="0AD6CCDD">
            <w:pPr>
              <w:jc w:val="center"/>
              <w:rPr>
                <w:rFonts w:ascii="宋体" w:hAnsi="宋体" w:cs="宋体"/>
                <w:color w:val="auto"/>
                <w:sz w:val="21"/>
                <w:szCs w:val="21"/>
              </w:rPr>
            </w:pPr>
            <w:r>
              <w:rPr>
                <w:rFonts w:hint="eastAsia" w:ascii="宋体" w:hAnsi="宋体" w:cs="宋体"/>
                <w:b/>
                <w:bCs/>
                <w:color w:val="auto"/>
                <w:sz w:val="21"/>
                <w:szCs w:val="21"/>
              </w:rPr>
              <w:t>3</w:t>
            </w:r>
          </w:p>
        </w:tc>
        <w:tc>
          <w:tcPr>
            <w:tcW w:w="1170" w:type="dxa"/>
            <w:gridSpan w:val="2"/>
            <w:vMerge w:val="restart"/>
            <w:vAlign w:val="center"/>
          </w:tcPr>
          <w:p w14:paraId="20C6EEAC">
            <w:pPr>
              <w:ind w:firstLine="28"/>
              <w:jc w:val="center"/>
              <w:rPr>
                <w:rFonts w:ascii="宋体" w:hAnsi="宋体" w:cs="宋体"/>
                <w:b/>
                <w:bCs/>
                <w:color w:val="auto"/>
                <w:sz w:val="21"/>
                <w:szCs w:val="21"/>
              </w:rPr>
            </w:pPr>
            <w:r>
              <w:rPr>
                <w:rFonts w:hint="eastAsia" w:ascii="宋体" w:hAnsi="宋体" w:cs="宋体"/>
                <w:b/>
                <w:bCs/>
                <w:color w:val="auto"/>
                <w:sz w:val="21"/>
                <w:szCs w:val="21"/>
              </w:rPr>
              <w:t>商务标</w:t>
            </w:r>
          </w:p>
          <w:p w14:paraId="3B33C12B">
            <w:pPr>
              <w:ind w:firstLine="28"/>
              <w:jc w:val="center"/>
              <w:rPr>
                <w:rFonts w:ascii="宋体" w:hAnsi="宋体" w:cs="宋体"/>
                <w:b/>
                <w:bCs/>
                <w:color w:val="auto"/>
                <w:sz w:val="21"/>
                <w:szCs w:val="21"/>
              </w:rPr>
            </w:pPr>
            <w:r>
              <w:rPr>
                <w:rFonts w:hint="eastAsia" w:ascii="宋体" w:hAnsi="宋体" w:cs="宋体"/>
                <w:b/>
                <w:bCs/>
                <w:color w:val="auto"/>
                <w:sz w:val="21"/>
                <w:szCs w:val="21"/>
              </w:rPr>
              <w:t>得分</w:t>
            </w:r>
          </w:p>
          <w:p w14:paraId="4C9F9AD7">
            <w:pPr>
              <w:ind w:firstLine="28"/>
              <w:jc w:val="center"/>
              <w:rPr>
                <w:rFonts w:ascii="宋体" w:hAnsi="宋体" w:cs="宋体"/>
                <w:color w:val="auto"/>
                <w:sz w:val="21"/>
                <w:szCs w:val="21"/>
              </w:rPr>
            </w:pPr>
            <w:r>
              <w:rPr>
                <w:rFonts w:hint="eastAsia" w:ascii="宋体" w:hAnsi="宋体" w:cs="宋体"/>
                <w:b/>
                <w:bCs/>
                <w:color w:val="auto"/>
                <w:sz w:val="21"/>
                <w:szCs w:val="21"/>
              </w:rPr>
              <w:t>(20%)</w:t>
            </w:r>
          </w:p>
        </w:tc>
        <w:tc>
          <w:tcPr>
            <w:tcW w:w="688" w:type="dxa"/>
            <w:vMerge w:val="restart"/>
            <w:vAlign w:val="center"/>
          </w:tcPr>
          <w:p w14:paraId="41E0FF9E">
            <w:pPr>
              <w:ind w:firstLine="28"/>
              <w:jc w:val="center"/>
              <w:rPr>
                <w:rFonts w:ascii="宋体" w:hAnsi="宋体" w:cs="宋体"/>
                <w:color w:val="auto"/>
                <w:sz w:val="21"/>
                <w:szCs w:val="21"/>
              </w:rPr>
            </w:pPr>
            <w:r>
              <w:rPr>
                <w:rFonts w:hint="eastAsia" w:ascii="宋体" w:hAnsi="宋体" w:cs="宋体"/>
                <w:b/>
                <w:bCs/>
                <w:color w:val="auto"/>
                <w:sz w:val="21"/>
                <w:szCs w:val="21"/>
              </w:rPr>
              <w:t>20分</w:t>
            </w:r>
          </w:p>
        </w:tc>
        <w:tc>
          <w:tcPr>
            <w:tcW w:w="5361" w:type="dxa"/>
          </w:tcPr>
          <w:p w14:paraId="6FDA3AEE">
            <w:pPr>
              <w:snapToGrid w:val="0"/>
              <w:spacing w:line="240" w:lineRule="exact"/>
              <w:rPr>
                <w:rFonts w:ascii="宋体" w:hAnsi="宋体" w:cs="宋体"/>
                <w:bCs/>
                <w:color w:val="auto"/>
                <w:sz w:val="21"/>
                <w:szCs w:val="21"/>
              </w:rPr>
            </w:pPr>
            <w:r>
              <w:rPr>
                <w:rFonts w:hint="eastAsia" w:ascii="宋体" w:hAnsi="宋体" w:cs="宋体"/>
                <w:bCs/>
                <w:color w:val="auto"/>
                <w:sz w:val="21"/>
                <w:szCs w:val="21"/>
              </w:rPr>
              <w:t>一、企业实力（</w:t>
            </w:r>
            <w:r>
              <w:rPr>
                <w:rFonts w:ascii="宋体" w:hAnsi="宋体" w:cs="宋体"/>
                <w:bCs/>
                <w:color w:val="auto"/>
                <w:sz w:val="21"/>
                <w:szCs w:val="21"/>
              </w:rPr>
              <w:t>2.5</w:t>
            </w:r>
            <w:r>
              <w:rPr>
                <w:rFonts w:hint="eastAsia" w:ascii="宋体" w:hAnsi="宋体" w:cs="宋体"/>
                <w:bCs/>
                <w:color w:val="auto"/>
                <w:sz w:val="21"/>
                <w:szCs w:val="21"/>
              </w:rPr>
              <w:t>分）</w:t>
            </w:r>
          </w:p>
          <w:p w14:paraId="50455E28">
            <w:pPr>
              <w:snapToGrid w:val="0"/>
              <w:spacing w:line="240" w:lineRule="exact"/>
              <w:rPr>
                <w:rFonts w:ascii="宋体" w:hAnsi="宋体" w:cs="宋体"/>
                <w:bCs/>
                <w:color w:val="auto"/>
                <w:sz w:val="21"/>
                <w:szCs w:val="21"/>
              </w:rPr>
            </w:pPr>
            <w:r>
              <w:rPr>
                <w:rFonts w:ascii="宋体" w:hAnsi="宋体" w:cs="宋体"/>
                <w:bCs/>
                <w:color w:val="auto"/>
                <w:sz w:val="21"/>
                <w:szCs w:val="21"/>
              </w:rPr>
              <w:t>1.</w:t>
            </w:r>
            <w:r>
              <w:rPr>
                <w:rFonts w:hint="eastAsia" w:ascii="宋体" w:hAnsi="宋体" w:cs="宋体"/>
                <w:bCs/>
                <w:color w:val="auto"/>
                <w:sz w:val="21"/>
                <w:szCs w:val="21"/>
              </w:rPr>
              <w:t>本招标文件发布之日前通过</w:t>
            </w:r>
            <w:r>
              <w:rPr>
                <w:rFonts w:ascii="宋体" w:hAnsi="宋体" w:cs="宋体"/>
                <w:bCs/>
                <w:color w:val="auto"/>
                <w:sz w:val="21"/>
                <w:szCs w:val="21"/>
              </w:rPr>
              <w:t xml:space="preserve">IS09001 </w:t>
            </w:r>
            <w:r>
              <w:rPr>
                <w:rFonts w:hint="eastAsia" w:ascii="宋体" w:hAnsi="宋体" w:cs="宋体"/>
                <w:bCs/>
                <w:color w:val="auto"/>
                <w:sz w:val="21"/>
                <w:szCs w:val="21"/>
              </w:rPr>
              <w:t>质量管理体系认证并承诺按此规范管理的得</w:t>
            </w:r>
            <w:r>
              <w:rPr>
                <w:rFonts w:ascii="宋体" w:hAnsi="宋体" w:cs="宋体"/>
                <w:bCs/>
                <w:color w:val="auto"/>
                <w:sz w:val="21"/>
                <w:szCs w:val="21"/>
              </w:rPr>
              <w:t>0.1</w:t>
            </w:r>
            <w:r>
              <w:rPr>
                <w:rFonts w:hint="eastAsia" w:ascii="宋体" w:hAnsi="宋体" w:cs="宋体"/>
                <w:bCs/>
                <w:color w:val="auto"/>
                <w:sz w:val="21"/>
                <w:szCs w:val="21"/>
              </w:rPr>
              <w:t>分。</w:t>
            </w:r>
          </w:p>
          <w:p w14:paraId="560B339A">
            <w:pPr>
              <w:snapToGrid w:val="0"/>
              <w:spacing w:line="240" w:lineRule="exact"/>
              <w:rPr>
                <w:rFonts w:ascii="宋体" w:hAnsi="宋体" w:cs="宋体"/>
                <w:bCs/>
                <w:color w:val="auto"/>
                <w:sz w:val="21"/>
                <w:szCs w:val="21"/>
              </w:rPr>
            </w:pPr>
            <w:r>
              <w:rPr>
                <w:rFonts w:ascii="宋体" w:hAnsi="宋体" w:cs="宋体"/>
                <w:bCs/>
                <w:color w:val="auto"/>
                <w:sz w:val="21"/>
                <w:szCs w:val="21"/>
              </w:rPr>
              <w:t>2.</w:t>
            </w:r>
            <w:r>
              <w:rPr>
                <w:rFonts w:hint="eastAsia" w:ascii="宋体" w:hAnsi="宋体" w:cs="宋体"/>
                <w:bCs/>
                <w:color w:val="auto"/>
                <w:sz w:val="21"/>
                <w:szCs w:val="21"/>
              </w:rPr>
              <w:t>本招标文件发布之日前通过</w:t>
            </w:r>
            <w:r>
              <w:rPr>
                <w:rFonts w:ascii="宋体" w:hAnsi="宋体" w:cs="宋体"/>
                <w:bCs/>
                <w:color w:val="auto"/>
                <w:sz w:val="21"/>
                <w:szCs w:val="21"/>
              </w:rPr>
              <w:t>IS014001</w:t>
            </w:r>
            <w:r>
              <w:rPr>
                <w:rFonts w:hint="eastAsia" w:ascii="宋体" w:hAnsi="宋体" w:cs="宋体"/>
                <w:bCs/>
                <w:color w:val="auto"/>
                <w:sz w:val="21"/>
                <w:szCs w:val="21"/>
              </w:rPr>
              <w:t>环境管理体系认证并承诺按此规范管理的得</w:t>
            </w:r>
            <w:r>
              <w:rPr>
                <w:rFonts w:ascii="宋体" w:hAnsi="宋体" w:cs="宋体"/>
                <w:bCs/>
                <w:color w:val="auto"/>
                <w:sz w:val="21"/>
                <w:szCs w:val="21"/>
              </w:rPr>
              <w:t>0.1</w:t>
            </w:r>
            <w:r>
              <w:rPr>
                <w:rFonts w:hint="eastAsia" w:ascii="宋体" w:hAnsi="宋体" w:cs="宋体"/>
                <w:bCs/>
                <w:color w:val="auto"/>
                <w:sz w:val="21"/>
                <w:szCs w:val="21"/>
              </w:rPr>
              <w:t>分。</w:t>
            </w:r>
          </w:p>
          <w:p w14:paraId="2B3C9A2D">
            <w:pPr>
              <w:snapToGrid w:val="0"/>
              <w:spacing w:line="240" w:lineRule="exact"/>
              <w:rPr>
                <w:rFonts w:ascii="宋体" w:hAnsi="宋体" w:cs="宋体"/>
                <w:bCs/>
                <w:color w:val="auto"/>
                <w:sz w:val="21"/>
                <w:szCs w:val="21"/>
              </w:rPr>
            </w:pPr>
            <w:r>
              <w:rPr>
                <w:rFonts w:ascii="宋体" w:hAnsi="宋体" w:cs="宋体"/>
                <w:bCs/>
                <w:color w:val="auto"/>
                <w:sz w:val="21"/>
                <w:szCs w:val="21"/>
              </w:rPr>
              <w:t>3.</w:t>
            </w:r>
            <w:r>
              <w:rPr>
                <w:rFonts w:hint="eastAsia" w:ascii="宋体" w:hAnsi="宋体" w:cs="宋体"/>
                <w:bCs/>
                <w:color w:val="auto"/>
                <w:sz w:val="21"/>
                <w:szCs w:val="21"/>
              </w:rPr>
              <w:t>本招标文件发布之日前通过</w:t>
            </w:r>
            <w:r>
              <w:rPr>
                <w:rFonts w:ascii="宋体" w:hAnsi="宋体" w:cs="宋体"/>
                <w:bCs/>
                <w:color w:val="auto"/>
                <w:sz w:val="21"/>
                <w:szCs w:val="21"/>
              </w:rPr>
              <w:t>IS045001</w:t>
            </w:r>
            <w:r>
              <w:rPr>
                <w:rFonts w:hint="eastAsia" w:ascii="宋体" w:hAnsi="宋体" w:cs="宋体"/>
                <w:bCs/>
                <w:color w:val="auto"/>
                <w:sz w:val="21"/>
                <w:szCs w:val="21"/>
              </w:rPr>
              <w:t>职业健康安全管理体系认证并承诺按此规范管理的得</w:t>
            </w:r>
            <w:r>
              <w:rPr>
                <w:rFonts w:ascii="宋体" w:hAnsi="宋体" w:cs="宋体"/>
                <w:bCs/>
                <w:color w:val="auto"/>
                <w:sz w:val="21"/>
                <w:szCs w:val="21"/>
              </w:rPr>
              <w:t>0.1</w:t>
            </w:r>
            <w:r>
              <w:rPr>
                <w:rFonts w:hint="eastAsia" w:ascii="宋体" w:hAnsi="宋体" w:cs="宋体"/>
                <w:bCs/>
                <w:color w:val="auto"/>
                <w:sz w:val="21"/>
                <w:szCs w:val="21"/>
              </w:rPr>
              <w:t>分。</w:t>
            </w:r>
          </w:p>
          <w:p w14:paraId="3F8C68F6">
            <w:pPr>
              <w:snapToGrid w:val="0"/>
              <w:spacing w:line="240" w:lineRule="exact"/>
              <w:rPr>
                <w:rFonts w:ascii="宋体" w:hAnsi="宋体" w:cs="宋体"/>
                <w:bCs/>
                <w:color w:val="auto"/>
                <w:sz w:val="21"/>
                <w:szCs w:val="21"/>
              </w:rPr>
            </w:pPr>
            <w:r>
              <w:rPr>
                <w:rFonts w:ascii="宋体" w:hAnsi="宋体" w:cs="宋体"/>
                <w:bCs/>
                <w:color w:val="auto"/>
                <w:sz w:val="21"/>
                <w:szCs w:val="21"/>
              </w:rPr>
              <w:t>4.</w:t>
            </w:r>
            <w:r>
              <w:rPr>
                <w:rFonts w:hint="eastAsia" w:ascii="宋体" w:hAnsi="宋体" w:cs="宋体"/>
                <w:bCs/>
                <w:color w:val="auto"/>
                <w:sz w:val="21"/>
                <w:szCs w:val="21"/>
              </w:rPr>
              <w:t>本招标文件发布之日前通过</w:t>
            </w:r>
            <w:r>
              <w:rPr>
                <w:rFonts w:ascii="宋体" w:hAnsi="宋体" w:cs="宋体"/>
                <w:bCs/>
                <w:color w:val="auto"/>
                <w:sz w:val="21"/>
                <w:szCs w:val="21"/>
              </w:rPr>
              <w:t>GB/T27306/IS022000</w:t>
            </w:r>
            <w:r>
              <w:rPr>
                <w:rFonts w:hint="eastAsia" w:ascii="宋体" w:hAnsi="宋体" w:cs="宋体"/>
                <w:bCs/>
                <w:color w:val="auto"/>
                <w:sz w:val="21"/>
                <w:szCs w:val="21"/>
              </w:rPr>
              <w:t>食品安全管理体系认证并承诺按此规范管理的得</w:t>
            </w:r>
            <w:r>
              <w:rPr>
                <w:rFonts w:ascii="宋体" w:hAnsi="宋体" w:cs="宋体"/>
                <w:bCs/>
                <w:color w:val="auto"/>
                <w:sz w:val="21"/>
                <w:szCs w:val="21"/>
              </w:rPr>
              <w:t>0.1</w:t>
            </w:r>
            <w:r>
              <w:rPr>
                <w:rFonts w:hint="eastAsia" w:ascii="宋体" w:hAnsi="宋体" w:cs="宋体"/>
                <w:bCs/>
                <w:color w:val="auto"/>
                <w:sz w:val="21"/>
                <w:szCs w:val="21"/>
              </w:rPr>
              <w:t>分。</w:t>
            </w:r>
          </w:p>
          <w:p w14:paraId="2C6E393E">
            <w:pPr>
              <w:snapToGrid w:val="0"/>
              <w:spacing w:line="240" w:lineRule="exact"/>
              <w:rPr>
                <w:rFonts w:ascii="宋体" w:hAnsi="宋体" w:cs="宋体"/>
                <w:bCs/>
                <w:color w:val="auto"/>
                <w:sz w:val="21"/>
                <w:szCs w:val="21"/>
              </w:rPr>
            </w:pPr>
            <w:r>
              <w:rPr>
                <w:rFonts w:ascii="宋体" w:hAnsi="宋体" w:cs="宋体"/>
                <w:bCs/>
                <w:color w:val="auto"/>
                <w:sz w:val="21"/>
                <w:szCs w:val="21"/>
              </w:rPr>
              <w:t>5.</w:t>
            </w:r>
            <w:r>
              <w:rPr>
                <w:rFonts w:hint="eastAsia" w:ascii="宋体" w:hAnsi="宋体" w:cs="宋体"/>
                <w:bCs/>
                <w:color w:val="auto"/>
                <w:sz w:val="21"/>
                <w:szCs w:val="21"/>
              </w:rPr>
              <w:t>招标文件发布之日前通过</w:t>
            </w:r>
            <w:r>
              <w:rPr>
                <w:rFonts w:ascii="宋体" w:hAnsi="宋体" w:cs="宋体"/>
                <w:bCs/>
                <w:color w:val="auto"/>
                <w:sz w:val="21"/>
                <w:szCs w:val="21"/>
              </w:rPr>
              <w:t>HACCP</w:t>
            </w:r>
            <w:r>
              <w:rPr>
                <w:rFonts w:hint="eastAsia" w:ascii="宋体" w:hAnsi="宋体" w:cs="宋体"/>
                <w:bCs/>
                <w:color w:val="auto"/>
                <w:sz w:val="21"/>
                <w:szCs w:val="21"/>
              </w:rPr>
              <w:t>危害分析与关键控制点体系认证并承诺按此规范管理的得</w:t>
            </w:r>
            <w:r>
              <w:rPr>
                <w:rFonts w:ascii="宋体" w:hAnsi="宋体" w:cs="宋体"/>
                <w:bCs/>
                <w:color w:val="auto"/>
                <w:sz w:val="21"/>
                <w:szCs w:val="21"/>
              </w:rPr>
              <w:t>0.1</w:t>
            </w:r>
            <w:r>
              <w:rPr>
                <w:rFonts w:hint="eastAsia" w:ascii="宋体" w:hAnsi="宋体" w:cs="宋体"/>
                <w:bCs/>
                <w:color w:val="auto"/>
                <w:sz w:val="21"/>
                <w:szCs w:val="21"/>
              </w:rPr>
              <w:t>分。</w:t>
            </w:r>
          </w:p>
          <w:p w14:paraId="156668F9">
            <w:pPr>
              <w:snapToGrid w:val="0"/>
              <w:spacing w:line="240" w:lineRule="exact"/>
              <w:rPr>
                <w:rFonts w:ascii="宋体" w:hAnsi="宋体" w:cs="宋体"/>
                <w:bCs/>
                <w:color w:val="auto"/>
                <w:sz w:val="21"/>
                <w:szCs w:val="21"/>
              </w:rPr>
            </w:pPr>
            <w:r>
              <w:rPr>
                <w:rFonts w:ascii="宋体" w:hAnsi="宋体" w:cs="宋体"/>
                <w:bCs/>
                <w:color w:val="auto"/>
                <w:sz w:val="21"/>
                <w:szCs w:val="21"/>
              </w:rPr>
              <w:t>6.</w:t>
            </w:r>
            <w:r>
              <w:rPr>
                <w:rFonts w:hint="eastAsia" w:ascii="宋体" w:hAnsi="宋体" w:cs="宋体"/>
                <w:bCs/>
                <w:color w:val="auto"/>
                <w:sz w:val="21"/>
                <w:szCs w:val="21"/>
              </w:rPr>
              <w:t>投标人与员工直接签订劳动合同并直接为员工购买社保人数小于</w:t>
            </w:r>
            <w:r>
              <w:rPr>
                <w:rFonts w:ascii="宋体" w:hAnsi="宋体" w:cs="宋体"/>
                <w:bCs/>
                <w:color w:val="auto"/>
                <w:sz w:val="21"/>
                <w:szCs w:val="21"/>
              </w:rPr>
              <w:t>40</w:t>
            </w:r>
            <w:r>
              <w:rPr>
                <w:rFonts w:hint="eastAsia" w:ascii="宋体" w:hAnsi="宋体" w:cs="宋体"/>
                <w:bCs/>
                <w:color w:val="auto"/>
                <w:sz w:val="21"/>
                <w:szCs w:val="21"/>
              </w:rPr>
              <w:t>人的</w:t>
            </w:r>
            <w:bookmarkStart w:id="137" w:name="OLE_LINK24"/>
            <w:r>
              <w:rPr>
                <w:rFonts w:hint="eastAsia" w:ascii="宋体" w:hAnsi="宋体" w:cs="宋体"/>
                <w:bCs/>
                <w:color w:val="auto"/>
                <w:sz w:val="21"/>
                <w:szCs w:val="21"/>
              </w:rPr>
              <w:t>得</w:t>
            </w:r>
            <w:r>
              <w:rPr>
                <w:rFonts w:ascii="宋体" w:hAnsi="宋体" w:cs="宋体"/>
                <w:bCs/>
                <w:color w:val="auto"/>
                <w:sz w:val="21"/>
                <w:szCs w:val="21"/>
              </w:rPr>
              <w:t>0</w:t>
            </w:r>
            <w:r>
              <w:rPr>
                <w:rFonts w:hint="eastAsia" w:ascii="宋体" w:hAnsi="宋体" w:cs="宋体"/>
                <w:bCs/>
                <w:color w:val="auto"/>
                <w:sz w:val="21"/>
                <w:szCs w:val="21"/>
              </w:rPr>
              <w:t>分</w:t>
            </w:r>
            <w:bookmarkEnd w:id="137"/>
            <w:r>
              <w:rPr>
                <w:rFonts w:hint="eastAsia" w:ascii="宋体" w:hAnsi="宋体" w:cs="宋体"/>
                <w:bCs/>
                <w:color w:val="auto"/>
                <w:sz w:val="21"/>
                <w:szCs w:val="21"/>
              </w:rPr>
              <w:t>，</w:t>
            </w:r>
            <w:r>
              <w:rPr>
                <w:rFonts w:ascii="宋体" w:hAnsi="宋体" w:cs="宋体"/>
                <w:bCs/>
                <w:color w:val="auto"/>
                <w:sz w:val="21"/>
                <w:szCs w:val="21"/>
              </w:rPr>
              <w:t>41</w:t>
            </w:r>
            <w:r>
              <w:rPr>
                <w:rFonts w:hint="eastAsia" w:ascii="宋体" w:hAnsi="宋体" w:cs="宋体"/>
                <w:bCs/>
                <w:color w:val="auto"/>
                <w:sz w:val="21"/>
                <w:szCs w:val="21"/>
              </w:rPr>
              <w:t>人（含）</w:t>
            </w:r>
            <w:r>
              <w:rPr>
                <w:rFonts w:ascii="宋体" w:hAnsi="宋体" w:cs="宋体"/>
                <w:bCs/>
                <w:color w:val="auto"/>
                <w:sz w:val="21"/>
                <w:szCs w:val="21"/>
              </w:rPr>
              <w:t>-80</w:t>
            </w:r>
            <w:r>
              <w:rPr>
                <w:rFonts w:hint="eastAsia" w:ascii="宋体" w:hAnsi="宋体" w:cs="宋体"/>
                <w:bCs/>
                <w:color w:val="auto"/>
                <w:sz w:val="21"/>
                <w:szCs w:val="21"/>
              </w:rPr>
              <w:t>人（不含）得</w:t>
            </w:r>
            <w:r>
              <w:rPr>
                <w:rFonts w:ascii="宋体" w:hAnsi="宋体" w:cs="宋体"/>
                <w:bCs/>
                <w:color w:val="auto"/>
                <w:sz w:val="21"/>
                <w:szCs w:val="21"/>
              </w:rPr>
              <w:t>0.5</w:t>
            </w:r>
            <w:r>
              <w:rPr>
                <w:rFonts w:hint="eastAsia" w:ascii="宋体" w:hAnsi="宋体" w:cs="宋体"/>
                <w:bCs/>
                <w:color w:val="auto"/>
                <w:sz w:val="21"/>
                <w:szCs w:val="21"/>
              </w:rPr>
              <w:t>分，</w:t>
            </w:r>
            <w:r>
              <w:rPr>
                <w:rFonts w:ascii="宋体" w:hAnsi="宋体" w:cs="宋体"/>
                <w:bCs/>
                <w:color w:val="auto"/>
                <w:sz w:val="21"/>
                <w:szCs w:val="21"/>
              </w:rPr>
              <w:t>80</w:t>
            </w:r>
            <w:r>
              <w:rPr>
                <w:rFonts w:hint="eastAsia" w:ascii="宋体" w:hAnsi="宋体" w:cs="宋体"/>
                <w:bCs/>
                <w:color w:val="auto"/>
                <w:sz w:val="21"/>
                <w:szCs w:val="21"/>
              </w:rPr>
              <w:t>人（含）</w:t>
            </w:r>
            <w:r>
              <w:rPr>
                <w:rFonts w:ascii="宋体" w:hAnsi="宋体" w:cs="宋体"/>
                <w:bCs/>
                <w:color w:val="auto"/>
                <w:sz w:val="21"/>
                <w:szCs w:val="21"/>
              </w:rPr>
              <w:t>-120</w:t>
            </w:r>
            <w:r>
              <w:rPr>
                <w:rFonts w:hint="eastAsia" w:ascii="宋体" w:hAnsi="宋体" w:cs="宋体"/>
                <w:bCs/>
                <w:color w:val="auto"/>
                <w:sz w:val="21"/>
                <w:szCs w:val="21"/>
              </w:rPr>
              <w:t>人（不含）得</w:t>
            </w:r>
            <w:r>
              <w:rPr>
                <w:rFonts w:ascii="宋体" w:hAnsi="宋体" w:cs="宋体"/>
                <w:bCs/>
                <w:color w:val="auto"/>
                <w:sz w:val="21"/>
                <w:szCs w:val="21"/>
              </w:rPr>
              <w:t>1</w:t>
            </w:r>
            <w:r>
              <w:rPr>
                <w:rFonts w:hint="eastAsia" w:ascii="宋体" w:hAnsi="宋体" w:cs="宋体"/>
                <w:bCs/>
                <w:color w:val="auto"/>
                <w:sz w:val="21"/>
                <w:szCs w:val="21"/>
              </w:rPr>
              <w:t>分，</w:t>
            </w:r>
            <w:r>
              <w:rPr>
                <w:rFonts w:ascii="宋体" w:hAnsi="宋体" w:cs="宋体"/>
                <w:bCs/>
                <w:color w:val="auto"/>
                <w:sz w:val="21"/>
                <w:szCs w:val="21"/>
              </w:rPr>
              <w:t>120</w:t>
            </w:r>
            <w:r>
              <w:rPr>
                <w:rFonts w:hint="eastAsia" w:ascii="宋体" w:hAnsi="宋体" w:cs="宋体"/>
                <w:bCs/>
                <w:color w:val="auto"/>
                <w:sz w:val="21"/>
                <w:szCs w:val="21"/>
              </w:rPr>
              <w:t>人（含）</w:t>
            </w:r>
            <w:r>
              <w:rPr>
                <w:rFonts w:ascii="宋体" w:hAnsi="宋体" w:cs="宋体"/>
                <w:bCs/>
                <w:color w:val="auto"/>
                <w:sz w:val="21"/>
                <w:szCs w:val="21"/>
              </w:rPr>
              <w:t>-200</w:t>
            </w:r>
            <w:r>
              <w:rPr>
                <w:rFonts w:hint="eastAsia" w:ascii="宋体" w:hAnsi="宋体" w:cs="宋体"/>
                <w:bCs/>
                <w:color w:val="auto"/>
                <w:sz w:val="21"/>
                <w:szCs w:val="21"/>
              </w:rPr>
              <w:t>人（不含）得</w:t>
            </w:r>
            <w:r>
              <w:rPr>
                <w:rFonts w:ascii="宋体" w:hAnsi="宋体" w:cs="宋体"/>
                <w:bCs/>
                <w:color w:val="auto"/>
                <w:sz w:val="21"/>
                <w:szCs w:val="21"/>
              </w:rPr>
              <w:t>1.5</w:t>
            </w:r>
            <w:r>
              <w:rPr>
                <w:rFonts w:hint="eastAsia" w:ascii="宋体" w:hAnsi="宋体" w:cs="宋体"/>
                <w:bCs/>
                <w:color w:val="auto"/>
                <w:sz w:val="21"/>
                <w:szCs w:val="21"/>
              </w:rPr>
              <w:t>分，</w:t>
            </w:r>
            <w:r>
              <w:rPr>
                <w:rFonts w:ascii="宋体" w:hAnsi="宋体" w:cs="宋体"/>
                <w:bCs/>
                <w:color w:val="auto"/>
                <w:sz w:val="21"/>
                <w:szCs w:val="21"/>
              </w:rPr>
              <w:t>200</w:t>
            </w:r>
            <w:r>
              <w:rPr>
                <w:rFonts w:hint="eastAsia" w:ascii="宋体" w:hAnsi="宋体" w:cs="宋体"/>
                <w:bCs/>
                <w:color w:val="auto"/>
                <w:sz w:val="21"/>
                <w:szCs w:val="21"/>
              </w:rPr>
              <w:t>人及以上的得</w:t>
            </w:r>
            <w:r>
              <w:rPr>
                <w:rFonts w:ascii="宋体" w:hAnsi="宋体" w:cs="宋体"/>
                <w:bCs/>
                <w:color w:val="auto"/>
                <w:sz w:val="21"/>
                <w:szCs w:val="21"/>
              </w:rPr>
              <w:t>2</w:t>
            </w:r>
            <w:r>
              <w:rPr>
                <w:rFonts w:hint="eastAsia" w:ascii="宋体" w:hAnsi="宋体" w:cs="宋体"/>
                <w:bCs/>
                <w:color w:val="auto"/>
                <w:sz w:val="21"/>
                <w:szCs w:val="21"/>
              </w:rPr>
              <w:t>分。</w:t>
            </w:r>
            <w:r>
              <w:rPr>
                <w:rFonts w:ascii="宋体" w:hAnsi="宋体" w:cs="宋体"/>
                <w:bCs/>
                <w:color w:val="auto"/>
                <w:sz w:val="21"/>
                <w:szCs w:val="21"/>
              </w:rPr>
              <w:t>(</w:t>
            </w:r>
            <w:r>
              <w:rPr>
                <w:rFonts w:hint="eastAsia" w:ascii="宋体" w:hAnsi="宋体" w:cs="宋体"/>
                <w:bCs/>
                <w:color w:val="auto"/>
                <w:sz w:val="21"/>
                <w:szCs w:val="21"/>
              </w:rPr>
              <w:t>提供参保员工名单并加盖公章，提供</w:t>
            </w:r>
            <w:r>
              <w:rPr>
                <w:rFonts w:ascii="宋体" w:hAnsi="宋体" w:cs="宋体"/>
                <w:bCs/>
                <w:color w:val="auto"/>
                <w:sz w:val="21"/>
                <w:szCs w:val="21"/>
              </w:rPr>
              <w:t>2025</w:t>
            </w:r>
            <w:r>
              <w:rPr>
                <w:rFonts w:hint="eastAsia" w:ascii="宋体" w:hAnsi="宋体" w:cs="宋体"/>
                <w:bCs/>
                <w:color w:val="auto"/>
                <w:sz w:val="21"/>
                <w:szCs w:val="21"/>
              </w:rPr>
              <w:t>年</w:t>
            </w:r>
            <w:r>
              <w:rPr>
                <w:rFonts w:ascii="宋体" w:hAnsi="宋体" w:cs="宋体"/>
                <w:bCs/>
                <w:color w:val="auto"/>
                <w:sz w:val="21"/>
                <w:szCs w:val="21"/>
              </w:rPr>
              <w:t>1</w:t>
            </w:r>
            <w:r>
              <w:rPr>
                <w:rFonts w:hint="eastAsia" w:ascii="宋体" w:hAnsi="宋体" w:cs="宋体"/>
                <w:bCs/>
                <w:color w:val="auto"/>
                <w:sz w:val="21"/>
                <w:szCs w:val="21"/>
              </w:rPr>
              <w:t>月</w:t>
            </w:r>
            <w:r>
              <w:rPr>
                <w:rFonts w:ascii="宋体" w:hAnsi="宋体" w:cs="宋体"/>
                <w:bCs/>
                <w:color w:val="auto"/>
                <w:sz w:val="21"/>
                <w:szCs w:val="21"/>
              </w:rPr>
              <w:t>-5</w:t>
            </w:r>
            <w:r>
              <w:rPr>
                <w:rFonts w:hint="eastAsia" w:ascii="宋体" w:hAnsi="宋体" w:cs="宋体"/>
                <w:bCs/>
                <w:color w:val="auto"/>
                <w:sz w:val="21"/>
                <w:szCs w:val="21"/>
              </w:rPr>
              <w:t>月的每月社保缴纳的银行转账证明</w:t>
            </w:r>
            <w:r>
              <w:rPr>
                <w:rFonts w:ascii="宋体" w:hAnsi="宋体" w:cs="宋体"/>
                <w:bCs/>
                <w:color w:val="auto"/>
                <w:sz w:val="21"/>
                <w:szCs w:val="21"/>
              </w:rPr>
              <w:t>)</w:t>
            </w:r>
          </w:p>
        </w:tc>
        <w:tc>
          <w:tcPr>
            <w:tcW w:w="1995" w:type="dxa"/>
          </w:tcPr>
          <w:p w14:paraId="5E0171A5">
            <w:pPr>
              <w:snapToGrid w:val="0"/>
              <w:spacing w:line="240" w:lineRule="exact"/>
              <w:rPr>
                <w:rFonts w:ascii="宋体" w:hAnsi="宋体" w:cs="宋体"/>
                <w:bCs/>
                <w:color w:val="auto"/>
                <w:sz w:val="21"/>
                <w:szCs w:val="21"/>
              </w:rPr>
            </w:pPr>
            <w:r>
              <w:rPr>
                <w:rFonts w:hint="eastAsia" w:ascii="宋体" w:hAnsi="宋体" w:cs="宋体"/>
                <w:bCs/>
                <w:color w:val="auto"/>
                <w:sz w:val="21"/>
                <w:szCs w:val="21"/>
              </w:rPr>
              <w:t>除提供以上证书复印件（加盖供应商公章）和按相关体系认证规范管理承诺书外，还需提供“国家认证认可监督管理委员会”官方网站公布的信息资料截图（加盖供应商公章）作为佐证</w:t>
            </w:r>
          </w:p>
          <w:p w14:paraId="27F8986B">
            <w:pPr>
              <w:snapToGrid w:val="0"/>
              <w:spacing w:line="240" w:lineRule="exact"/>
              <w:rPr>
                <w:rFonts w:ascii="宋体" w:hAnsi="宋体" w:cs="宋体"/>
                <w:bCs/>
                <w:color w:val="auto"/>
                <w:sz w:val="21"/>
                <w:szCs w:val="21"/>
              </w:rPr>
            </w:pPr>
            <w:r>
              <w:rPr>
                <w:rFonts w:hint="eastAsia" w:ascii="宋体" w:hAnsi="宋体" w:cs="宋体"/>
                <w:bCs/>
                <w:color w:val="auto"/>
                <w:sz w:val="21"/>
                <w:szCs w:val="21"/>
              </w:rPr>
              <w:t>【以</w:t>
            </w:r>
          </w:p>
          <w:p w14:paraId="3727866A">
            <w:pPr>
              <w:snapToGrid w:val="0"/>
              <w:spacing w:line="240" w:lineRule="exact"/>
              <w:rPr>
                <w:rFonts w:ascii="宋体" w:hAnsi="宋体" w:cs="宋体"/>
                <w:color w:val="auto"/>
                <w:sz w:val="21"/>
                <w:szCs w:val="21"/>
              </w:rPr>
            </w:pPr>
            <w:r>
              <w:rPr>
                <w:rFonts w:hint="eastAsia" w:ascii="宋体" w:hAnsi="宋体" w:cs="宋体"/>
                <w:bCs/>
                <w:color w:val="auto"/>
                <w:sz w:val="21"/>
                <w:szCs w:val="21"/>
              </w:rPr>
              <w:t>http://www.cnca.gov.cn/网站公布为准】，已失效或撤销或暂停或不一致的不得分。</w:t>
            </w:r>
          </w:p>
          <w:p w14:paraId="5480A631">
            <w:pPr>
              <w:snapToGrid w:val="0"/>
              <w:spacing w:line="240" w:lineRule="exact"/>
              <w:rPr>
                <w:rFonts w:ascii="宋体" w:hAnsi="宋体" w:cs="宋体"/>
                <w:bCs/>
                <w:color w:val="auto"/>
                <w:sz w:val="21"/>
                <w:szCs w:val="21"/>
              </w:rPr>
            </w:pPr>
          </w:p>
        </w:tc>
      </w:tr>
      <w:tr w14:paraId="373EF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675" w:type="dxa"/>
            <w:vMerge w:val="continue"/>
            <w:vAlign w:val="center"/>
          </w:tcPr>
          <w:p w14:paraId="4C506917">
            <w:pPr>
              <w:jc w:val="center"/>
              <w:rPr>
                <w:rFonts w:ascii="宋体" w:hAnsi="宋体" w:cs="宋体"/>
                <w:b/>
                <w:bCs/>
                <w:color w:val="auto"/>
                <w:sz w:val="21"/>
                <w:szCs w:val="21"/>
              </w:rPr>
            </w:pPr>
          </w:p>
        </w:tc>
        <w:tc>
          <w:tcPr>
            <w:tcW w:w="1170" w:type="dxa"/>
            <w:gridSpan w:val="2"/>
            <w:vMerge w:val="continue"/>
            <w:vAlign w:val="center"/>
          </w:tcPr>
          <w:p w14:paraId="5BA5F6C9">
            <w:pPr>
              <w:ind w:firstLine="28"/>
              <w:jc w:val="center"/>
              <w:rPr>
                <w:rFonts w:ascii="宋体" w:hAnsi="宋体" w:cs="宋体"/>
                <w:b/>
                <w:bCs/>
                <w:color w:val="auto"/>
                <w:sz w:val="21"/>
                <w:szCs w:val="21"/>
              </w:rPr>
            </w:pPr>
          </w:p>
        </w:tc>
        <w:tc>
          <w:tcPr>
            <w:tcW w:w="688" w:type="dxa"/>
            <w:vMerge w:val="continue"/>
            <w:vAlign w:val="center"/>
          </w:tcPr>
          <w:p w14:paraId="0ED635A3">
            <w:pPr>
              <w:ind w:firstLine="28"/>
              <w:jc w:val="center"/>
              <w:rPr>
                <w:rFonts w:ascii="宋体" w:hAnsi="宋体" w:cs="宋体"/>
                <w:b/>
                <w:bCs/>
                <w:color w:val="auto"/>
                <w:sz w:val="21"/>
                <w:szCs w:val="21"/>
              </w:rPr>
            </w:pPr>
          </w:p>
        </w:tc>
        <w:tc>
          <w:tcPr>
            <w:tcW w:w="5361" w:type="dxa"/>
            <w:tcBorders>
              <w:top w:val="single" w:color="auto" w:sz="4" w:space="0"/>
            </w:tcBorders>
          </w:tcPr>
          <w:p w14:paraId="0476A8B1">
            <w:pPr>
              <w:snapToGrid w:val="0"/>
              <w:spacing w:line="240" w:lineRule="exact"/>
              <w:rPr>
                <w:rFonts w:ascii="宋体" w:hAnsi="宋体" w:cs="宋体"/>
                <w:bCs/>
                <w:color w:val="auto"/>
                <w:sz w:val="21"/>
                <w:szCs w:val="21"/>
              </w:rPr>
            </w:pPr>
            <w:r>
              <w:rPr>
                <w:rFonts w:hint="eastAsia" w:ascii="宋体" w:hAnsi="宋体" w:cs="宋体"/>
                <w:bCs/>
                <w:color w:val="auto"/>
                <w:sz w:val="21"/>
                <w:szCs w:val="21"/>
              </w:rPr>
              <w:t>三、供应商经济实力和财务状况（</w:t>
            </w:r>
            <w:r>
              <w:rPr>
                <w:rFonts w:ascii="宋体" w:hAnsi="宋体" w:cs="宋体"/>
                <w:bCs/>
                <w:color w:val="auto"/>
                <w:sz w:val="21"/>
                <w:szCs w:val="21"/>
              </w:rPr>
              <w:t>5.5</w:t>
            </w:r>
            <w:r>
              <w:rPr>
                <w:rFonts w:hint="eastAsia" w:ascii="宋体" w:hAnsi="宋体" w:cs="宋体"/>
                <w:bCs/>
                <w:color w:val="auto"/>
                <w:sz w:val="21"/>
                <w:szCs w:val="21"/>
              </w:rPr>
              <w:t>分）</w:t>
            </w:r>
          </w:p>
          <w:p w14:paraId="656B2E2C">
            <w:pPr>
              <w:snapToGrid w:val="0"/>
              <w:spacing w:line="240" w:lineRule="exact"/>
              <w:rPr>
                <w:rFonts w:ascii="宋体" w:hAnsi="宋体" w:cs="宋体"/>
                <w:bCs/>
                <w:color w:val="auto"/>
                <w:sz w:val="21"/>
                <w:szCs w:val="21"/>
              </w:rPr>
            </w:pPr>
            <w:r>
              <w:rPr>
                <w:rFonts w:ascii="宋体" w:hAnsi="宋体" w:cs="宋体"/>
                <w:bCs/>
                <w:color w:val="auto"/>
                <w:sz w:val="21"/>
                <w:szCs w:val="21"/>
              </w:rPr>
              <w:t>1.</w:t>
            </w:r>
            <w:r>
              <w:rPr>
                <w:rFonts w:hint="eastAsia" w:ascii="宋体" w:hAnsi="宋体" w:cs="宋体"/>
                <w:bCs/>
                <w:color w:val="auto"/>
                <w:sz w:val="21"/>
                <w:szCs w:val="21"/>
              </w:rPr>
              <w:t>供应商</w:t>
            </w:r>
            <w:r>
              <w:rPr>
                <w:rFonts w:ascii="宋体" w:hAnsi="宋体" w:cs="宋体"/>
                <w:bCs/>
                <w:color w:val="auto"/>
                <w:sz w:val="21"/>
                <w:szCs w:val="21"/>
              </w:rPr>
              <w:t>2022-2024</w:t>
            </w:r>
            <w:r>
              <w:rPr>
                <w:rFonts w:hint="eastAsia" w:ascii="宋体" w:hAnsi="宋体" w:cs="宋体"/>
                <w:bCs/>
                <w:color w:val="auto"/>
                <w:sz w:val="21"/>
                <w:szCs w:val="21"/>
              </w:rPr>
              <w:t>年度财务报表为盈利，得</w:t>
            </w:r>
            <w:r>
              <w:rPr>
                <w:rFonts w:ascii="宋体" w:hAnsi="宋体" w:cs="宋体"/>
                <w:bCs/>
                <w:color w:val="auto"/>
                <w:sz w:val="21"/>
                <w:szCs w:val="21"/>
              </w:rPr>
              <w:t>0.5</w:t>
            </w:r>
            <w:r>
              <w:rPr>
                <w:rFonts w:hint="eastAsia" w:ascii="宋体" w:hAnsi="宋体" w:cs="宋体"/>
                <w:bCs/>
                <w:color w:val="auto"/>
                <w:sz w:val="21"/>
                <w:szCs w:val="21"/>
              </w:rPr>
              <w:t>分。</w:t>
            </w:r>
          </w:p>
          <w:p w14:paraId="29F29FC6">
            <w:pPr>
              <w:snapToGrid w:val="0"/>
              <w:spacing w:line="240" w:lineRule="exact"/>
              <w:rPr>
                <w:rFonts w:ascii="宋体" w:hAnsi="宋体" w:cs="宋体"/>
                <w:bCs/>
                <w:color w:val="auto"/>
                <w:sz w:val="21"/>
                <w:szCs w:val="21"/>
              </w:rPr>
            </w:pPr>
            <w:r>
              <w:rPr>
                <w:rFonts w:hint="eastAsia" w:ascii="宋体" w:hAnsi="宋体" w:cs="宋体"/>
                <w:bCs/>
                <w:color w:val="auto"/>
                <w:sz w:val="21"/>
                <w:szCs w:val="21"/>
              </w:rPr>
              <w:t>提供</w:t>
            </w:r>
            <w:r>
              <w:rPr>
                <w:rFonts w:ascii="宋体" w:hAnsi="宋体" w:cs="宋体"/>
                <w:bCs/>
                <w:color w:val="auto"/>
                <w:sz w:val="21"/>
                <w:szCs w:val="21"/>
              </w:rPr>
              <w:t>2022</w:t>
            </w:r>
            <w:r>
              <w:rPr>
                <w:rFonts w:hint="eastAsia" w:ascii="宋体" w:hAnsi="宋体" w:cs="宋体"/>
                <w:bCs/>
                <w:color w:val="auto"/>
                <w:sz w:val="21"/>
                <w:szCs w:val="21"/>
              </w:rPr>
              <w:t>、</w:t>
            </w:r>
            <w:r>
              <w:rPr>
                <w:rFonts w:ascii="宋体" w:hAnsi="宋体" w:cs="宋体"/>
                <w:bCs/>
                <w:color w:val="auto"/>
                <w:sz w:val="21"/>
                <w:szCs w:val="21"/>
              </w:rPr>
              <w:t>2023</w:t>
            </w:r>
            <w:r>
              <w:rPr>
                <w:rFonts w:hint="eastAsia" w:ascii="宋体" w:hAnsi="宋体" w:cs="宋体"/>
                <w:bCs/>
                <w:color w:val="auto"/>
                <w:sz w:val="21"/>
                <w:szCs w:val="21"/>
              </w:rPr>
              <w:t>、</w:t>
            </w:r>
            <w:r>
              <w:rPr>
                <w:rFonts w:ascii="宋体" w:hAnsi="宋体" w:cs="宋体"/>
                <w:bCs/>
                <w:color w:val="auto"/>
                <w:sz w:val="21"/>
                <w:szCs w:val="21"/>
              </w:rPr>
              <w:t>2024</w:t>
            </w:r>
            <w:r>
              <w:rPr>
                <w:rFonts w:hint="eastAsia" w:ascii="宋体" w:hAnsi="宋体" w:cs="宋体"/>
                <w:bCs/>
                <w:color w:val="auto"/>
                <w:sz w:val="21"/>
                <w:szCs w:val="21"/>
              </w:rPr>
              <w:t>年第三方专业机构提供的财务审计报告扫描件加盖公章，核查原件；未提供或不满足不得分。</w:t>
            </w:r>
          </w:p>
          <w:p w14:paraId="3EE8BC96">
            <w:pPr>
              <w:snapToGrid w:val="0"/>
              <w:spacing w:line="240" w:lineRule="exact"/>
              <w:rPr>
                <w:rFonts w:ascii="宋体" w:hAnsi="宋体" w:cs="宋体"/>
                <w:bCs/>
                <w:color w:val="auto"/>
                <w:sz w:val="21"/>
                <w:szCs w:val="21"/>
              </w:rPr>
            </w:pPr>
            <w:r>
              <w:rPr>
                <w:rFonts w:ascii="宋体" w:hAnsi="宋体" w:cs="宋体"/>
                <w:bCs/>
                <w:color w:val="auto"/>
                <w:sz w:val="21"/>
                <w:szCs w:val="21"/>
              </w:rPr>
              <w:t>2.</w:t>
            </w:r>
            <w:r>
              <w:rPr>
                <w:rFonts w:hint="eastAsia" w:ascii="宋体" w:hAnsi="宋体" w:cs="宋体"/>
                <w:bCs/>
                <w:color w:val="auto"/>
                <w:sz w:val="21"/>
                <w:szCs w:val="21"/>
              </w:rPr>
              <w:t>企业纳税：投标人应守法经营，具有良好的纳税信用记录，投标人最近三年获得过国家税务部门</w:t>
            </w:r>
            <w:r>
              <w:rPr>
                <w:rFonts w:ascii="宋体" w:hAnsi="宋体" w:cs="宋体"/>
                <w:bCs/>
                <w:color w:val="auto"/>
                <w:sz w:val="21"/>
                <w:szCs w:val="21"/>
              </w:rPr>
              <w:t>A</w:t>
            </w:r>
            <w:r>
              <w:rPr>
                <w:rFonts w:hint="eastAsia" w:ascii="宋体" w:hAnsi="宋体" w:cs="宋体"/>
                <w:bCs/>
                <w:color w:val="auto"/>
                <w:sz w:val="21"/>
                <w:szCs w:val="21"/>
              </w:rPr>
              <w:t>级纳税人荣誉的得</w:t>
            </w:r>
            <w:r>
              <w:rPr>
                <w:rFonts w:ascii="宋体" w:hAnsi="宋体" w:cs="宋体"/>
                <w:bCs/>
                <w:color w:val="auto"/>
                <w:sz w:val="21"/>
                <w:szCs w:val="21"/>
              </w:rPr>
              <w:t>2</w:t>
            </w:r>
            <w:r>
              <w:rPr>
                <w:rFonts w:hint="eastAsia" w:ascii="宋体" w:hAnsi="宋体" w:cs="宋体"/>
                <w:bCs/>
                <w:color w:val="auto"/>
                <w:sz w:val="21"/>
                <w:szCs w:val="21"/>
              </w:rPr>
              <w:t>分；证明材料：投标人需提供国家税务部门官网公示的纳税信用等级情况查询结果截图作证明；</w:t>
            </w:r>
          </w:p>
          <w:p w14:paraId="74F78C37">
            <w:pPr>
              <w:snapToGrid w:val="0"/>
              <w:spacing w:line="240" w:lineRule="exact"/>
              <w:rPr>
                <w:rFonts w:ascii="宋体" w:hAnsi="宋体" w:cs="宋体"/>
                <w:bCs/>
                <w:color w:val="auto"/>
                <w:sz w:val="21"/>
                <w:szCs w:val="21"/>
              </w:rPr>
            </w:pPr>
            <w:r>
              <w:rPr>
                <w:rFonts w:ascii="宋体" w:hAnsi="宋体" w:cs="宋体"/>
                <w:bCs/>
                <w:color w:val="auto"/>
                <w:sz w:val="21"/>
                <w:szCs w:val="21"/>
              </w:rPr>
              <w:t>3.</w:t>
            </w:r>
            <w:r>
              <w:rPr>
                <w:rFonts w:hint="eastAsia" w:ascii="宋体" w:hAnsi="宋体" w:cs="宋体"/>
                <w:bCs/>
                <w:color w:val="auto"/>
                <w:sz w:val="21"/>
                <w:szCs w:val="21"/>
              </w:rPr>
              <w:t>注册资金。实缴</w:t>
            </w:r>
            <w:r>
              <w:rPr>
                <w:rFonts w:ascii="宋体" w:hAnsi="宋体" w:cs="宋体"/>
                <w:bCs/>
                <w:color w:val="auto"/>
                <w:sz w:val="21"/>
                <w:szCs w:val="21"/>
              </w:rPr>
              <w:t>100</w:t>
            </w:r>
            <w:r>
              <w:rPr>
                <w:rFonts w:hint="eastAsia" w:ascii="宋体" w:hAnsi="宋体" w:cs="宋体"/>
                <w:bCs/>
                <w:color w:val="auto"/>
                <w:sz w:val="21"/>
                <w:szCs w:val="21"/>
              </w:rPr>
              <w:t>万以下的不得分，实缴</w:t>
            </w:r>
            <w:r>
              <w:rPr>
                <w:rFonts w:ascii="宋体" w:hAnsi="宋体" w:cs="宋体"/>
                <w:bCs/>
                <w:color w:val="auto"/>
                <w:sz w:val="21"/>
                <w:szCs w:val="21"/>
              </w:rPr>
              <w:t>100</w:t>
            </w:r>
            <w:r>
              <w:rPr>
                <w:rFonts w:hint="eastAsia" w:ascii="宋体" w:hAnsi="宋体" w:cs="宋体"/>
                <w:bCs/>
                <w:color w:val="auto"/>
                <w:sz w:val="21"/>
                <w:szCs w:val="21"/>
              </w:rPr>
              <w:t>万（含）</w:t>
            </w:r>
            <w:r>
              <w:rPr>
                <w:rFonts w:ascii="宋体" w:hAnsi="宋体" w:cs="宋体"/>
                <w:bCs/>
                <w:color w:val="auto"/>
                <w:sz w:val="21"/>
                <w:szCs w:val="21"/>
              </w:rPr>
              <w:t>-500</w:t>
            </w:r>
            <w:r>
              <w:rPr>
                <w:rFonts w:hint="eastAsia" w:ascii="宋体" w:hAnsi="宋体" w:cs="宋体"/>
                <w:bCs/>
                <w:color w:val="auto"/>
                <w:sz w:val="21"/>
                <w:szCs w:val="21"/>
              </w:rPr>
              <w:t>万（不含）的得</w:t>
            </w:r>
            <w:r>
              <w:rPr>
                <w:rFonts w:ascii="宋体" w:hAnsi="宋体" w:cs="宋体"/>
                <w:bCs/>
                <w:color w:val="auto"/>
                <w:sz w:val="21"/>
                <w:szCs w:val="21"/>
              </w:rPr>
              <w:t>0.5</w:t>
            </w:r>
            <w:r>
              <w:rPr>
                <w:rFonts w:hint="eastAsia" w:ascii="宋体" w:hAnsi="宋体" w:cs="宋体"/>
                <w:bCs/>
                <w:color w:val="auto"/>
                <w:sz w:val="21"/>
                <w:szCs w:val="21"/>
              </w:rPr>
              <w:t>分，实缴</w:t>
            </w:r>
            <w:r>
              <w:rPr>
                <w:rFonts w:ascii="宋体" w:hAnsi="宋体" w:cs="宋体"/>
                <w:bCs/>
                <w:color w:val="auto"/>
                <w:sz w:val="21"/>
                <w:szCs w:val="21"/>
              </w:rPr>
              <w:t>500</w:t>
            </w:r>
            <w:r>
              <w:rPr>
                <w:rFonts w:hint="eastAsia" w:ascii="宋体" w:hAnsi="宋体" w:cs="宋体"/>
                <w:bCs/>
                <w:color w:val="auto"/>
                <w:sz w:val="21"/>
                <w:szCs w:val="21"/>
              </w:rPr>
              <w:t>万（含）</w:t>
            </w:r>
            <w:r>
              <w:rPr>
                <w:rFonts w:ascii="宋体" w:hAnsi="宋体" w:cs="宋体"/>
                <w:bCs/>
                <w:color w:val="auto"/>
                <w:sz w:val="21"/>
                <w:szCs w:val="21"/>
              </w:rPr>
              <w:t>-1000</w:t>
            </w:r>
            <w:r>
              <w:rPr>
                <w:rFonts w:hint="eastAsia" w:ascii="宋体" w:hAnsi="宋体" w:cs="宋体"/>
                <w:bCs/>
                <w:color w:val="auto"/>
                <w:sz w:val="21"/>
                <w:szCs w:val="21"/>
              </w:rPr>
              <w:t>万（不含）得</w:t>
            </w:r>
            <w:r>
              <w:rPr>
                <w:rFonts w:ascii="宋体" w:hAnsi="宋体" w:cs="宋体"/>
                <w:bCs/>
                <w:color w:val="auto"/>
                <w:sz w:val="21"/>
                <w:szCs w:val="21"/>
              </w:rPr>
              <w:t>1</w:t>
            </w:r>
            <w:r>
              <w:rPr>
                <w:rFonts w:hint="eastAsia" w:ascii="宋体" w:hAnsi="宋体" w:cs="宋体"/>
                <w:bCs/>
                <w:color w:val="auto"/>
                <w:sz w:val="21"/>
                <w:szCs w:val="21"/>
              </w:rPr>
              <w:t>分，实缴</w:t>
            </w:r>
            <w:r>
              <w:rPr>
                <w:rFonts w:ascii="宋体" w:hAnsi="宋体" w:cs="宋体"/>
                <w:bCs/>
                <w:color w:val="auto"/>
                <w:sz w:val="21"/>
                <w:szCs w:val="21"/>
              </w:rPr>
              <w:t>1000</w:t>
            </w:r>
            <w:r>
              <w:rPr>
                <w:rFonts w:hint="eastAsia" w:ascii="宋体" w:hAnsi="宋体" w:cs="宋体"/>
                <w:bCs/>
                <w:color w:val="auto"/>
                <w:sz w:val="21"/>
                <w:szCs w:val="21"/>
              </w:rPr>
              <w:t>万（含）</w:t>
            </w:r>
            <w:r>
              <w:rPr>
                <w:rFonts w:ascii="宋体" w:hAnsi="宋体" w:cs="宋体"/>
                <w:bCs/>
                <w:color w:val="auto"/>
                <w:sz w:val="21"/>
                <w:szCs w:val="21"/>
              </w:rPr>
              <w:t>-2000</w:t>
            </w:r>
            <w:r>
              <w:rPr>
                <w:rFonts w:hint="eastAsia" w:ascii="宋体" w:hAnsi="宋体" w:cs="宋体"/>
                <w:bCs/>
                <w:color w:val="auto"/>
                <w:sz w:val="21"/>
                <w:szCs w:val="21"/>
              </w:rPr>
              <w:t>万（不含）的得</w:t>
            </w:r>
            <w:r>
              <w:rPr>
                <w:rFonts w:ascii="宋体" w:hAnsi="宋体" w:cs="宋体"/>
                <w:bCs/>
                <w:color w:val="auto"/>
                <w:sz w:val="21"/>
                <w:szCs w:val="21"/>
              </w:rPr>
              <w:t>2</w:t>
            </w:r>
            <w:r>
              <w:rPr>
                <w:rFonts w:hint="eastAsia" w:ascii="宋体" w:hAnsi="宋体" w:cs="宋体"/>
                <w:bCs/>
                <w:color w:val="auto"/>
                <w:sz w:val="21"/>
                <w:szCs w:val="21"/>
              </w:rPr>
              <w:t>分，</w:t>
            </w:r>
            <w:r>
              <w:rPr>
                <w:rFonts w:ascii="宋体" w:hAnsi="宋体" w:cs="宋体"/>
                <w:bCs/>
                <w:color w:val="auto"/>
                <w:sz w:val="21"/>
                <w:szCs w:val="21"/>
              </w:rPr>
              <w:t>2000</w:t>
            </w:r>
            <w:r>
              <w:rPr>
                <w:rFonts w:hint="eastAsia" w:ascii="宋体" w:hAnsi="宋体" w:cs="宋体"/>
                <w:bCs/>
                <w:color w:val="auto"/>
                <w:sz w:val="21"/>
                <w:szCs w:val="21"/>
              </w:rPr>
              <w:t>万及以上的得</w:t>
            </w:r>
            <w:r>
              <w:rPr>
                <w:rFonts w:ascii="宋体" w:hAnsi="宋体" w:cs="宋体"/>
                <w:bCs/>
                <w:color w:val="auto"/>
                <w:sz w:val="21"/>
                <w:szCs w:val="21"/>
              </w:rPr>
              <w:t>3</w:t>
            </w:r>
            <w:r>
              <w:rPr>
                <w:rFonts w:hint="eastAsia" w:ascii="宋体" w:hAnsi="宋体" w:cs="宋体"/>
                <w:bCs/>
                <w:color w:val="auto"/>
                <w:sz w:val="21"/>
                <w:szCs w:val="21"/>
              </w:rPr>
              <w:t>分。提供证明材料：须提供有效的营业执照复印件并加盖参与人单位公章；提供国家企业信用信息公示系统查询记录证明材料，否则不计分。</w:t>
            </w:r>
          </w:p>
        </w:tc>
        <w:tc>
          <w:tcPr>
            <w:tcW w:w="1995" w:type="dxa"/>
          </w:tcPr>
          <w:p w14:paraId="5EC948F8">
            <w:pPr>
              <w:snapToGrid w:val="0"/>
              <w:spacing w:line="240" w:lineRule="exact"/>
              <w:rPr>
                <w:rFonts w:ascii="宋体" w:hAnsi="宋体" w:cs="宋体"/>
                <w:bCs/>
                <w:color w:val="auto"/>
                <w:sz w:val="21"/>
                <w:szCs w:val="21"/>
              </w:rPr>
            </w:pPr>
          </w:p>
        </w:tc>
      </w:tr>
      <w:tr w14:paraId="46D33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75" w:type="dxa"/>
            <w:vMerge w:val="continue"/>
            <w:vAlign w:val="center"/>
          </w:tcPr>
          <w:p w14:paraId="68AC7582">
            <w:pPr>
              <w:jc w:val="center"/>
              <w:rPr>
                <w:rFonts w:ascii="宋体" w:hAnsi="宋体" w:cs="宋体"/>
                <w:b/>
                <w:bCs/>
                <w:color w:val="auto"/>
                <w:sz w:val="21"/>
                <w:szCs w:val="21"/>
              </w:rPr>
            </w:pPr>
          </w:p>
        </w:tc>
        <w:tc>
          <w:tcPr>
            <w:tcW w:w="1170" w:type="dxa"/>
            <w:gridSpan w:val="2"/>
            <w:vMerge w:val="continue"/>
            <w:vAlign w:val="center"/>
          </w:tcPr>
          <w:p w14:paraId="2F49EA7B">
            <w:pPr>
              <w:ind w:firstLine="28"/>
              <w:jc w:val="center"/>
              <w:rPr>
                <w:rFonts w:ascii="宋体" w:hAnsi="宋体" w:cs="宋体"/>
                <w:b/>
                <w:bCs/>
                <w:color w:val="auto"/>
                <w:sz w:val="21"/>
                <w:szCs w:val="21"/>
              </w:rPr>
            </w:pPr>
          </w:p>
        </w:tc>
        <w:tc>
          <w:tcPr>
            <w:tcW w:w="688" w:type="dxa"/>
            <w:vMerge w:val="continue"/>
            <w:vAlign w:val="center"/>
          </w:tcPr>
          <w:p w14:paraId="39D22E7B">
            <w:pPr>
              <w:ind w:firstLine="28"/>
              <w:jc w:val="center"/>
              <w:rPr>
                <w:rFonts w:ascii="宋体" w:hAnsi="宋体" w:cs="宋体"/>
                <w:b/>
                <w:bCs/>
                <w:color w:val="auto"/>
                <w:sz w:val="21"/>
                <w:szCs w:val="21"/>
              </w:rPr>
            </w:pPr>
          </w:p>
        </w:tc>
        <w:tc>
          <w:tcPr>
            <w:tcW w:w="5361" w:type="dxa"/>
            <w:tcBorders>
              <w:top w:val="single" w:color="auto" w:sz="4" w:space="0"/>
              <w:bottom w:val="single" w:color="auto" w:sz="4" w:space="0"/>
            </w:tcBorders>
          </w:tcPr>
          <w:p w14:paraId="14901C9B">
            <w:pPr>
              <w:snapToGrid w:val="0"/>
              <w:spacing w:line="240" w:lineRule="exact"/>
              <w:rPr>
                <w:rFonts w:ascii="宋体" w:hAnsi="宋体" w:cs="宋体"/>
                <w:bCs/>
                <w:color w:val="auto"/>
                <w:sz w:val="21"/>
                <w:szCs w:val="21"/>
              </w:rPr>
            </w:pPr>
            <w:r>
              <w:rPr>
                <w:rFonts w:hint="eastAsia" w:ascii="宋体" w:hAnsi="宋体" w:cs="宋体"/>
                <w:bCs/>
                <w:color w:val="auto"/>
                <w:sz w:val="21"/>
                <w:szCs w:val="21"/>
              </w:rPr>
              <w:t>五、供应商经营业绩（12分）</w:t>
            </w:r>
          </w:p>
          <w:p w14:paraId="1DAB879C">
            <w:pPr>
              <w:snapToGrid w:val="0"/>
              <w:spacing w:line="240" w:lineRule="exact"/>
              <w:rPr>
                <w:rFonts w:ascii="宋体" w:hAnsi="宋体" w:cs="宋体"/>
                <w:bCs/>
                <w:color w:val="auto"/>
                <w:sz w:val="21"/>
                <w:szCs w:val="21"/>
              </w:rPr>
            </w:pPr>
            <w:r>
              <w:rPr>
                <w:rFonts w:hint="eastAsia" w:ascii="宋体" w:hAnsi="宋体" w:cs="宋体"/>
                <w:bCs/>
                <w:color w:val="auto"/>
                <w:sz w:val="21"/>
                <w:szCs w:val="21"/>
              </w:rPr>
              <w:t>目前在经营的高校同类型食堂（服务合同三年及以上）,经营面积2000（含）-4000（不含）平方米，每份合同得1分；经营面积4000（含）-6000（不含）平方米每份合同得2分；6000（含）-8000（不含）平方米每份合同得3分，经营面积8000（含）平方米以上每份合同得4分。（本项累计最高不超过12分）</w:t>
            </w:r>
          </w:p>
          <w:p w14:paraId="1061B633">
            <w:pPr>
              <w:snapToGrid w:val="0"/>
              <w:spacing w:line="240" w:lineRule="exact"/>
              <w:rPr>
                <w:rFonts w:ascii="宋体" w:hAnsi="宋体" w:cs="宋体"/>
                <w:bCs/>
                <w:color w:val="auto"/>
                <w:sz w:val="21"/>
                <w:szCs w:val="21"/>
              </w:rPr>
            </w:pPr>
            <w:r>
              <w:rPr>
                <w:rFonts w:hint="eastAsia" w:ascii="宋体" w:hAnsi="宋体" w:cs="宋体"/>
                <w:bCs/>
                <w:color w:val="auto"/>
                <w:sz w:val="21"/>
                <w:szCs w:val="21"/>
              </w:rPr>
              <w:t>（提供：提供汇总一览表，完整的合同复印件，原件备查。不满足上述要求的业绩无效）。</w:t>
            </w:r>
          </w:p>
        </w:tc>
        <w:tc>
          <w:tcPr>
            <w:tcW w:w="1995" w:type="dxa"/>
          </w:tcPr>
          <w:p w14:paraId="7AF8DD0E">
            <w:pPr>
              <w:snapToGrid w:val="0"/>
              <w:spacing w:line="240" w:lineRule="exact"/>
              <w:rPr>
                <w:rFonts w:ascii="宋体" w:hAnsi="宋体" w:cs="宋体"/>
                <w:bCs/>
                <w:color w:val="auto"/>
                <w:sz w:val="21"/>
                <w:szCs w:val="21"/>
              </w:rPr>
            </w:pPr>
            <w:r>
              <w:rPr>
                <w:rFonts w:hint="eastAsia" w:ascii="宋体" w:hAnsi="宋体" w:cs="宋体"/>
                <w:bCs/>
                <w:color w:val="auto"/>
                <w:sz w:val="21"/>
                <w:szCs w:val="21"/>
              </w:rPr>
              <w:t>提供合同复印件及2025年以来至少3个月与合同一致的经营高校转账流水并加盖银行公章（原件备查）。合同上未标明面积的不得分；服务同一高校的，</w:t>
            </w:r>
            <w:r>
              <w:rPr>
                <w:rFonts w:hint="eastAsia" w:ascii="宋体" w:hAnsi="宋体" w:cs="宋体"/>
                <w:bCs/>
                <w:color w:val="auto"/>
                <w:sz w:val="21"/>
                <w:szCs w:val="21"/>
                <w:lang w:val="en-US" w:eastAsia="zh-CN"/>
              </w:rPr>
              <w:t>有多个承包合同的，</w:t>
            </w:r>
            <w:r>
              <w:rPr>
                <w:rFonts w:hint="eastAsia" w:ascii="宋体" w:hAnsi="宋体" w:cs="宋体"/>
                <w:bCs/>
                <w:color w:val="auto"/>
                <w:sz w:val="21"/>
                <w:szCs w:val="21"/>
              </w:rPr>
              <w:t>只</w:t>
            </w:r>
            <w:r>
              <w:rPr>
                <w:rFonts w:hint="eastAsia" w:ascii="宋体" w:hAnsi="宋体" w:cs="宋体"/>
                <w:bCs/>
                <w:color w:val="auto"/>
                <w:sz w:val="21"/>
                <w:szCs w:val="21"/>
                <w:lang w:val="en-US" w:eastAsia="zh-CN"/>
              </w:rPr>
              <w:t>计</w:t>
            </w:r>
            <w:r>
              <w:rPr>
                <w:rFonts w:hint="eastAsia" w:ascii="宋体" w:hAnsi="宋体" w:cs="宋体"/>
                <w:bCs/>
                <w:color w:val="auto"/>
                <w:sz w:val="21"/>
                <w:szCs w:val="21"/>
              </w:rPr>
              <w:t>算承包面积最大的合同</w:t>
            </w:r>
            <w:r>
              <w:rPr>
                <w:rFonts w:hint="eastAsia" w:ascii="宋体" w:hAnsi="宋体" w:cs="宋体"/>
                <w:bCs/>
                <w:color w:val="auto"/>
                <w:sz w:val="21"/>
                <w:szCs w:val="21"/>
                <w:lang w:val="en-US" w:eastAsia="zh-CN"/>
              </w:rPr>
              <w:t>，该高校的其他合同不再计算</w:t>
            </w:r>
            <w:r>
              <w:rPr>
                <w:rFonts w:hint="eastAsia" w:ascii="宋体" w:hAnsi="宋体" w:cs="宋体"/>
                <w:bCs/>
                <w:color w:val="auto"/>
                <w:sz w:val="21"/>
                <w:szCs w:val="21"/>
              </w:rPr>
              <w:t>。</w:t>
            </w:r>
          </w:p>
        </w:tc>
      </w:tr>
    </w:tbl>
    <w:p w14:paraId="3A91EA5D">
      <w:pPr>
        <w:rPr>
          <w:rFonts w:ascii="宋体" w:hAnsi="宋体" w:cs="宋体"/>
          <w:color w:val="auto"/>
          <w:sz w:val="24"/>
          <w:szCs w:val="24"/>
        </w:rPr>
      </w:pPr>
    </w:p>
    <w:p w14:paraId="4B4E5E97">
      <w:pPr>
        <w:rPr>
          <w:rFonts w:ascii="宋体" w:hAnsi="宋体" w:cs="宋体"/>
          <w:color w:val="auto"/>
          <w:sz w:val="24"/>
          <w:szCs w:val="24"/>
        </w:rPr>
      </w:pPr>
    </w:p>
    <w:p w14:paraId="35C788D5">
      <w:pPr>
        <w:rPr>
          <w:rFonts w:ascii="宋体" w:hAnsi="宋体" w:cs="宋体"/>
          <w:color w:val="auto"/>
          <w:sz w:val="24"/>
          <w:szCs w:val="24"/>
        </w:rPr>
      </w:pPr>
    </w:p>
    <w:bookmarkEnd w:id="134"/>
    <w:bookmarkEnd w:id="135"/>
    <w:p w14:paraId="483FD417">
      <w:pPr>
        <w:pStyle w:val="4"/>
        <w:spacing w:before="0" w:after="0" w:line="400" w:lineRule="exact"/>
        <w:rPr>
          <w:rFonts w:ascii="宋体" w:hAnsi="宋体" w:cs="宋体"/>
          <w:b w:val="0"/>
          <w:color w:val="auto"/>
          <w:sz w:val="24"/>
          <w:szCs w:val="24"/>
        </w:rPr>
      </w:pPr>
      <w:bookmarkStart w:id="138" w:name="_Toc32174"/>
      <w:bookmarkStart w:id="139" w:name="_Toc8405"/>
      <w:r>
        <w:rPr>
          <w:rFonts w:hint="eastAsia" w:ascii="宋体" w:hAnsi="宋体" w:cs="宋体"/>
          <w:b w:val="0"/>
          <w:color w:val="auto"/>
          <w:sz w:val="24"/>
          <w:szCs w:val="24"/>
        </w:rPr>
        <w:t>三、无效响应</w:t>
      </w:r>
      <w:bookmarkEnd w:id="138"/>
      <w:bookmarkEnd w:id="139"/>
    </w:p>
    <w:p w14:paraId="3B90EDC3">
      <w:pPr>
        <w:snapToGrid w:val="0"/>
        <w:spacing w:line="400" w:lineRule="exact"/>
        <w:ind w:firstLine="465"/>
        <w:rPr>
          <w:rFonts w:ascii="宋体" w:hAnsi="宋体" w:cs="宋体"/>
          <w:color w:val="auto"/>
          <w:sz w:val="24"/>
          <w:szCs w:val="24"/>
        </w:rPr>
      </w:pPr>
      <w:r>
        <w:rPr>
          <w:rFonts w:hint="eastAsia" w:ascii="宋体" w:hAnsi="宋体" w:cs="宋体"/>
          <w:color w:val="auto"/>
          <w:sz w:val="24"/>
          <w:szCs w:val="24"/>
        </w:rPr>
        <w:t>供应商发生以下条款情况之一者，视为无效响应，其响应文件将被拒绝：</w:t>
      </w:r>
    </w:p>
    <w:p w14:paraId="53DC0630">
      <w:pPr>
        <w:snapToGrid w:val="0"/>
        <w:spacing w:line="400" w:lineRule="exact"/>
        <w:ind w:firstLine="465"/>
        <w:rPr>
          <w:rFonts w:ascii="宋体" w:hAnsi="宋体" w:cs="宋体"/>
          <w:color w:val="auto"/>
          <w:sz w:val="24"/>
          <w:szCs w:val="24"/>
        </w:rPr>
      </w:pPr>
      <w:r>
        <w:rPr>
          <w:rFonts w:hint="eastAsia" w:ascii="宋体" w:hAnsi="宋体" w:cs="宋体"/>
          <w:color w:val="auto"/>
          <w:sz w:val="24"/>
          <w:szCs w:val="24"/>
        </w:rPr>
        <w:t>（一）供应商不符合规定的基本资格条件或特定资格条件的；</w:t>
      </w:r>
    </w:p>
    <w:p w14:paraId="55F8DD1C">
      <w:pPr>
        <w:snapToGrid w:val="0"/>
        <w:spacing w:line="400" w:lineRule="exact"/>
        <w:ind w:firstLine="465"/>
        <w:rPr>
          <w:rFonts w:ascii="宋体" w:hAnsi="宋体" w:cs="宋体"/>
          <w:color w:val="auto"/>
          <w:sz w:val="24"/>
          <w:szCs w:val="24"/>
        </w:rPr>
      </w:pPr>
      <w:r>
        <w:rPr>
          <w:rFonts w:hint="eastAsia" w:ascii="宋体" w:hAnsi="宋体" w:cs="宋体"/>
          <w:color w:val="auto"/>
          <w:sz w:val="24"/>
          <w:szCs w:val="24"/>
        </w:rPr>
        <w:t>（二）供应商的法定代表人或其授权代表未参加磋商；</w:t>
      </w:r>
    </w:p>
    <w:p w14:paraId="1CE5ECDB">
      <w:pPr>
        <w:snapToGrid w:val="0"/>
        <w:spacing w:line="400" w:lineRule="exact"/>
        <w:ind w:firstLine="465"/>
        <w:rPr>
          <w:rFonts w:ascii="宋体" w:hAnsi="宋体" w:cs="宋体"/>
          <w:color w:val="auto"/>
          <w:sz w:val="24"/>
          <w:szCs w:val="24"/>
        </w:rPr>
      </w:pPr>
      <w:r>
        <w:rPr>
          <w:rFonts w:hint="eastAsia" w:ascii="宋体" w:hAnsi="宋体" w:cs="宋体"/>
          <w:color w:val="auto"/>
          <w:sz w:val="24"/>
          <w:szCs w:val="24"/>
        </w:rPr>
        <w:t>（三）供应商未按照竞争性磋商文件的要求缴纳磋商保证金；</w:t>
      </w:r>
    </w:p>
    <w:p w14:paraId="72B6277A">
      <w:pPr>
        <w:snapToGrid w:val="0"/>
        <w:spacing w:line="400" w:lineRule="exact"/>
        <w:ind w:firstLine="465"/>
        <w:rPr>
          <w:rFonts w:ascii="宋体" w:hAnsi="宋体" w:cs="宋体"/>
          <w:color w:val="auto"/>
          <w:sz w:val="24"/>
          <w:szCs w:val="24"/>
        </w:rPr>
      </w:pPr>
      <w:r>
        <w:rPr>
          <w:rFonts w:hint="eastAsia" w:ascii="宋体" w:hAnsi="宋体" w:cs="宋体"/>
          <w:color w:val="auto"/>
          <w:sz w:val="24"/>
          <w:szCs w:val="24"/>
        </w:rPr>
        <w:t>（四）供应商所提交的响应文件不按第六篇“响应文件编制要求”规定签字、盖章；</w:t>
      </w:r>
    </w:p>
    <w:p w14:paraId="0DF2A078">
      <w:pPr>
        <w:snapToGrid w:val="0"/>
        <w:spacing w:line="400" w:lineRule="exact"/>
        <w:ind w:firstLine="465"/>
        <w:rPr>
          <w:rFonts w:ascii="宋体" w:hAnsi="宋体" w:cs="宋体"/>
          <w:color w:val="auto"/>
          <w:sz w:val="24"/>
          <w:szCs w:val="24"/>
        </w:rPr>
      </w:pPr>
      <w:r>
        <w:rPr>
          <w:rFonts w:hint="eastAsia" w:ascii="宋体" w:hAnsi="宋体" w:cs="宋体"/>
          <w:color w:val="auto"/>
          <w:sz w:val="24"/>
          <w:szCs w:val="24"/>
        </w:rPr>
        <w:t>（五）供应商的最后报价低于采购预算的最低限价或最高限价的；</w:t>
      </w:r>
    </w:p>
    <w:p w14:paraId="5D5004FE">
      <w:pPr>
        <w:snapToGrid w:val="0"/>
        <w:spacing w:line="400" w:lineRule="exact"/>
        <w:ind w:firstLine="465"/>
        <w:rPr>
          <w:rFonts w:ascii="宋体" w:hAnsi="宋体" w:cs="宋体"/>
          <w:color w:val="auto"/>
          <w:sz w:val="24"/>
          <w:szCs w:val="24"/>
        </w:rPr>
      </w:pPr>
      <w:r>
        <w:rPr>
          <w:rFonts w:hint="eastAsia" w:ascii="宋体" w:hAnsi="宋体" w:cs="宋体"/>
          <w:color w:val="auto"/>
          <w:sz w:val="24"/>
          <w:szCs w:val="24"/>
        </w:rPr>
        <w:t>（六）法定代表人为同一个人的两个及两个以上法人，母公司、全资子公司及其控股公司，在同一分包采购中同时参与磋商；</w:t>
      </w:r>
    </w:p>
    <w:p w14:paraId="0DB59C47">
      <w:pPr>
        <w:snapToGrid w:val="0"/>
        <w:spacing w:line="400" w:lineRule="exact"/>
        <w:ind w:firstLine="465"/>
        <w:rPr>
          <w:rFonts w:ascii="宋体" w:hAnsi="宋体" w:cs="宋体"/>
          <w:color w:val="auto"/>
          <w:sz w:val="24"/>
          <w:szCs w:val="24"/>
        </w:rPr>
      </w:pPr>
      <w:r>
        <w:rPr>
          <w:rFonts w:hint="eastAsia" w:ascii="宋体" w:hAnsi="宋体" w:cs="宋体"/>
          <w:color w:val="auto"/>
          <w:sz w:val="24"/>
          <w:szCs w:val="24"/>
        </w:rPr>
        <w:t>（七）单位负责人为同一人或者存在直接控股、管理关系的不同供应商，参加同一合同项下的政府采购活动的；</w:t>
      </w:r>
    </w:p>
    <w:p w14:paraId="08F1BF69">
      <w:pPr>
        <w:snapToGrid w:val="0"/>
        <w:spacing w:line="400" w:lineRule="exact"/>
        <w:ind w:firstLine="465"/>
        <w:rPr>
          <w:rFonts w:ascii="宋体" w:hAnsi="宋体" w:cs="宋体"/>
          <w:color w:val="auto"/>
          <w:sz w:val="24"/>
          <w:szCs w:val="24"/>
        </w:rPr>
      </w:pPr>
      <w:r>
        <w:rPr>
          <w:rFonts w:hint="eastAsia" w:ascii="宋体" w:hAnsi="宋体" w:cs="宋体"/>
          <w:color w:val="auto"/>
          <w:sz w:val="24"/>
          <w:szCs w:val="24"/>
        </w:rPr>
        <w:t>（八）为采购项目提供整体设计、规范编制或者项目管理、监理、检测等服务的供应商，再参加该采购项目的其他采购活动；</w:t>
      </w:r>
    </w:p>
    <w:p w14:paraId="52B43FE0">
      <w:pPr>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（九）供应商磋商服务期、质量保证期及磋商有效期不满足竞争性磋商文件要求的；</w:t>
      </w:r>
    </w:p>
    <w:p w14:paraId="6DD2CB0E">
      <w:pPr>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（十）供应商响应文件内容有与国家现行法律法规相违背的内容，或附有采购人无法接受的条件。</w:t>
      </w:r>
    </w:p>
    <w:p w14:paraId="03B084FA">
      <w:pPr>
        <w:snapToGrid w:val="0"/>
        <w:spacing w:line="400" w:lineRule="exact"/>
        <w:ind w:firstLine="465"/>
        <w:rPr>
          <w:rFonts w:ascii="宋体" w:hAnsi="宋体" w:cs="宋体"/>
          <w:color w:val="auto"/>
          <w:sz w:val="24"/>
          <w:szCs w:val="24"/>
        </w:rPr>
      </w:pPr>
      <w:r>
        <w:rPr>
          <w:rFonts w:hint="eastAsia" w:ascii="宋体" w:hAnsi="宋体" w:cs="宋体"/>
          <w:color w:val="auto"/>
          <w:sz w:val="24"/>
          <w:szCs w:val="24"/>
        </w:rPr>
        <w:t>（十一）供应商以联合体形式参与磋商的；</w:t>
      </w:r>
    </w:p>
    <w:p w14:paraId="134DA72B">
      <w:pPr>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（十二）供应商被列入失信被执行人、发生过重大食品安全事故、重大税收违法案件当事人名单、政府采购严重违法失信行为记录名单及其他不符合《中华人民共和国政府采购法》第二十二条规定条件的。</w:t>
      </w:r>
    </w:p>
    <w:p w14:paraId="2B325496">
      <w:pPr>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（十三）采购人基建后勤处须核对所有成交商提供的资质与业绩相关的所有原始材料，不能按采购人基建后勤处通知要求提交或者材料有问题的，取消中标资格。</w:t>
      </w:r>
    </w:p>
    <w:p w14:paraId="32335710">
      <w:pPr>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（十四）所有投标人必须是投标公司自主独立经营，不得有转包、分包、挂靠等行为，否则，取消中标资格。</w:t>
      </w:r>
    </w:p>
    <w:p w14:paraId="436D963C">
      <w:pPr>
        <w:pStyle w:val="4"/>
        <w:spacing w:before="0" w:after="0" w:line="400" w:lineRule="exact"/>
        <w:rPr>
          <w:rFonts w:ascii="宋体" w:hAnsi="宋体" w:cs="宋体"/>
          <w:b w:val="0"/>
          <w:color w:val="auto"/>
          <w:sz w:val="24"/>
          <w:szCs w:val="24"/>
        </w:rPr>
      </w:pPr>
      <w:bookmarkStart w:id="140" w:name="_Toc959"/>
      <w:bookmarkStart w:id="141" w:name="_Toc20755"/>
      <w:r>
        <w:rPr>
          <w:rFonts w:hint="eastAsia" w:ascii="宋体" w:hAnsi="宋体" w:cs="宋体"/>
          <w:b w:val="0"/>
          <w:color w:val="auto"/>
          <w:sz w:val="24"/>
          <w:szCs w:val="24"/>
        </w:rPr>
        <w:t>四、采购终止</w:t>
      </w:r>
      <w:bookmarkEnd w:id="140"/>
      <w:bookmarkEnd w:id="141"/>
    </w:p>
    <w:p w14:paraId="3707746F">
      <w:pPr>
        <w:snapToGrid w:val="0"/>
        <w:spacing w:line="400" w:lineRule="exact"/>
        <w:ind w:firstLine="465"/>
        <w:rPr>
          <w:rFonts w:ascii="宋体" w:hAnsi="宋体" w:cs="宋体"/>
          <w:color w:val="auto"/>
          <w:sz w:val="24"/>
          <w:szCs w:val="24"/>
        </w:rPr>
      </w:pPr>
      <w:r>
        <w:rPr>
          <w:rFonts w:hint="eastAsia" w:ascii="宋体" w:hAnsi="宋体" w:cs="宋体"/>
          <w:color w:val="auto"/>
          <w:sz w:val="24"/>
          <w:szCs w:val="24"/>
        </w:rPr>
        <w:t>出现下列情形之一的，采购人应当终止竞争性磋商采购活动，发布项目终止公告并说明原因，重新开展采购活动：</w:t>
      </w:r>
    </w:p>
    <w:p w14:paraId="49A3F64E">
      <w:pPr>
        <w:snapToGrid w:val="0"/>
        <w:spacing w:line="400" w:lineRule="exact"/>
        <w:ind w:firstLine="465"/>
        <w:rPr>
          <w:rFonts w:ascii="宋体" w:hAnsi="宋体" w:cs="宋体"/>
          <w:color w:val="auto"/>
          <w:sz w:val="24"/>
          <w:szCs w:val="24"/>
        </w:rPr>
      </w:pPr>
      <w:r>
        <w:rPr>
          <w:rFonts w:hint="eastAsia" w:ascii="宋体" w:hAnsi="宋体" w:cs="宋体"/>
          <w:color w:val="auto"/>
          <w:sz w:val="24"/>
          <w:szCs w:val="24"/>
        </w:rPr>
        <w:t>（一）因情况变化，不再符合规定的竞争性磋商采购方式适用情形的；</w:t>
      </w:r>
    </w:p>
    <w:p w14:paraId="4F91A058">
      <w:pPr>
        <w:snapToGrid w:val="0"/>
        <w:spacing w:line="400" w:lineRule="exact"/>
        <w:ind w:firstLine="465"/>
        <w:rPr>
          <w:rFonts w:ascii="宋体" w:hAnsi="宋体" w:cs="宋体"/>
          <w:color w:val="auto"/>
          <w:sz w:val="24"/>
          <w:szCs w:val="24"/>
        </w:rPr>
      </w:pPr>
      <w:r>
        <w:rPr>
          <w:rFonts w:hint="eastAsia" w:ascii="宋体" w:hAnsi="宋体" w:cs="宋体"/>
          <w:color w:val="auto"/>
          <w:sz w:val="24"/>
          <w:szCs w:val="24"/>
        </w:rPr>
        <w:t>（二）出现影响采购公正的违法、违规行为的；</w:t>
      </w:r>
    </w:p>
    <w:p w14:paraId="0498729A">
      <w:pPr>
        <w:snapToGrid w:val="0"/>
        <w:spacing w:line="400" w:lineRule="exact"/>
        <w:ind w:firstLine="465"/>
        <w:rPr>
          <w:rFonts w:ascii="宋体" w:hAnsi="宋体" w:cs="宋体"/>
          <w:color w:val="auto"/>
          <w:sz w:val="24"/>
          <w:szCs w:val="24"/>
        </w:rPr>
      </w:pPr>
      <w:r>
        <w:rPr>
          <w:rFonts w:hint="eastAsia" w:ascii="宋体" w:hAnsi="宋体" w:cs="宋体"/>
          <w:color w:val="auto"/>
          <w:sz w:val="24"/>
          <w:szCs w:val="24"/>
        </w:rPr>
        <w:t>（三）在采购过程中符合要求的供应商或者报价未超过采购预算的供应商不足</w:t>
      </w:r>
      <w:r>
        <w:rPr>
          <w:rFonts w:ascii="宋体" w:hAnsi="宋体" w:cs="宋体"/>
          <w:color w:val="auto"/>
          <w:sz w:val="24"/>
          <w:szCs w:val="24"/>
        </w:rPr>
        <w:t>3家的，但《政府采购竞争性磋商采购方式管理暂行办法》第二十一条第三款规定的情形除外。</w:t>
      </w:r>
    </w:p>
    <w:p w14:paraId="14A1FE4F">
      <w:pPr>
        <w:snapToGrid w:val="0"/>
        <w:spacing w:line="400" w:lineRule="exact"/>
        <w:ind w:firstLine="465"/>
        <w:rPr>
          <w:rFonts w:ascii="宋体" w:hAnsi="宋体" w:cs="宋体"/>
          <w:color w:val="auto"/>
          <w:sz w:val="24"/>
          <w:szCs w:val="24"/>
        </w:rPr>
      </w:pPr>
    </w:p>
    <w:p w14:paraId="5F70384A">
      <w:pPr>
        <w:snapToGrid w:val="0"/>
        <w:spacing w:line="400" w:lineRule="exact"/>
        <w:ind w:firstLine="465"/>
        <w:rPr>
          <w:rFonts w:ascii="宋体" w:hAnsi="宋体" w:cs="宋体"/>
          <w:color w:val="auto"/>
          <w:sz w:val="24"/>
          <w:szCs w:val="24"/>
        </w:rPr>
      </w:pPr>
    </w:p>
    <w:p w14:paraId="7032A75B">
      <w:pPr>
        <w:snapToGrid w:val="0"/>
        <w:spacing w:line="400" w:lineRule="exact"/>
        <w:ind w:firstLine="465"/>
        <w:rPr>
          <w:rFonts w:ascii="宋体" w:hAnsi="宋体" w:cs="宋体"/>
          <w:color w:val="auto"/>
          <w:sz w:val="24"/>
          <w:szCs w:val="24"/>
        </w:rPr>
      </w:pPr>
    </w:p>
    <w:p w14:paraId="2E352EE2">
      <w:pPr>
        <w:jc w:val="center"/>
        <w:rPr>
          <w:rFonts w:hint="eastAsia" w:ascii="宋体" w:hAnsi="宋体" w:eastAsia="宋体" w:cs="宋体"/>
          <w:b w:val="0"/>
          <w:color w:val="auto"/>
          <w:sz w:val="36"/>
          <w:szCs w:val="30"/>
        </w:rPr>
      </w:pPr>
      <w:bookmarkStart w:id="142" w:name="_Toc30322"/>
      <w:bookmarkStart w:id="143" w:name="_Toc102227313"/>
      <w:bookmarkStart w:id="144" w:name="_Toc31376"/>
      <w:r>
        <w:rPr>
          <w:rFonts w:hint="eastAsia" w:ascii="宋体" w:hAnsi="宋体" w:eastAsia="宋体" w:cs="宋体"/>
          <w:b w:val="0"/>
          <w:color w:val="auto"/>
          <w:sz w:val="36"/>
          <w:szCs w:val="30"/>
        </w:rPr>
        <w:br w:type="page"/>
      </w:r>
    </w:p>
    <w:p w14:paraId="11F800E8">
      <w:pPr>
        <w:pStyle w:val="3"/>
        <w:spacing w:line="360" w:lineRule="auto"/>
        <w:jc w:val="center"/>
        <w:rPr>
          <w:rFonts w:ascii="宋体" w:hAnsi="宋体" w:eastAsia="宋体" w:cs="宋体"/>
          <w:b w:val="0"/>
          <w:color w:val="auto"/>
          <w:szCs w:val="30"/>
        </w:rPr>
      </w:pPr>
      <w:bookmarkStart w:id="145" w:name="_Toc7625"/>
      <w:r>
        <w:rPr>
          <w:rFonts w:hint="eastAsia" w:ascii="宋体" w:hAnsi="宋体" w:eastAsia="宋体" w:cs="宋体"/>
          <w:b w:val="0"/>
          <w:color w:val="auto"/>
          <w:sz w:val="36"/>
          <w:szCs w:val="30"/>
        </w:rPr>
        <w:t>第五篇  供应商须知</w:t>
      </w:r>
      <w:bookmarkEnd w:id="142"/>
      <w:bookmarkEnd w:id="143"/>
      <w:bookmarkEnd w:id="144"/>
      <w:bookmarkEnd w:id="145"/>
    </w:p>
    <w:p w14:paraId="47914189">
      <w:pPr>
        <w:pStyle w:val="3"/>
        <w:adjustRightInd w:val="0"/>
        <w:snapToGrid w:val="0"/>
        <w:spacing w:before="0" w:after="0" w:line="400" w:lineRule="exact"/>
        <w:ind w:firstLine="482" w:firstLineChars="200"/>
        <w:rPr>
          <w:rFonts w:ascii="宋体" w:hAnsi="宋体" w:eastAsia="宋体" w:cs="宋体"/>
          <w:color w:val="auto"/>
          <w:sz w:val="24"/>
        </w:rPr>
      </w:pPr>
      <w:bookmarkStart w:id="146" w:name="_Toc76462338"/>
      <w:bookmarkStart w:id="147" w:name="_Toc32173"/>
      <w:bookmarkStart w:id="148" w:name="_Toc19430"/>
      <w:bookmarkStart w:id="149" w:name="_Toc342913389"/>
      <w:bookmarkStart w:id="150" w:name="_Toc9147"/>
      <w:bookmarkStart w:id="151" w:name="_Toc11171"/>
      <w:r>
        <w:rPr>
          <w:rFonts w:hint="eastAsia" w:ascii="宋体" w:hAnsi="宋体" w:eastAsia="宋体" w:cs="宋体"/>
          <w:color w:val="auto"/>
          <w:sz w:val="24"/>
        </w:rPr>
        <w:t>一、磋商费用</w:t>
      </w:r>
      <w:bookmarkEnd w:id="146"/>
      <w:bookmarkEnd w:id="147"/>
      <w:bookmarkEnd w:id="148"/>
    </w:p>
    <w:p w14:paraId="14C2F857">
      <w:pPr>
        <w:pStyle w:val="147"/>
        <w:spacing w:line="400" w:lineRule="exact"/>
        <w:ind w:firstLine="480" w:firstLineChars="200"/>
        <w:rPr>
          <w:rFonts w:hAnsi="宋体" w:cs="宋体"/>
          <w:color w:val="auto"/>
          <w:sz w:val="24"/>
          <w:szCs w:val="24"/>
        </w:rPr>
      </w:pPr>
      <w:r>
        <w:rPr>
          <w:rFonts w:hint="eastAsia" w:hAnsi="宋体" w:cs="宋体"/>
          <w:color w:val="auto"/>
          <w:sz w:val="24"/>
          <w:szCs w:val="24"/>
        </w:rPr>
        <w:t>参与磋商的供应商应承担其编制响应文件与递交响应文件所涉及的一切费用，不论磋商结果如何，采购人和采购代理机构在任何情况下无义务也无责任承担这些费用。</w:t>
      </w:r>
    </w:p>
    <w:p w14:paraId="5DD25CFC">
      <w:pPr>
        <w:pStyle w:val="3"/>
        <w:adjustRightInd w:val="0"/>
        <w:snapToGrid w:val="0"/>
        <w:spacing w:before="0" w:after="0" w:line="400" w:lineRule="exact"/>
        <w:ind w:firstLine="482" w:firstLineChars="200"/>
        <w:rPr>
          <w:rFonts w:ascii="宋体" w:hAnsi="宋体" w:eastAsia="宋体" w:cs="宋体"/>
          <w:color w:val="auto"/>
          <w:sz w:val="24"/>
        </w:rPr>
      </w:pPr>
      <w:bookmarkStart w:id="152" w:name="_Toc76462339"/>
      <w:bookmarkStart w:id="153" w:name="_Toc18087"/>
      <w:bookmarkStart w:id="154" w:name="_Toc2560"/>
      <w:r>
        <w:rPr>
          <w:rFonts w:hint="eastAsia" w:ascii="宋体" w:hAnsi="宋体" w:eastAsia="宋体" w:cs="宋体"/>
          <w:color w:val="auto"/>
          <w:sz w:val="24"/>
        </w:rPr>
        <w:t>二、竞争性磋商文件</w:t>
      </w:r>
      <w:bookmarkEnd w:id="152"/>
      <w:bookmarkEnd w:id="153"/>
      <w:bookmarkEnd w:id="154"/>
    </w:p>
    <w:p w14:paraId="1F19B3F2">
      <w:pPr>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（一）竞争性磋商文件由采购邀请书、项目服务需求、供应商须知、项目商务需求、磋商程序及方法、评审标准、无效响应和采购终止、供应商须知</w:t>
      </w:r>
      <w:r>
        <w:rPr>
          <w:rFonts w:hint="eastAsia" w:ascii="宋体" w:hAnsi="宋体" w:cs="宋体"/>
          <w:b/>
          <w:color w:val="auto"/>
          <w:sz w:val="24"/>
          <w:szCs w:val="24"/>
        </w:rPr>
        <w:t>、</w:t>
      </w:r>
      <w:r>
        <w:rPr>
          <w:rFonts w:hint="eastAsia" w:ascii="宋体" w:hAnsi="宋体" w:cs="宋体"/>
          <w:color w:val="auto"/>
          <w:sz w:val="24"/>
          <w:szCs w:val="24"/>
        </w:rPr>
        <w:t>政府采购合同</w:t>
      </w:r>
      <w:r>
        <w:rPr>
          <w:rFonts w:hint="eastAsia" w:ascii="宋体" w:hAnsi="宋体" w:cs="宋体"/>
          <w:b/>
          <w:color w:val="auto"/>
          <w:sz w:val="24"/>
          <w:szCs w:val="24"/>
        </w:rPr>
        <w:t>、</w:t>
      </w:r>
      <w:r>
        <w:rPr>
          <w:rFonts w:hint="eastAsia" w:ascii="宋体" w:hAnsi="宋体" w:cs="宋体"/>
          <w:color w:val="auto"/>
          <w:sz w:val="24"/>
          <w:szCs w:val="24"/>
        </w:rPr>
        <w:t>响应文件编制要求七部分组成。</w:t>
      </w:r>
    </w:p>
    <w:p w14:paraId="2F772DA7">
      <w:pPr>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（二）采购人（或采购代理机构）所作的一切有效的书面通知、修改及补充，都是竞争性磋商文件不可分割的部分。</w:t>
      </w:r>
    </w:p>
    <w:p w14:paraId="1FD54237">
      <w:pPr>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（三）竞争性磋商文件的解释</w:t>
      </w:r>
    </w:p>
    <w:p w14:paraId="5FAA0E49">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供应商如对竞争性磋商文件有疑问，必须以书面形式在提交响应文件截止时间3个工作日前向采购人（或采购代理机构）要求澄清，采购人（或采购代理机构）可视具体情况做出处理或答复。如供应商未提出疑问，视为完全理解并同意本竞争性磋商文件。一经进入磋商程序，即视为供应商已详细阅读全部文件资料，完全理解竞争性磋商文件所有条款内容并同意放弃对这方面有不明白及误解的权利。</w:t>
      </w:r>
    </w:p>
    <w:p w14:paraId="45E17846">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（四）本竞争性磋商文件中，磋商小组根据与供应商进行磋商可能实质性变动的内容为竞争性磋商文件第二、三、六篇全部内容。</w:t>
      </w:r>
    </w:p>
    <w:p w14:paraId="7607CA0F">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（五）评审的依据为竞争性磋商文件和响应文件（含有效的书面承诺）。磋商小组判断响应文件对竞争性磋商文件的响应，仅基于响应文件本身而不靠外部证据。</w:t>
      </w:r>
    </w:p>
    <w:p w14:paraId="31388EFB">
      <w:pPr>
        <w:pStyle w:val="3"/>
        <w:adjustRightInd w:val="0"/>
        <w:snapToGrid w:val="0"/>
        <w:spacing w:before="0" w:after="0" w:line="400" w:lineRule="exact"/>
        <w:ind w:firstLine="482" w:firstLineChars="200"/>
        <w:rPr>
          <w:rFonts w:ascii="宋体" w:hAnsi="宋体" w:eastAsia="宋体" w:cs="宋体"/>
          <w:color w:val="auto"/>
          <w:sz w:val="24"/>
        </w:rPr>
      </w:pPr>
      <w:bookmarkStart w:id="155" w:name="_Toc9936"/>
      <w:bookmarkStart w:id="156" w:name="_Toc76462340"/>
      <w:bookmarkStart w:id="157" w:name="_Toc32724"/>
      <w:r>
        <w:rPr>
          <w:rFonts w:hint="eastAsia" w:ascii="宋体" w:hAnsi="宋体" w:eastAsia="宋体" w:cs="宋体"/>
          <w:color w:val="auto"/>
          <w:sz w:val="24"/>
        </w:rPr>
        <w:t>三、磋商要求</w:t>
      </w:r>
      <w:bookmarkEnd w:id="155"/>
      <w:bookmarkEnd w:id="156"/>
      <w:bookmarkEnd w:id="157"/>
    </w:p>
    <w:p w14:paraId="23A535AD">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（一）响应文件</w:t>
      </w:r>
    </w:p>
    <w:p w14:paraId="66CEC21B">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1.供应商应当按照竞争性磋商文件的要求编制响应文件，并对竞争性磋商文件提出的要求和条件作出实质性响应，响应文件原则上采用软面订本，同时应编制完整的页码、目录。</w:t>
      </w:r>
    </w:p>
    <w:p w14:paraId="31C5F905">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2.响应文件组成</w:t>
      </w:r>
    </w:p>
    <w:p w14:paraId="4655BDEA">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响应文件由“第七篇响应文件编制要求”规定的部分和供应商所作的一切有效补充、修改和承诺等文件组成，供应商应按照“第七篇响应文件编制要求”规定的目录顺序组织编写和装订，也可在基本格式基础上对表格进行扩展，未规定格式的由供应商自定格式。</w:t>
      </w:r>
    </w:p>
    <w:p w14:paraId="5F0001B8">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（二）联合体</w:t>
      </w:r>
    </w:p>
    <w:p w14:paraId="34BE97A1">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本项目不接受联合体参与磋商，否则按无效处理。</w:t>
      </w:r>
    </w:p>
    <w:p w14:paraId="47DB51D2">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（三）磋商有效期：响应文件及有关承诺文件有效期为提交响应文件截止时间起90天。</w:t>
      </w:r>
    </w:p>
    <w:p w14:paraId="72D4E74F">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（四）修正错误</w:t>
      </w:r>
    </w:p>
    <w:p w14:paraId="6A613367">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1.若供应商所递交的响应文件或最后报价中的价格出现大写金额和小写金额不一致的错误，以大写金额修正为准。</w:t>
      </w:r>
    </w:p>
    <w:p w14:paraId="44A5A995">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2.磋商小组按上述修正错误的原则及方法修正供应商的报价，供应商同意并签字确认后，修正后的报价对供应商具有约束作用。如果供应商不接受修正后的价格，将失去成为成交商的资格。</w:t>
      </w:r>
    </w:p>
    <w:p w14:paraId="6F378FE0">
      <w:pPr>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（五）提交响应文件的份数和签署</w:t>
      </w:r>
    </w:p>
    <w:p w14:paraId="157BD2F5">
      <w:pPr>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1.响应文件一式</w:t>
      </w:r>
      <w:r>
        <w:rPr>
          <w:rFonts w:hint="eastAsia" w:ascii="宋体" w:hAnsi="宋体" w:cs="宋体"/>
          <w:color w:val="auto"/>
          <w:sz w:val="24"/>
          <w:szCs w:val="24"/>
          <w:lang w:val="en-US" w:eastAsia="zh-CN"/>
        </w:rPr>
        <w:t>四</w:t>
      </w:r>
      <w:r>
        <w:rPr>
          <w:rFonts w:hint="eastAsia" w:ascii="宋体" w:hAnsi="宋体" w:cs="宋体"/>
          <w:color w:val="auto"/>
          <w:sz w:val="24"/>
          <w:szCs w:val="24"/>
        </w:rPr>
        <w:t>份，其中正本一份，副本</w:t>
      </w:r>
      <w:r>
        <w:rPr>
          <w:rFonts w:hint="eastAsia" w:ascii="宋体" w:hAnsi="宋体" w:cs="宋体"/>
          <w:color w:val="auto"/>
          <w:sz w:val="24"/>
          <w:szCs w:val="24"/>
          <w:lang w:val="en-US" w:eastAsia="zh-CN"/>
        </w:rPr>
        <w:t>二</w:t>
      </w:r>
      <w:r>
        <w:rPr>
          <w:rFonts w:hint="eastAsia" w:ascii="宋体" w:hAnsi="宋体" w:cs="宋体"/>
          <w:color w:val="auto"/>
          <w:sz w:val="24"/>
          <w:szCs w:val="24"/>
        </w:rPr>
        <w:t>份，电子文档一份（电子文档内容应与纸质文件正本一致，如不一致以纸质文件正本为准。推荐采用光盘或U盘为电子文档载体）；副本可为正本的复印件，应与正本一致，如出现不一致情况以正本为准。</w:t>
      </w:r>
    </w:p>
    <w:p w14:paraId="64684EC0">
      <w:pPr>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szCs w:val="24"/>
          <w:lang w:val="en-US" w:eastAsia="zh-CN"/>
        </w:rPr>
        <w:t>2</w:t>
      </w:r>
      <w:r>
        <w:rPr>
          <w:rFonts w:hint="eastAsia" w:ascii="宋体" w:hAnsi="宋体" w:cs="宋体"/>
          <w:color w:val="auto"/>
          <w:sz w:val="24"/>
          <w:szCs w:val="24"/>
        </w:rPr>
        <w:t>.</w:t>
      </w:r>
      <w:r>
        <w:rPr>
          <w:rFonts w:hint="eastAsia" w:ascii="宋体" w:hAnsi="宋体" w:cs="宋体"/>
          <w:color w:val="auto"/>
          <w:sz w:val="24"/>
        </w:rPr>
        <w:t>响应文件按竞争性磋商文件“第七篇响应文件编制要求”要求签署或盖章。</w:t>
      </w:r>
    </w:p>
    <w:p w14:paraId="6354F045">
      <w:pPr>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（六）响应文件的递交</w:t>
      </w:r>
    </w:p>
    <w:p w14:paraId="5208B8C3">
      <w:pPr>
        <w:pStyle w:val="30"/>
        <w:spacing w:line="400" w:lineRule="exact"/>
        <w:ind w:firstLine="480" w:firstLineChars="200"/>
        <w:rPr>
          <w:rFonts w:hAnsi="宋体" w:cs="宋体"/>
          <w:color w:val="auto"/>
          <w:sz w:val="24"/>
        </w:rPr>
      </w:pPr>
      <w:r>
        <w:rPr>
          <w:rFonts w:hint="eastAsia" w:hAnsi="宋体" w:cs="宋体"/>
          <w:color w:val="auto"/>
          <w:sz w:val="24"/>
        </w:rPr>
        <w:t>响应文件的正本、副本以及电子文档均应密封送达磋商地点，应在封套上注明磋商项目名称、供应商名称。若正本、副本以及电子文档分别进行密封的，还应在封套上注明“正本”、“副本”、“电子文档”字样。</w:t>
      </w:r>
    </w:p>
    <w:p w14:paraId="53FD045A">
      <w:pPr>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（七）供应商参与人员</w:t>
      </w:r>
    </w:p>
    <w:p w14:paraId="64A017A0">
      <w:pPr>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各个供应商应当派1-2名代表参与磋商，至少1人应为法定代表人（或其授权代表）。</w:t>
      </w:r>
    </w:p>
    <w:p w14:paraId="75D2D1F2">
      <w:pPr>
        <w:pStyle w:val="3"/>
        <w:adjustRightInd w:val="0"/>
        <w:snapToGrid w:val="0"/>
        <w:spacing w:before="0" w:after="0" w:line="400" w:lineRule="exact"/>
        <w:ind w:firstLine="482" w:firstLineChars="200"/>
        <w:rPr>
          <w:rFonts w:ascii="宋体" w:hAnsi="宋体" w:eastAsia="宋体" w:cs="宋体"/>
          <w:color w:val="auto"/>
          <w:sz w:val="24"/>
        </w:rPr>
      </w:pPr>
      <w:bookmarkStart w:id="158" w:name="_Toc29425"/>
      <w:bookmarkStart w:id="159" w:name="_Toc76462341"/>
      <w:bookmarkStart w:id="160" w:name="_Toc31164"/>
      <w:r>
        <w:rPr>
          <w:rFonts w:hint="eastAsia" w:ascii="宋体" w:hAnsi="宋体" w:eastAsia="宋体" w:cs="宋体"/>
          <w:color w:val="auto"/>
          <w:sz w:val="24"/>
        </w:rPr>
        <w:t>四、成交商的确认和变更</w:t>
      </w:r>
      <w:bookmarkEnd w:id="158"/>
      <w:bookmarkEnd w:id="159"/>
      <w:bookmarkEnd w:id="160"/>
    </w:p>
    <w:p w14:paraId="382F147B">
      <w:pPr>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（一）成交商的确认</w:t>
      </w:r>
    </w:p>
    <w:p w14:paraId="4ADC77B4">
      <w:pPr>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采购代理机构应当在评审结束后2个工作日内将评审报告送采购人确认。采购人应当在收到评审报告后5个工作日内，从评审报告提出的成交候选供应商中，按照排序由高到低的原则确定成交商，也可以书面授权磋商小组直接确定成交商。采购人逾期未确定成交商且不提出异议的，视为确定评审报告提出的排序第一的供应商为成交商。</w:t>
      </w:r>
    </w:p>
    <w:p w14:paraId="60B3137B">
      <w:pPr>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（二）成交商的变更</w:t>
      </w:r>
    </w:p>
    <w:p w14:paraId="6A53D7F1">
      <w:pPr>
        <w:snapToGrid w:val="0"/>
        <w:spacing w:line="400" w:lineRule="exact"/>
        <w:ind w:firstLine="480" w:firstLineChars="200"/>
        <w:rPr>
          <w:rFonts w:ascii="宋体" w:hAnsi="宋体" w:cs="宋体"/>
          <w:color w:val="auto"/>
          <w:sz w:val="24"/>
          <w:szCs w:val="24"/>
        </w:rPr>
      </w:pPr>
      <w:r>
        <w:rPr>
          <w:rFonts w:hint="eastAsia" w:ascii="宋体" w:hAnsi="宋体" w:cs="宋体"/>
          <w:color w:val="auto"/>
          <w:sz w:val="24"/>
        </w:rPr>
        <w:t>成交商拒绝与采购人签订合同的，采购人不退还磋商保证金，同时，采购人可以按照评标报告推荐的成交候选供应商顺序，确定排名下一位的候选人为成交商，也可以重新开展采购活动。</w:t>
      </w:r>
    </w:p>
    <w:p w14:paraId="74C766C3">
      <w:pPr>
        <w:pStyle w:val="3"/>
        <w:adjustRightInd w:val="0"/>
        <w:snapToGrid w:val="0"/>
        <w:spacing w:before="0" w:after="0" w:line="400" w:lineRule="exact"/>
        <w:ind w:firstLine="482" w:firstLineChars="200"/>
        <w:rPr>
          <w:rFonts w:ascii="宋体" w:hAnsi="宋体" w:eastAsia="宋体" w:cs="宋体"/>
          <w:color w:val="auto"/>
          <w:sz w:val="24"/>
        </w:rPr>
      </w:pPr>
      <w:bookmarkStart w:id="161" w:name="_Toc76462342"/>
      <w:bookmarkStart w:id="162" w:name="_Toc14545"/>
      <w:bookmarkStart w:id="163" w:name="_Toc27875"/>
      <w:r>
        <w:rPr>
          <w:rFonts w:hint="eastAsia" w:ascii="宋体" w:hAnsi="宋体" w:eastAsia="宋体" w:cs="宋体"/>
          <w:color w:val="auto"/>
          <w:sz w:val="24"/>
        </w:rPr>
        <w:t>五、成交通知</w:t>
      </w:r>
      <w:bookmarkEnd w:id="161"/>
      <w:bookmarkEnd w:id="162"/>
      <w:bookmarkEnd w:id="163"/>
    </w:p>
    <w:p w14:paraId="6BCA15B7">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（一）成交商确定后，采购代理机构将在“行采家”平台（http://www.gec123.com）上发布成交结果公告。</w:t>
      </w:r>
    </w:p>
    <w:p w14:paraId="46779DE8">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（二）结果公告发出同时，采购代理机构将以书面形式发出《成交通知书》。《成交通知书》一经发出即发生法律效力。</w:t>
      </w:r>
    </w:p>
    <w:p w14:paraId="1CF88C6F">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（三）《成交通知书》将作为签订合同的依据。</w:t>
      </w:r>
    </w:p>
    <w:p w14:paraId="3822BA16">
      <w:pPr>
        <w:pStyle w:val="3"/>
        <w:adjustRightInd w:val="0"/>
        <w:snapToGrid w:val="0"/>
        <w:spacing w:before="0" w:after="0" w:line="400" w:lineRule="exact"/>
        <w:ind w:firstLine="482" w:firstLineChars="200"/>
        <w:rPr>
          <w:rFonts w:ascii="宋体" w:hAnsi="宋体" w:eastAsia="宋体" w:cs="宋体"/>
          <w:color w:val="auto"/>
          <w:sz w:val="24"/>
        </w:rPr>
      </w:pPr>
      <w:bookmarkStart w:id="164" w:name="_Toc30768"/>
      <w:bookmarkStart w:id="165" w:name="_Toc14239"/>
      <w:bookmarkStart w:id="166" w:name="_Toc76462343"/>
      <w:r>
        <w:rPr>
          <w:rFonts w:hint="eastAsia" w:ascii="宋体" w:hAnsi="宋体" w:eastAsia="宋体" w:cs="宋体"/>
          <w:color w:val="auto"/>
          <w:sz w:val="24"/>
        </w:rPr>
        <w:t>六、关于质疑和投诉</w:t>
      </w:r>
      <w:bookmarkEnd w:id="164"/>
      <w:bookmarkEnd w:id="165"/>
      <w:bookmarkEnd w:id="166"/>
    </w:p>
    <w:p w14:paraId="3AFAB8D5">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（一）质疑</w:t>
      </w:r>
    </w:p>
    <w:p w14:paraId="4DA38752">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供应商认为采购文件、采购过程和成交结果使自己的权益收到伤害的，可向采购人或采购代理机构以书面形式提出质疑。</w:t>
      </w:r>
    </w:p>
    <w:p w14:paraId="2D121466">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 xml:space="preserve">提出质疑的应当是参与所质疑项目采购活动的供应商。 </w:t>
      </w:r>
    </w:p>
    <w:p w14:paraId="074F6228">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1.质疑时限、内容</w:t>
      </w:r>
    </w:p>
    <w:p w14:paraId="084C23EB">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供应商认为采购文件、采购过程、成交结果使自己的权益受到损害的，可以在知道或者应知其权益受到损害之日起7个工作日内，以书面形式向采购人、采购代理机构提出质疑。</w:t>
      </w:r>
    </w:p>
    <w:p w14:paraId="64B88B1A">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1.2供应商提出质疑应当提交质疑函和必要的证明材料，质疑函应当包括下列内容：</w:t>
      </w:r>
    </w:p>
    <w:p w14:paraId="3FD131B0">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1.2.1供应商的姓名或者名称、地址、邮编、联系人及联系电话；</w:t>
      </w:r>
    </w:p>
    <w:p w14:paraId="4061FBDF">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1.2.2质疑项目的名称、项目号以及采购执行编号；</w:t>
      </w:r>
    </w:p>
    <w:p w14:paraId="16EC6381">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1.2.3具体、明确的质疑事项和与质疑事项相关的请求；</w:t>
      </w:r>
    </w:p>
    <w:p w14:paraId="26C2E7EC">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1.2.4事实依据；</w:t>
      </w:r>
    </w:p>
    <w:p w14:paraId="542E93F0">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1.2.5必要的法律依据；</w:t>
      </w:r>
    </w:p>
    <w:p w14:paraId="6C131E45">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1.2.6提出质疑的日期；</w:t>
      </w:r>
    </w:p>
    <w:p w14:paraId="1960B9CB">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1.2.7营业执照（或事业单位法人证书，或个体工商户营业执照或有效的自然人身份证明）复印件；</w:t>
      </w:r>
    </w:p>
    <w:p w14:paraId="0303B01D">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1.2.8法定代表人授权委托书原件、法定代表人身份证复印件和其授权代表的身份证复印件（供应商为自然人的提供自然人身份证复印件）；</w:t>
      </w:r>
    </w:p>
    <w:p w14:paraId="00B1B859">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1.3供应商为自然人的，质疑函应当由本人签字；供应商为法人或者其他组织的，质疑函应当由法定代表人、主要负责人，或者其授权代表签字或者盖章，并加盖公章。</w:t>
      </w:r>
    </w:p>
    <w:p w14:paraId="70F6C95C">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2.质疑答复</w:t>
      </w:r>
    </w:p>
    <w:p w14:paraId="14A9C1BB">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采购人、采购代理机构应当在收到供应商的书面质疑后七个工作日内作出答复，并以书面形式通知质疑供应商和其他有关供应商。</w:t>
      </w:r>
    </w:p>
    <w:p w14:paraId="150BE13B">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3.其他</w:t>
      </w:r>
    </w:p>
    <w:p w14:paraId="0B340961">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3.1供应商应按照《政府采购质疑和投诉办法》（财政部令第94号）及相关法律法规要求，在法定质疑期内一次性提出针对同一采购程序环节的质疑。</w:t>
      </w:r>
    </w:p>
    <w:p w14:paraId="6DA648CA">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3.2质疑函范本可在财政部门户网站和中国政府采购网下载。</w:t>
      </w:r>
    </w:p>
    <w:p w14:paraId="40D330AE">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（二）投诉</w:t>
      </w:r>
    </w:p>
    <w:p w14:paraId="0885D713">
      <w:pPr>
        <w:spacing w:line="400" w:lineRule="exact"/>
        <w:ind w:right="12" w:firstLine="480"/>
        <w:rPr>
          <w:rFonts w:ascii="宋体" w:hAnsi="宋体" w:cs="宋体"/>
          <w:color w:val="auto"/>
          <w:sz w:val="24"/>
        </w:rPr>
      </w:pPr>
      <w:r>
        <w:rPr>
          <w:rFonts w:hint="eastAsia" w:ascii="宋体" w:hAnsi="宋体" w:cs="宋体"/>
          <w:color w:val="auto"/>
          <w:sz w:val="24"/>
        </w:rPr>
        <w:t>1.供应商对采购人、采购代理机构的答复不满意，或者采购人、采购代理机构未在规定时间内作出答复的，可以在答复期满后15个工作日内按照相关法律法规向</w:t>
      </w:r>
      <w:r>
        <w:rPr>
          <w:rFonts w:hint="eastAsia" w:ascii="宋体" w:hAnsi="宋体" w:cs="宋体"/>
          <w:color w:val="auto"/>
          <w:sz w:val="24"/>
          <w:lang w:val="en-US" w:eastAsia="zh-CN"/>
        </w:rPr>
        <w:t>采购人相关</w:t>
      </w:r>
      <w:r>
        <w:rPr>
          <w:rFonts w:hint="eastAsia" w:ascii="宋体" w:hAnsi="宋体" w:cs="宋体"/>
          <w:color w:val="auto"/>
          <w:sz w:val="24"/>
        </w:rPr>
        <w:t>部门提起投诉。</w:t>
      </w:r>
    </w:p>
    <w:p w14:paraId="01549A06">
      <w:pPr>
        <w:spacing w:line="400" w:lineRule="exact"/>
        <w:ind w:right="12" w:firstLine="480"/>
        <w:rPr>
          <w:rFonts w:ascii="宋体" w:hAnsi="宋体" w:cs="宋体"/>
          <w:color w:val="auto"/>
          <w:sz w:val="24"/>
        </w:rPr>
      </w:pPr>
      <w:r>
        <w:rPr>
          <w:rFonts w:hint="eastAsia" w:ascii="宋体" w:hAnsi="宋体" w:cs="宋体"/>
          <w:color w:val="auto"/>
          <w:sz w:val="24"/>
        </w:rPr>
        <w:t>2.供应商应按照《政府采购质疑和投诉办法》（财政部令第94号）及相关法律法规要求递交投诉书和必要的证明材料。投诉书范本可在财政部门户网站和中国政府采购网下载。</w:t>
      </w:r>
    </w:p>
    <w:p w14:paraId="73D87EB6">
      <w:pPr>
        <w:spacing w:line="400" w:lineRule="exact"/>
        <w:ind w:right="12" w:firstLine="480"/>
        <w:rPr>
          <w:rFonts w:ascii="宋体" w:hAnsi="宋体" w:cs="宋体"/>
          <w:color w:val="auto"/>
          <w:sz w:val="24"/>
        </w:rPr>
      </w:pPr>
      <w:r>
        <w:rPr>
          <w:rFonts w:hint="eastAsia" w:ascii="宋体" w:hAnsi="宋体" w:cs="宋体"/>
          <w:color w:val="auto"/>
          <w:sz w:val="24"/>
        </w:rPr>
        <w:t>3.投诉书应当使用中文，相关当事人提供外文书证或者外国语视听资料的，应当附有中文译本，由翻译机构盖章或者翻译人员签名；相关当事人向</w:t>
      </w:r>
      <w:r>
        <w:rPr>
          <w:rFonts w:hint="eastAsia" w:ascii="宋体" w:hAnsi="宋体" w:cs="宋体"/>
          <w:color w:val="auto"/>
          <w:sz w:val="24"/>
          <w:lang w:val="en-US" w:eastAsia="zh-CN"/>
        </w:rPr>
        <w:t>相关</w:t>
      </w:r>
      <w:r>
        <w:rPr>
          <w:rFonts w:hint="eastAsia" w:ascii="宋体" w:hAnsi="宋体" w:cs="宋体"/>
          <w:color w:val="auto"/>
          <w:sz w:val="24"/>
        </w:rPr>
        <w:t>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14:paraId="5F9F3017">
      <w:pPr>
        <w:spacing w:line="400" w:lineRule="exact"/>
        <w:ind w:firstLine="480" w:firstLineChars="200"/>
        <w:rPr>
          <w:rFonts w:ascii="宋体" w:hAnsi="宋体" w:cs="宋体"/>
          <w:color w:val="auto"/>
          <w:sz w:val="24"/>
          <w:szCs w:val="24"/>
        </w:rPr>
      </w:pPr>
      <w:r>
        <w:rPr>
          <w:rFonts w:hint="eastAsia" w:ascii="宋体" w:hAnsi="宋体" w:cs="宋体"/>
          <w:color w:val="auto"/>
          <w:sz w:val="24"/>
        </w:rPr>
        <w:t>4.在确定受理投诉后，</w:t>
      </w:r>
      <w:r>
        <w:rPr>
          <w:rFonts w:hint="eastAsia" w:ascii="宋体" w:hAnsi="宋体" w:cs="宋体"/>
          <w:color w:val="auto"/>
          <w:sz w:val="24"/>
          <w:lang w:val="en-US" w:eastAsia="zh-CN"/>
        </w:rPr>
        <w:t>采购人相关</w:t>
      </w:r>
      <w:r>
        <w:rPr>
          <w:rFonts w:hint="eastAsia" w:ascii="宋体" w:hAnsi="宋体" w:cs="宋体"/>
          <w:color w:val="auto"/>
          <w:sz w:val="24"/>
        </w:rPr>
        <w:t>部门自受理投诉之日起30个工作日内（需要检验、检测、鉴定、专家评审以及需要投诉人补正材料的，所需时间不计算在投诉处理期限内）对投诉事项做出处理决定。</w:t>
      </w:r>
    </w:p>
    <w:p w14:paraId="3D6864B7">
      <w:pPr>
        <w:pStyle w:val="3"/>
        <w:adjustRightInd w:val="0"/>
        <w:snapToGrid w:val="0"/>
        <w:spacing w:before="0" w:after="0" w:line="400" w:lineRule="exact"/>
        <w:ind w:firstLine="482" w:firstLineChars="200"/>
        <w:rPr>
          <w:rFonts w:ascii="宋体" w:hAnsi="宋体" w:eastAsia="宋体" w:cs="宋体"/>
          <w:color w:val="auto"/>
          <w:sz w:val="24"/>
        </w:rPr>
      </w:pPr>
      <w:bookmarkStart w:id="167" w:name="_Toc6057"/>
      <w:bookmarkStart w:id="168" w:name="_Toc22117"/>
      <w:bookmarkStart w:id="169" w:name="_Toc76462344"/>
      <w:r>
        <w:rPr>
          <w:rFonts w:hint="eastAsia" w:ascii="宋体" w:hAnsi="宋体" w:eastAsia="宋体" w:cs="宋体"/>
          <w:color w:val="auto"/>
          <w:sz w:val="24"/>
        </w:rPr>
        <w:t>七、采购代理服务费</w:t>
      </w:r>
      <w:bookmarkEnd w:id="167"/>
      <w:bookmarkEnd w:id="168"/>
      <w:bookmarkEnd w:id="169"/>
    </w:p>
    <w:p w14:paraId="2352FA55">
      <w:pPr>
        <w:spacing w:line="380" w:lineRule="exact"/>
        <w:ind w:firstLine="480" w:firstLineChars="200"/>
        <w:rPr>
          <w:rFonts w:ascii="宋体" w:hAnsi="宋体" w:cs="宋体"/>
          <w:color w:val="auto"/>
        </w:rPr>
      </w:pPr>
      <w:bookmarkStart w:id="170" w:name="OLE_LINK8"/>
      <w:bookmarkStart w:id="171" w:name="OLE_LINK7"/>
      <w:bookmarkStart w:id="172" w:name="_Toc76462345"/>
      <w:r>
        <w:rPr>
          <w:rFonts w:hint="eastAsia" w:ascii="宋体" w:hAnsi="宋体" w:cs="宋体"/>
          <w:color w:val="auto"/>
          <w:sz w:val="24"/>
          <w:szCs w:val="24"/>
        </w:rPr>
        <w:t>（一）</w:t>
      </w:r>
      <w:bookmarkEnd w:id="170"/>
      <w:bookmarkEnd w:id="171"/>
      <w:r>
        <w:rPr>
          <w:rFonts w:hint="eastAsia" w:ascii="宋体" w:hAnsi="宋体" w:cs="宋体"/>
          <w:color w:val="auto"/>
          <w:sz w:val="24"/>
        </w:rPr>
        <w:t>成交商在领取成交通知书的同时，向采购代理机构缴纳采购代理服务费。</w:t>
      </w:r>
      <w:r>
        <w:rPr>
          <w:rFonts w:hint="eastAsia" w:ascii="宋体" w:hAnsi="宋体" w:cs="宋体"/>
          <w:color w:val="auto"/>
          <w:sz w:val="24"/>
          <w:szCs w:val="24"/>
        </w:rPr>
        <w:t>本项目为服务采购，服务费的收取标准按照以下标准的70%执行（</w:t>
      </w:r>
      <w:r>
        <w:rPr>
          <w:rFonts w:hint="eastAsia" w:ascii="宋体" w:hAnsi="宋体" w:cs="宋体"/>
          <w:color w:val="auto"/>
          <w:sz w:val="24"/>
        </w:rPr>
        <w:t>当采购代理服务费低于人民币3000元时，采购代理服务费按人民币3000元计取</w:t>
      </w:r>
      <w:r>
        <w:rPr>
          <w:rFonts w:hint="eastAsia" w:ascii="宋体" w:hAnsi="宋体" w:cs="宋体"/>
          <w:color w:val="auto"/>
          <w:sz w:val="24"/>
          <w:szCs w:val="24"/>
        </w:rPr>
        <w:t>）</w:t>
      </w:r>
      <w:r>
        <w:rPr>
          <w:rFonts w:hint="eastAsia" w:ascii="宋体" w:hAnsi="宋体" w:cs="宋体"/>
          <w:color w:val="auto"/>
          <w:sz w:val="24"/>
        </w:rPr>
        <w:t>:</w:t>
      </w:r>
    </w:p>
    <w:tbl>
      <w:tblPr>
        <w:tblStyle w:val="59"/>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240"/>
        <w:gridCol w:w="2273"/>
        <w:gridCol w:w="2272"/>
      </w:tblGrid>
      <w:tr w14:paraId="17EB0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2840" w:type="dxa"/>
            <w:tcBorders>
              <w:top w:val="single" w:color="auto" w:sz="4" w:space="0"/>
              <w:left w:val="single" w:color="auto" w:sz="4" w:space="0"/>
              <w:bottom w:val="single" w:color="auto" w:sz="4" w:space="0"/>
              <w:right w:val="single" w:color="auto" w:sz="4" w:space="0"/>
              <w:tl2br w:val="single" w:color="auto" w:sz="4" w:space="0"/>
            </w:tcBorders>
          </w:tcPr>
          <w:p w14:paraId="4EF43CC8">
            <w:pPr>
              <w:spacing w:line="240" w:lineRule="atLeast"/>
              <w:jc w:val="right"/>
              <w:rPr>
                <w:rFonts w:ascii="宋体" w:hAnsi="宋体" w:cs="宋体"/>
                <w:color w:val="auto"/>
                <w:sz w:val="24"/>
                <w:szCs w:val="24"/>
              </w:rPr>
            </w:pPr>
            <w:r>
              <w:rPr>
                <w:rFonts w:hint="eastAsia" w:ascii="宋体" w:hAnsi="宋体" w:cs="宋体"/>
                <w:color w:val="auto"/>
                <w:sz w:val="24"/>
                <w:szCs w:val="24"/>
              </w:rPr>
              <w:t>采购</w:t>
            </w:r>
            <w:r>
              <w:rPr>
                <w:rFonts w:hint="eastAsia" w:ascii="宋体" w:hAnsi="宋体" w:cs="宋体"/>
                <w:color w:val="auto"/>
                <w:sz w:val="24"/>
                <w:szCs w:val="24"/>
              </w:rPr>
              <mc:AlternateContent>
                <mc:Choice Requires="wps">
                  <w:drawing>
                    <wp:anchor distT="0" distB="0" distL="114300" distR="114300" simplePos="0" relativeHeight="251659264" behindDoc="0" locked="0" layoutInCell="0" allowOverlap="1">
                      <wp:simplePos x="0" y="0"/>
                      <wp:positionH relativeFrom="column">
                        <wp:posOffset>-114300</wp:posOffset>
                      </wp:positionH>
                      <wp:positionV relativeFrom="paragraph">
                        <wp:posOffset>-6350</wp:posOffset>
                      </wp:positionV>
                      <wp:extent cx="635" cy="635"/>
                      <wp:effectExtent l="0" t="0" r="0" b="0"/>
                      <wp:wrapNone/>
                      <wp:docPr id="2"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9pt;margin-top:-0.5pt;height:0.05pt;width:0.05pt;z-index:251659264;mso-width-relative:page;mso-height-relative:page;" filled="f" stroked="t" coordsize="21600,21600" o:allowincell="f" o:gfxdata="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F8++YPWAAAA&#10;CAEAAA8AAAAAAAAAAQAgAAAAIgAAAGRycy9kb3ducmV2LnhtbFBLAQIUABQAAAAIAIdO4kDKvwaT&#10;5gEAALYDAAAOAAAAAAAAAAEAIAAAACUBAABkcnMvZTJvRG9jLnhtbFBLBQYAAAAABgAGAFkBAAB9&#10;BQAAAAA=&#10;">
                      <v:fill on="f" focussize="0,0"/>
                      <v:stroke color="#000000" joinstyle="round"/>
                      <v:imagedata o:title=""/>
                      <o:lock v:ext="edit" aspectratio="f"/>
                    </v:line>
                  </w:pict>
                </mc:Fallback>
              </mc:AlternateContent>
            </w:r>
            <w:r>
              <w:rPr>
                <w:rFonts w:hint="eastAsia" w:ascii="宋体" w:hAnsi="宋体" w:cs="宋体"/>
                <w:color w:val="auto"/>
                <w:sz w:val="24"/>
                <w:szCs w:val="24"/>
              </w:rPr>
              <w:t>类型</w:t>
            </w:r>
          </w:p>
          <w:p w14:paraId="743088BB">
            <w:pPr>
              <w:spacing w:line="240" w:lineRule="atLeast"/>
              <w:rPr>
                <w:rFonts w:ascii="宋体" w:hAnsi="宋体" w:cs="宋体"/>
                <w:color w:val="auto"/>
                <w:sz w:val="24"/>
                <w:szCs w:val="24"/>
              </w:rPr>
            </w:pPr>
            <w:r>
              <w:rPr>
                <w:rFonts w:hint="eastAsia" w:ascii="宋体" w:hAnsi="宋体" w:cs="宋体"/>
                <w:color w:val="auto"/>
                <w:sz w:val="24"/>
                <w:szCs w:val="24"/>
                <w:lang w:val="en-US" w:eastAsia="zh-CN"/>
              </w:rPr>
              <w:t>中标金额</w:t>
            </w:r>
            <w:r>
              <w:rPr>
                <w:rFonts w:hint="eastAsia" w:ascii="宋体" w:hAnsi="宋体" w:cs="宋体"/>
                <w:color w:val="auto"/>
                <w:sz w:val="24"/>
                <w:szCs w:val="24"/>
              </w:rPr>
              <w:t>（万元）</w:t>
            </w:r>
          </w:p>
        </w:tc>
        <w:tc>
          <w:tcPr>
            <w:tcW w:w="2240" w:type="dxa"/>
            <w:tcBorders>
              <w:top w:val="single" w:color="auto" w:sz="4" w:space="0"/>
              <w:left w:val="single" w:color="auto" w:sz="4" w:space="0"/>
              <w:bottom w:val="single" w:color="auto" w:sz="4" w:space="0"/>
              <w:right w:val="single" w:color="auto" w:sz="4" w:space="0"/>
            </w:tcBorders>
            <w:vAlign w:val="center"/>
          </w:tcPr>
          <w:p w14:paraId="5596C0FB">
            <w:pPr>
              <w:spacing w:line="240" w:lineRule="atLeast"/>
              <w:jc w:val="center"/>
              <w:rPr>
                <w:rFonts w:ascii="宋体" w:hAnsi="宋体" w:cs="宋体"/>
                <w:color w:val="auto"/>
                <w:sz w:val="24"/>
                <w:szCs w:val="24"/>
              </w:rPr>
            </w:pPr>
            <w:r>
              <w:rPr>
                <w:rFonts w:hint="eastAsia" w:ascii="宋体" w:hAnsi="宋体" w:cs="宋体"/>
                <w:color w:val="auto"/>
                <w:sz w:val="24"/>
                <w:szCs w:val="24"/>
              </w:rPr>
              <w:t>货物采购</w:t>
            </w:r>
          </w:p>
        </w:tc>
        <w:tc>
          <w:tcPr>
            <w:tcW w:w="2273" w:type="dxa"/>
            <w:tcBorders>
              <w:top w:val="single" w:color="auto" w:sz="4" w:space="0"/>
              <w:left w:val="single" w:color="auto" w:sz="4" w:space="0"/>
              <w:bottom w:val="single" w:color="auto" w:sz="4" w:space="0"/>
              <w:right w:val="single" w:color="auto" w:sz="4" w:space="0"/>
            </w:tcBorders>
            <w:vAlign w:val="center"/>
          </w:tcPr>
          <w:p w14:paraId="1F9DBE15">
            <w:pPr>
              <w:spacing w:line="240" w:lineRule="atLeast"/>
              <w:jc w:val="center"/>
              <w:rPr>
                <w:rFonts w:ascii="宋体" w:hAnsi="宋体" w:cs="宋体"/>
                <w:color w:val="auto"/>
                <w:sz w:val="24"/>
                <w:szCs w:val="24"/>
              </w:rPr>
            </w:pPr>
            <w:r>
              <w:rPr>
                <w:rFonts w:hint="eastAsia" w:ascii="宋体" w:hAnsi="宋体" w:cs="宋体"/>
                <w:color w:val="auto"/>
                <w:sz w:val="24"/>
                <w:szCs w:val="24"/>
              </w:rPr>
              <w:t>服务采购</w:t>
            </w:r>
          </w:p>
        </w:tc>
        <w:tc>
          <w:tcPr>
            <w:tcW w:w="2272" w:type="dxa"/>
            <w:tcBorders>
              <w:top w:val="single" w:color="auto" w:sz="4" w:space="0"/>
              <w:left w:val="single" w:color="auto" w:sz="4" w:space="0"/>
              <w:bottom w:val="single" w:color="auto" w:sz="4" w:space="0"/>
              <w:right w:val="single" w:color="auto" w:sz="4" w:space="0"/>
            </w:tcBorders>
            <w:vAlign w:val="center"/>
          </w:tcPr>
          <w:p w14:paraId="1FDA9C9E">
            <w:pPr>
              <w:spacing w:line="240" w:lineRule="atLeast"/>
              <w:jc w:val="center"/>
              <w:rPr>
                <w:rFonts w:ascii="宋体" w:hAnsi="宋体" w:cs="宋体"/>
                <w:color w:val="auto"/>
                <w:sz w:val="24"/>
                <w:szCs w:val="24"/>
              </w:rPr>
            </w:pPr>
            <w:r>
              <w:rPr>
                <w:rFonts w:hint="eastAsia" w:ascii="宋体" w:hAnsi="宋体" w:cs="宋体"/>
                <w:color w:val="auto"/>
                <w:sz w:val="24"/>
                <w:szCs w:val="24"/>
              </w:rPr>
              <w:t>工程采购</w:t>
            </w:r>
          </w:p>
        </w:tc>
      </w:tr>
      <w:tr w14:paraId="7B480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0" w:type="dxa"/>
            <w:tcBorders>
              <w:top w:val="single" w:color="auto" w:sz="4" w:space="0"/>
              <w:left w:val="single" w:color="auto" w:sz="4" w:space="0"/>
              <w:bottom w:val="single" w:color="auto" w:sz="4" w:space="0"/>
              <w:right w:val="single" w:color="auto" w:sz="4" w:space="0"/>
            </w:tcBorders>
            <w:vAlign w:val="center"/>
          </w:tcPr>
          <w:p w14:paraId="0BA71552">
            <w:pPr>
              <w:spacing w:line="240" w:lineRule="atLeast"/>
              <w:jc w:val="center"/>
              <w:rPr>
                <w:rFonts w:ascii="宋体" w:hAnsi="宋体" w:cs="宋体"/>
                <w:color w:val="auto"/>
                <w:sz w:val="24"/>
                <w:szCs w:val="24"/>
              </w:rPr>
            </w:pPr>
            <w:r>
              <w:rPr>
                <w:rFonts w:hint="eastAsia" w:ascii="宋体" w:hAnsi="宋体" w:cs="宋体"/>
                <w:color w:val="auto"/>
                <w:sz w:val="24"/>
                <w:szCs w:val="24"/>
              </w:rPr>
              <w:t>100以下</w:t>
            </w:r>
          </w:p>
        </w:tc>
        <w:tc>
          <w:tcPr>
            <w:tcW w:w="2240" w:type="dxa"/>
            <w:tcBorders>
              <w:top w:val="single" w:color="auto" w:sz="4" w:space="0"/>
              <w:left w:val="single" w:color="auto" w:sz="4" w:space="0"/>
              <w:bottom w:val="single" w:color="auto" w:sz="4" w:space="0"/>
              <w:right w:val="single" w:color="auto" w:sz="4" w:space="0"/>
            </w:tcBorders>
            <w:vAlign w:val="center"/>
          </w:tcPr>
          <w:p w14:paraId="5296D755">
            <w:pPr>
              <w:spacing w:line="240" w:lineRule="atLeast"/>
              <w:jc w:val="center"/>
              <w:rPr>
                <w:rFonts w:ascii="宋体" w:hAnsi="宋体" w:cs="宋体"/>
                <w:color w:val="auto"/>
                <w:sz w:val="24"/>
                <w:szCs w:val="24"/>
              </w:rPr>
            </w:pPr>
            <w:r>
              <w:rPr>
                <w:rFonts w:hint="eastAsia" w:ascii="宋体" w:hAnsi="宋体" w:cs="宋体"/>
                <w:color w:val="auto"/>
                <w:sz w:val="24"/>
                <w:szCs w:val="24"/>
              </w:rPr>
              <w:t>1.5%</w:t>
            </w:r>
          </w:p>
        </w:tc>
        <w:tc>
          <w:tcPr>
            <w:tcW w:w="2273" w:type="dxa"/>
            <w:tcBorders>
              <w:top w:val="single" w:color="auto" w:sz="4" w:space="0"/>
              <w:left w:val="single" w:color="auto" w:sz="4" w:space="0"/>
              <w:bottom w:val="single" w:color="auto" w:sz="4" w:space="0"/>
              <w:right w:val="single" w:color="auto" w:sz="4" w:space="0"/>
            </w:tcBorders>
            <w:vAlign w:val="center"/>
          </w:tcPr>
          <w:p w14:paraId="62FC12D4">
            <w:pPr>
              <w:spacing w:line="240" w:lineRule="atLeast"/>
              <w:jc w:val="center"/>
              <w:rPr>
                <w:rFonts w:ascii="宋体" w:hAnsi="宋体" w:cs="宋体"/>
                <w:color w:val="auto"/>
                <w:sz w:val="24"/>
                <w:szCs w:val="24"/>
              </w:rPr>
            </w:pPr>
            <w:r>
              <w:rPr>
                <w:rFonts w:hint="eastAsia" w:ascii="宋体" w:hAnsi="宋体" w:cs="宋体"/>
                <w:color w:val="auto"/>
                <w:sz w:val="24"/>
                <w:szCs w:val="24"/>
              </w:rPr>
              <w:t>1.5%</w:t>
            </w:r>
          </w:p>
        </w:tc>
        <w:tc>
          <w:tcPr>
            <w:tcW w:w="2272" w:type="dxa"/>
            <w:tcBorders>
              <w:top w:val="single" w:color="auto" w:sz="4" w:space="0"/>
              <w:left w:val="single" w:color="auto" w:sz="4" w:space="0"/>
              <w:bottom w:val="single" w:color="auto" w:sz="4" w:space="0"/>
              <w:right w:val="single" w:color="auto" w:sz="4" w:space="0"/>
            </w:tcBorders>
            <w:vAlign w:val="center"/>
          </w:tcPr>
          <w:p w14:paraId="29BD12DE">
            <w:pPr>
              <w:spacing w:line="240" w:lineRule="atLeast"/>
              <w:jc w:val="center"/>
              <w:rPr>
                <w:rFonts w:ascii="宋体" w:hAnsi="宋体" w:cs="宋体"/>
                <w:color w:val="auto"/>
                <w:sz w:val="24"/>
                <w:szCs w:val="24"/>
              </w:rPr>
            </w:pPr>
            <w:r>
              <w:rPr>
                <w:rFonts w:hint="eastAsia" w:ascii="宋体" w:hAnsi="宋体" w:cs="宋体"/>
                <w:color w:val="auto"/>
                <w:sz w:val="24"/>
                <w:szCs w:val="24"/>
              </w:rPr>
              <w:t>1.0%</w:t>
            </w:r>
          </w:p>
        </w:tc>
      </w:tr>
      <w:tr w14:paraId="7C036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0" w:type="dxa"/>
            <w:tcBorders>
              <w:top w:val="single" w:color="auto" w:sz="4" w:space="0"/>
              <w:left w:val="single" w:color="auto" w:sz="4" w:space="0"/>
              <w:bottom w:val="single" w:color="auto" w:sz="4" w:space="0"/>
              <w:right w:val="single" w:color="auto" w:sz="4" w:space="0"/>
            </w:tcBorders>
            <w:vAlign w:val="center"/>
          </w:tcPr>
          <w:p w14:paraId="1C1286AE">
            <w:pPr>
              <w:spacing w:line="240" w:lineRule="atLeast"/>
              <w:jc w:val="center"/>
              <w:rPr>
                <w:rFonts w:ascii="宋体" w:hAnsi="宋体" w:cs="宋体"/>
                <w:color w:val="auto"/>
                <w:sz w:val="24"/>
                <w:szCs w:val="24"/>
              </w:rPr>
            </w:pPr>
            <w:r>
              <w:rPr>
                <w:rFonts w:hint="eastAsia" w:ascii="宋体" w:hAnsi="宋体" w:cs="宋体"/>
                <w:color w:val="auto"/>
                <w:sz w:val="24"/>
                <w:szCs w:val="24"/>
              </w:rPr>
              <w:t>100-200</w:t>
            </w:r>
          </w:p>
        </w:tc>
        <w:tc>
          <w:tcPr>
            <w:tcW w:w="2240" w:type="dxa"/>
            <w:tcBorders>
              <w:top w:val="single" w:color="auto" w:sz="4" w:space="0"/>
              <w:left w:val="single" w:color="auto" w:sz="4" w:space="0"/>
              <w:bottom w:val="single" w:color="auto" w:sz="4" w:space="0"/>
              <w:right w:val="single" w:color="auto" w:sz="4" w:space="0"/>
            </w:tcBorders>
            <w:vAlign w:val="center"/>
          </w:tcPr>
          <w:p w14:paraId="3EBC4E58">
            <w:pPr>
              <w:spacing w:line="240" w:lineRule="atLeast"/>
              <w:jc w:val="center"/>
              <w:rPr>
                <w:rFonts w:ascii="宋体" w:hAnsi="宋体" w:cs="宋体"/>
                <w:color w:val="auto"/>
                <w:sz w:val="24"/>
                <w:szCs w:val="24"/>
              </w:rPr>
            </w:pPr>
            <w:r>
              <w:rPr>
                <w:rFonts w:hint="eastAsia" w:ascii="宋体" w:hAnsi="宋体" w:cs="宋体"/>
                <w:color w:val="auto"/>
                <w:sz w:val="24"/>
                <w:szCs w:val="24"/>
              </w:rPr>
              <w:t>1.1%</w:t>
            </w:r>
          </w:p>
        </w:tc>
        <w:tc>
          <w:tcPr>
            <w:tcW w:w="2273" w:type="dxa"/>
            <w:tcBorders>
              <w:top w:val="single" w:color="auto" w:sz="4" w:space="0"/>
              <w:left w:val="single" w:color="auto" w:sz="4" w:space="0"/>
              <w:bottom w:val="single" w:color="auto" w:sz="4" w:space="0"/>
              <w:right w:val="single" w:color="auto" w:sz="4" w:space="0"/>
            </w:tcBorders>
            <w:vAlign w:val="center"/>
          </w:tcPr>
          <w:p w14:paraId="25FDC785">
            <w:pPr>
              <w:spacing w:line="240" w:lineRule="atLeast"/>
              <w:jc w:val="center"/>
              <w:rPr>
                <w:rFonts w:ascii="宋体" w:hAnsi="宋体" w:cs="宋体"/>
                <w:color w:val="auto"/>
                <w:sz w:val="24"/>
                <w:szCs w:val="24"/>
              </w:rPr>
            </w:pPr>
            <w:r>
              <w:rPr>
                <w:rFonts w:hint="eastAsia" w:ascii="宋体" w:hAnsi="宋体" w:cs="宋体"/>
                <w:color w:val="auto"/>
                <w:sz w:val="24"/>
                <w:szCs w:val="24"/>
              </w:rPr>
              <w:t>0.8%</w:t>
            </w:r>
          </w:p>
        </w:tc>
        <w:tc>
          <w:tcPr>
            <w:tcW w:w="2272" w:type="dxa"/>
            <w:tcBorders>
              <w:top w:val="single" w:color="auto" w:sz="4" w:space="0"/>
              <w:left w:val="single" w:color="auto" w:sz="4" w:space="0"/>
              <w:bottom w:val="single" w:color="auto" w:sz="4" w:space="0"/>
              <w:right w:val="single" w:color="auto" w:sz="4" w:space="0"/>
            </w:tcBorders>
            <w:vAlign w:val="center"/>
          </w:tcPr>
          <w:p w14:paraId="22F0CBD9">
            <w:pPr>
              <w:spacing w:line="240" w:lineRule="atLeast"/>
              <w:jc w:val="center"/>
              <w:rPr>
                <w:rFonts w:ascii="宋体" w:hAnsi="宋体" w:cs="宋体"/>
                <w:color w:val="auto"/>
                <w:sz w:val="24"/>
                <w:szCs w:val="24"/>
              </w:rPr>
            </w:pPr>
            <w:r>
              <w:rPr>
                <w:rFonts w:hint="eastAsia" w:ascii="宋体" w:hAnsi="宋体" w:cs="宋体"/>
                <w:color w:val="auto"/>
                <w:sz w:val="24"/>
                <w:szCs w:val="24"/>
              </w:rPr>
              <w:t>0.7%</w:t>
            </w:r>
          </w:p>
        </w:tc>
      </w:tr>
      <w:tr w14:paraId="182B2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0" w:type="dxa"/>
            <w:tcBorders>
              <w:top w:val="single" w:color="auto" w:sz="4" w:space="0"/>
              <w:left w:val="single" w:color="auto" w:sz="4" w:space="0"/>
              <w:bottom w:val="single" w:color="auto" w:sz="4" w:space="0"/>
              <w:right w:val="single" w:color="auto" w:sz="4" w:space="0"/>
            </w:tcBorders>
            <w:vAlign w:val="center"/>
          </w:tcPr>
          <w:p w14:paraId="7EB29702">
            <w:pPr>
              <w:spacing w:line="240" w:lineRule="atLeast"/>
              <w:jc w:val="center"/>
              <w:rPr>
                <w:rFonts w:ascii="宋体" w:hAnsi="宋体" w:cs="宋体"/>
                <w:color w:val="auto"/>
                <w:sz w:val="24"/>
                <w:szCs w:val="24"/>
              </w:rPr>
            </w:pPr>
            <w:r>
              <w:rPr>
                <w:rFonts w:hint="eastAsia" w:ascii="宋体" w:hAnsi="宋体" w:cs="宋体"/>
                <w:color w:val="auto"/>
                <w:sz w:val="24"/>
                <w:szCs w:val="24"/>
              </w:rPr>
              <w:t>200-500</w:t>
            </w:r>
          </w:p>
        </w:tc>
        <w:tc>
          <w:tcPr>
            <w:tcW w:w="2240" w:type="dxa"/>
            <w:tcBorders>
              <w:top w:val="single" w:color="auto" w:sz="4" w:space="0"/>
              <w:left w:val="single" w:color="auto" w:sz="4" w:space="0"/>
              <w:bottom w:val="single" w:color="auto" w:sz="4" w:space="0"/>
              <w:right w:val="single" w:color="auto" w:sz="4" w:space="0"/>
            </w:tcBorders>
            <w:vAlign w:val="center"/>
          </w:tcPr>
          <w:p w14:paraId="7B6E081D">
            <w:pPr>
              <w:spacing w:line="240" w:lineRule="atLeast"/>
              <w:jc w:val="center"/>
              <w:rPr>
                <w:rFonts w:ascii="宋体" w:hAnsi="宋体" w:cs="宋体"/>
                <w:color w:val="auto"/>
                <w:sz w:val="24"/>
                <w:szCs w:val="24"/>
              </w:rPr>
            </w:pPr>
            <w:r>
              <w:rPr>
                <w:rFonts w:hint="eastAsia" w:ascii="宋体" w:hAnsi="宋体" w:cs="宋体"/>
                <w:color w:val="auto"/>
                <w:sz w:val="24"/>
                <w:szCs w:val="24"/>
              </w:rPr>
              <w:t>1.08%</w:t>
            </w:r>
          </w:p>
        </w:tc>
        <w:tc>
          <w:tcPr>
            <w:tcW w:w="2273" w:type="dxa"/>
            <w:tcBorders>
              <w:top w:val="single" w:color="auto" w:sz="4" w:space="0"/>
              <w:left w:val="single" w:color="auto" w:sz="4" w:space="0"/>
              <w:bottom w:val="single" w:color="auto" w:sz="4" w:space="0"/>
              <w:right w:val="single" w:color="auto" w:sz="4" w:space="0"/>
            </w:tcBorders>
            <w:vAlign w:val="center"/>
          </w:tcPr>
          <w:p w14:paraId="5779EB32">
            <w:pPr>
              <w:spacing w:line="240" w:lineRule="atLeast"/>
              <w:jc w:val="center"/>
              <w:rPr>
                <w:rFonts w:ascii="宋体" w:hAnsi="宋体" w:cs="宋体"/>
                <w:color w:val="auto"/>
                <w:sz w:val="24"/>
                <w:szCs w:val="24"/>
              </w:rPr>
            </w:pPr>
            <w:r>
              <w:rPr>
                <w:rFonts w:hint="eastAsia" w:ascii="宋体" w:hAnsi="宋体" w:cs="宋体"/>
                <w:color w:val="auto"/>
                <w:sz w:val="24"/>
                <w:szCs w:val="24"/>
              </w:rPr>
              <w:t>0.78%</w:t>
            </w:r>
          </w:p>
        </w:tc>
        <w:tc>
          <w:tcPr>
            <w:tcW w:w="2272" w:type="dxa"/>
            <w:tcBorders>
              <w:top w:val="single" w:color="auto" w:sz="4" w:space="0"/>
              <w:left w:val="single" w:color="auto" w:sz="4" w:space="0"/>
              <w:bottom w:val="single" w:color="auto" w:sz="4" w:space="0"/>
              <w:right w:val="single" w:color="auto" w:sz="4" w:space="0"/>
            </w:tcBorders>
            <w:vAlign w:val="center"/>
          </w:tcPr>
          <w:p w14:paraId="3A2C36EA">
            <w:pPr>
              <w:spacing w:line="240" w:lineRule="atLeast"/>
              <w:jc w:val="center"/>
              <w:rPr>
                <w:rFonts w:ascii="宋体" w:hAnsi="宋体" w:cs="宋体"/>
                <w:color w:val="auto"/>
                <w:sz w:val="24"/>
                <w:szCs w:val="24"/>
              </w:rPr>
            </w:pPr>
            <w:r>
              <w:rPr>
                <w:rFonts w:hint="eastAsia" w:ascii="宋体" w:hAnsi="宋体" w:cs="宋体"/>
                <w:color w:val="auto"/>
                <w:sz w:val="24"/>
                <w:szCs w:val="24"/>
              </w:rPr>
              <w:t>0.69%</w:t>
            </w:r>
          </w:p>
        </w:tc>
      </w:tr>
      <w:tr w14:paraId="6F2A3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0" w:type="dxa"/>
            <w:tcBorders>
              <w:top w:val="single" w:color="auto" w:sz="4" w:space="0"/>
              <w:left w:val="single" w:color="auto" w:sz="4" w:space="0"/>
              <w:bottom w:val="single" w:color="auto" w:sz="4" w:space="0"/>
              <w:right w:val="single" w:color="auto" w:sz="4" w:space="0"/>
            </w:tcBorders>
            <w:vAlign w:val="center"/>
          </w:tcPr>
          <w:p w14:paraId="42B0FBC9">
            <w:pPr>
              <w:spacing w:line="240" w:lineRule="atLeast"/>
              <w:jc w:val="center"/>
              <w:rPr>
                <w:rFonts w:ascii="宋体" w:hAnsi="宋体" w:cs="宋体"/>
                <w:color w:val="auto"/>
                <w:sz w:val="24"/>
                <w:szCs w:val="24"/>
              </w:rPr>
            </w:pPr>
            <w:r>
              <w:rPr>
                <w:rFonts w:hint="eastAsia" w:ascii="宋体" w:hAnsi="宋体" w:cs="宋体"/>
                <w:color w:val="auto"/>
                <w:sz w:val="24"/>
                <w:szCs w:val="24"/>
              </w:rPr>
              <w:t>500-1000</w:t>
            </w:r>
          </w:p>
        </w:tc>
        <w:tc>
          <w:tcPr>
            <w:tcW w:w="2240" w:type="dxa"/>
            <w:tcBorders>
              <w:top w:val="single" w:color="auto" w:sz="4" w:space="0"/>
              <w:left w:val="single" w:color="auto" w:sz="4" w:space="0"/>
              <w:bottom w:val="single" w:color="auto" w:sz="4" w:space="0"/>
              <w:right w:val="single" w:color="auto" w:sz="4" w:space="0"/>
            </w:tcBorders>
            <w:vAlign w:val="center"/>
          </w:tcPr>
          <w:p w14:paraId="66DF3184">
            <w:pPr>
              <w:spacing w:line="240" w:lineRule="atLeast"/>
              <w:jc w:val="center"/>
              <w:rPr>
                <w:rFonts w:ascii="宋体" w:hAnsi="宋体" w:cs="宋体"/>
                <w:color w:val="auto"/>
                <w:sz w:val="24"/>
                <w:szCs w:val="24"/>
              </w:rPr>
            </w:pPr>
            <w:r>
              <w:rPr>
                <w:rFonts w:hint="eastAsia" w:ascii="宋体" w:hAnsi="宋体" w:cs="宋体"/>
                <w:color w:val="auto"/>
                <w:sz w:val="24"/>
                <w:szCs w:val="24"/>
              </w:rPr>
              <w:t>0.76%</w:t>
            </w:r>
          </w:p>
        </w:tc>
        <w:tc>
          <w:tcPr>
            <w:tcW w:w="2273" w:type="dxa"/>
            <w:tcBorders>
              <w:top w:val="single" w:color="auto" w:sz="4" w:space="0"/>
              <w:left w:val="single" w:color="auto" w:sz="4" w:space="0"/>
              <w:bottom w:val="single" w:color="auto" w:sz="4" w:space="0"/>
              <w:right w:val="single" w:color="auto" w:sz="4" w:space="0"/>
            </w:tcBorders>
            <w:vAlign w:val="center"/>
          </w:tcPr>
          <w:p w14:paraId="1F8C2BA7">
            <w:pPr>
              <w:spacing w:line="240" w:lineRule="atLeast"/>
              <w:jc w:val="center"/>
              <w:rPr>
                <w:rFonts w:ascii="宋体" w:hAnsi="宋体" w:cs="宋体"/>
                <w:color w:val="auto"/>
                <w:sz w:val="24"/>
                <w:szCs w:val="24"/>
              </w:rPr>
            </w:pPr>
            <w:r>
              <w:rPr>
                <w:rFonts w:hint="eastAsia" w:ascii="宋体" w:hAnsi="宋体" w:cs="宋体"/>
                <w:color w:val="auto"/>
                <w:sz w:val="24"/>
                <w:szCs w:val="24"/>
              </w:rPr>
              <w:t>0.43%</w:t>
            </w:r>
          </w:p>
        </w:tc>
        <w:tc>
          <w:tcPr>
            <w:tcW w:w="2272" w:type="dxa"/>
            <w:tcBorders>
              <w:top w:val="single" w:color="auto" w:sz="4" w:space="0"/>
              <w:left w:val="single" w:color="auto" w:sz="4" w:space="0"/>
              <w:bottom w:val="single" w:color="auto" w:sz="4" w:space="0"/>
              <w:right w:val="single" w:color="auto" w:sz="4" w:space="0"/>
            </w:tcBorders>
            <w:vAlign w:val="center"/>
          </w:tcPr>
          <w:p w14:paraId="6E18153B">
            <w:pPr>
              <w:spacing w:line="240" w:lineRule="atLeast"/>
              <w:jc w:val="center"/>
              <w:rPr>
                <w:rFonts w:ascii="宋体" w:hAnsi="宋体" w:cs="宋体"/>
                <w:color w:val="auto"/>
                <w:sz w:val="24"/>
                <w:szCs w:val="24"/>
              </w:rPr>
            </w:pPr>
            <w:r>
              <w:rPr>
                <w:rFonts w:hint="eastAsia" w:ascii="宋体" w:hAnsi="宋体" w:cs="宋体"/>
                <w:color w:val="auto"/>
                <w:sz w:val="24"/>
                <w:szCs w:val="24"/>
              </w:rPr>
              <w:t>0.52%</w:t>
            </w:r>
          </w:p>
        </w:tc>
      </w:tr>
      <w:tr w14:paraId="303D2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0" w:type="dxa"/>
            <w:tcBorders>
              <w:top w:val="single" w:color="auto" w:sz="4" w:space="0"/>
              <w:left w:val="single" w:color="auto" w:sz="4" w:space="0"/>
              <w:bottom w:val="single" w:color="auto" w:sz="4" w:space="0"/>
              <w:right w:val="single" w:color="auto" w:sz="4" w:space="0"/>
            </w:tcBorders>
            <w:vAlign w:val="center"/>
          </w:tcPr>
          <w:p w14:paraId="62F9140E">
            <w:pPr>
              <w:spacing w:line="240" w:lineRule="atLeast"/>
              <w:jc w:val="center"/>
              <w:rPr>
                <w:rFonts w:ascii="宋体" w:hAnsi="宋体" w:cs="宋体"/>
                <w:color w:val="auto"/>
                <w:sz w:val="24"/>
                <w:szCs w:val="24"/>
              </w:rPr>
            </w:pPr>
            <w:r>
              <w:rPr>
                <w:rFonts w:hint="eastAsia" w:ascii="宋体" w:hAnsi="宋体" w:cs="宋体"/>
                <w:color w:val="auto"/>
                <w:sz w:val="24"/>
                <w:szCs w:val="24"/>
              </w:rPr>
              <w:t>1000-5000</w:t>
            </w:r>
          </w:p>
        </w:tc>
        <w:tc>
          <w:tcPr>
            <w:tcW w:w="2240" w:type="dxa"/>
            <w:tcBorders>
              <w:top w:val="single" w:color="auto" w:sz="4" w:space="0"/>
              <w:left w:val="single" w:color="auto" w:sz="4" w:space="0"/>
              <w:bottom w:val="single" w:color="auto" w:sz="4" w:space="0"/>
              <w:right w:val="single" w:color="auto" w:sz="4" w:space="0"/>
            </w:tcBorders>
            <w:vAlign w:val="center"/>
          </w:tcPr>
          <w:p w14:paraId="7C45688D">
            <w:pPr>
              <w:spacing w:line="240" w:lineRule="atLeast"/>
              <w:jc w:val="center"/>
              <w:rPr>
                <w:rFonts w:ascii="宋体" w:hAnsi="宋体" w:cs="宋体"/>
                <w:color w:val="auto"/>
                <w:sz w:val="24"/>
                <w:szCs w:val="24"/>
              </w:rPr>
            </w:pPr>
            <w:r>
              <w:rPr>
                <w:rFonts w:hint="eastAsia" w:ascii="宋体" w:hAnsi="宋体" w:cs="宋体"/>
                <w:color w:val="auto"/>
                <w:sz w:val="24"/>
                <w:szCs w:val="24"/>
              </w:rPr>
              <w:t>0.45%</w:t>
            </w:r>
          </w:p>
        </w:tc>
        <w:tc>
          <w:tcPr>
            <w:tcW w:w="2273" w:type="dxa"/>
            <w:tcBorders>
              <w:top w:val="single" w:color="auto" w:sz="4" w:space="0"/>
              <w:left w:val="single" w:color="auto" w:sz="4" w:space="0"/>
              <w:bottom w:val="single" w:color="auto" w:sz="4" w:space="0"/>
              <w:right w:val="single" w:color="auto" w:sz="4" w:space="0"/>
            </w:tcBorders>
            <w:vAlign w:val="center"/>
          </w:tcPr>
          <w:p w14:paraId="7B91A42F">
            <w:pPr>
              <w:spacing w:line="240" w:lineRule="atLeast"/>
              <w:jc w:val="center"/>
              <w:rPr>
                <w:rFonts w:ascii="宋体" w:hAnsi="宋体" w:cs="宋体"/>
                <w:color w:val="auto"/>
                <w:sz w:val="24"/>
                <w:szCs w:val="24"/>
              </w:rPr>
            </w:pPr>
            <w:r>
              <w:rPr>
                <w:rFonts w:hint="eastAsia" w:ascii="宋体" w:hAnsi="宋体" w:cs="宋体"/>
                <w:color w:val="auto"/>
                <w:sz w:val="24"/>
                <w:szCs w:val="24"/>
              </w:rPr>
              <w:t>0.23%</w:t>
            </w:r>
          </w:p>
        </w:tc>
        <w:tc>
          <w:tcPr>
            <w:tcW w:w="2272" w:type="dxa"/>
            <w:tcBorders>
              <w:top w:val="single" w:color="auto" w:sz="4" w:space="0"/>
              <w:left w:val="single" w:color="auto" w:sz="4" w:space="0"/>
              <w:bottom w:val="single" w:color="auto" w:sz="4" w:space="0"/>
              <w:right w:val="single" w:color="auto" w:sz="4" w:space="0"/>
            </w:tcBorders>
            <w:vAlign w:val="center"/>
          </w:tcPr>
          <w:p w14:paraId="0C6B35AA">
            <w:pPr>
              <w:spacing w:line="240" w:lineRule="atLeast"/>
              <w:jc w:val="center"/>
              <w:rPr>
                <w:rFonts w:ascii="宋体" w:hAnsi="宋体" w:cs="宋体"/>
                <w:color w:val="auto"/>
                <w:sz w:val="24"/>
                <w:szCs w:val="24"/>
              </w:rPr>
            </w:pPr>
            <w:r>
              <w:rPr>
                <w:rFonts w:hint="eastAsia" w:ascii="宋体" w:hAnsi="宋体" w:cs="宋体"/>
                <w:color w:val="auto"/>
                <w:sz w:val="24"/>
                <w:szCs w:val="24"/>
              </w:rPr>
              <w:t>0.32%</w:t>
            </w:r>
          </w:p>
        </w:tc>
      </w:tr>
      <w:tr w14:paraId="029D4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0" w:type="dxa"/>
            <w:tcBorders>
              <w:top w:val="single" w:color="auto" w:sz="4" w:space="0"/>
              <w:left w:val="single" w:color="auto" w:sz="4" w:space="0"/>
              <w:bottom w:val="single" w:color="auto" w:sz="4" w:space="0"/>
              <w:right w:val="single" w:color="auto" w:sz="4" w:space="0"/>
            </w:tcBorders>
            <w:vAlign w:val="center"/>
          </w:tcPr>
          <w:p w14:paraId="5554A9C5">
            <w:pPr>
              <w:spacing w:line="240" w:lineRule="atLeast"/>
              <w:jc w:val="center"/>
              <w:rPr>
                <w:rFonts w:ascii="宋体" w:hAnsi="宋体" w:cs="宋体"/>
                <w:color w:val="auto"/>
                <w:sz w:val="24"/>
                <w:szCs w:val="24"/>
              </w:rPr>
            </w:pPr>
            <w:r>
              <w:rPr>
                <w:rFonts w:hint="eastAsia" w:ascii="宋体" w:hAnsi="宋体" w:cs="宋体"/>
                <w:color w:val="auto"/>
                <w:sz w:val="24"/>
                <w:szCs w:val="24"/>
              </w:rPr>
              <w:t>5000-10000</w:t>
            </w:r>
          </w:p>
        </w:tc>
        <w:tc>
          <w:tcPr>
            <w:tcW w:w="2240" w:type="dxa"/>
            <w:tcBorders>
              <w:top w:val="single" w:color="auto" w:sz="4" w:space="0"/>
              <w:left w:val="single" w:color="auto" w:sz="4" w:space="0"/>
              <w:bottom w:val="single" w:color="auto" w:sz="4" w:space="0"/>
              <w:right w:val="single" w:color="auto" w:sz="4" w:space="0"/>
            </w:tcBorders>
            <w:vAlign w:val="center"/>
          </w:tcPr>
          <w:p w14:paraId="39B30424">
            <w:pPr>
              <w:spacing w:line="240" w:lineRule="atLeast"/>
              <w:jc w:val="center"/>
              <w:rPr>
                <w:rFonts w:ascii="宋体" w:hAnsi="宋体" w:cs="宋体"/>
                <w:color w:val="auto"/>
                <w:sz w:val="24"/>
                <w:szCs w:val="24"/>
              </w:rPr>
            </w:pPr>
            <w:r>
              <w:rPr>
                <w:rFonts w:hint="eastAsia" w:ascii="宋体" w:hAnsi="宋体" w:cs="宋体"/>
                <w:color w:val="auto"/>
                <w:sz w:val="24"/>
                <w:szCs w:val="24"/>
              </w:rPr>
              <w:t>0.23%</w:t>
            </w:r>
          </w:p>
        </w:tc>
        <w:tc>
          <w:tcPr>
            <w:tcW w:w="2273" w:type="dxa"/>
            <w:tcBorders>
              <w:top w:val="single" w:color="auto" w:sz="4" w:space="0"/>
              <w:left w:val="single" w:color="auto" w:sz="4" w:space="0"/>
              <w:bottom w:val="single" w:color="auto" w:sz="4" w:space="0"/>
              <w:right w:val="single" w:color="auto" w:sz="4" w:space="0"/>
            </w:tcBorders>
            <w:vAlign w:val="center"/>
          </w:tcPr>
          <w:p w14:paraId="1B5A746E">
            <w:pPr>
              <w:spacing w:line="240" w:lineRule="atLeast"/>
              <w:jc w:val="center"/>
              <w:rPr>
                <w:rFonts w:ascii="宋体" w:hAnsi="宋体" w:cs="宋体"/>
                <w:color w:val="auto"/>
                <w:sz w:val="24"/>
                <w:szCs w:val="24"/>
              </w:rPr>
            </w:pPr>
            <w:r>
              <w:rPr>
                <w:rFonts w:hint="eastAsia" w:ascii="宋体" w:hAnsi="宋体" w:cs="宋体"/>
                <w:color w:val="auto"/>
                <w:sz w:val="24"/>
                <w:szCs w:val="24"/>
              </w:rPr>
              <w:t>0.09%</w:t>
            </w:r>
          </w:p>
        </w:tc>
        <w:tc>
          <w:tcPr>
            <w:tcW w:w="2272" w:type="dxa"/>
            <w:tcBorders>
              <w:top w:val="single" w:color="auto" w:sz="4" w:space="0"/>
              <w:left w:val="single" w:color="auto" w:sz="4" w:space="0"/>
              <w:bottom w:val="single" w:color="auto" w:sz="4" w:space="0"/>
              <w:right w:val="single" w:color="auto" w:sz="4" w:space="0"/>
            </w:tcBorders>
            <w:vAlign w:val="center"/>
          </w:tcPr>
          <w:p w14:paraId="06EE20CA">
            <w:pPr>
              <w:spacing w:line="240" w:lineRule="atLeast"/>
              <w:jc w:val="center"/>
              <w:rPr>
                <w:rFonts w:ascii="宋体" w:hAnsi="宋体" w:cs="宋体"/>
                <w:color w:val="auto"/>
                <w:sz w:val="24"/>
                <w:szCs w:val="24"/>
              </w:rPr>
            </w:pPr>
            <w:r>
              <w:rPr>
                <w:rFonts w:hint="eastAsia" w:ascii="宋体" w:hAnsi="宋体" w:cs="宋体"/>
                <w:color w:val="auto"/>
                <w:sz w:val="24"/>
                <w:szCs w:val="24"/>
              </w:rPr>
              <w:t>0.18%</w:t>
            </w:r>
          </w:p>
        </w:tc>
      </w:tr>
      <w:tr w14:paraId="60C5F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0" w:type="dxa"/>
            <w:tcBorders>
              <w:top w:val="single" w:color="auto" w:sz="4" w:space="0"/>
              <w:left w:val="single" w:color="auto" w:sz="4" w:space="0"/>
              <w:bottom w:val="single" w:color="auto" w:sz="4" w:space="0"/>
              <w:right w:val="single" w:color="auto" w:sz="4" w:space="0"/>
            </w:tcBorders>
            <w:vAlign w:val="center"/>
          </w:tcPr>
          <w:p w14:paraId="43B43521">
            <w:pPr>
              <w:spacing w:line="240" w:lineRule="atLeast"/>
              <w:jc w:val="center"/>
              <w:rPr>
                <w:rFonts w:ascii="宋体" w:hAnsi="宋体" w:cs="宋体"/>
                <w:color w:val="auto"/>
                <w:sz w:val="24"/>
                <w:szCs w:val="24"/>
              </w:rPr>
            </w:pPr>
            <w:r>
              <w:rPr>
                <w:rFonts w:hint="eastAsia" w:ascii="宋体" w:hAnsi="宋体" w:cs="宋体"/>
                <w:color w:val="auto"/>
                <w:sz w:val="24"/>
                <w:szCs w:val="24"/>
              </w:rPr>
              <w:t>10000-100000</w:t>
            </w:r>
          </w:p>
        </w:tc>
        <w:tc>
          <w:tcPr>
            <w:tcW w:w="2240" w:type="dxa"/>
            <w:tcBorders>
              <w:top w:val="single" w:color="auto" w:sz="4" w:space="0"/>
              <w:left w:val="single" w:color="auto" w:sz="4" w:space="0"/>
              <w:bottom w:val="single" w:color="auto" w:sz="4" w:space="0"/>
              <w:right w:val="single" w:color="auto" w:sz="4" w:space="0"/>
            </w:tcBorders>
            <w:vAlign w:val="center"/>
          </w:tcPr>
          <w:p w14:paraId="1A4440E2">
            <w:pPr>
              <w:spacing w:line="240" w:lineRule="atLeast"/>
              <w:jc w:val="center"/>
              <w:rPr>
                <w:rFonts w:ascii="宋体" w:hAnsi="宋体" w:cs="宋体"/>
                <w:color w:val="auto"/>
                <w:sz w:val="24"/>
                <w:szCs w:val="24"/>
              </w:rPr>
            </w:pPr>
            <w:r>
              <w:rPr>
                <w:rFonts w:hint="eastAsia" w:ascii="宋体" w:hAnsi="宋体" w:cs="宋体"/>
                <w:color w:val="auto"/>
                <w:sz w:val="24"/>
                <w:szCs w:val="24"/>
              </w:rPr>
              <w:t>0.045%</w:t>
            </w:r>
          </w:p>
        </w:tc>
        <w:tc>
          <w:tcPr>
            <w:tcW w:w="2273" w:type="dxa"/>
            <w:tcBorders>
              <w:top w:val="single" w:color="auto" w:sz="4" w:space="0"/>
              <w:left w:val="single" w:color="auto" w:sz="4" w:space="0"/>
              <w:bottom w:val="single" w:color="auto" w:sz="4" w:space="0"/>
              <w:right w:val="single" w:color="auto" w:sz="4" w:space="0"/>
            </w:tcBorders>
            <w:vAlign w:val="center"/>
          </w:tcPr>
          <w:p w14:paraId="3FE8C68E">
            <w:pPr>
              <w:spacing w:line="240" w:lineRule="atLeast"/>
              <w:jc w:val="center"/>
              <w:rPr>
                <w:rFonts w:ascii="宋体" w:hAnsi="宋体" w:cs="宋体"/>
                <w:color w:val="auto"/>
                <w:sz w:val="24"/>
                <w:szCs w:val="24"/>
              </w:rPr>
            </w:pPr>
            <w:r>
              <w:rPr>
                <w:rFonts w:hint="eastAsia" w:ascii="宋体" w:hAnsi="宋体" w:cs="宋体"/>
                <w:color w:val="auto"/>
                <w:sz w:val="24"/>
                <w:szCs w:val="24"/>
              </w:rPr>
              <w:t>0.045%</w:t>
            </w:r>
          </w:p>
        </w:tc>
        <w:tc>
          <w:tcPr>
            <w:tcW w:w="2272" w:type="dxa"/>
            <w:tcBorders>
              <w:top w:val="single" w:color="auto" w:sz="4" w:space="0"/>
              <w:left w:val="single" w:color="auto" w:sz="4" w:space="0"/>
              <w:bottom w:val="single" w:color="auto" w:sz="4" w:space="0"/>
              <w:right w:val="single" w:color="auto" w:sz="4" w:space="0"/>
            </w:tcBorders>
            <w:vAlign w:val="center"/>
          </w:tcPr>
          <w:p w14:paraId="7F5EFD39">
            <w:pPr>
              <w:spacing w:line="240" w:lineRule="atLeast"/>
              <w:jc w:val="center"/>
              <w:rPr>
                <w:rFonts w:ascii="宋体" w:hAnsi="宋体" w:cs="宋体"/>
                <w:color w:val="auto"/>
                <w:sz w:val="24"/>
                <w:szCs w:val="24"/>
              </w:rPr>
            </w:pPr>
            <w:r>
              <w:rPr>
                <w:rFonts w:hint="eastAsia" w:ascii="宋体" w:hAnsi="宋体" w:cs="宋体"/>
                <w:color w:val="auto"/>
                <w:sz w:val="24"/>
                <w:szCs w:val="24"/>
              </w:rPr>
              <w:t>0.045%</w:t>
            </w:r>
          </w:p>
        </w:tc>
      </w:tr>
      <w:tr w14:paraId="7D87B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0" w:type="dxa"/>
            <w:tcBorders>
              <w:top w:val="single" w:color="auto" w:sz="4" w:space="0"/>
              <w:left w:val="single" w:color="auto" w:sz="4" w:space="0"/>
              <w:bottom w:val="single" w:color="auto" w:sz="4" w:space="0"/>
              <w:right w:val="single" w:color="auto" w:sz="4" w:space="0"/>
            </w:tcBorders>
            <w:vAlign w:val="center"/>
          </w:tcPr>
          <w:p w14:paraId="689AE583">
            <w:pPr>
              <w:spacing w:line="240" w:lineRule="atLeast"/>
              <w:jc w:val="center"/>
              <w:rPr>
                <w:rFonts w:ascii="宋体" w:hAnsi="宋体" w:cs="宋体"/>
                <w:color w:val="auto"/>
                <w:sz w:val="24"/>
                <w:szCs w:val="24"/>
              </w:rPr>
            </w:pPr>
            <w:r>
              <w:rPr>
                <w:rFonts w:hint="eastAsia" w:ascii="宋体" w:hAnsi="宋体" w:cs="宋体"/>
                <w:color w:val="auto"/>
                <w:sz w:val="24"/>
                <w:szCs w:val="24"/>
              </w:rPr>
              <w:t>100000以上</w:t>
            </w:r>
          </w:p>
        </w:tc>
        <w:tc>
          <w:tcPr>
            <w:tcW w:w="2240" w:type="dxa"/>
            <w:tcBorders>
              <w:top w:val="single" w:color="auto" w:sz="4" w:space="0"/>
              <w:left w:val="single" w:color="auto" w:sz="4" w:space="0"/>
              <w:bottom w:val="single" w:color="auto" w:sz="4" w:space="0"/>
              <w:right w:val="single" w:color="auto" w:sz="4" w:space="0"/>
            </w:tcBorders>
            <w:vAlign w:val="center"/>
          </w:tcPr>
          <w:p w14:paraId="72F630FF">
            <w:pPr>
              <w:spacing w:line="240" w:lineRule="atLeast"/>
              <w:jc w:val="center"/>
              <w:rPr>
                <w:rFonts w:ascii="宋体" w:hAnsi="宋体" w:cs="宋体"/>
                <w:color w:val="auto"/>
                <w:sz w:val="24"/>
                <w:szCs w:val="24"/>
              </w:rPr>
            </w:pPr>
            <w:r>
              <w:rPr>
                <w:rFonts w:hint="eastAsia" w:ascii="宋体" w:hAnsi="宋体" w:cs="宋体"/>
                <w:color w:val="auto"/>
                <w:sz w:val="24"/>
                <w:szCs w:val="24"/>
              </w:rPr>
              <w:t>0.009%</w:t>
            </w:r>
          </w:p>
        </w:tc>
        <w:tc>
          <w:tcPr>
            <w:tcW w:w="2273" w:type="dxa"/>
            <w:tcBorders>
              <w:top w:val="single" w:color="auto" w:sz="4" w:space="0"/>
              <w:left w:val="single" w:color="auto" w:sz="4" w:space="0"/>
              <w:bottom w:val="single" w:color="auto" w:sz="4" w:space="0"/>
              <w:right w:val="single" w:color="auto" w:sz="4" w:space="0"/>
            </w:tcBorders>
            <w:vAlign w:val="center"/>
          </w:tcPr>
          <w:p w14:paraId="48095A9B">
            <w:pPr>
              <w:spacing w:line="240" w:lineRule="atLeast"/>
              <w:jc w:val="center"/>
              <w:rPr>
                <w:rFonts w:ascii="宋体" w:hAnsi="宋体" w:cs="宋体"/>
                <w:color w:val="auto"/>
                <w:sz w:val="24"/>
                <w:szCs w:val="24"/>
              </w:rPr>
            </w:pPr>
            <w:r>
              <w:rPr>
                <w:rFonts w:hint="eastAsia" w:ascii="宋体" w:hAnsi="宋体" w:cs="宋体"/>
                <w:color w:val="auto"/>
                <w:sz w:val="24"/>
                <w:szCs w:val="24"/>
              </w:rPr>
              <w:t>0.009%</w:t>
            </w:r>
          </w:p>
        </w:tc>
        <w:tc>
          <w:tcPr>
            <w:tcW w:w="2272" w:type="dxa"/>
            <w:tcBorders>
              <w:top w:val="single" w:color="auto" w:sz="4" w:space="0"/>
              <w:left w:val="single" w:color="auto" w:sz="4" w:space="0"/>
              <w:bottom w:val="single" w:color="auto" w:sz="4" w:space="0"/>
              <w:right w:val="single" w:color="auto" w:sz="4" w:space="0"/>
            </w:tcBorders>
            <w:vAlign w:val="center"/>
          </w:tcPr>
          <w:p w14:paraId="1F2ACBF9">
            <w:pPr>
              <w:spacing w:line="240" w:lineRule="atLeast"/>
              <w:jc w:val="center"/>
              <w:rPr>
                <w:rFonts w:ascii="宋体" w:hAnsi="宋体" w:cs="宋体"/>
                <w:color w:val="auto"/>
                <w:sz w:val="24"/>
                <w:szCs w:val="24"/>
              </w:rPr>
            </w:pPr>
            <w:r>
              <w:rPr>
                <w:rFonts w:hint="eastAsia" w:ascii="宋体" w:hAnsi="宋体" w:cs="宋体"/>
                <w:color w:val="auto"/>
                <w:sz w:val="24"/>
                <w:szCs w:val="24"/>
              </w:rPr>
              <w:t>0.009%</w:t>
            </w:r>
          </w:p>
        </w:tc>
      </w:tr>
    </w:tbl>
    <w:p w14:paraId="18B23344">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注：代理服务收费按差额定率累进法计算。例如：某服务代理业务</w:t>
      </w:r>
      <w:r>
        <w:rPr>
          <w:rFonts w:hint="eastAsia" w:ascii="宋体" w:hAnsi="宋体" w:cs="宋体"/>
          <w:color w:val="auto"/>
          <w:sz w:val="24"/>
          <w:szCs w:val="24"/>
          <w:lang w:val="en-US" w:eastAsia="zh-CN"/>
        </w:rPr>
        <w:t>中标金额</w:t>
      </w:r>
      <w:r>
        <w:rPr>
          <w:rFonts w:hint="eastAsia" w:ascii="宋体" w:hAnsi="宋体" w:cs="宋体"/>
          <w:color w:val="auto"/>
          <w:sz w:val="24"/>
          <w:szCs w:val="24"/>
        </w:rPr>
        <w:t>为</w:t>
      </w:r>
      <w:r>
        <w:rPr>
          <w:rFonts w:hint="eastAsia" w:ascii="宋体" w:hAnsi="宋体" w:cs="宋体"/>
          <w:bCs/>
          <w:color w:val="auto"/>
          <w:kern w:val="0"/>
          <w:sz w:val="24"/>
        </w:rPr>
        <w:t>100</w:t>
      </w:r>
      <w:r>
        <w:rPr>
          <w:rFonts w:hint="eastAsia" w:ascii="宋体" w:hAnsi="宋体" w:cs="宋体"/>
          <w:color w:val="auto"/>
          <w:sz w:val="24"/>
          <w:szCs w:val="24"/>
        </w:rPr>
        <w:t>万元，计算代理服务收费额如下：</w:t>
      </w:r>
    </w:p>
    <w:p w14:paraId="4541C62D">
      <w:pPr>
        <w:spacing w:line="400" w:lineRule="exact"/>
        <w:ind w:firstLine="480" w:firstLineChars="200"/>
        <w:rPr>
          <w:rFonts w:ascii="宋体" w:hAnsi="宋体" w:cs="宋体"/>
          <w:color w:val="auto"/>
          <w:sz w:val="24"/>
        </w:rPr>
      </w:pPr>
      <w:r>
        <w:rPr>
          <w:rFonts w:hint="eastAsia" w:ascii="宋体" w:hAnsi="宋体" w:cs="宋体"/>
          <w:color w:val="auto"/>
          <w:sz w:val="24"/>
        </w:rPr>
        <w:t>100万元×1.5%=1.5万元</w:t>
      </w:r>
    </w:p>
    <w:p w14:paraId="3521E943">
      <w:pPr>
        <w:spacing w:line="400" w:lineRule="exact"/>
        <w:ind w:firstLine="480" w:firstLineChars="200"/>
        <w:rPr>
          <w:rFonts w:ascii="宋体" w:hAnsi="宋体" w:cs="宋体"/>
          <w:color w:val="auto"/>
          <w:sz w:val="24"/>
        </w:rPr>
      </w:pPr>
      <w:r>
        <w:rPr>
          <w:rFonts w:hint="eastAsia" w:ascii="宋体" w:hAnsi="宋体" w:cs="宋体"/>
          <w:color w:val="auto"/>
          <w:sz w:val="24"/>
        </w:rPr>
        <w:t>采购代理服务费70%计算=1.5*70%=1.05万元</w:t>
      </w:r>
    </w:p>
    <w:p w14:paraId="26A36CC6">
      <w:pPr>
        <w:spacing w:line="400" w:lineRule="exact"/>
        <w:ind w:firstLine="480" w:firstLineChars="200"/>
        <w:rPr>
          <w:rFonts w:ascii="宋体" w:hAnsi="宋体" w:cs="宋体"/>
          <w:color w:val="auto"/>
          <w:sz w:val="24"/>
        </w:rPr>
      </w:pPr>
      <w:r>
        <w:rPr>
          <w:rFonts w:hint="eastAsia" w:ascii="宋体" w:hAnsi="宋体" w:cs="宋体"/>
          <w:color w:val="auto"/>
          <w:sz w:val="24"/>
        </w:rPr>
        <w:t>中标供应商如未按上述规定缴付采购代理服务费，其保证金将不予退还</w:t>
      </w:r>
    </w:p>
    <w:p w14:paraId="274FB147">
      <w:pPr>
        <w:ind w:firstLine="480" w:firstLineChars="200"/>
        <w:rPr>
          <w:rFonts w:ascii="宋体" w:hAnsi="宋体" w:cs="宋体"/>
          <w:color w:val="auto"/>
          <w:sz w:val="24"/>
          <w:szCs w:val="24"/>
        </w:rPr>
      </w:pPr>
      <w:r>
        <w:rPr>
          <w:rFonts w:hint="eastAsia" w:ascii="宋体" w:hAnsi="宋体" w:cs="宋体"/>
          <w:color w:val="auto"/>
          <w:sz w:val="24"/>
          <w:szCs w:val="24"/>
        </w:rPr>
        <w:t>（二）采购代理服务费缴纳账号：</w:t>
      </w:r>
    </w:p>
    <w:p w14:paraId="3D17D347">
      <w:pPr>
        <w:ind w:firstLine="480" w:firstLineChars="200"/>
        <w:rPr>
          <w:rFonts w:ascii="宋体" w:hAnsi="宋体" w:cs="宋体"/>
          <w:color w:val="auto"/>
          <w:sz w:val="24"/>
          <w:szCs w:val="24"/>
        </w:rPr>
      </w:pPr>
      <w:r>
        <w:rPr>
          <w:rFonts w:hint="eastAsia" w:ascii="宋体" w:hAnsi="宋体" w:cs="宋体"/>
          <w:color w:val="auto"/>
          <w:sz w:val="24"/>
          <w:szCs w:val="24"/>
        </w:rPr>
        <w:t>户  名：中捷通信有限公司</w:t>
      </w:r>
    </w:p>
    <w:p w14:paraId="448A5F95">
      <w:pPr>
        <w:ind w:firstLine="480" w:firstLineChars="200"/>
        <w:rPr>
          <w:rFonts w:ascii="宋体" w:hAnsi="宋体" w:cs="宋体"/>
          <w:color w:val="auto"/>
          <w:sz w:val="24"/>
          <w:szCs w:val="24"/>
        </w:rPr>
      </w:pPr>
      <w:r>
        <w:rPr>
          <w:rFonts w:hint="eastAsia" w:ascii="宋体" w:hAnsi="宋体" w:cs="宋体"/>
          <w:color w:val="auto"/>
          <w:sz w:val="24"/>
          <w:szCs w:val="24"/>
        </w:rPr>
        <w:t>开户行：中信银行广州花园支行</w:t>
      </w:r>
    </w:p>
    <w:p w14:paraId="6EC31842">
      <w:pPr>
        <w:ind w:firstLine="480" w:firstLineChars="200"/>
        <w:rPr>
          <w:rFonts w:ascii="宋体" w:hAnsi="宋体" w:cs="宋体"/>
          <w:color w:val="auto"/>
          <w:sz w:val="24"/>
          <w:szCs w:val="24"/>
        </w:rPr>
      </w:pPr>
      <w:r>
        <w:rPr>
          <w:rFonts w:hint="eastAsia" w:ascii="宋体" w:hAnsi="宋体" w:cs="宋体"/>
          <w:color w:val="auto"/>
          <w:sz w:val="24"/>
          <w:szCs w:val="24"/>
        </w:rPr>
        <w:t xml:space="preserve">账  号：3110910043850052406 </w:t>
      </w:r>
    </w:p>
    <w:bookmarkEnd w:id="172"/>
    <w:p w14:paraId="1407A7D1">
      <w:pPr>
        <w:pStyle w:val="3"/>
        <w:adjustRightInd w:val="0"/>
        <w:snapToGrid w:val="0"/>
        <w:spacing w:before="0" w:after="0" w:line="400" w:lineRule="exact"/>
        <w:ind w:firstLine="482" w:firstLineChars="200"/>
        <w:rPr>
          <w:rFonts w:ascii="宋体" w:hAnsi="宋体" w:eastAsia="宋体" w:cs="宋体"/>
          <w:color w:val="auto"/>
          <w:sz w:val="24"/>
        </w:rPr>
      </w:pPr>
      <w:bookmarkStart w:id="173" w:name="_Toc76462346"/>
      <w:bookmarkStart w:id="174" w:name="_Toc4124"/>
      <w:bookmarkStart w:id="175" w:name="_Toc26159"/>
      <w:r>
        <w:rPr>
          <w:rFonts w:hint="eastAsia" w:ascii="宋体" w:hAnsi="宋体" w:eastAsia="宋体" w:cs="宋体"/>
          <w:color w:val="auto"/>
          <w:sz w:val="24"/>
        </w:rPr>
        <w:t>八、签订合同</w:t>
      </w:r>
      <w:bookmarkEnd w:id="173"/>
      <w:bookmarkEnd w:id="174"/>
      <w:bookmarkEnd w:id="175"/>
    </w:p>
    <w:p w14:paraId="4A1CD9F9">
      <w:pPr>
        <w:spacing w:line="400" w:lineRule="exact"/>
        <w:ind w:firstLine="360" w:firstLineChars="150"/>
        <w:rPr>
          <w:rFonts w:ascii="宋体" w:hAnsi="宋体" w:cs="宋体"/>
          <w:color w:val="auto"/>
          <w:sz w:val="24"/>
          <w:szCs w:val="24"/>
        </w:rPr>
      </w:pPr>
      <w:r>
        <w:rPr>
          <w:rFonts w:hint="eastAsia" w:ascii="宋体" w:hAnsi="宋体" w:cs="宋体"/>
          <w:color w:val="auto"/>
          <w:sz w:val="24"/>
          <w:szCs w:val="24"/>
        </w:rPr>
        <w:t>（一）</w:t>
      </w:r>
      <w:r>
        <w:rPr>
          <w:rFonts w:hint="eastAsia" w:ascii="宋体" w:hAnsi="宋体" w:cs="宋体"/>
          <w:color w:val="auto"/>
          <w:sz w:val="24"/>
        </w:rPr>
        <w:t>采购人原则上应在成交通知书发出之日起二十日内和成交商签订采购合同，无正当理由不得拒绝或拖延合同签订</w:t>
      </w:r>
      <w:r>
        <w:rPr>
          <w:rFonts w:hint="eastAsia" w:ascii="宋体" w:hAnsi="宋体" w:cs="宋体"/>
          <w:color w:val="auto"/>
          <w:sz w:val="24"/>
          <w:szCs w:val="24"/>
        </w:rPr>
        <w:t>。所签订的合同不得对竞争性磋商文件和供应商的响应文件作实质性修改。其他未尽事宜由采购人和成交商在采购合同中详细约定。</w:t>
      </w:r>
    </w:p>
    <w:p w14:paraId="6CE1BFD1">
      <w:pPr>
        <w:spacing w:line="400" w:lineRule="exact"/>
        <w:ind w:firstLine="360" w:firstLineChars="150"/>
        <w:rPr>
          <w:rFonts w:ascii="宋体" w:hAnsi="宋体" w:cs="宋体"/>
          <w:color w:val="auto"/>
          <w:sz w:val="24"/>
          <w:szCs w:val="24"/>
        </w:rPr>
      </w:pPr>
      <w:r>
        <w:rPr>
          <w:rFonts w:hint="eastAsia" w:ascii="宋体" w:hAnsi="宋体" w:cs="宋体"/>
          <w:color w:val="auto"/>
          <w:sz w:val="24"/>
          <w:szCs w:val="24"/>
        </w:rPr>
        <w:t>（</w:t>
      </w:r>
      <w:r>
        <w:rPr>
          <w:rFonts w:hint="eastAsia" w:ascii="宋体" w:hAnsi="宋体" w:cs="宋体"/>
          <w:color w:val="auto"/>
          <w:sz w:val="24"/>
          <w:szCs w:val="24"/>
          <w:lang w:val="en-US" w:eastAsia="zh-CN"/>
        </w:rPr>
        <w:t>二</w:t>
      </w:r>
      <w:r>
        <w:rPr>
          <w:rFonts w:hint="eastAsia" w:ascii="宋体" w:hAnsi="宋体" w:cs="宋体"/>
          <w:color w:val="auto"/>
          <w:sz w:val="24"/>
          <w:szCs w:val="24"/>
        </w:rPr>
        <w:t>）竞争性磋商文件、供应商的响应文件及澄清文件等，均为签订采购合同的依据。</w:t>
      </w:r>
    </w:p>
    <w:p w14:paraId="35F27C91">
      <w:pPr>
        <w:spacing w:line="400" w:lineRule="exact"/>
        <w:ind w:firstLine="360" w:firstLineChars="150"/>
        <w:rPr>
          <w:rFonts w:ascii="宋体" w:hAnsi="宋体" w:cs="宋体"/>
          <w:color w:val="auto"/>
          <w:sz w:val="24"/>
          <w:szCs w:val="24"/>
        </w:rPr>
      </w:pPr>
      <w:r>
        <w:rPr>
          <w:rFonts w:hint="eastAsia" w:ascii="宋体" w:hAnsi="宋体" w:cs="宋体"/>
          <w:color w:val="auto"/>
          <w:sz w:val="24"/>
          <w:szCs w:val="24"/>
        </w:rPr>
        <w:t>（</w:t>
      </w:r>
      <w:r>
        <w:rPr>
          <w:rFonts w:hint="eastAsia" w:ascii="宋体" w:hAnsi="宋体" w:cs="宋体"/>
          <w:color w:val="auto"/>
          <w:sz w:val="24"/>
          <w:szCs w:val="24"/>
          <w:lang w:val="en-US" w:eastAsia="zh-CN"/>
        </w:rPr>
        <w:t>三</w:t>
      </w:r>
      <w:r>
        <w:rPr>
          <w:rFonts w:hint="eastAsia" w:ascii="宋体" w:hAnsi="宋体" w:cs="宋体"/>
          <w:color w:val="auto"/>
          <w:sz w:val="24"/>
          <w:szCs w:val="24"/>
        </w:rPr>
        <w:t>）合同生效条款由供需双方约定，法律、行政法规规定应当办理批准、登记等手续后生效的合同，依照其规定。</w:t>
      </w:r>
    </w:p>
    <w:p w14:paraId="42FAB401">
      <w:pPr>
        <w:spacing w:line="400" w:lineRule="exact"/>
        <w:ind w:firstLine="360" w:firstLineChars="150"/>
        <w:rPr>
          <w:rFonts w:ascii="宋体" w:hAnsi="宋体" w:cs="宋体"/>
          <w:color w:val="auto"/>
          <w:sz w:val="24"/>
          <w:szCs w:val="24"/>
        </w:rPr>
      </w:pPr>
      <w:r>
        <w:rPr>
          <w:rFonts w:hint="eastAsia" w:ascii="宋体" w:hAnsi="宋体" w:cs="宋体"/>
          <w:color w:val="auto"/>
          <w:sz w:val="24"/>
          <w:szCs w:val="24"/>
        </w:rPr>
        <w:t>（</w:t>
      </w:r>
      <w:r>
        <w:rPr>
          <w:rFonts w:hint="eastAsia" w:ascii="宋体" w:hAnsi="宋体" w:cs="宋体"/>
          <w:color w:val="auto"/>
          <w:sz w:val="24"/>
          <w:szCs w:val="24"/>
          <w:lang w:val="en-US" w:eastAsia="zh-CN"/>
        </w:rPr>
        <w:t>四</w:t>
      </w:r>
      <w:r>
        <w:rPr>
          <w:rFonts w:hint="eastAsia" w:ascii="宋体" w:hAnsi="宋体" w:cs="宋体"/>
          <w:color w:val="auto"/>
          <w:sz w:val="24"/>
          <w:szCs w:val="24"/>
        </w:rPr>
        <w:t>）合同原则上应按照《采购合同》签订，相关单位要求适用合同通用格式版本的，应按其要求另行签订其他合同。</w:t>
      </w:r>
    </w:p>
    <w:p w14:paraId="3A0A1449">
      <w:pPr>
        <w:spacing w:line="400" w:lineRule="exact"/>
        <w:ind w:firstLine="360" w:firstLineChars="150"/>
        <w:rPr>
          <w:rFonts w:ascii="宋体" w:hAnsi="宋体" w:cs="宋体"/>
          <w:color w:val="auto"/>
          <w:sz w:val="24"/>
          <w:szCs w:val="24"/>
        </w:rPr>
      </w:pPr>
      <w:r>
        <w:rPr>
          <w:rFonts w:hint="eastAsia" w:ascii="宋体" w:hAnsi="宋体" w:cs="宋体"/>
          <w:color w:val="auto"/>
          <w:sz w:val="24"/>
          <w:szCs w:val="24"/>
        </w:rPr>
        <w:t>（</w:t>
      </w:r>
      <w:r>
        <w:rPr>
          <w:rFonts w:hint="eastAsia" w:ascii="宋体" w:hAnsi="宋体" w:cs="宋体"/>
          <w:color w:val="auto"/>
          <w:sz w:val="24"/>
          <w:szCs w:val="24"/>
          <w:lang w:val="en-US" w:eastAsia="zh-CN"/>
        </w:rPr>
        <w:t>五</w:t>
      </w:r>
      <w:r>
        <w:rPr>
          <w:rFonts w:hint="eastAsia" w:ascii="宋体" w:hAnsi="宋体" w:cs="宋体"/>
          <w:color w:val="auto"/>
          <w:sz w:val="24"/>
          <w:szCs w:val="24"/>
        </w:rPr>
        <w:t>）采购人要求成交商提供履约保证金的，应当在竞争性磋商文件中予以约定。成交商履约完毕后，采购人根据采购文件规定无息退还其履约保证金。</w:t>
      </w:r>
    </w:p>
    <w:p w14:paraId="6BB2ADA7">
      <w:pPr>
        <w:spacing w:line="400" w:lineRule="exact"/>
        <w:ind w:firstLine="361" w:firstLineChars="150"/>
        <w:rPr>
          <w:rFonts w:ascii="宋体" w:hAnsi="宋体" w:cs="宋体"/>
          <w:color w:val="auto"/>
          <w:sz w:val="24"/>
          <w:szCs w:val="24"/>
        </w:rPr>
      </w:pPr>
      <w:r>
        <w:rPr>
          <w:rFonts w:hint="eastAsia" w:ascii="宋体" w:hAnsi="宋体" w:cs="宋体"/>
          <w:b/>
          <w:bCs/>
          <w:color w:val="auto"/>
          <w:sz w:val="24"/>
          <w:szCs w:val="24"/>
          <w:u w:val="single"/>
        </w:rPr>
        <w:t>（</w:t>
      </w:r>
      <w:r>
        <w:rPr>
          <w:rFonts w:hint="eastAsia" w:ascii="宋体" w:hAnsi="宋体" w:cs="宋体"/>
          <w:b/>
          <w:bCs/>
          <w:color w:val="auto"/>
          <w:sz w:val="24"/>
          <w:szCs w:val="24"/>
          <w:u w:val="single"/>
          <w:lang w:val="en-US" w:eastAsia="zh-CN"/>
        </w:rPr>
        <w:t>六</w:t>
      </w:r>
      <w:r>
        <w:rPr>
          <w:rFonts w:hint="eastAsia" w:ascii="宋体" w:hAnsi="宋体" w:cs="宋体"/>
          <w:b/>
          <w:bCs/>
          <w:color w:val="auto"/>
          <w:sz w:val="24"/>
          <w:szCs w:val="24"/>
          <w:u w:val="single"/>
        </w:rPr>
        <w:t>）采购人基建后勤处在合同签订前须核对所有成交商提供的资质与业绩相关的所有原始材料，不能按采购人基建后勤处通知要求提交或者材料有问题的，取消中标资格。</w:t>
      </w:r>
    </w:p>
    <w:p w14:paraId="1BF06BF6">
      <w:pPr>
        <w:pStyle w:val="3"/>
        <w:adjustRightInd w:val="0"/>
        <w:snapToGrid w:val="0"/>
        <w:spacing w:before="0" w:after="0" w:line="400" w:lineRule="exact"/>
        <w:ind w:firstLine="482" w:firstLineChars="200"/>
        <w:rPr>
          <w:rFonts w:ascii="宋体" w:hAnsi="宋体" w:eastAsia="宋体" w:cs="宋体"/>
          <w:color w:val="auto"/>
          <w:sz w:val="24"/>
        </w:rPr>
      </w:pPr>
      <w:bookmarkStart w:id="176" w:name="_Toc25278"/>
      <w:bookmarkStart w:id="177" w:name="_Toc25893"/>
      <w:r>
        <w:rPr>
          <w:rFonts w:hint="eastAsia" w:ascii="宋体" w:hAnsi="宋体" w:eastAsia="宋体" w:cs="宋体"/>
          <w:color w:val="auto"/>
          <w:sz w:val="24"/>
        </w:rPr>
        <w:t>九、项目验收</w:t>
      </w:r>
      <w:bookmarkEnd w:id="176"/>
      <w:bookmarkEnd w:id="177"/>
    </w:p>
    <w:p w14:paraId="41823541">
      <w:pPr>
        <w:spacing w:line="400" w:lineRule="exact"/>
        <w:ind w:firstLine="480" w:firstLineChars="200"/>
        <w:rPr>
          <w:rFonts w:ascii="宋体" w:hAnsi="宋体" w:cs="宋体"/>
          <w:color w:val="auto"/>
          <w:sz w:val="24"/>
          <w:szCs w:val="24"/>
        </w:rPr>
      </w:pPr>
      <w:r>
        <w:rPr>
          <w:rFonts w:hint="eastAsia" w:ascii="宋体" w:hAnsi="宋体" w:cs="宋体"/>
          <w:color w:val="auto"/>
          <w:sz w:val="24"/>
        </w:rPr>
        <w:t>合同执行完毕，采购人或采购代理机构原则上应在7个工作日内组织履约情况验收，不得无故拖延或附加额外条件。</w:t>
      </w:r>
      <w:bookmarkEnd w:id="149"/>
      <w:bookmarkEnd w:id="150"/>
      <w:bookmarkEnd w:id="151"/>
      <w:bookmarkStart w:id="178" w:name="_Toc11641055"/>
      <w:bookmarkStart w:id="179" w:name="_Toc12789059"/>
    </w:p>
    <w:p w14:paraId="0FFD01DA">
      <w:pPr>
        <w:pStyle w:val="3"/>
        <w:spacing w:before="0" w:after="0" w:line="360" w:lineRule="auto"/>
        <w:jc w:val="center"/>
        <w:rPr>
          <w:rFonts w:ascii="宋体" w:hAnsi="宋体" w:cs="宋体"/>
          <w:b/>
          <w:color w:val="auto"/>
          <w:sz w:val="36"/>
          <w:szCs w:val="30"/>
        </w:rPr>
      </w:pPr>
      <w:r>
        <w:rPr>
          <w:rFonts w:hint="eastAsia" w:ascii="宋体" w:hAnsi="宋体" w:cs="宋体"/>
          <w:color w:val="auto"/>
          <w:sz w:val="36"/>
          <w:szCs w:val="30"/>
        </w:rPr>
        <w:br w:type="page"/>
      </w:r>
      <w:bookmarkEnd w:id="178"/>
      <w:bookmarkEnd w:id="179"/>
      <w:bookmarkStart w:id="180" w:name="_Toc10200"/>
      <w:r>
        <w:rPr>
          <w:rFonts w:hint="eastAsia" w:ascii="宋体" w:hAnsi="宋体" w:eastAsia="宋体" w:cs="宋体"/>
          <w:b w:val="0"/>
          <w:color w:val="auto"/>
          <w:sz w:val="36"/>
          <w:szCs w:val="30"/>
          <w:lang w:val="en-US" w:eastAsia="zh-CN"/>
        </w:rPr>
        <w:t xml:space="preserve">第六篇  </w:t>
      </w:r>
      <w:r>
        <w:rPr>
          <w:rFonts w:hint="eastAsia" w:ascii="宋体" w:hAnsi="宋体" w:eastAsia="宋体" w:cs="宋体"/>
          <w:b w:val="0"/>
          <w:color w:val="auto"/>
          <w:sz w:val="36"/>
          <w:szCs w:val="30"/>
        </w:rPr>
        <w:t>采购合同</w:t>
      </w:r>
      <w:bookmarkEnd w:id="180"/>
    </w:p>
    <w:p w14:paraId="4FD74C61">
      <w:pPr>
        <w:pStyle w:val="256"/>
        <w:spacing w:before="156"/>
        <w:ind w:left="0" w:leftChars="0" w:firstLine="0" w:firstLineChars="0"/>
        <w:jc w:val="center"/>
        <w:rPr>
          <w:rFonts w:hint="eastAsia" w:ascii="方正公文小标宋" w:hAnsi="方正公文小标宋" w:eastAsia="方正公文小标宋" w:cs="方正公文小标宋"/>
          <w:color w:val="auto"/>
          <w:sz w:val="44"/>
          <w:szCs w:val="44"/>
        </w:rPr>
      </w:pPr>
      <w:bookmarkStart w:id="181" w:name="_Toc22149"/>
      <w:r>
        <w:rPr>
          <w:rFonts w:hint="eastAsia" w:ascii="方正公文小标宋" w:hAnsi="方正公文小标宋" w:eastAsia="方正公文小标宋" w:cs="方正公文小标宋"/>
          <w:color w:val="auto"/>
          <w:sz w:val="44"/>
          <w:szCs w:val="44"/>
        </w:rPr>
        <w:t>重庆文理学院学生食堂委托经营合同</w:t>
      </w:r>
      <w:bookmarkEnd w:id="181"/>
    </w:p>
    <w:p w14:paraId="278ABC4C">
      <w:pPr>
        <w:snapToGrid w:val="0"/>
        <w:spacing w:line="400" w:lineRule="exact"/>
        <w:ind w:firstLine="480" w:firstLineChars="200"/>
        <w:jc w:val="center"/>
        <w:rPr>
          <w:rFonts w:hint="eastAsia" w:ascii="宋体" w:hAnsi="宋体"/>
          <w:color w:val="auto"/>
          <w:sz w:val="24"/>
          <w:szCs w:val="24"/>
        </w:rPr>
      </w:pPr>
      <w:r>
        <w:rPr>
          <w:rFonts w:hint="eastAsia" w:ascii="宋体" w:hAnsi="宋体"/>
          <w:color w:val="auto"/>
          <w:sz w:val="24"/>
          <w:szCs w:val="24"/>
          <w:lang w:val="en-US" w:eastAsia="zh-CN"/>
        </w:rPr>
        <w:t xml:space="preserve">                                       </w:t>
      </w:r>
      <w:r>
        <w:rPr>
          <w:rFonts w:hint="eastAsia" w:ascii="宋体" w:hAnsi="宋体"/>
          <w:color w:val="auto"/>
          <w:sz w:val="24"/>
          <w:szCs w:val="24"/>
        </w:rPr>
        <w:t>合同编号：</w:t>
      </w:r>
    </w:p>
    <w:p w14:paraId="3A473F9A">
      <w:pPr>
        <w:pStyle w:val="256"/>
        <w:spacing w:before="156"/>
        <w:ind w:firstLine="640"/>
        <w:jc w:val="center"/>
        <w:rPr>
          <w:rFonts w:hint="eastAsia" w:eastAsia="宋体"/>
          <w:color w:val="auto"/>
          <w:sz w:val="21"/>
          <w:szCs w:val="21"/>
          <w:lang w:eastAsia="zh-CN"/>
        </w:rPr>
      </w:pPr>
      <w:r>
        <w:rPr>
          <w:rFonts w:hint="eastAsia"/>
          <w:color w:val="auto"/>
          <w:sz w:val="21"/>
          <w:szCs w:val="21"/>
          <w:lang w:eastAsia="zh-CN"/>
        </w:rPr>
        <w:t>（</w:t>
      </w:r>
      <w:r>
        <w:rPr>
          <w:rFonts w:hint="eastAsia"/>
          <w:color w:val="auto"/>
          <w:sz w:val="21"/>
          <w:szCs w:val="21"/>
          <w:lang w:val="en-US" w:eastAsia="zh-CN"/>
        </w:rPr>
        <w:t>以下标有下划线部分在签订正式合同时根据招标文件要求和各包实际情况作增减</w:t>
      </w:r>
      <w:r>
        <w:rPr>
          <w:rFonts w:hint="eastAsia"/>
          <w:color w:val="auto"/>
          <w:sz w:val="21"/>
          <w:szCs w:val="21"/>
          <w:lang w:eastAsia="zh-CN"/>
        </w:rPr>
        <w:t>）</w:t>
      </w:r>
    </w:p>
    <w:p w14:paraId="752D124C">
      <w:pPr>
        <w:snapToGrid w:val="0"/>
        <w:spacing w:line="400" w:lineRule="exact"/>
        <w:ind w:firstLine="480" w:firstLineChars="200"/>
        <w:rPr>
          <w:rFonts w:hint="eastAsia" w:ascii="宋体" w:hAnsi="宋体"/>
          <w:color w:val="auto"/>
          <w:sz w:val="24"/>
          <w:szCs w:val="24"/>
        </w:rPr>
      </w:pPr>
      <w:r>
        <w:rPr>
          <w:rFonts w:hint="eastAsia" w:ascii="宋体" w:hAnsi="宋体"/>
          <w:color w:val="auto"/>
          <w:sz w:val="24"/>
          <w:szCs w:val="24"/>
        </w:rPr>
        <w:t xml:space="preserve">                                          </w:t>
      </w:r>
    </w:p>
    <w:p w14:paraId="33686924">
      <w:pPr>
        <w:keepNext w:val="0"/>
        <w:keepLines w:val="0"/>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甲方：重庆文理学院</w:t>
      </w:r>
    </w:p>
    <w:p w14:paraId="4B75618F">
      <w:pPr>
        <w:keepNext w:val="0"/>
        <w:keepLines w:val="0"/>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华文仿宋" w:hAnsi="华文仿宋" w:eastAsia="华文仿宋" w:cs="华文仿宋"/>
          <w:color w:val="auto"/>
          <w:sz w:val="28"/>
          <w:szCs w:val="28"/>
          <w:lang w:eastAsia="zh-CN"/>
        </w:rPr>
      </w:pPr>
      <w:r>
        <w:rPr>
          <w:rFonts w:hint="eastAsia" w:ascii="华文仿宋" w:hAnsi="华文仿宋" w:eastAsia="华文仿宋" w:cs="华文仿宋"/>
          <w:color w:val="auto"/>
          <w:sz w:val="28"/>
          <w:szCs w:val="28"/>
        </w:rPr>
        <w:t>乙方：</w:t>
      </w:r>
    </w:p>
    <w:p w14:paraId="78FF27FB">
      <w:pPr>
        <w:keepNext w:val="0"/>
        <w:keepLines w:val="0"/>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甲、乙双方根据《中华人民共和国民典法》及有关法律法规规定，就重庆文理学</w:t>
      </w:r>
      <w:r>
        <w:rPr>
          <w:rFonts w:hint="eastAsia" w:ascii="华文仿宋" w:hAnsi="华文仿宋" w:eastAsia="华文仿宋" w:cs="华文仿宋"/>
          <w:color w:val="auto"/>
          <w:sz w:val="28"/>
          <w:szCs w:val="28"/>
          <w:lang w:val="en-US" w:eastAsia="zh-CN"/>
        </w:rPr>
        <w:t>院</w:t>
      </w:r>
      <w:r>
        <w:rPr>
          <w:rFonts w:hint="eastAsia" w:ascii="华文仿宋" w:hAnsi="华文仿宋" w:eastAsia="华文仿宋" w:cs="华文仿宋"/>
          <w:color w:val="auto"/>
          <w:sz w:val="28"/>
          <w:szCs w:val="28"/>
          <w:highlight w:val="none"/>
          <w:u w:val="single"/>
          <w:lang w:val="en-US" w:eastAsia="zh-CN"/>
        </w:rPr>
        <w:t xml:space="preserve">                 </w:t>
      </w:r>
      <w:r>
        <w:rPr>
          <w:rFonts w:hint="eastAsia" w:ascii="华文仿宋" w:hAnsi="华文仿宋" w:eastAsia="华文仿宋" w:cs="华文仿宋"/>
          <w:color w:val="auto"/>
          <w:sz w:val="28"/>
          <w:szCs w:val="28"/>
          <w:highlight w:val="none"/>
          <w:u w:val="single"/>
        </w:rPr>
        <w:t>食堂委托经营</w:t>
      </w:r>
      <w:r>
        <w:rPr>
          <w:rFonts w:hint="eastAsia" w:ascii="华文仿宋" w:hAnsi="华文仿宋" w:eastAsia="华文仿宋" w:cs="华文仿宋"/>
          <w:color w:val="auto"/>
          <w:sz w:val="28"/>
          <w:szCs w:val="28"/>
        </w:rPr>
        <w:t>管理的有关事宜达成如下合同并共同遵守。</w:t>
      </w:r>
    </w:p>
    <w:p w14:paraId="2646515B">
      <w:pPr>
        <w:keepNext w:val="0"/>
        <w:keepLines w:val="0"/>
        <w:pageBreakBefore w:val="0"/>
        <w:widowControl w:val="0"/>
        <w:kinsoku/>
        <w:wordWrap/>
        <w:overflowPunct/>
        <w:topLinePunct w:val="0"/>
        <w:autoSpaceDE/>
        <w:autoSpaceDN/>
        <w:bidi w:val="0"/>
        <w:adjustRightInd/>
        <w:snapToGrid w:val="0"/>
        <w:spacing w:line="480" w:lineRule="exact"/>
        <w:ind w:firstLine="561" w:firstLineChars="200"/>
        <w:jc w:val="center"/>
        <w:textAlignment w:val="auto"/>
        <w:rPr>
          <w:rFonts w:hint="eastAsia" w:ascii="华文仿宋" w:hAnsi="华文仿宋" w:eastAsia="华文仿宋" w:cs="华文仿宋"/>
          <w:b/>
          <w:color w:val="auto"/>
          <w:sz w:val="28"/>
          <w:szCs w:val="28"/>
        </w:rPr>
      </w:pPr>
      <w:r>
        <w:rPr>
          <w:rFonts w:hint="eastAsia" w:ascii="华文仿宋" w:hAnsi="华文仿宋" w:eastAsia="华文仿宋" w:cs="华文仿宋"/>
          <w:b/>
          <w:color w:val="auto"/>
          <w:sz w:val="28"/>
          <w:szCs w:val="28"/>
        </w:rPr>
        <w:t>第一部分 基本内容</w:t>
      </w:r>
    </w:p>
    <w:p w14:paraId="486E943F">
      <w:pPr>
        <w:keepNext w:val="0"/>
        <w:keepLines w:val="0"/>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第一条 委托经营地点：</w:t>
      </w:r>
      <w:r>
        <w:rPr>
          <w:rFonts w:hint="eastAsia" w:ascii="华文仿宋" w:hAnsi="华文仿宋" w:eastAsia="华文仿宋" w:cs="华文仿宋"/>
          <w:color w:val="auto"/>
          <w:sz w:val="28"/>
          <w:szCs w:val="28"/>
          <w:u w:val="single"/>
        </w:rPr>
        <w:t xml:space="preserve">                  </w:t>
      </w:r>
      <w:r>
        <w:rPr>
          <w:rFonts w:hint="eastAsia" w:ascii="华文仿宋" w:hAnsi="华文仿宋" w:eastAsia="华文仿宋" w:cs="华文仿宋"/>
          <w:color w:val="auto"/>
          <w:sz w:val="28"/>
          <w:szCs w:val="28"/>
        </w:rPr>
        <w:t>区域共计</w:t>
      </w:r>
      <w:r>
        <w:rPr>
          <w:rFonts w:hint="eastAsia" w:ascii="华文仿宋" w:hAnsi="华文仿宋" w:eastAsia="华文仿宋" w:cs="华文仿宋"/>
          <w:color w:val="auto"/>
          <w:sz w:val="28"/>
          <w:szCs w:val="28"/>
          <w:u w:val="single"/>
        </w:rPr>
        <w:t xml:space="preserve">       </w:t>
      </w:r>
      <w:r>
        <w:rPr>
          <w:rFonts w:hint="eastAsia" w:ascii="华文仿宋" w:hAnsi="华文仿宋" w:eastAsia="华文仿宋" w:cs="华文仿宋"/>
          <w:color w:val="auto"/>
          <w:sz w:val="28"/>
          <w:szCs w:val="28"/>
        </w:rPr>
        <w:t>平米（以甲方指定的经营区域及面积为准）。</w:t>
      </w:r>
    </w:p>
    <w:p w14:paraId="447FB72A">
      <w:pPr>
        <w:keepNext w:val="0"/>
        <w:keepLines w:val="0"/>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 xml:space="preserve">第二条 </w:t>
      </w:r>
      <w:r>
        <w:rPr>
          <w:rFonts w:hint="eastAsia" w:ascii="华文仿宋" w:hAnsi="华文仿宋" w:eastAsia="华文仿宋" w:cs="华文仿宋"/>
          <w:bCs/>
          <w:color w:val="auto"/>
          <w:sz w:val="28"/>
          <w:szCs w:val="28"/>
        </w:rPr>
        <w:t>合同期限： 2025年</w:t>
      </w:r>
      <w:r>
        <w:rPr>
          <w:rFonts w:hint="eastAsia" w:ascii="华文仿宋" w:hAnsi="华文仿宋" w:eastAsia="华文仿宋" w:cs="华文仿宋"/>
          <w:bCs/>
          <w:color w:val="auto"/>
          <w:sz w:val="28"/>
          <w:szCs w:val="28"/>
          <w:u w:val="single"/>
        </w:rPr>
        <w:t xml:space="preserve">      </w:t>
      </w:r>
      <w:r>
        <w:rPr>
          <w:rFonts w:hint="eastAsia" w:ascii="华文仿宋" w:hAnsi="华文仿宋" w:eastAsia="华文仿宋" w:cs="华文仿宋"/>
          <w:bCs/>
          <w:color w:val="auto"/>
          <w:sz w:val="28"/>
          <w:szCs w:val="28"/>
        </w:rPr>
        <w:t xml:space="preserve"> 月</w:t>
      </w:r>
      <w:r>
        <w:rPr>
          <w:rFonts w:hint="eastAsia" w:ascii="华文仿宋" w:hAnsi="华文仿宋" w:eastAsia="华文仿宋" w:cs="华文仿宋"/>
          <w:bCs/>
          <w:color w:val="auto"/>
          <w:sz w:val="28"/>
          <w:szCs w:val="28"/>
          <w:u w:val="single"/>
        </w:rPr>
        <w:t xml:space="preserve">    </w:t>
      </w:r>
      <w:r>
        <w:rPr>
          <w:rFonts w:hint="eastAsia" w:ascii="华文仿宋" w:hAnsi="华文仿宋" w:eastAsia="华文仿宋" w:cs="华文仿宋"/>
          <w:bCs/>
          <w:color w:val="auto"/>
          <w:sz w:val="28"/>
          <w:szCs w:val="28"/>
        </w:rPr>
        <w:t>日至</w:t>
      </w:r>
      <w:r>
        <w:rPr>
          <w:rFonts w:hint="eastAsia" w:ascii="华文仿宋" w:hAnsi="华文仿宋" w:eastAsia="华文仿宋" w:cs="华文仿宋"/>
          <w:color w:val="auto"/>
          <w:sz w:val="28"/>
          <w:szCs w:val="28"/>
        </w:rPr>
        <w:t>2030年7月10日截止；</w:t>
      </w:r>
    </w:p>
    <w:p w14:paraId="07AFA283">
      <w:pPr>
        <w:keepNext w:val="0"/>
        <w:keepLines w:val="0"/>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第三条</w:t>
      </w:r>
      <w:bookmarkStart w:id="182" w:name="_Toc26838"/>
      <w:bookmarkStart w:id="183" w:name="_Toc26433"/>
      <w:r>
        <w:rPr>
          <w:rFonts w:hint="eastAsia" w:ascii="华文仿宋" w:hAnsi="华文仿宋" w:eastAsia="华文仿宋" w:cs="华文仿宋"/>
          <w:color w:val="auto"/>
          <w:sz w:val="28"/>
          <w:szCs w:val="28"/>
        </w:rPr>
        <w:t xml:space="preserve">  </w:t>
      </w:r>
      <w:r>
        <w:rPr>
          <w:rFonts w:hint="eastAsia" w:ascii="华文仿宋" w:hAnsi="华文仿宋" w:eastAsia="华文仿宋" w:cs="华文仿宋"/>
          <w:bCs/>
          <w:color w:val="auto"/>
          <w:sz w:val="28"/>
          <w:szCs w:val="28"/>
        </w:rPr>
        <w:t>经营范围和项目</w:t>
      </w:r>
      <w:bookmarkEnd w:id="182"/>
      <w:bookmarkEnd w:id="183"/>
    </w:p>
    <w:p w14:paraId="4BC56B95">
      <w:pPr>
        <w:keepNext w:val="0"/>
        <w:keepLines w:val="0"/>
        <w:pageBreakBefore w:val="0"/>
        <w:widowControl w:val="0"/>
        <w:kinsoku/>
        <w:wordWrap/>
        <w:overflowPunct/>
        <w:topLinePunct w:val="0"/>
        <w:autoSpaceDE/>
        <w:autoSpaceDN/>
        <w:bidi w:val="0"/>
        <w:adjustRightInd/>
        <w:spacing w:line="480" w:lineRule="exact"/>
        <w:ind w:firstLine="560" w:firstLineChars="20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基本大伙保障型食堂，为师生提供保障用餐。</w:t>
      </w:r>
    </w:p>
    <w:p w14:paraId="3D8081B7">
      <w:pPr>
        <w:keepNext w:val="0"/>
        <w:keepLines w:val="0"/>
        <w:pageBreakBefore w:val="0"/>
        <w:widowControl w:val="0"/>
        <w:kinsoku/>
        <w:wordWrap/>
        <w:overflowPunct/>
        <w:topLinePunct w:val="0"/>
        <w:autoSpaceDE/>
        <w:autoSpaceDN/>
        <w:bidi w:val="0"/>
        <w:adjustRightInd/>
        <w:spacing w:line="480" w:lineRule="exact"/>
        <w:ind w:firstLine="560" w:firstLineChars="20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主营：</w:t>
      </w:r>
      <w:r>
        <w:rPr>
          <w:rFonts w:hint="eastAsia" w:ascii="华文仿宋" w:hAnsi="华文仿宋" w:eastAsia="华文仿宋" w:cs="华文仿宋"/>
          <w:color w:val="auto"/>
          <w:sz w:val="28"/>
          <w:szCs w:val="28"/>
          <w:u w:val="single"/>
        </w:rPr>
        <w:t xml:space="preserve">                        (招标文件中规定的范围)。</w:t>
      </w:r>
    </w:p>
    <w:p w14:paraId="1B6E27EE">
      <w:pPr>
        <w:keepNext w:val="0"/>
        <w:keepLines w:val="0"/>
        <w:pageBreakBefore w:val="0"/>
        <w:widowControl w:val="0"/>
        <w:kinsoku/>
        <w:wordWrap/>
        <w:overflowPunct/>
        <w:topLinePunct w:val="0"/>
        <w:autoSpaceDE/>
        <w:autoSpaceDN/>
        <w:bidi w:val="0"/>
        <w:adjustRightInd/>
        <w:spacing w:line="480" w:lineRule="exact"/>
        <w:ind w:firstLine="560" w:firstLineChars="200"/>
        <w:jc w:val="left"/>
        <w:textAlignment w:val="auto"/>
        <w:rPr>
          <w:rFonts w:hint="eastAsia" w:ascii="华文仿宋" w:hAnsi="华文仿宋" w:eastAsia="华文仿宋" w:cs="华文仿宋"/>
          <w:color w:val="auto"/>
          <w:sz w:val="28"/>
          <w:szCs w:val="28"/>
          <w:u w:val="single"/>
        </w:rPr>
      </w:pPr>
      <w:r>
        <w:rPr>
          <w:rFonts w:hint="eastAsia" w:ascii="华文仿宋" w:hAnsi="华文仿宋" w:eastAsia="华文仿宋" w:cs="华文仿宋"/>
          <w:color w:val="auto"/>
          <w:sz w:val="28"/>
          <w:szCs w:val="28"/>
          <w:u w:val="none"/>
        </w:rPr>
        <w:t>乙方不得在食堂内使用、销售预制菜。饭菜价格，使用实行审核备案制，严禁随意涨价、调价。乙方不得超经营范围经营，不得经营酒类项目以及污染环境类的餐饮项目，不得经营百货、预包装食品（饮料除外）。</w:t>
      </w:r>
    </w:p>
    <w:p w14:paraId="2A5FE6AD">
      <w:pPr>
        <w:keepNext w:val="0"/>
        <w:keepLines w:val="0"/>
        <w:pageBreakBefore w:val="0"/>
        <w:widowControl w:val="0"/>
        <w:kinsoku/>
        <w:wordWrap/>
        <w:overflowPunct/>
        <w:topLinePunct w:val="0"/>
        <w:autoSpaceDE/>
        <w:autoSpaceDN/>
        <w:bidi w:val="0"/>
        <w:adjustRightInd/>
        <w:spacing w:line="480" w:lineRule="exact"/>
        <w:ind w:firstLine="560" w:firstLineChars="20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第四条 履约保证金</w:t>
      </w:r>
    </w:p>
    <w:p w14:paraId="79EF50E8">
      <w:pPr>
        <w:keepNext w:val="0"/>
        <w:keepLines w:val="0"/>
        <w:pageBreakBefore w:val="0"/>
        <w:widowControl w:val="0"/>
        <w:kinsoku/>
        <w:wordWrap/>
        <w:overflowPunct/>
        <w:topLinePunct w:val="0"/>
        <w:autoSpaceDE/>
        <w:autoSpaceDN/>
        <w:bidi w:val="0"/>
        <w:adjustRightInd/>
        <w:spacing w:line="480" w:lineRule="exact"/>
        <w:ind w:firstLine="560" w:firstLineChars="20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本项目履约保证金金额：100万元人民币。</w:t>
      </w:r>
    </w:p>
    <w:p w14:paraId="39C1F1E6">
      <w:pPr>
        <w:keepNext w:val="0"/>
        <w:keepLines w:val="0"/>
        <w:pageBreakBefore w:val="0"/>
        <w:widowControl w:val="0"/>
        <w:kinsoku/>
        <w:wordWrap/>
        <w:overflowPunct/>
        <w:topLinePunct w:val="0"/>
        <w:autoSpaceDE/>
        <w:autoSpaceDN/>
        <w:bidi w:val="0"/>
        <w:adjustRightInd/>
        <w:spacing w:line="480" w:lineRule="exact"/>
        <w:ind w:firstLine="560" w:firstLineChars="20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在合同签订前必须向甲方缴纳。服务期内如有扣减，乙方必须随时补足履约保证金。合同服务期满结束后，乙方应保证房屋及设施设备、装修等完好，经营区内无生活垃圾、建筑垃圾和其它废弃物，乙方履行完合同义务且无遗留问题(如劳资纠纷、供货纠纷等)，经甲方验收合格并办理完书面移交手续后，甲方10日内无息退还履约保证金。</w:t>
      </w:r>
    </w:p>
    <w:p w14:paraId="23B7A712">
      <w:pPr>
        <w:keepNext w:val="0"/>
        <w:keepLines w:val="0"/>
        <w:pageBreakBefore w:val="0"/>
        <w:widowControl w:val="0"/>
        <w:kinsoku/>
        <w:wordWrap/>
        <w:overflowPunct/>
        <w:topLinePunct w:val="0"/>
        <w:autoSpaceDE/>
        <w:autoSpaceDN/>
        <w:bidi w:val="0"/>
        <w:adjustRightInd/>
        <w:spacing w:line="480" w:lineRule="exact"/>
        <w:ind w:firstLine="560" w:firstLineChars="20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lang w:val="en-US" w:eastAsia="zh-CN"/>
        </w:rPr>
        <w:t>环境改善</w:t>
      </w:r>
      <w:r>
        <w:rPr>
          <w:rFonts w:hint="eastAsia" w:ascii="华文仿宋" w:hAnsi="华文仿宋" w:eastAsia="华文仿宋" w:cs="华文仿宋"/>
          <w:color w:val="auto"/>
          <w:sz w:val="28"/>
          <w:szCs w:val="28"/>
        </w:rPr>
        <w:t>保证金：10万元人民币。</w:t>
      </w:r>
    </w:p>
    <w:p w14:paraId="62764CD6">
      <w:pPr>
        <w:keepNext w:val="0"/>
        <w:keepLines w:val="0"/>
        <w:pageBreakBefore w:val="0"/>
        <w:widowControl w:val="0"/>
        <w:kinsoku/>
        <w:wordWrap/>
        <w:overflowPunct/>
        <w:topLinePunct w:val="0"/>
        <w:autoSpaceDE/>
        <w:autoSpaceDN/>
        <w:bidi w:val="0"/>
        <w:adjustRightInd/>
        <w:spacing w:line="480" w:lineRule="exact"/>
        <w:ind w:firstLine="560" w:firstLineChars="20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乙方在结果公告起5个工作日内向甲方缴纳10万元的环境</w:t>
      </w:r>
      <w:r>
        <w:rPr>
          <w:rFonts w:hint="eastAsia" w:ascii="华文仿宋" w:hAnsi="华文仿宋" w:eastAsia="华文仿宋" w:cs="华文仿宋"/>
          <w:color w:val="auto"/>
          <w:sz w:val="28"/>
          <w:szCs w:val="28"/>
          <w:lang w:val="en-US" w:eastAsia="zh-CN"/>
        </w:rPr>
        <w:t>改善</w:t>
      </w:r>
      <w:r>
        <w:rPr>
          <w:rFonts w:hint="eastAsia" w:ascii="华文仿宋" w:hAnsi="华文仿宋" w:eastAsia="华文仿宋" w:cs="华文仿宋"/>
          <w:color w:val="auto"/>
          <w:sz w:val="28"/>
          <w:szCs w:val="28"/>
        </w:rPr>
        <w:t>保证金，以确保环境</w:t>
      </w:r>
      <w:r>
        <w:rPr>
          <w:rFonts w:hint="eastAsia" w:ascii="华文仿宋" w:hAnsi="华文仿宋" w:eastAsia="华文仿宋" w:cs="华文仿宋"/>
          <w:color w:val="auto"/>
          <w:sz w:val="28"/>
          <w:szCs w:val="28"/>
          <w:lang w:val="en-US" w:eastAsia="zh-CN"/>
        </w:rPr>
        <w:t>改善、数智食堂建设、消防改造、设备设施购置等</w:t>
      </w:r>
      <w:r>
        <w:rPr>
          <w:rFonts w:hint="eastAsia" w:ascii="华文仿宋" w:hAnsi="华文仿宋" w:eastAsia="华文仿宋" w:cs="华文仿宋"/>
          <w:color w:val="auto"/>
          <w:sz w:val="28"/>
          <w:szCs w:val="28"/>
        </w:rPr>
        <w:t>按期、按质进行，验收合格后无息退还。</w:t>
      </w:r>
    </w:p>
    <w:p w14:paraId="3EB14506">
      <w:pPr>
        <w:keepNext w:val="0"/>
        <w:keepLines w:val="0"/>
        <w:pageBreakBefore w:val="0"/>
        <w:widowControl w:val="0"/>
        <w:kinsoku/>
        <w:wordWrap/>
        <w:overflowPunct/>
        <w:topLinePunct w:val="0"/>
        <w:autoSpaceDE/>
        <w:autoSpaceDN/>
        <w:bidi w:val="0"/>
        <w:adjustRightInd/>
        <w:spacing w:line="480" w:lineRule="exact"/>
        <w:ind w:firstLine="560" w:firstLineChars="20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第</w:t>
      </w:r>
      <w:r>
        <w:rPr>
          <w:rFonts w:hint="eastAsia" w:ascii="华文仿宋" w:hAnsi="华文仿宋" w:eastAsia="华文仿宋" w:cs="华文仿宋"/>
          <w:color w:val="auto"/>
          <w:sz w:val="28"/>
          <w:szCs w:val="28"/>
          <w:lang w:val="en-US" w:eastAsia="zh-CN"/>
        </w:rPr>
        <w:t>五</w:t>
      </w:r>
      <w:r>
        <w:rPr>
          <w:rFonts w:hint="eastAsia" w:ascii="华文仿宋" w:hAnsi="华文仿宋" w:eastAsia="华文仿宋" w:cs="华文仿宋"/>
          <w:color w:val="auto"/>
          <w:sz w:val="28"/>
          <w:szCs w:val="28"/>
        </w:rPr>
        <w:t>条</w:t>
      </w:r>
      <w:bookmarkStart w:id="184" w:name="_Toc25600"/>
      <w:r>
        <w:rPr>
          <w:rFonts w:hint="eastAsia" w:ascii="华文仿宋" w:hAnsi="华文仿宋" w:eastAsia="华文仿宋" w:cs="华文仿宋"/>
          <w:color w:val="auto"/>
          <w:sz w:val="28"/>
          <w:szCs w:val="28"/>
        </w:rPr>
        <w:t xml:space="preserve"> 费用结算及支付</w:t>
      </w:r>
      <w:bookmarkEnd w:id="184"/>
    </w:p>
    <w:p w14:paraId="3CB256D7">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1.乙方自行承担建设运营期间所需的水电气费，按甲方所在地物价局水、电、气供给部门所公布的居民收费标准执行，由甲方在乙方营业款中直接扣除。</w:t>
      </w:r>
    </w:p>
    <w:p w14:paraId="1E1774F6">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2.考核费（暂扣）：</w:t>
      </w:r>
      <w:r>
        <w:rPr>
          <w:rFonts w:hint="eastAsia" w:ascii="华文仿宋" w:hAnsi="华文仿宋" w:eastAsia="华文仿宋" w:cs="华文仿宋"/>
          <w:color w:val="auto"/>
          <w:sz w:val="28"/>
          <w:szCs w:val="28"/>
          <w:u w:val="single"/>
        </w:rPr>
        <w:t>按乙方的中标报价</w:t>
      </w:r>
      <w:r>
        <w:rPr>
          <w:rFonts w:hint="eastAsia" w:ascii="华文仿宋" w:hAnsi="华文仿宋" w:eastAsia="华文仿宋" w:cs="华文仿宋"/>
          <w:color w:val="auto"/>
          <w:sz w:val="28"/>
          <w:szCs w:val="28"/>
          <w:u w:val="single"/>
          <w:lang w:eastAsia="zh-CN"/>
        </w:rPr>
        <w:t>：</w:t>
      </w:r>
      <w:r>
        <w:rPr>
          <w:rFonts w:hint="eastAsia" w:ascii="华文仿宋" w:hAnsi="华文仿宋" w:eastAsia="华文仿宋" w:cs="华文仿宋"/>
          <w:color w:val="auto"/>
          <w:sz w:val="28"/>
          <w:szCs w:val="28"/>
          <w:u w:val="single"/>
          <w:lang w:val="en-US" w:eastAsia="zh-CN"/>
        </w:rPr>
        <w:t xml:space="preserve">    </w:t>
      </w:r>
      <w:r>
        <w:rPr>
          <w:rFonts w:hint="eastAsia" w:ascii="华文仿宋" w:hAnsi="华文仿宋" w:eastAsia="华文仿宋" w:cs="华文仿宋"/>
          <w:color w:val="auto"/>
          <w:sz w:val="28"/>
          <w:szCs w:val="28"/>
        </w:rPr>
        <w:t>，甲方在乙方每月的一卡通营业款中扣除。</w:t>
      </w:r>
    </w:p>
    <w:p w14:paraId="21F9246C">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3.乙方应向甲方支付的物业费（含生活垃圾处置费）金额：乙方营业额*7‰。由甲方在乙方一卡通营业款中直接扣除。</w:t>
      </w:r>
    </w:p>
    <w:p w14:paraId="7A09F6D7">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4.乙方应向甲方支付一卡通使用维护费用金额：乙方营业额*3‰。由甲方在乙方一卡通营业款中直接扣除。</w:t>
      </w:r>
    </w:p>
    <w:p w14:paraId="61A367EB">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5.乙方的报价和各种承诺作为与甲方的结算依据，据实结算。</w:t>
      </w:r>
    </w:p>
    <w:p w14:paraId="5B183DC7">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6.乙方的营收款直接进入甲方的财务收费系统，与甲方实施月结制度（应扣除乙方应向甲方支付的水电气费、物业费（含生活垃圾处置费）和其他应支付的费用），乙方申请支付第一次每月营业款前，必须提供有效的施工图（含技术审查报告）、</w:t>
      </w:r>
      <w:bookmarkStart w:id="185" w:name="OLE_LINK20"/>
      <w:r>
        <w:rPr>
          <w:rFonts w:hint="eastAsia" w:ascii="华文仿宋" w:hAnsi="华文仿宋" w:eastAsia="华文仿宋" w:cs="华文仿宋"/>
          <w:color w:val="auto"/>
          <w:sz w:val="28"/>
          <w:szCs w:val="28"/>
        </w:rPr>
        <w:t>消防安全验收监测报告</w:t>
      </w:r>
      <w:bookmarkEnd w:id="185"/>
      <w:r>
        <w:rPr>
          <w:rFonts w:hint="eastAsia" w:ascii="华文仿宋" w:hAnsi="华文仿宋" w:eastAsia="华文仿宋" w:cs="华文仿宋"/>
          <w:color w:val="auto"/>
          <w:sz w:val="28"/>
          <w:szCs w:val="28"/>
        </w:rPr>
        <w:t>、营业所需的所有有效手续、装修结算审核报告、验收报告（含人员配备及资质情况、现场改造情况、视频监控情况等本采购文件要求达到的内容）及甲方每月营业款支付前乙方应支付的员工工资、保险、供货商货款和其他合作商款项等支付证明，（</w:t>
      </w:r>
      <w:r>
        <w:rPr>
          <w:rFonts w:hint="eastAsia" w:ascii="华文仿宋" w:hAnsi="华文仿宋" w:eastAsia="华文仿宋" w:cs="华文仿宋"/>
          <w:color w:val="auto"/>
          <w:sz w:val="28"/>
          <w:szCs w:val="28"/>
          <w:u w:val="single"/>
        </w:rPr>
        <w:t>包4的乙方还须提供大厅（隔层）和屋顶现有的钢架结构的专业性安全监测报告</w:t>
      </w:r>
      <w:r>
        <w:rPr>
          <w:rFonts w:hint="eastAsia" w:ascii="华文仿宋" w:hAnsi="华文仿宋" w:eastAsia="华文仿宋" w:cs="华文仿宋"/>
          <w:color w:val="auto"/>
          <w:sz w:val="28"/>
          <w:szCs w:val="28"/>
        </w:rPr>
        <w:t>）</w:t>
      </w:r>
      <w:r>
        <w:rPr>
          <w:rFonts w:hint="eastAsia" w:ascii="华文仿宋" w:hAnsi="华文仿宋" w:eastAsia="华文仿宋" w:cs="华文仿宋"/>
          <w:color w:val="auto"/>
          <w:sz w:val="28"/>
          <w:szCs w:val="28"/>
        </w:rPr>
        <w:t>，最后一次的营业款支付前除应提交员工工资、保险，供货商货款和其他合作商款项等支付证明外，还应在甲方</w:t>
      </w:r>
      <w:r>
        <w:rPr>
          <w:rFonts w:hint="eastAsia" w:ascii="华文仿宋" w:hAnsi="华文仿宋" w:eastAsia="华文仿宋" w:cs="华文仿宋"/>
          <w:color w:val="auto"/>
          <w:sz w:val="28"/>
          <w:szCs w:val="28"/>
        </w:rPr>
        <w:t>和乙方办理完书面移交手续后10日内支付。</w:t>
      </w:r>
    </w:p>
    <w:p w14:paraId="3C682118">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7.乙方当月的营业收入和其他相关费用结算。在下月初经乙方与甲方财务等相关部门核对无误后，甲方按照其内部管理程序完成审批，学校财务部门按乙方营业收入扣除乙方应支付的费用的净额，由乙方开具票据后，甲方划转到乙方账户。如营业额不足以扣除取相应费用，乙方应及时自行到学校财务部门缴纳。</w:t>
      </w:r>
    </w:p>
    <w:p w14:paraId="080C6D31">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8.甲方如发现乙方每月营业款支付前有应支未支的员工工资、保险、供货商货款和其他合作商款项的，发现一次，给予严重警告并补齐相关支付款项再发放营业款。情节严重者，甲方有权终止合同并扣发全部履约保证金。</w:t>
      </w:r>
    </w:p>
    <w:p w14:paraId="64054041">
      <w:pPr>
        <w:keepNext w:val="0"/>
        <w:keepLines w:val="0"/>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9.乙方自行申办高校服务的免税事宜，营业款涉及税务等有关责任由乙方自行承担。</w:t>
      </w:r>
    </w:p>
    <w:p w14:paraId="6F976938">
      <w:pPr>
        <w:keepNext w:val="0"/>
        <w:keepLines w:val="0"/>
        <w:pageBreakBefore w:val="0"/>
        <w:widowControl w:val="0"/>
        <w:kinsoku/>
        <w:wordWrap/>
        <w:overflowPunct/>
        <w:topLinePunct w:val="0"/>
        <w:autoSpaceDE/>
        <w:autoSpaceDN/>
        <w:bidi w:val="0"/>
        <w:adjustRightInd/>
        <w:snapToGrid w:val="0"/>
        <w:spacing w:line="480" w:lineRule="exact"/>
        <w:ind w:firstLine="561" w:firstLineChars="200"/>
        <w:jc w:val="center"/>
        <w:textAlignment w:val="auto"/>
        <w:rPr>
          <w:rFonts w:hint="eastAsia" w:ascii="华文仿宋" w:hAnsi="华文仿宋" w:eastAsia="华文仿宋" w:cs="华文仿宋"/>
          <w:b/>
          <w:color w:val="auto"/>
          <w:sz w:val="28"/>
          <w:szCs w:val="28"/>
          <w:lang w:val="en-US" w:eastAsia="zh-CN"/>
        </w:rPr>
      </w:pPr>
      <w:r>
        <w:rPr>
          <w:rFonts w:hint="eastAsia" w:ascii="华文仿宋" w:hAnsi="华文仿宋" w:eastAsia="华文仿宋" w:cs="华文仿宋"/>
          <w:b/>
          <w:color w:val="auto"/>
          <w:sz w:val="28"/>
          <w:szCs w:val="28"/>
          <w:lang w:val="en-US" w:eastAsia="zh-CN"/>
        </w:rPr>
        <w:t>第二部分 环境改造要求</w:t>
      </w:r>
    </w:p>
    <w:p w14:paraId="30A14E46">
      <w:pPr>
        <w:keepNext w:val="0"/>
        <w:keepLines w:val="0"/>
        <w:pageBreakBefore w:val="0"/>
        <w:widowControl w:val="0"/>
        <w:tabs>
          <w:tab w:val="left" w:pos="3200"/>
        </w:tabs>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第</w:t>
      </w:r>
      <w:r>
        <w:rPr>
          <w:rFonts w:hint="eastAsia" w:ascii="华文仿宋" w:hAnsi="华文仿宋" w:eastAsia="华文仿宋" w:cs="华文仿宋"/>
          <w:color w:val="auto"/>
          <w:sz w:val="28"/>
          <w:szCs w:val="28"/>
          <w:lang w:val="en-US" w:eastAsia="zh-CN"/>
        </w:rPr>
        <w:t>六</w:t>
      </w:r>
      <w:r>
        <w:rPr>
          <w:rFonts w:hint="eastAsia" w:ascii="华文仿宋" w:hAnsi="华文仿宋" w:eastAsia="华文仿宋" w:cs="华文仿宋"/>
          <w:color w:val="auto"/>
          <w:sz w:val="28"/>
          <w:szCs w:val="28"/>
        </w:rPr>
        <w:t>条  环境改造要求</w:t>
      </w:r>
    </w:p>
    <w:p w14:paraId="4F0D2439">
      <w:pPr>
        <w:keepNext w:val="0"/>
        <w:keepLines w:val="0"/>
        <w:pageBreakBefore w:val="0"/>
        <w:widowControl w:val="0"/>
        <w:tabs>
          <w:tab w:val="left" w:pos="3200"/>
        </w:tabs>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食堂整体的装修改造严格按国家市场监督管理总局最新发布的《餐饮服务食品安全操作规范》内容进行规范化改造。食堂改造后就餐区和后厨面积比原则上保持1：1，后厨需按照4D及以上厨房标准设计，根据后厨设计提供相应的4D及以上厨房（即：整理到位、责任到位、培训到位、执行到位）建设标准及方案。食堂需实现“明厨亮灶”，按照甲方数智食堂建设工作要求自行承担各自食堂建设费用和均摊数智食堂监管平台建设及设备设施费用。</w:t>
      </w:r>
    </w:p>
    <w:p w14:paraId="3F04FD41">
      <w:pPr>
        <w:keepNext w:val="0"/>
        <w:keepLines w:val="0"/>
        <w:pageBreakBefore w:val="0"/>
        <w:widowControl w:val="0"/>
        <w:tabs>
          <w:tab w:val="left" w:pos="3200"/>
        </w:tabs>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1.厨房及各功能间改造：各食堂食堂需设立包括主食库、副食库、中转库房、留样间、快检室、洗碗间、备餐间、员工（男、女）更衣室、办公室、杂物间、冷冻（冷藏）间、肉类、蔬菜粗加工间、集中加工烹饪间、蒸煮间，各区域均采用色标管理，标识标牌清晰。特色餐加工区域设置必须有利于排水；后厨地面铺贴满足需要的防滑地砖。食堂防火分隔采用2.0砖墙分隔并使用防火玻璃，燃气报警探头全覆盖；消防通道畅通、设施设备完好及标识标牌醒目。食堂内部功能布局合理，达到食品卫生、消防相关政策和法规要求。乙方应提供高效节水的厨具设备，如低流量水龙头、感应式水阀等，并提供无水或少水的清洁方案；确保后厨排水系统的设计合理，能够快速排水，保持地面干燥；选用环保、易清洁的建筑材料和厨具设备，降低清洁用水量和维护成本，同时结合无水厨房的建设，推行节能措施，提高能源利用效率，提供无水厨房方案的成本效益分析，确保方案具有经济可行性。</w:t>
      </w:r>
    </w:p>
    <w:p w14:paraId="30486E1A">
      <w:pPr>
        <w:keepNext w:val="0"/>
        <w:keepLines w:val="0"/>
        <w:pageBreakBefore w:val="0"/>
        <w:widowControl w:val="0"/>
        <w:tabs>
          <w:tab w:val="left" w:pos="3200"/>
        </w:tabs>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2.燃气安装要求：乙方须自行联系永川区燃气公司，并按永川区天燃气公司的技术标准和管理要求重新安装布局，且一切费用和风险由乙方自行承担。乙方必须设置自动灭火装置。按照《建筑设计防火规范》GB 50016—2022 （2022年版）要求：餐厅建筑面积大于1000㎡的餐馆或食堂，其烹饪操作间的排油烟罩及烹饪部位应设置自动灭火装置，并应在燃气或燃油管道上设置与自动灭火装置联动的自动切断装置。</w:t>
      </w:r>
    </w:p>
    <w:p w14:paraId="187D1BE8">
      <w:pPr>
        <w:keepNext w:val="0"/>
        <w:keepLines w:val="0"/>
        <w:pageBreakBefore w:val="0"/>
        <w:widowControl w:val="0"/>
        <w:tabs>
          <w:tab w:val="left" w:pos="3200"/>
        </w:tabs>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3.防水处理要求：乙方应严格按照国家相关规范对食堂重新进行防水改造，装修后必须保证楼层防水处理达到甲方要求。</w:t>
      </w:r>
    </w:p>
    <w:p w14:paraId="5EFF8C18">
      <w:pPr>
        <w:keepNext w:val="0"/>
        <w:keepLines w:val="0"/>
        <w:pageBreakBefore w:val="0"/>
        <w:widowControl w:val="0"/>
        <w:tabs>
          <w:tab w:val="left" w:pos="3200"/>
        </w:tabs>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4.公共卫生间设置要求：</w:t>
      </w:r>
      <w:r>
        <w:rPr>
          <w:rFonts w:hint="eastAsia" w:ascii="华文仿宋" w:hAnsi="华文仿宋" w:eastAsia="华文仿宋" w:cs="华文仿宋"/>
          <w:color w:val="auto"/>
          <w:sz w:val="28"/>
          <w:szCs w:val="28"/>
          <w:lang w:val="en-US" w:eastAsia="zh-CN"/>
        </w:rPr>
        <w:t>乙方</w:t>
      </w:r>
      <w:r>
        <w:rPr>
          <w:rFonts w:hint="eastAsia" w:ascii="华文仿宋" w:hAnsi="华文仿宋" w:eastAsia="华文仿宋" w:cs="华文仿宋"/>
          <w:color w:val="auto"/>
          <w:sz w:val="28"/>
          <w:szCs w:val="28"/>
        </w:rPr>
        <w:t>按照现有</w:t>
      </w:r>
      <w:r>
        <w:rPr>
          <w:rFonts w:hint="eastAsia" w:ascii="华文仿宋" w:hAnsi="华文仿宋" w:eastAsia="华文仿宋" w:cs="华文仿宋"/>
          <w:color w:val="auto"/>
          <w:sz w:val="28"/>
          <w:szCs w:val="28"/>
          <w:lang w:val="en-US" w:eastAsia="zh-CN"/>
        </w:rPr>
        <w:t>卫生间</w:t>
      </w:r>
      <w:r>
        <w:rPr>
          <w:rFonts w:hint="eastAsia" w:ascii="华文仿宋" w:hAnsi="华文仿宋" w:eastAsia="华文仿宋" w:cs="华文仿宋"/>
          <w:color w:val="auto"/>
          <w:sz w:val="28"/>
          <w:szCs w:val="28"/>
        </w:rPr>
        <w:t>男女蹲位及站位数量设立。总体服务设施齐全，高档、美观、实用、保护隐私。须满足照明设施齐备，小便器和洗手盆采用电磁感应冲水，蹲便器采用脚踏阀冲水，洗手盆为大理石台面或岩板一体洗手盆，须安装烘干设备，整体配备高档洁具。窗采用铝合金中空玻璃；门采用铝塑或高档木门（防潮）；地面采用高档防滑地砖；内墙高档瓷砖到顶；顶棚采用铝扣集成吊顶或纸面石膏板吊顶，安装抽排通风设施。</w:t>
      </w:r>
    </w:p>
    <w:p w14:paraId="39DD6BBF">
      <w:pPr>
        <w:keepNext w:val="0"/>
        <w:keepLines w:val="0"/>
        <w:pageBreakBefore w:val="0"/>
        <w:widowControl w:val="0"/>
        <w:tabs>
          <w:tab w:val="left" w:pos="3200"/>
        </w:tabs>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5.</w:t>
      </w:r>
      <w:r>
        <w:rPr>
          <w:rFonts w:hint="eastAsia" w:ascii="华文仿宋" w:hAnsi="华文仿宋" w:eastAsia="华文仿宋" w:cs="华文仿宋"/>
          <w:color w:val="auto"/>
          <w:sz w:val="28"/>
          <w:szCs w:val="28"/>
          <w:lang w:val="en-US" w:eastAsia="zh-CN"/>
        </w:rPr>
        <w:t>乙方对</w:t>
      </w:r>
      <w:r>
        <w:rPr>
          <w:rFonts w:hint="eastAsia" w:ascii="华文仿宋" w:hAnsi="华文仿宋" w:eastAsia="华文仿宋" w:cs="华文仿宋"/>
          <w:color w:val="auto"/>
          <w:sz w:val="28"/>
          <w:szCs w:val="28"/>
        </w:rPr>
        <w:t>就餐区可做适当分区、装修须凸显校园文化特色，融合甲方现有标志标识、专业特色、服务育人等内容和功能，整体呈现现代风格，灯光明亮，符合当代大学气质，现有空调全部更换为全新格力或美的空调且食堂覆盖，须满足师生就餐、自习、研讨、工作交流等要求，确保监控设施全覆盖、数智食堂功能按“餐饮安全在线”应用手机端（原“重庆阳光食品”APP）功能要求接入并正常使用。</w:t>
      </w:r>
    </w:p>
    <w:p w14:paraId="2C73AE73">
      <w:pPr>
        <w:keepNext w:val="0"/>
        <w:keepLines w:val="0"/>
        <w:pageBreakBefore w:val="0"/>
        <w:widowControl w:val="0"/>
        <w:tabs>
          <w:tab w:val="left" w:pos="3200"/>
        </w:tabs>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6.乙方提供4D及以上厨房建设方案：乙方要结合后厨设计，提供相应科学、合理且可行的4D及以上厨房建设方案，实现环境卫生“四无”要求，即地面无油渍、无水迹、无卫生死角、无杂物。墙砖满贴，功能间、加工间及售卖间均全屋铝扣板吊顶。</w:t>
      </w:r>
    </w:p>
    <w:p w14:paraId="48908040">
      <w:pPr>
        <w:keepNext w:val="0"/>
        <w:keepLines w:val="0"/>
        <w:pageBreakBefore w:val="0"/>
        <w:widowControl w:val="0"/>
        <w:tabs>
          <w:tab w:val="left" w:pos="3200"/>
        </w:tabs>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7.乙方根据实际需要须对食堂外墙进行整修和改造工作。在合同服务期内，乙方负责对食堂装饰工程、食堂主体外墙、设备设施的质量保修维护工作。按照甲方要求及时、高效完成各项售后维修维护工作。</w:t>
      </w:r>
    </w:p>
    <w:p w14:paraId="0DD0FAAC">
      <w:pPr>
        <w:keepNext w:val="0"/>
        <w:keepLines w:val="0"/>
        <w:pageBreakBefore w:val="0"/>
        <w:widowControl w:val="0"/>
        <w:tabs>
          <w:tab w:val="left" w:pos="3200"/>
        </w:tabs>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8.乙方提供数智食堂建设方案：乙方按照甲方数智食堂建设要求，无条件响应并投资完成建设。即甲方数智食堂总平台搭建（须满足甲方两校区所有食堂的统筹监管需求）、本项目食堂必要的硬件建设（</w:t>
      </w:r>
      <w:r>
        <w:rPr>
          <w:rFonts w:hint="eastAsia" w:ascii="华文仿宋" w:hAnsi="华文仿宋" w:eastAsia="华文仿宋" w:cs="华文仿宋"/>
          <w:color w:val="auto"/>
          <w:sz w:val="28"/>
          <w:szCs w:val="28"/>
          <w:lang w:val="en-US" w:eastAsia="zh-CN"/>
        </w:rPr>
        <w:t>详见附件二</w:t>
      </w:r>
      <w:r>
        <w:rPr>
          <w:rFonts w:hint="eastAsia" w:ascii="华文仿宋" w:hAnsi="华文仿宋" w:eastAsia="华文仿宋" w:cs="华文仿宋"/>
          <w:color w:val="auto"/>
          <w:sz w:val="28"/>
          <w:szCs w:val="28"/>
        </w:rPr>
        <w:t>）。按照甲方数智食堂建设工作要求自行承担各自食堂数智食堂相关费用。</w:t>
      </w:r>
      <w:r>
        <w:rPr>
          <w:rFonts w:hint="eastAsia" w:ascii="华文仿宋" w:hAnsi="华文仿宋" w:eastAsia="华文仿宋" w:cs="华文仿宋"/>
          <w:color w:val="auto"/>
          <w:sz w:val="28"/>
          <w:szCs w:val="28"/>
          <w:u w:val="single"/>
        </w:rPr>
        <w:t>（包3的乙方须完成“数智食堂”学校食安监管平台建设要求全部内容），包1、包2、包3、包4和包5的乙方须按照“数智食堂”食堂数智化设备建设要求完成各自食堂的所有建设。</w:t>
      </w:r>
      <w:r>
        <w:rPr>
          <w:rFonts w:hint="eastAsia" w:ascii="华文仿宋" w:hAnsi="华文仿宋" w:eastAsia="华文仿宋" w:cs="华文仿宋"/>
          <w:color w:val="auto"/>
          <w:sz w:val="28"/>
          <w:szCs w:val="28"/>
        </w:rPr>
        <w:t>整个数智食堂系统须在</w:t>
      </w:r>
      <w:r>
        <w:rPr>
          <w:rFonts w:hint="eastAsia" w:ascii="华文仿宋" w:hAnsi="华文仿宋" w:eastAsia="华文仿宋" w:cs="华文仿宋"/>
          <w:color w:val="auto"/>
          <w:sz w:val="28"/>
          <w:szCs w:val="28"/>
          <w:lang w:val="en-US" w:eastAsia="zh-CN"/>
        </w:rPr>
        <w:t>乙方</w:t>
      </w:r>
      <w:r>
        <w:rPr>
          <w:rFonts w:hint="eastAsia" w:ascii="华文仿宋" w:hAnsi="华文仿宋" w:eastAsia="华文仿宋" w:cs="华文仿宋"/>
          <w:color w:val="auto"/>
          <w:sz w:val="28"/>
          <w:szCs w:val="28"/>
        </w:rPr>
        <w:t>装修改造投入使用前建成，经甲方验收后投入使用，乙方须委托系统建设单位负责对甲方的使用人员进行培训，乙方须在数智食堂建设合同中明确系统建设单位负责免费为甲方后续拓展接入的食堂终端设备做好技术服务，乙方同时将该系统的产权移交给甲方并办理移交手续，甲方终身免费使用该系统，乙方数智食堂建设单位须在售后服务期限内负责数智食堂系统的维护，确保整个系统正常使用。录像及管理数据资产归甲方处置，任何数据不得不经甲方书面同意提供给第三方，所有数据必须无条件提供给甲方并提供相关接口或数据库权限。</w:t>
      </w:r>
    </w:p>
    <w:p w14:paraId="31D02A03">
      <w:pPr>
        <w:keepNext w:val="0"/>
        <w:keepLines w:val="0"/>
        <w:pageBreakBefore w:val="0"/>
        <w:widowControl w:val="0"/>
        <w:tabs>
          <w:tab w:val="left" w:pos="3200"/>
        </w:tabs>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9.</w:t>
      </w:r>
      <w:r>
        <w:rPr>
          <w:rFonts w:hint="eastAsia" w:ascii="华文仿宋" w:hAnsi="华文仿宋" w:eastAsia="华文仿宋" w:cs="华文仿宋"/>
          <w:color w:val="auto"/>
          <w:sz w:val="28"/>
          <w:szCs w:val="28"/>
          <w:lang w:val="en-US" w:eastAsia="zh-CN"/>
        </w:rPr>
        <w:t>甲方</w:t>
      </w:r>
      <w:r>
        <w:rPr>
          <w:rFonts w:hint="eastAsia" w:ascii="华文仿宋" w:hAnsi="华文仿宋" w:eastAsia="华文仿宋" w:cs="华文仿宋"/>
          <w:color w:val="auto"/>
          <w:sz w:val="28"/>
          <w:szCs w:val="28"/>
        </w:rPr>
        <w:t>食堂建筑物现状：现有的室内消防设施仅有消火栓系统、应急疏散指示标志和防火门，没有或部分没有消防报警、喷淋、防排烟、烟感和温感等设施。乙方务必要充分了解该情况，环境改善完成后，乙方应达到由政府机构认可的第三方机构出具的消防安全验收合格检测报告，相关费用由乙方承担。新增的各项消防设施和报警装置，需要统一接入甲方整个消防系统联网，故消防设施设备必须与原有消防系统无缝对接（现在甲方的消防系统使用的是“海湾牌”系列产品）。</w:t>
      </w:r>
    </w:p>
    <w:p w14:paraId="00991E26">
      <w:pPr>
        <w:keepNext w:val="0"/>
        <w:keepLines w:val="0"/>
        <w:pageBreakBefore w:val="0"/>
        <w:widowControl w:val="0"/>
        <w:tabs>
          <w:tab w:val="left" w:pos="3200"/>
        </w:tabs>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10.食堂油烟排放改造，需符合《重庆市餐饮业大气污染物排放标准》（DB 50/859-2018）的要求建设到位（新标准要求油烟最高允许排放浓度为 1.O 毫克/ 立方米，非甲烷总烃的最高允许排放浓度为 10.0 毫克/立方米）。抽排净化系统改造由具有相应资质的单位设计施工，需提供国家环保达标检测报告。为保证食品安全，乙方必须按规定每月聘请专业公司对油烟净化器、抽排系统、风机等进行清洗维护，达到国家消防及环保的要求，并承担相应的费用，日常油烟抽排设备等启动运行产生的噪音须控制在环保规定标准内，超过环保规定标准后引起学生及周边居民投诉须立即整改到位。</w:t>
      </w:r>
    </w:p>
    <w:p w14:paraId="02DDCD07">
      <w:pPr>
        <w:keepNext w:val="0"/>
        <w:keepLines w:val="0"/>
        <w:pageBreakBefore w:val="0"/>
        <w:widowControl w:val="0"/>
        <w:tabs>
          <w:tab w:val="left" w:pos="3200"/>
        </w:tabs>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11.乙方根据</w:t>
      </w:r>
      <w:r>
        <w:rPr>
          <w:rFonts w:hint="eastAsia" w:ascii="华文仿宋" w:hAnsi="华文仿宋" w:eastAsia="华文仿宋" w:cs="华文仿宋"/>
          <w:color w:val="auto"/>
          <w:sz w:val="28"/>
          <w:szCs w:val="28"/>
          <w:lang w:val="en-US" w:eastAsia="zh-CN"/>
        </w:rPr>
        <w:t>甲方要求</w:t>
      </w:r>
      <w:r>
        <w:rPr>
          <w:rFonts w:hint="eastAsia" w:ascii="华文仿宋" w:hAnsi="华文仿宋" w:eastAsia="华文仿宋" w:cs="华文仿宋"/>
          <w:color w:val="auto"/>
          <w:sz w:val="28"/>
          <w:szCs w:val="28"/>
        </w:rPr>
        <w:t>、自身管理和服务的需要，对加工区的分隔或房间的功能做必要的整合或调整，装修改造方案和施工图须在满足需求、现状条件和设计规范的基础上，由乙方委托有资质的单位进行设计和施工图审查，并按照食堂所在地（重庆市永川区）燃气管理部门、市场监督</w:t>
      </w:r>
      <w:r>
        <w:rPr>
          <w:rFonts w:hint="eastAsia" w:ascii="华文仿宋" w:hAnsi="华文仿宋" w:eastAsia="华文仿宋" w:cs="华文仿宋"/>
          <w:color w:val="auto"/>
          <w:sz w:val="28"/>
          <w:szCs w:val="28"/>
          <w:lang w:val="en-US" w:eastAsia="zh-CN"/>
        </w:rPr>
        <w:t>等</w:t>
      </w:r>
      <w:r>
        <w:rPr>
          <w:rFonts w:hint="eastAsia" w:ascii="华文仿宋" w:hAnsi="华文仿宋" w:eastAsia="华文仿宋" w:cs="华文仿宋"/>
          <w:color w:val="auto"/>
          <w:sz w:val="28"/>
          <w:szCs w:val="28"/>
        </w:rPr>
        <w:t>部门的要求，办理好各项合法的建设审批手续后方能组织实施。乙方应在中标通知书发布后10日内完成装修改造涉及的平面布局、管网、用电负荷等设计方案论证并通过甲方的审核，作为施工图设计的依据；同时在中标通知书发布后 15日内，提交环境改善投入实施方案和投资概算并通过甲方的审核，作为乙方环境改善投入的实施依据。</w:t>
      </w:r>
    </w:p>
    <w:p w14:paraId="4919BF9E">
      <w:pPr>
        <w:keepNext w:val="0"/>
        <w:keepLines w:val="0"/>
        <w:pageBreakBefore w:val="0"/>
        <w:widowControl w:val="0"/>
        <w:tabs>
          <w:tab w:val="left" w:pos="3200"/>
        </w:tabs>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12.乙方在装修改造中必须委托有资质的监理单位对施工全过程进行监理，装修改造完工后，乙方自行邀请所在地建设行政主管部门、燃气管理部门、市场监管部门以及其他相关主管部门进行合格验收并取得验收合格意见书。甲方结合装修改造对各食堂区域进行安防升级施工时，乙方须无条件的配合并承担升级所需的费用。在装修改造办理建设审批手续过程中，若需要以甲方名义进行的申报、报验等工作，甲方只负责配合提供甲方的相关信息、已有的工程资料和盖章，其余的所有工作，由乙方完成，并由乙方承担相应的费用。</w:t>
      </w:r>
    </w:p>
    <w:p w14:paraId="5E873E8B">
      <w:pPr>
        <w:keepNext w:val="0"/>
        <w:keepLines w:val="0"/>
        <w:pageBreakBefore w:val="0"/>
        <w:widowControl w:val="0"/>
        <w:tabs>
          <w:tab w:val="left" w:pos="3200"/>
        </w:tabs>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13.乙方在取得相关主管部门的验收合格意见书和甲方指定的第三方有资质公司出具的项目结算审核报告书的基础上，将一套完整的施工过程资料备齐后 15个工作日内，由甲方组织相关人员组成验收小组，对整个装修改造和设备设施投入进行验收，形成验收意见。装饰装修改造投入的结算编制，按照重庆市 2018 年及最新的相关工程定额和文件计价。乙方投入金额审定的允许负偏差范围为中标承诺金额的-2%，若发现实际投资金额超出了允许的负偏差范围，视为未履行中标承诺，乙方必须按差额部分补偿给甲方，差额补偿金从乙方履约保证金中扣除，如影响师生就餐的，学校还将追究其违约责任。装修投入的正偏差，不设上限偏差范围。</w:t>
      </w:r>
    </w:p>
    <w:p w14:paraId="056BADD2">
      <w:pPr>
        <w:keepNext w:val="0"/>
        <w:keepLines w:val="0"/>
        <w:pageBreakBefore w:val="0"/>
        <w:widowControl w:val="0"/>
        <w:tabs>
          <w:tab w:val="left" w:pos="3200"/>
        </w:tabs>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14.乙方资金投入要求：</w:t>
      </w:r>
    </w:p>
    <w:p w14:paraId="48FBD0D0">
      <w:pPr>
        <w:keepNext w:val="0"/>
        <w:keepLines w:val="0"/>
        <w:pageBreakBefore w:val="0"/>
        <w:widowControl w:val="0"/>
        <w:tabs>
          <w:tab w:val="left" w:pos="3200"/>
        </w:tabs>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u w:val="single"/>
        </w:rPr>
      </w:pPr>
      <w:r>
        <w:rPr>
          <w:rFonts w:hint="eastAsia" w:ascii="华文仿宋" w:hAnsi="华文仿宋" w:eastAsia="华文仿宋" w:cs="华文仿宋"/>
          <w:color w:val="auto"/>
          <w:sz w:val="28"/>
          <w:szCs w:val="28"/>
          <w:u w:val="single"/>
        </w:rPr>
        <w:t>包1投入资金不得低于250万元。包2投入资金不得低于250万元。包3投入资金不得低于460万。包4投入资金不得低于260万。包5投入资金不得低于250万。</w:t>
      </w:r>
      <w:r>
        <w:rPr>
          <w:rFonts w:hint="eastAsia" w:ascii="华文仿宋" w:hAnsi="华文仿宋" w:eastAsia="华文仿宋" w:cs="华文仿宋"/>
          <w:color w:val="auto"/>
          <w:sz w:val="28"/>
          <w:szCs w:val="28"/>
        </w:rPr>
        <w:t>该投入费用包括数智食堂建设、环境改善、设施设备购置、餐厨具等，乙方在投标文件中承诺具体金额，但不低于本招标文件要求的最低金额，乙方投入资金以甲方指定的第三方有资质的公司出具的项目结算审核报告书为准，结算审核费用由乙方自行负担。</w:t>
      </w:r>
    </w:p>
    <w:p w14:paraId="40248B48">
      <w:pPr>
        <w:keepNext w:val="0"/>
        <w:keepLines w:val="0"/>
        <w:pageBreakBefore w:val="0"/>
        <w:widowControl w:val="0"/>
        <w:tabs>
          <w:tab w:val="left" w:pos="3200"/>
        </w:tabs>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15.“三防”设施要求：</w:t>
      </w:r>
      <w:r>
        <w:rPr>
          <w:rFonts w:hint="eastAsia" w:ascii="华文仿宋" w:hAnsi="华文仿宋" w:eastAsia="华文仿宋" w:cs="华文仿宋"/>
          <w:color w:val="auto"/>
          <w:sz w:val="28"/>
          <w:szCs w:val="28"/>
          <w:lang w:val="en-US" w:eastAsia="zh-CN"/>
        </w:rPr>
        <w:t>乙方</w:t>
      </w:r>
      <w:r>
        <w:rPr>
          <w:rFonts w:hint="eastAsia" w:ascii="华文仿宋" w:hAnsi="华文仿宋" w:eastAsia="华文仿宋" w:cs="华文仿宋"/>
          <w:color w:val="auto"/>
          <w:sz w:val="28"/>
          <w:szCs w:val="28"/>
        </w:rPr>
        <w:t>确保配备符合实际的防鼠、防虫、防蝇设施并能够有效发挥作用，防止鼠类等有害生物侵入。其中，墙壁、地板应无缝隙；所有管道与外界或天花板连接处应封闭，所有管线穿越而产生的孔洞应封堵，孔洞填充牢固，无缝隙；使用水封式地漏；人员、货物与外界相连通道应设有防鼠板；门缝隙、排水管道出水口应按照操作规范要求做好“三防”措施。</w:t>
      </w:r>
    </w:p>
    <w:p w14:paraId="68EA0DF1">
      <w:pPr>
        <w:keepNext w:val="0"/>
        <w:keepLines w:val="0"/>
        <w:pageBreakBefore w:val="0"/>
        <w:widowControl w:val="0"/>
        <w:tabs>
          <w:tab w:val="left" w:pos="3200"/>
        </w:tabs>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16.水电搭接安装要求。原先的所有电气线路和给水管网必须结合</w:t>
      </w:r>
      <w:r>
        <w:rPr>
          <w:rFonts w:hint="eastAsia" w:ascii="华文仿宋" w:hAnsi="华文仿宋" w:eastAsia="华文仿宋" w:cs="华文仿宋"/>
          <w:color w:val="auto"/>
          <w:sz w:val="28"/>
          <w:szCs w:val="28"/>
          <w:lang w:val="en-US" w:eastAsia="zh-CN"/>
        </w:rPr>
        <w:t>乙方</w:t>
      </w:r>
      <w:r>
        <w:rPr>
          <w:rFonts w:hint="eastAsia" w:ascii="华文仿宋" w:hAnsi="华文仿宋" w:eastAsia="华文仿宋" w:cs="华文仿宋"/>
          <w:color w:val="auto"/>
          <w:sz w:val="28"/>
          <w:szCs w:val="28"/>
        </w:rPr>
        <w:t>自身经营所需电力负荷和使用需求重新规划布局（包括搭接至变压器的主供电电缆），如因食堂能源超负荷，还需承担能源扩容所涉及的费用。乙方整个经营区域只能</w:t>
      </w:r>
      <w:r>
        <w:rPr>
          <w:rFonts w:hint="eastAsia" w:ascii="华文仿宋" w:hAnsi="华文仿宋" w:eastAsia="华文仿宋" w:cs="华文仿宋"/>
          <w:color w:val="auto"/>
          <w:sz w:val="28"/>
          <w:szCs w:val="28"/>
          <w:lang w:val="en-US" w:eastAsia="zh-CN"/>
        </w:rPr>
        <w:t>各</w:t>
      </w:r>
      <w:r>
        <w:rPr>
          <w:rFonts w:hint="eastAsia" w:ascii="华文仿宋" w:hAnsi="华文仿宋" w:eastAsia="华文仿宋" w:cs="华文仿宋"/>
          <w:color w:val="auto"/>
          <w:sz w:val="28"/>
          <w:szCs w:val="28"/>
        </w:rPr>
        <w:t>设置一块水、电、气计量表，水电气搭接口由甲方指定，需要配备负荷用电安全要求的用电安全防护设施设备。施工中发生的安全责任事故由乙方自行承担。</w:t>
      </w:r>
    </w:p>
    <w:p w14:paraId="31220AA4">
      <w:pPr>
        <w:keepNext w:val="0"/>
        <w:keepLines w:val="0"/>
        <w:pageBreakBefore w:val="0"/>
        <w:widowControl w:val="0"/>
        <w:tabs>
          <w:tab w:val="left" w:pos="3200"/>
        </w:tabs>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u w:val="single"/>
        </w:rPr>
      </w:pPr>
      <w:r>
        <w:rPr>
          <w:rFonts w:hint="eastAsia" w:ascii="华文仿宋" w:hAnsi="华文仿宋" w:eastAsia="华文仿宋" w:cs="华文仿宋"/>
          <w:color w:val="auto"/>
          <w:sz w:val="28"/>
          <w:szCs w:val="28"/>
        </w:rPr>
        <w:t>17.</w:t>
      </w:r>
      <w:r>
        <w:rPr>
          <w:rFonts w:hint="eastAsia" w:ascii="华文仿宋" w:hAnsi="华文仿宋" w:eastAsia="华文仿宋" w:cs="华文仿宋"/>
          <w:color w:val="auto"/>
          <w:sz w:val="28"/>
          <w:szCs w:val="28"/>
          <w:u w:val="single"/>
        </w:rPr>
        <w:t>包4红河校区三食堂的乙方须邀请专业机构对大厅（隔层）和屋顶现有的钢架结构进行安全监测，并向甲方提交安全监测报告，甲方邀请相关专业监测机构监测后确认没有安全隐患后乙方方可投入使用，并由乙方自行承担所有相关专业检测费用；如大厅（隔层）和屋顶现有的钢架结构安全监测不合格，须乙方出资进行改造并达到安全要求。</w:t>
      </w:r>
    </w:p>
    <w:p w14:paraId="3B9DE114">
      <w:pPr>
        <w:keepNext w:val="0"/>
        <w:keepLines w:val="0"/>
        <w:pageBreakBefore w:val="0"/>
        <w:widowControl w:val="0"/>
        <w:tabs>
          <w:tab w:val="left" w:pos="3200"/>
        </w:tabs>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18合同期满，乙方投入的装修装饰和管网、电线、消防设施、数智食堂及设施设备所有权无偿转让给甲方，交由甲方进行处置，乙方不得破坏。同时乙方在撤离时如数返还甲方原有设施设备，完成食堂内的清洁工作。乙方逾期未撤离，甲方有权对乙方所有投入设施设备进行全权处置，由此造成的一切后果与损失由乙方自行承担。乙方在合同期内可以对食堂进行再次装修，其装修费用均由乙方自行承担，乙方再次装修方案必须甲方书面同意后方可进行，否则，甲方扣除乙方50000元的违约金。尾料、现场垃圾及废品、废物须由乙方负责处置并打扫清理干净，甲方无义务回收或转</w:t>
      </w:r>
      <w:r>
        <w:rPr>
          <w:rFonts w:hint="eastAsia" w:ascii="华文仿宋" w:hAnsi="华文仿宋" w:eastAsia="华文仿宋" w:cs="华文仿宋"/>
          <w:color w:val="auto"/>
          <w:sz w:val="28"/>
          <w:szCs w:val="28"/>
          <w:lang w:val="en-US" w:eastAsia="zh-CN"/>
        </w:rPr>
        <w:t>运</w:t>
      </w:r>
      <w:r>
        <w:rPr>
          <w:rFonts w:hint="eastAsia" w:ascii="华文仿宋" w:hAnsi="华文仿宋" w:eastAsia="华文仿宋" w:cs="华文仿宋"/>
          <w:color w:val="auto"/>
          <w:sz w:val="28"/>
          <w:szCs w:val="28"/>
        </w:rPr>
        <w:t>。乙方与食堂监管部门进行清点并完善移交签字手续。</w:t>
      </w:r>
    </w:p>
    <w:p w14:paraId="3EB5E90C">
      <w:pPr>
        <w:keepNext w:val="0"/>
        <w:keepLines w:val="0"/>
        <w:pageBreakBefore w:val="0"/>
        <w:widowControl w:val="0"/>
        <w:tabs>
          <w:tab w:val="left" w:pos="3200"/>
        </w:tabs>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19.应合理使用甲方提供的房屋、场地及其附属设施，负责日常管理与维护，如因使用不当造成房屋、场地及设施损坏的，乙方应立即负责修复或给予经济赔偿。在合同期内，乙方未事先征得学校书面书面同意，不得擅自改变房屋、场地及其附属设施的外观、结构和用途。不得超承重负荷使用房屋。</w:t>
      </w:r>
    </w:p>
    <w:p w14:paraId="7F8D84B5">
      <w:pPr>
        <w:keepNext w:val="0"/>
        <w:keepLines w:val="0"/>
        <w:pageBreakBefore w:val="0"/>
        <w:widowControl w:val="0"/>
        <w:tabs>
          <w:tab w:val="left" w:pos="3200"/>
        </w:tabs>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20.乙方的用电负荷上限须取得甲方基建后勤处的书面同意。</w:t>
      </w:r>
    </w:p>
    <w:p w14:paraId="33A6C305">
      <w:pPr>
        <w:keepNext w:val="0"/>
        <w:keepLines w:val="0"/>
        <w:pageBreakBefore w:val="0"/>
        <w:widowControl w:val="0"/>
        <w:kinsoku/>
        <w:wordWrap/>
        <w:overflowPunct/>
        <w:topLinePunct w:val="0"/>
        <w:autoSpaceDE/>
        <w:autoSpaceDN/>
        <w:bidi w:val="0"/>
        <w:adjustRightInd/>
        <w:snapToGrid w:val="0"/>
        <w:spacing w:line="480" w:lineRule="exact"/>
        <w:jc w:val="center"/>
        <w:textAlignment w:val="auto"/>
        <w:rPr>
          <w:rFonts w:hint="eastAsia" w:ascii="华文仿宋" w:hAnsi="华文仿宋" w:eastAsia="华文仿宋" w:cs="华文仿宋"/>
          <w:b/>
          <w:color w:val="auto"/>
          <w:sz w:val="28"/>
          <w:szCs w:val="28"/>
          <w:lang w:val="en-US" w:eastAsia="zh-CN"/>
        </w:rPr>
      </w:pPr>
      <w:r>
        <w:rPr>
          <w:rFonts w:hint="eastAsia" w:ascii="华文仿宋" w:hAnsi="华文仿宋" w:eastAsia="华文仿宋" w:cs="华文仿宋"/>
          <w:b/>
          <w:color w:val="auto"/>
          <w:sz w:val="28"/>
          <w:szCs w:val="28"/>
          <w:lang w:val="en-US" w:eastAsia="zh-CN"/>
        </w:rPr>
        <w:t>第三部分   经营管理要求</w:t>
      </w:r>
    </w:p>
    <w:p w14:paraId="1C23792F">
      <w:pPr>
        <w:keepNext w:val="0"/>
        <w:keepLines w:val="0"/>
        <w:pageBreakBefore w:val="0"/>
        <w:widowControl w:val="0"/>
        <w:tabs>
          <w:tab w:val="left" w:pos="3200"/>
        </w:tabs>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第</w:t>
      </w:r>
      <w:r>
        <w:rPr>
          <w:rFonts w:hint="eastAsia" w:ascii="华文仿宋" w:hAnsi="华文仿宋" w:eastAsia="华文仿宋" w:cs="华文仿宋"/>
          <w:color w:val="auto"/>
          <w:sz w:val="28"/>
          <w:szCs w:val="28"/>
          <w:lang w:val="en-US" w:eastAsia="zh-CN"/>
        </w:rPr>
        <w:t>八</w:t>
      </w:r>
      <w:r>
        <w:rPr>
          <w:rFonts w:hint="eastAsia" w:ascii="华文仿宋" w:hAnsi="华文仿宋" w:eastAsia="华文仿宋" w:cs="华文仿宋"/>
          <w:color w:val="auto"/>
          <w:sz w:val="28"/>
          <w:szCs w:val="28"/>
        </w:rPr>
        <w:t>条  服务要求</w:t>
      </w:r>
    </w:p>
    <w:p w14:paraId="23A0BDA9">
      <w:pPr>
        <w:keepNext w:val="0"/>
        <w:keepLines w:val="0"/>
        <w:pageBreakBefore w:val="0"/>
        <w:widowControl w:val="0"/>
        <w:tabs>
          <w:tab w:val="left" w:pos="3200"/>
        </w:tabs>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1.乙方应充分考虑大多数学生的经济承受能力，“学生需求”与“健康饮食”的关系，严格执行甲方和行业的相关规定控制饭菜质量和价格。合理设置基本大伙档口（乙方必须设置明确标识），各食堂一楼的基本大伙档口数量占比不低于35%，同时在食堂一楼还须设置独立爱心餐档口。所有饭菜价格应明码标价且应低于社会餐饮同等水平。</w:t>
      </w:r>
    </w:p>
    <w:p w14:paraId="7FB7BD38">
      <w:pPr>
        <w:keepNext w:val="0"/>
        <w:keepLines w:val="0"/>
        <w:pageBreakBefore w:val="0"/>
        <w:widowControl w:val="0"/>
        <w:tabs>
          <w:tab w:val="left" w:pos="3200"/>
        </w:tabs>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2.基本大伙菜品种类和份量须满足学生用餐的实际需求。针对基本早餐类食品、基本大伙餐、爱心餐管理，暂定执行以下要求且必须确保</w:t>
      </w:r>
      <w:r>
        <w:rPr>
          <w:rFonts w:hint="eastAsia" w:ascii="华文仿宋" w:hAnsi="华文仿宋" w:eastAsia="华文仿宋" w:cs="华文仿宋"/>
          <w:color w:val="auto"/>
          <w:sz w:val="28"/>
          <w:szCs w:val="28"/>
          <w:lang w:val="zh-CN"/>
        </w:rPr>
        <w:t>供应</w:t>
      </w:r>
      <w:r>
        <w:rPr>
          <w:rFonts w:hint="eastAsia" w:ascii="华文仿宋" w:hAnsi="华文仿宋" w:eastAsia="华文仿宋" w:cs="华文仿宋"/>
          <w:color w:val="auto"/>
          <w:sz w:val="28"/>
          <w:szCs w:val="28"/>
        </w:rPr>
        <w:t>不断档或限量销售，后续调价按照重庆市教委或经市教委授权重庆教育后勤协会发布相关文件执行。</w:t>
      </w:r>
    </w:p>
    <w:p w14:paraId="70F78162">
      <w:pPr>
        <w:keepNext w:val="0"/>
        <w:keepLines w:val="0"/>
        <w:pageBreakBefore w:val="0"/>
        <w:widowControl w:val="0"/>
        <w:tabs>
          <w:tab w:val="left" w:pos="3200"/>
        </w:tabs>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（1）所有菜品的出品量、荤素比、售卖价，采取报批制，严格按照乙方上报的数据对照执行。所有上报的菜品包括菜品名称、菜品主配料成分、成品售卖价格。</w:t>
      </w:r>
    </w:p>
    <w:p w14:paraId="74B2FB23">
      <w:pPr>
        <w:keepNext w:val="0"/>
        <w:keepLines w:val="0"/>
        <w:pageBreakBefore w:val="0"/>
        <w:widowControl w:val="0"/>
        <w:tabs>
          <w:tab w:val="left" w:pos="3200"/>
        </w:tabs>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（2）所有上报的菜品与永川及周边高校一致的，需包括相同产品2-3所高校的对比价格。</w:t>
      </w:r>
    </w:p>
    <w:p w14:paraId="14171790">
      <w:pPr>
        <w:keepNext w:val="0"/>
        <w:keepLines w:val="0"/>
        <w:pageBreakBefore w:val="0"/>
        <w:widowControl w:val="0"/>
        <w:tabs>
          <w:tab w:val="left" w:pos="3200"/>
        </w:tabs>
        <w:kinsoku/>
        <w:wordWrap/>
        <w:overflowPunct/>
        <w:topLinePunct w:val="0"/>
        <w:autoSpaceDE/>
        <w:autoSpaceDN/>
        <w:bidi w:val="0"/>
        <w:adjustRightInd/>
        <w:spacing w:line="480" w:lineRule="exact"/>
        <w:ind w:firstLine="560" w:firstLineChars="200"/>
        <w:textAlignment w:val="auto"/>
        <w:rPr>
          <w:rFonts w:hint="eastAsia" w:ascii="方正仿宋_GBK" w:hAnsi="Times New Roman" w:eastAsia="方正仿宋_GBK" w:cs="Times New Roman"/>
          <w:color w:val="auto"/>
          <w:szCs w:val="28"/>
        </w:rPr>
      </w:pPr>
      <w:r>
        <w:rPr>
          <w:rFonts w:hint="eastAsia" w:ascii="华文仿宋" w:hAnsi="华文仿宋" w:eastAsia="华文仿宋" w:cs="华文仿宋"/>
          <w:color w:val="auto"/>
          <w:sz w:val="28"/>
          <w:szCs w:val="28"/>
        </w:rPr>
        <w:t>（3）基本早餐类食品价格按照以下标准：</w:t>
      </w:r>
    </w:p>
    <w:tbl>
      <w:tblPr>
        <w:tblStyle w:val="59"/>
        <w:tblW w:w="9135" w:type="dxa"/>
        <w:jc w:val="center"/>
        <w:tblLayout w:type="fixed"/>
        <w:tblCellMar>
          <w:top w:w="0" w:type="dxa"/>
          <w:left w:w="108" w:type="dxa"/>
          <w:bottom w:w="0" w:type="dxa"/>
          <w:right w:w="108" w:type="dxa"/>
        </w:tblCellMar>
      </w:tblPr>
      <w:tblGrid>
        <w:gridCol w:w="3609"/>
        <w:gridCol w:w="2890"/>
        <w:gridCol w:w="2636"/>
      </w:tblGrid>
      <w:tr w14:paraId="110D8A82">
        <w:tblPrEx>
          <w:tblCellMar>
            <w:top w:w="0" w:type="dxa"/>
            <w:left w:w="108" w:type="dxa"/>
            <w:bottom w:w="0" w:type="dxa"/>
            <w:right w:w="108" w:type="dxa"/>
          </w:tblCellMar>
        </w:tblPrEx>
        <w:trPr>
          <w:trHeight w:val="340" w:hRule="atLeast"/>
          <w:jc w:val="center"/>
        </w:trPr>
        <w:tc>
          <w:tcPr>
            <w:tcW w:w="3607" w:type="dxa"/>
            <w:tcBorders>
              <w:top w:val="single" w:color="000000" w:sz="4" w:space="0"/>
              <w:left w:val="single" w:color="000000" w:sz="4" w:space="0"/>
              <w:bottom w:val="single" w:color="000000" w:sz="4" w:space="0"/>
              <w:right w:val="single" w:color="000000" w:sz="4" w:space="0"/>
            </w:tcBorders>
            <w:noWrap/>
            <w:vAlign w:val="center"/>
          </w:tcPr>
          <w:p w14:paraId="443A1189">
            <w:pPr>
              <w:spacing w:line="500" w:lineRule="exact"/>
              <w:ind w:firstLine="420" w:firstLineChars="200"/>
              <w:jc w:val="center"/>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品类</w:t>
            </w:r>
          </w:p>
        </w:tc>
        <w:tc>
          <w:tcPr>
            <w:tcW w:w="2888" w:type="dxa"/>
            <w:tcBorders>
              <w:top w:val="single" w:color="000000" w:sz="4" w:space="0"/>
              <w:left w:val="single" w:color="000000" w:sz="4" w:space="0"/>
              <w:bottom w:val="single" w:color="000000" w:sz="4" w:space="0"/>
              <w:right w:val="single" w:color="000000" w:sz="4" w:space="0"/>
            </w:tcBorders>
            <w:noWrap/>
            <w:vAlign w:val="center"/>
          </w:tcPr>
          <w:p w14:paraId="5FD2F797">
            <w:pPr>
              <w:spacing w:line="500" w:lineRule="exact"/>
              <w:ind w:firstLine="420" w:firstLineChars="200"/>
              <w:jc w:val="center"/>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售价（元）</w:t>
            </w:r>
          </w:p>
        </w:tc>
        <w:tc>
          <w:tcPr>
            <w:tcW w:w="2634" w:type="dxa"/>
            <w:tcBorders>
              <w:top w:val="single" w:color="000000" w:sz="4" w:space="0"/>
              <w:left w:val="single" w:color="000000" w:sz="4" w:space="0"/>
              <w:bottom w:val="single" w:color="000000" w:sz="4" w:space="0"/>
              <w:right w:val="single" w:color="000000" w:sz="4" w:space="0"/>
            </w:tcBorders>
            <w:noWrap/>
            <w:vAlign w:val="center"/>
          </w:tcPr>
          <w:p w14:paraId="5799993E">
            <w:pPr>
              <w:spacing w:line="500" w:lineRule="exact"/>
              <w:ind w:firstLine="420" w:firstLineChars="200"/>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单位</w:t>
            </w:r>
          </w:p>
        </w:tc>
      </w:tr>
      <w:tr w14:paraId="337CB3DE">
        <w:tblPrEx>
          <w:tblCellMar>
            <w:top w:w="0" w:type="dxa"/>
            <w:left w:w="108" w:type="dxa"/>
            <w:bottom w:w="0" w:type="dxa"/>
            <w:right w:w="108" w:type="dxa"/>
          </w:tblCellMar>
        </w:tblPrEx>
        <w:trPr>
          <w:trHeight w:val="340" w:hRule="atLeast"/>
          <w:jc w:val="center"/>
        </w:trPr>
        <w:tc>
          <w:tcPr>
            <w:tcW w:w="3607" w:type="dxa"/>
            <w:tcBorders>
              <w:top w:val="single" w:color="000000" w:sz="4" w:space="0"/>
              <w:left w:val="single" w:color="000000" w:sz="4" w:space="0"/>
              <w:bottom w:val="single" w:color="000000" w:sz="4" w:space="0"/>
              <w:right w:val="single" w:color="000000" w:sz="4" w:space="0"/>
            </w:tcBorders>
            <w:noWrap/>
            <w:vAlign w:val="center"/>
          </w:tcPr>
          <w:p w14:paraId="0F4849D9">
            <w:pPr>
              <w:spacing w:line="500" w:lineRule="exact"/>
              <w:ind w:firstLine="420" w:firstLineChars="200"/>
              <w:jc w:val="center"/>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白馒头</w:t>
            </w:r>
          </w:p>
        </w:tc>
        <w:tc>
          <w:tcPr>
            <w:tcW w:w="2888" w:type="dxa"/>
            <w:tcBorders>
              <w:top w:val="single" w:color="000000" w:sz="4" w:space="0"/>
              <w:left w:val="single" w:color="000000" w:sz="4" w:space="0"/>
              <w:bottom w:val="single" w:color="000000" w:sz="4" w:space="0"/>
              <w:right w:val="single" w:color="000000" w:sz="4" w:space="0"/>
            </w:tcBorders>
            <w:noWrap/>
            <w:vAlign w:val="center"/>
          </w:tcPr>
          <w:p w14:paraId="7BC89C77">
            <w:pPr>
              <w:spacing w:line="500" w:lineRule="exact"/>
              <w:ind w:firstLine="420" w:firstLineChars="200"/>
              <w:jc w:val="center"/>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0.5</w:t>
            </w:r>
          </w:p>
        </w:tc>
        <w:tc>
          <w:tcPr>
            <w:tcW w:w="2634" w:type="dxa"/>
            <w:tcBorders>
              <w:top w:val="single" w:color="000000" w:sz="4" w:space="0"/>
              <w:left w:val="single" w:color="000000" w:sz="4" w:space="0"/>
              <w:bottom w:val="single" w:color="000000" w:sz="4" w:space="0"/>
              <w:right w:val="single" w:color="000000" w:sz="4" w:space="0"/>
            </w:tcBorders>
            <w:noWrap/>
            <w:vAlign w:val="center"/>
          </w:tcPr>
          <w:p w14:paraId="42BB3C17">
            <w:pPr>
              <w:spacing w:line="500" w:lineRule="exact"/>
              <w:ind w:firstLine="420" w:firstLineChars="200"/>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个（≥100g）</w:t>
            </w:r>
          </w:p>
        </w:tc>
      </w:tr>
      <w:tr w14:paraId="51D196FC">
        <w:tblPrEx>
          <w:tblCellMar>
            <w:top w:w="0" w:type="dxa"/>
            <w:left w:w="108" w:type="dxa"/>
            <w:bottom w:w="0" w:type="dxa"/>
            <w:right w:w="108" w:type="dxa"/>
          </w:tblCellMar>
        </w:tblPrEx>
        <w:trPr>
          <w:trHeight w:val="340" w:hRule="atLeast"/>
          <w:jc w:val="center"/>
        </w:trPr>
        <w:tc>
          <w:tcPr>
            <w:tcW w:w="3607" w:type="dxa"/>
            <w:tcBorders>
              <w:top w:val="single" w:color="000000" w:sz="4" w:space="0"/>
              <w:left w:val="single" w:color="000000" w:sz="4" w:space="0"/>
              <w:bottom w:val="single" w:color="000000" w:sz="4" w:space="0"/>
              <w:right w:val="single" w:color="000000" w:sz="4" w:space="0"/>
            </w:tcBorders>
            <w:noWrap/>
            <w:vAlign w:val="center"/>
          </w:tcPr>
          <w:p w14:paraId="4C2AC120">
            <w:pPr>
              <w:spacing w:line="500" w:lineRule="exact"/>
              <w:ind w:firstLine="420" w:firstLineChars="200"/>
              <w:jc w:val="center"/>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花卷</w:t>
            </w:r>
          </w:p>
        </w:tc>
        <w:tc>
          <w:tcPr>
            <w:tcW w:w="2888" w:type="dxa"/>
            <w:tcBorders>
              <w:top w:val="single" w:color="000000" w:sz="4" w:space="0"/>
              <w:left w:val="single" w:color="000000" w:sz="4" w:space="0"/>
              <w:bottom w:val="single" w:color="000000" w:sz="4" w:space="0"/>
              <w:right w:val="single" w:color="000000" w:sz="4" w:space="0"/>
            </w:tcBorders>
            <w:noWrap/>
            <w:vAlign w:val="center"/>
          </w:tcPr>
          <w:p w14:paraId="44A9392F">
            <w:pPr>
              <w:spacing w:line="500" w:lineRule="exact"/>
              <w:ind w:firstLine="420" w:firstLineChars="200"/>
              <w:jc w:val="center"/>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0.6</w:t>
            </w:r>
          </w:p>
        </w:tc>
        <w:tc>
          <w:tcPr>
            <w:tcW w:w="2634" w:type="dxa"/>
            <w:tcBorders>
              <w:top w:val="single" w:color="000000" w:sz="4" w:space="0"/>
              <w:left w:val="single" w:color="000000" w:sz="4" w:space="0"/>
              <w:bottom w:val="single" w:color="000000" w:sz="4" w:space="0"/>
              <w:right w:val="single" w:color="000000" w:sz="4" w:space="0"/>
            </w:tcBorders>
            <w:noWrap/>
            <w:vAlign w:val="center"/>
          </w:tcPr>
          <w:p w14:paraId="575C6112">
            <w:pPr>
              <w:spacing w:line="500" w:lineRule="exact"/>
              <w:ind w:firstLine="420" w:firstLineChars="200"/>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个（≥100g）</w:t>
            </w:r>
          </w:p>
        </w:tc>
      </w:tr>
      <w:tr w14:paraId="17AACB93">
        <w:tblPrEx>
          <w:tblCellMar>
            <w:top w:w="0" w:type="dxa"/>
            <w:left w:w="108" w:type="dxa"/>
            <w:bottom w:w="0" w:type="dxa"/>
            <w:right w:w="108" w:type="dxa"/>
          </w:tblCellMar>
        </w:tblPrEx>
        <w:trPr>
          <w:trHeight w:val="340" w:hRule="atLeast"/>
          <w:jc w:val="center"/>
        </w:trPr>
        <w:tc>
          <w:tcPr>
            <w:tcW w:w="3607" w:type="dxa"/>
            <w:tcBorders>
              <w:top w:val="single" w:color="000000" w:sz="4" w:space="0"/>
              <w:left w:val="single" w:color="000000" w:sz="4" w:space="0"/>
              <w:bottom w:val="single" w:color="000000" w:sz="4" w:space="0"/>
              <w:right w:val="single" w:color="000000" w:sz="4" w:space="0"/>
            </w:tcBorders>
            <w:noWrap/>
            <w:vAlign w:val="center"/>
          </w:tcPr>
          <w:p w14:paraId="6B7F9F42">
            <w:pPr>
              <w:spacing w:line="500" w:lineRule="exact"/>
              <w:ind w:firstLine="420" w:firstLineChars="200"/>
              <w:jc w:val="center"/>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发糕</w:t>
            </w:r>
          </w:p>
        </w:tc>
        <w:tc>
          <w:tcPr>
            <w:tcW w:w="2888" w:type="dxa"/>
            <w:tcBorders>
              <w:top w:val="single" w:color="000000" w:sz="4" w:space="0"/>
              <w:left w:val="single" w:color="000000" w:sz="4" w:space="0"/>
              <w:bottom w:val="single" w:color="000000" w:sz="4" w:space="0"/>
              <w:right w:val="single" w:color="000000" w:sz="4" w:space="0"/>
            </w:tcBorders>
            <w:noWrap/>
            <w:vAlign w:val="center"/>
          </w:tcPr>
          <w:p w14:paraId="51BD4AAA">
            <w:pPr>
              <w:spacing w:line="500" w:lineRule="exact"/>
              <w:ind w:firstLine="420" w:firstLineChars="200"/>
              <w:jc w:val="center"/>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0.7</w:t>
            </w:r>
          </w:p>
        </w:tc>
        <w:tc>
          <w:tcPr>
            <w:tcW w:w="2634" w:type="dxa"/>
            <w:tcBorders>
              <w:top w:val="single" w:color="000000" w:sz="4" w:space="0"/>
              <w:left w:val="single" w:color="000000" w:sz="4" w:space="0"/>
              <w:bottom w:val="single" w:color="000000" w:sz="4" w:space="0"/>
              <w:right w:val="single" w:color="000000" w:sz="4" w:space="0"/>
            </w:tcBorders>
            <w:noWrap/>
            <w:vAlign w:val="center"/>
          </w:tcPr>
          <w:p w14:paraId="271E5020">
            <w:pPr>
              <w:spacing w:line="500" w:lineRule="exact"/>
              <w:ind w:firstLine="420" w:firstLineChars="200"/>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个（≥100g）</w:t>
            </w:r>
          </w:p>
        </w:tc>
      </w:tr>
      <w:tr w14:paraId="6D25702B">
        <w:tblPrEx>
          <w:tblCellMar>
            <w:top w:w="0" w:type="dxa"/>
            <w:left w:w="108" w:type="dxa"/>
            <w:bottom w:w="0" w:type="dxa"/>
            <w:right w:w="108" w:type="dxa"/>
          </w:tblCellMar>
        </w:tblPrEx>
        <w:trPr>
          <w:trHeight w:val="340" w:hRule="atLeast"/>
          <w:jc w:val="center"/>
        </w:trPr>
        <w:tc>
          <w:tcPr>
            <w:tcW w:w="3607" w:type="dxa"/>
            <w:tcBorders>
              <w:top w:val="single" w:color="000000" w:sz="4" w:space="0"/>
              <w:left w:val="single" w:color="000000" w:sz="4" w:space="0"/>
              <w:bottom w:val="single" w:color="000000" w:sz="4" w:space="0"/>
              <w:right w:val="single" w:color="000000" w:sz="4" w:space="0"/>
            </w:tcBorders>
            <w:noWrap/>
            <w:vAlign w:val="center"/>
          </w:tcPr>
          <w:p w14:paraId="564900DA">
            <w:pPr>
              <w:spacing w:line="500" w:lineRule="exact"/>
              <w:ind w:firstLine="420" w:firstLineChars="200"/>
              <w:jc w:val="center"/>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白水蛋</w:t>
            </w:r>
          </w:p>
        </w:tc>
        <w:tc>
          <w:tcPr>
            <w:tcW w:w="2888" w:type="dxa"/>
            <w:tcBorders>
              <w:top w:val="single" w:color="000000" w:sz="4" w:space="0"/>
              <w:left w:val="single" w:color="000000" w:sz="4" w:space="0"/>
              <w:bottom w:val="single" w:color="000000" w:sz="4" w:space="0"/>
              <w:right w:val="single" w:color="000000" w:sz="4" w:space="0"/>
            </w:tcBorders>
            <w:noWrap/>
            <w:vAlign w:val="center"/>
          </w:tcPr>
          <w:p w14:paraId="48815993">
            <w:pPr>
              <w:spacing w:line="500" w:lineRule="exact"/>
              <w:ind w:firstLine="420" w:firstLineChars="200"/>
              <w:jc w:val="center"/>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1</w:t>
            </w:r>
          </w:p>
        </w:tc>
        <w:tc>
          <w:tcPr>
            <w:tcW w:w="2634" w:type="dxa"/>
            <w:tcBorders>
              <w:top w:val="single" w:color="000000" w:sz="4" w:space="0"/>
              <w:left w:val="single" w:color="000000" w:sz="4" w:space="0"/>
              <w:bottom w:val="single" w:color="000000" w:sz="4" w:space="0"/>
              <w:right w:val="single" w:color="000000" w:sz="4" w:space="0"/>
            </w:tcBorders>
            <w:noWrap/>
            <w:vAlign w:val="center"/>
          </w:tcPr>
          <w:p w14:paraId="5A464F6C">
            <w:pPr>
              <w:spacing w:line="500" w:lineRule="exact"/>
              <w:ind w:firstLine="420" w:firstLineChars="200"/>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个</w:t>
            </w:r>
          </w:p>
        </w:tc>
      </w:tr>
      <w:tr w14:paraId="7BDA5747">
        <w:tblPrEx>
          <w:tblCellMar>
            <w:top w:w="0" w:type="dxa"/>
            <w:left w:w="108" w:type="dxa"/>
            <w:bottom w:w="0" w:type="dxa"/>
            <w:right w:w="108" w:type="dxa"/>
          </w:tblCellMar>
        </w:tblPrEx>
        <w:trPr>
          <w:trHeight w:val="340" w:hRule="atLeast"/>
          <w:jc w:val="center"/>
        </w:trPr>
        <w:tc>
          <w:tcPr>
            <w:tcW w:w="3607" w:type="dxa"/>
            <w:tcBorders>
              <w:top w:val="single" w:color="000000" w:sz="4" w:space="0"/>
              <w:left w:val="single" w:color="000000" w:sz="4" w:space="0"/>
              <w:bottom w:val="single" w:color="000000" w:sz="4" w:space="0"/>
              <w:right w:val="single" w:color="000000" w:sz="4" w:space="0"/>
            </w:tcBorders>
            <w:noWrap/>
            <w:vAlign w:val="center"/>
          </w:tcPr>
          <w:p w14:paraId="0CD1D9F2">
            <w:pPr>
              <w:spacing w:line="500" w:lineRule="exact"/>
              <w:ind w:firstLine="420" w:firstLineChars="200"/>
              <w:jc w:val="center"/>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鲜肉包</w:t>
            </w:r>
          </w:p>
        </w:tc>
        <w:tc>
          <w:tcPr>
            <w:tcW w:w="2888" w:type="dxa"/>
            <w:tcBorders>
              <w:top w:val="single" w:color="000000" w:sz="4" w:space="0"/>
              <w:left w:val="single" w:color="000000" w:sz="4" w:space="0"/>
              <w:bottom w:val="single" w:color="000000" w:sz="4" w:space="0"/>
              <w:right w:val="single" w:color="000000" w:sz="4" w:space="0"/>
            </w:tcBorders>
            <w:noWrap/>
            <w:vAlign w:val="center"/>
          </w:tcPr>
          <w:p w14:paraId="0245058F">
            <w:pPr>
              <w:spacing w:line="500" w:lineRule="exact"/>
              <w:ind w:firstLine="420" w:firstLineChars="200"/>
              <w:jc w:val="center"/>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0.8</w:t>
            </w:r>
          </w:p>
        </w:tc>
        <w:tc>
          <w:tcPr>
            <w:tcW w:w="2634" w:type="dxa"/>
            <w:tcBorders>
              <w:top w:val="single" w:color="000000" w:sz="4" w:space="0"/>
              <w:left w:val="single" w:color="000000" w:sz="4" w:space="0"/>
              <w:bottom w:val="single" w:color="000000" w:sz="4" w:space="0"/>
              <w:right w:val="single" w:color="000000" w:sz="4" w:space="0"/>
            </w:tcBorders>
            <w:noWrap/>
            <w:vAlign w:val="center"/>
          </w:tcPr>
          <w:p w14:paraId="69BB3F1B">
            <w:pPr>
              <w:spacing w:line="500" w:lineRule="exact"/>
              <w:ind w:firstLine="420" w:firstLineChars="200"/>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个（≥80克）</w:t>
            </w:r>
          </w:p>
        </w:tc>
      </w:tr>
      <w:tr w14:paraId="33F86AF4">
        <w:tblPrEx>
          <w:tblCellMar>
            <w:top w:w="0" w:type="dxa"/>
            <w:left w:w="108" w:type="dxa"/>
            <w:bottom w:w="0" w:type="dxa"/>
            <w:right w:w="108" w:type="dxa"/>
          </w:tblCellMar>
        </w:tblPrEx>
        <w:trPr>
          <w:trHeight w:val="340" w:hRule="atLeast"/>
          <w:jc w:val="center"/>
        </w:trPr>
        <w:tc>
          <w:tcPr>
            <w:tcW w:w="3607" w:type="dxa"/>
            <w:tcBorders>
              <w:top w:val="single" w:color="000000" w:sz="4" w:space="0"/>
              <w:left w:val="single" w:color="000000" w:sz="4" w:space="0"/>
              <w:bottom w:val="single" w:color="000000" w:sz="4" w:space="0"/>
              <w:right w:val="single" w:color="000000" w:sz="4" w:space="0"/>
            </w:tcBorders>
            <w:noWrap/>
            <w:vAlign w:val="center"/>
          </w:tcPr>
          <w:p w14:paraId="1957559A">
            <w:pPr>
              <w:spacing w:line="500" w:lineRule="exact"/>
              <w:ind w:firstLine="420" w:firstLineChars="200"/>
              <w:jc w:val="center"/>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煎蛋</w:t>
            </w:r>
          </w:p>
        </w:tc>
        <w:tc>
          <w:tcPr>
            <w:tcW w:w="2888" w:type="dxa"/>
            <w:tcBorders>
              <w:top w:val="single" w:color="000000" w:sz="4" w:space="0"/>
              <w:left w:val="single" w:color="000000" w:sz="4" w:space="0"/>
              <w:bottom w:val="single" w:color="000000" w:sz="4" w:space="0"/>
              <w:right w:val="single" w:color="000000" w:sz="4" w:space="0"/>
            </w:tcBorders>
            <w:noWrap/>
            <w:vAlign w:val="center"/>
          </w:tcPr>
          <w:p w14:paraId="3E4D1BBF">
            <w:pPr>
              <w:spacing w:line="500" w:lineRule="exact"/>
              <w:ind w:firstLine="420" w:firstLineChars="200"/>
              <w:jc w:val="center"/>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1.5</w:t>
            </w:r>
          </w:p>
        </w:tc>
        <w:tc>
          <w:tcPr>
            <w:tcW w:w="2634" w:type="dxa"/>
            <w:tcBorders>
              <w:top w:val="single" w:color="000000" w:sz="4" w:space="0"/>
              <w:left w:val="single" w:color="000000" w:sz="4" w:space="0"/>
              <w:bottom w:val="single" w:color="000000" w:sz="4" w:space="0"/>
              <w:right w:val="single" w:color="000000" w:sz="4" w:space="0"/>
            </w:tcBorders>
            <w:noWrap/>
            <w:vAlign w:val="center"/>
          </w:tcPr>
          <w:p w14:paraId="5CBA116C">
            <w:pPr>
              <w:spacing w:line="500" w:lineRule="exact"/>
              <w:ind w:firstLine="420" w:firstLineChars="200"/>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个</w:t>
            </w:r>
          </w:p>
        </w:tc>
      </w:tr>
      <w:tr w14:paraId="2EC7BA7C">
        <w:tblPrEx>
          <w:tblCellMar>
            <w:top w:w="0" w:type="dxa"/>
            <w:left w:w="108" w:type="dxa"/>
            <w:bottom w:w="0" w:type="dxa"/>
            <w:right w:w="108" w:type="dxa"/>
          </w:tblCellMar>
        </w:tblPrEx>
        <w:trPr>
          <w:trHeight w:val="340" w:hRule="atLeast"/>
          <w:jc w:val="center"/>
        </w:trPr>
        <w:tc>
          <w:tcPr>
            <w:tcW w:w="3607" w:type="dxa"/>
            <w:tcBorders>
              <w:top w:val="single" w:color="000000" w:sz="4" w:space="0"/>
              <w:left w:val="single" w:color="000000" w:sz="4" w:space="0"/>
              <w:bottom w:val="single" w:color="000000" w:sz="4" w:space="0"/>
              <w:right w:val="single" w:color="000000" w:sz="4" w:space="0"/>
            </w:tcBorders>
            <w:noWrap/>
            <w:vAlign w:val="center"/>
          </w:tcPr>
          <w:p w14:paraId="6F0B25FD">
            <w:pPr>
              <w:spacing w:line="500" w:lineRule="exact"/>
              <w:ind w:firstLine="420" w:firstLineChars="200"/>
              <w:jc w:val="center"/>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卤蛋</w:t>
            </w:r>
          </w:p>
        </w:tc>
        <w:tc>
          <w:tcPr>
            <w:tcW w:w="2888" w:type="dxa"/>
            <w:tcBorders>
              <w:top w:val="single" w:color="000000" w:sz="4" w:space="0"/>
              <w:left w:val="single" w:color="000000" w:sz="4" w:space="0"/>
              <w:bottom w:val="single" w:color="000000" w:sz="4" w:space="0"/>
              <w:right w:val="single" w:color="000000" w:sz="4" w:space="0"/>
            </w:tcBorders>
            <w:noWrap/>
            <w:vAlign w:val="center"/>
          </w:tcPr>
          <w:p w14:paraId="204164E2">
            <w:pPr>
              <w:spacing w:line="500" w:lineRule="exact"/>
              <w:ind w:firstLine="420" w:firstLineChars="200"/>
              <w:jc w:val="center"/>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1.5</w:t>
            </w:r>
          </w:p>
        </w:tc>
        <w:tc>
          <w:tcPr>
            <w:tcW w:w="2634" w:type="dxa"/>
            <w:tcBorders>
              <w:top w:val="single" w:color="000000" w:sz="4" w:space="0"/>
              <w:left w:val="single" w:color="000000" w:sz="4" w:space="0"/>
              <w:bottom w:val="single" w:color="000000" w:sz="4" w:space="0"/>
              <w:right w:val="single" w:color="000000" w:sz="4" w:space="0"/>
            </w:tcBorders>
            <w:noWrap/>
            <w:vAlign w:val="center"/>
          </w:tcPr>
          <w:p w14:paraId="0E63AB20">
            <w:pPr>
              <w:spacing w:line="500" w:lineRule="exact"/>
              <w:ind w:firstLine="420" w:firstLineChars="200"/>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个</w:t>
            </w:r>
          </w:p>
        </w:tc>
      </w:tr>
      <w:tr w14:paraId="3D41CDD0">
        <w:tblPrEx>
          <w:tblCellMar>
            <w:top w:w="0" w:type="dxa"/>
            <w:left w:w="108" w:type="dxa"/>
            <w:bottom w:w="0" w:type="dxa"/>
            <w:right w:w="108" w:type="dxa"/>
          </w:tblCellMar>
        </w:tblPrEx>
        <w:trPr>
          <w:trHeight w:val="340" w:hRule="atLeast"/>
          <w:jc w:val="center"/>
        </w:trPr>
        <w:tc>
          <w:tcPr>
            <w:tcW w:w="3607" w:type="dxa"/>
            <w:tcBorders>
              <w:top w:val="single" w:color="000000" w:sz="4" w:space="0"/>
              <w:left w:val="single" w:color="000000" w:sz="4" w:space="0"/>
              <w:bottom w:val="single" w:color="000000" w:sz="4" w:space="0"/>
              <w:right w:val="single" w:color="000000" w:sz="4" w:space="0"/>
            </w:tcBorders>
            <w:noWrap/>
            <w:vAlign w:val="center"/>
          </w:tcPr>
          <w:p w14:paraId="1CFCAF4D">
            <w:pPr>
              <w:spacing w:line="500" w:lineRule="exact"/>
              <w:ind w:firstLine="420" w:firstLineChars="200"/>
              <w:jc w:val="center"/>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豆浆</w:t>
            </w:r>
          </w:p>
        </w:tc>
        <w:tc>
          <w:tcPr>
            <w:tcW w:w="2888" w:type="dxa"/>
            <w:tcBorders>
              <w:top w:val="single" w:color="000000" w:sz="4" w:space="0"/>
              <w:left w:val="single" w:color="000000" w:sz="4" w:space="0"/>
              <w:bottom w:val="single" w:color="000000" w:sz="4" w:space="0"/>
              <w:right w:val="single" w:color="000000" w:sz="4" w:space="0"/>
            </w:tcBorders>
            <w:noWrap/>
            <w:vAlign w:val="center"/>
          </w:tcPr>
          <w:p w14:paraId="68AC957F">
            <w:pPr>
              <w:spacing w:line="500" w:lineRule="exact"/>
              <w:ind w:firstLine="420" w:firstLineChars="200"/>
              <w:jc w:val="center"/>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0.7</w:t>
            </w:r>
          </w:p>
        </w:tc>
        <w:tc>
          <w:tcPr>
            <w:tcW w:w="2634" w:type="dxa"/>
            <w:tcBorders>
              <w:top w:val="single" w:color="000000" w:sz="4" w:space="0"/>
              <w:left w:val="single" w:color="000000" w:sz="4" w:space="0"/>
              <w:bottom w:val="single" w:color="000000" w:sz="4" w:space="0"/>
              <w:right w:val="single" w:color="000000" w:sz="4" w:space="0"/>
            </w:tcBorders>
            <w:noWrap/>
            <w:vAlign w:val="center"/>
          </w:tcPr>
          <w:p w14:paraId="3A47E428">
            <w:pPr>
              <w:spacing w:line="500" w:lineRule="exact"/>
              <w:ind w:firstLine="420" w:firstLineChars="200"/>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碗（≥330ml）</w:t>
            </w:r>
          </w:p>
        </w:tc>
      </w:tr>
      <w:tr w14:paraId="6A09BF9B">
        <w:tblPrEx>
          <w:tblCellMar>
            <w:top w:w="0" w:type="dxa"/>
            <w:left w:w="108" w:type="dxa"/>
            <w:bottom w:w="0" w:type="dxa"/>
            <w:right w:w="108" w:type="dxa"/>
          </w:tblCellMar>
        </w:tblPrEx>
        <w:trPr>
          <w:trHeight w:val="340" w:hRule="atLeast"/>
          <w:jc w:val="center"/>
        </w:trPr>
        <w:tc>
          <w:tcPr>
            <w:tcW w:w="3607" w:type="dxa"/>
            <w:tcBorders>
              <w:top w:val="single" w:color="000000" w:sz="4" w:space="0"/>
              <w:left w:val="single" w:color="000000" w:sz="4" w:space="0"/>
              <w:bottom w:val="single" w:color="000000" w:sz="4" w:space="0"/>
              <w:right w:val="single" w:color="000000" w:sz="4" w:space="0"/>
            </w:tcBorders>
            <w:noWrap/>
            <w:vAlign w:val="center"/>
          </w:tcPr>
          <w:p w14:paraId="7CFC8010">
            <w:pPr>
              <w:spacing w:line="500" w:lineRule="exact"/>
              <w:ind w:firstLine="420" w:firstLineChars="200"/>
              <w:jc w:val="center"/>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油条</w:t>
            </w:r>
          </w:p>
        </w:tc>
        <w:tc>
          <w:tcPr>
            <w:tcW w:w="2888" w:type="dxa"/>
            <w:tcBorders>
              <w:top w:val="single" w:color="000000" w:sz="4" w:space="0"/>
              <w:left w:val="single" w:color="000000" w:sz="4" w:space="0"/>
              <w:bottom w:val="single" w:color="000000" w:sz="4" w:space="0"/>
              <w:right w:val="single" w:color="000000" w:sz="4" w:space="0"/>
            </w:tcBorders>
            <w:noWrap/>
            <w:vAlign w:val="center"/>
          </w:tcPr>
          <w:p w14:paraId="042FDFD2">
            <w:pPr>
              <w:spacing w:line="500" w:lineRule="exact"/>
              <w:ind w:firstLine="420" w:firstLineChars="200"/>
              <w:jc w:val="center"/>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1</w:t>
            </w:r>
          </w:p>
        </w:tc>
        <w:tc>
          <w:tcPr>
            <w:tcW w:w="2634" w:type="dxa"/>
            <w:tcBorders>
              <w:top w:val="single" w:color="000000" w:sz="4" w:space="0"/>
              <w:left w:val="single" w:color="000000" w:sz="4" w:space="0"/>
              <w:bottom w:val="single" w:color="000000" w:sz="4" w:space="0"/>
              <w:right w:val="single" w:color="000000" w:sz="4" w:space="0"/>
            </w:tcBorders>
            <w:noWrap/>
            <w:vAlign w:val="center"/>
          </w:tcPr>
          <w:p w14:paraId="05E062B9">
            <w:pPr>
              <w:spacing w:line="500" w:lineRule="exact"/>
              <w:ind w:firstLine="420" w:firstLineChars="200"/>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根（≥80g）</w:t>
            </w:r>
          </w:p>
        </w:tc>
      </w:tr>
      <w:tr w14:paraId="15BA5D6B">
        <w:tblPrEx>
          <w:tblCellMar>
            <w:top w:w="0" w:type="dxa"/>
            <w:left w:w="108" w:type="dxa"/>
            <w:bottom w:w="0" w:type="dxa"/>
            <w:right w:w="108" w:type="dxa"/>
          </w:tblCellMar>
        </w:tblPrEx>
        <w:trPr>
          <w:trHeight w:val="340" w:hRule="atLeast"/>
          <w:jc w:val="center"/>
        </w:trPr>
        <w:tc>
          <w:tcPr>
            <w:tcW w:w="3607" w:type="dxa"/>
            <w:tcBorders>
              <w:top w:val="single" w:color="000000" w:sz="4" w:space="0"/>
              <w:left w:val="single" w:color="000000" w:sz="4" w:space="0"/>
              <w:bottom w:val="single" w:color="000000" w:sz="4" w:space="0"/>
              <w:right w:val="single" w:color="000000" w:sz="4" w:space="0"/>
            </w:tcBorders>
            <w:noWrap/>
            <w:vAlign w:val="center"/>
          </w:tcPr>
          <w:p w14:paraId="1A3F9500">
            <w:pPr>
              <w:spacing w:line="500" w:lineRule="exact"/>
              <w:ind w:firstLine="420" w:firstLineChars="200"/>
              <w:jc w:val="center"/>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白粥</w:t>
            </w:r>
          </w:p>
        </w:tc>
        <w:tc>
          <w:tcPr>
            <w:tcW w:w="2888" w:type="dxa"/>
            <w:tcBorders>
              <w:top w:val="single" w:color="000000" w:sz="4" w:space="0"/>
              <w:left w:val="single" w:color="000000" w:sz="4" w:space="0"/>
              <w:bottom w:val="single" w:color="000000" w:sz="4" w:space="0"/>
              <w:right w:val="single" w:color="000000" w:sz="4" w:space="0"/>
            </w:tcBorders>
            <w:noWrap/>
            <w:vAlign w:val="center"/>
          </w:tcPr>
          <w:p w14:paraId="3477B0D2">
            <w:pPr>
              <w:spacing w:line="500" w:lineRule="exact"/>
              <w:ind w:firstLine="420" w:firstLineChars="200"/>
              <w:jc w:val="center"/>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0.5</w:t>
            </w:r>
          </w:p>
        </w:tc>
        <w:tc>
          <w:tcPr>
            <w:tcW w:w="2634" w:type="dxa"/>
            <w:tcBorders>
              <w:top w:val="single" w:color="000000" w:sz="4" w:space="0"/>
              <w:left w:val="single" w:color="000000" w:sz="4" w:space="0"/>
              <w:bottom w:val="single" w:color="000000" w:sz="4" w:space="0"/>
              <w:right w:val="single" w:color="000000" w:sz="4" w:space="0"/>
            </w:tcBorders>
            <w:noWrap/>
            <w:vAlign w:val="center"/>
          </w:tcPr>
          <w:p w14:paraId="20B634D7">
            <w:pPr>
              <w:spacing w:line="500" w:lineRule="exact"/>
              <w:ind w:firstLine="420" w:firstLineChars="200"/>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碗（≥330ml）</w:t>
            </w:r>
          </w:p>
        </w:tc>
      </w:tr>
      <w:tr w14:paraId="19F08E2B">
        <w:tblPrEx>
          <w:tblCellMar>
            <w:top w:w="0" w:type="dxa"/>
            <w:left w:w="108" w:type="dxa"/>
            <w:bottom w:w="0" w:type="dxa"/>
            <w:right w:w="108" w:type="dxa"/>
          </w:tblCellMar>
        </w:tblPrEx>
        <w:trPr>
          <w:trHeight w:val="340" w:hRule="atLeast"/>
          <w:jc w:val="center"/>
        </w:trPr>
        <w:tc>
          <w:tcPr>
            <w:tcW w:w="3607" w:type="dxa"/>
            <w:vMerge w:val="restart"/>
            <w:tcBorders>
              <w:top w:val="single" w:color="000000" w:sz="4" w:space="0"/>
              <w:left w:val="single" w:color="000000" w:sz="4" w:space="0"/>
              <w:bottom w:val="single" w:color="000000" w:sz="4" w:space="0"/>
              <w:right w:val="single" w:color="000000" w:sz="4" w:space="0"/>
            </w:tcBorders>
            <w:noWrap/>
            <w:vAlign w:val="center"/>
          </w:tcPr>
          <w:p w14:paraId="70697192">
            <w:pPr>
              <w:spacing w:line="500" w:lineRule="exact"/>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汤或干拌（面、</w:t>
            </w:r>
            <w:r>
              <w:rPr>
                <w:rFonts w:hint="eastAsia" w:ascii="方正仿宋_GBK" w:hAnsi="宋体" w:eastAsia="方正仿宋_GBK" w:cs="宋体"/>
                <w:color w:val="auto"/>
                <w:sz w:val="21"/>
                <w:szCs w:val="21"/>
                <w:lang w:val="zh-CN"/>
              </w:rPr>
              <w:t>米线、</w:t>
            </w:r>
            <w:r>
              <w:rPr>
                <w:rFonts w:hint="eastAsia" w:ascii="方正仿宋_GBK" w:hAnsi="宋体" w:eastAsia="方正仿宋_GBK" w:cs="宋体"/>
                <w:color w:val="auto"/>
                <w:sz w:val="21"/>
                <w:szCs w:val="21"/>
              </w:rPr>
              <w:t>粉、刀削）</w:t>
            </w:r>
          </w:p>
        </w:tc>
        <w:tc>
          <w:tcPr>
            <w:tcW w:w="2888" w:type="dxa"/>
            <w:tcBorders>
              <w:top w:val="single" w:color="000000" w:sz="4" w:space="0"/>
              <w:left w:val="single" w:color="000000" w:sz="4" w:space="0"/>
              <w:bottom w:val="single" w:color="000000" w:sz="4" w:space="0"/>
              <w:right w:val="single" w:color="000000" w:sz="4" w:space="0"/>
            </w:tcBorders>
            <w:noWrap/>
            <w:vAlign w:val="center"/>
          </w:tcPr>
          <w:p w14:paraId="25BFA861">
            <w:pPr>
              <w:spacing w:line="500" w:lineRule="exact"/>
              <w:ind w:firstLine="420" w:firstLineChars="200"/>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4.5</w:t>
            </w:r>
          </w:p>
        </w:tc>
        <w:tc>
          <w:tcPr>
            <w:tcW w:w="2634" w:type="dxa"/>
            <w:tcBorders>
              <w:top w:val="single" w:color="000000" w:sz="4" w:space="0"/>
              <w:left w:val="single" w:color="000000" w:sz="4" w:space="0"/>
              <w:bottom w:val="single" w:color="000000" w:sz="4" w:space="0"/>
              <w:right w:val="single" w:color="000000" w:sz="4" w:space="0"/>
            </w:tcBorders>
            <w:noWrap/>
            <w:vAlign w:val="center"/>
          </w:tcPr>
          <w:p w14:paraId="52DA796C">
            <w:pPr>
              <w:spacing w:line="500" w:lineRule="exact"/>
              <w:ind w:firstLine="420" w:firstLineChars="200"/>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1两</w:t>
            </w:r>
          </w:p>
        </w:tc>
      </w:tr>
      <w:tr w14:paraId="77DA4A27">
        <w:tblPrEx>
          <w:tblCellMar>
            <w:top w:w="0" w:type="dxa"/>
            <w:left w:w="108" w:type="dxa"/>
            <w:bottom w:w="0" w:type="dxa"/>
            <w:right w:w="108" w:type="dxa"/>
          </w:tblCellMar>
        </w:tblPrEx>
        <w:trPr>
          <w:trHeight w:val="340" w:hRule="atLeast"/>
          <w:jc w:val="center"/>
        </w:trPr>
        <w:tc>
          <w:tcPr>
            <w:tcW w:w="3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714631">
            <w:pPr>
              <w:widowControl/>
              <w:spacing w:line="500" w:lineRule="exact"/>
              <w:jc w:val="left"/>
              <w:rPr>
                <w:rFonts w:hint="eastAsia" w:ascii="方正仿宋_GBK" w:hAnsi="宋体" w:eastAsia="方正仿宋_GBK" w:cs="宋体"/>
                <w:color w:val="auto"/>
                <w:sz w:val="21"/>
                <w:szCs w:val="21"/>
              </w:rPr>
            </w:pPr>
          </w:p>
        </w:tc>
        <w:tc>
          <w:tcPr>
            <w:tcW w:w="2888" w:type="dxa"/>
            <w:tcBorders>
              <w:top w:val="single" w:color="000000" w:sz="4" w:space="0"/>
              <w:left w:val="single" w:color="000000" w:sz="4" w:space="0"/>
              <w:bottom w:val="single" w:color="000000" w:sz="4" w:space="0"/>
              <w:right w:val="single" w:color="000000" w:sz="4" w:space="0"/>
            </w:tcBorders>
            <w:noWrap/>
            <w:vAlign w:val="center"/>
          </w:tcPr>
          <w:p w14:paraId="1DC5CBC3">
            <w:pPr>
              <w:spacing w:line="500" w:lineRule="exact"/>
              <w:ind w:firstLine="420" w:firstLineChars="200"/>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6</w:t>
            </w:r>
          </w:p>
        </w:tc>
        <w:tc>
          <w:tcPr>
            <w:tcW w:w="2634" w:type="dxa"/>
            <w:tcBorders>
              <w:top w:val="single" w:color="000000" w:sz="4" w:space="0"/>
              <w:left w:val="single" w:color="000000" w:sz="4" w:space="0"/>
              <w:bottom w:val="single" w:color="000000" w:sz="4" w:space="0"/>
              <w:right w:val="single" w:color="000000" w:sz="4" w:space="0"/>
            </w:tcBorders>
            <w:noWrap/>
            <w:vAlign w:val="center"/>
          </w:tcPr>
          <w:p w14:paraId="7E54B75A">
            <w:pPr>
              <w:spacing w:line="500" w:lineRule="exact"/>
              <w:ind w:firstLine="420" w:firstLineChars="200"/>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2两</w:t>
            </w:r>
          </w:p>
        </w:tc>
      </w:tr>
      <w:tr w14:paraId="6519D13D">
        <w:tblPrEx>
          <w:tblCellMar>
            <w:top w:w="0" w:type="dxa"/>
            <w:left w:w="108" w:type="dxa"/>
            <w:bottom w:w="0" w:type="dxa"/>
            <w:right w:w="108" w:type="dxa"/>
          </w:tblCellMar>
        </w:tblPrEx>
        <w:trPr>
          <w:trHeight w:val="340" w:hRule="atLeast"/>
          <w:jc w:val="center"/>
        </w:trPr>
        <w:tc>
          <w:tcPr>
            <w:tcW w:w="360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3730B4">
            <w:pPr>
              <w:widowControl/>
              <w:spacing w:line="500" w:lineRule="exact"/>
              <w:jc w:val="left"/>
              <w:rPr>
                <w:rFonts w:hint="eastAsia" w:ascii="方正仿宋_GBK" w:hAnsi="宋体" w:eastAsia="方正仿宋_GBK" w:cs="宋体"/>
                <w:color w:val="auto"/>
                <w:sz w:val="21"/>
                <w:szCs w:val="21"/>
              </w:rPr>
            </w:pPr>
          </w:p>
        </w:tc>
        <w:tc>
          <w:tcPr>
            <w:tcW w:w="2888" w:type="dxa"/>
            <w:tcBorders>
              <w:top w:val="single" w:color="000000" w:sz="4" w:space="0"/>
              <w:left w:val="single" w:color="000000" w:sz="4" w:space="0"/>
              <w:bottom w:val="single" w:color="000000" w:sz="4" w:space="0"/>
              <w:right w:val="single" w:color="000000" w:sz="4" w:space="0"/>
            </w:tcBorders>
            <w:noWrap/>
            <w:vAlign w:val="center"/>
          </w:tcPr>
          <w:p w14:paraId="1FA9F276">
            <w:pPr>
              <w:spacing w:line="500" w:lineRule="exact"/>
              <w:ind w:firstLine="420" w:firstLineChars="200"/>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7</w:t>
            </w:r>
          </w:p>
        </w:tc>
        <w:tc>
          <w:tcPr>
            <w:tcW w:w="2634" w:type="dxa"/>
            <w:tcBorders>
              <w:top w:val="single" w:color="000000" w:sz="4" w:space="0"/>
              <w:left w:val="single" w:color="000000" w:sz="4" w:space="0"/>
              <w:bottom w:val="single" w:color="000000" w:sz="4" w:space="0"/>
              <w:right w:val="single" w:color="000000" w:sz="4" w:space="0"/>
            </w:tcBorders>
            <w:noWrap/>
            <w:vAlign w:val="center"/>
          </w:tcPr>
          <w:p w14:paraId="72AE1435">
            <w:pPr>
              <w:spacing w:line="500" w:lineRule="exact"/>
              <w:ind w:firstLine="420" w:firstLineChars="200"/>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3两</w:t>
            </w:r>
          </w:p>
        </w:tc>
      </w:tr>
    </w:tbl>
    <w:p w14:paraId="1905BA60">
      <w:pPr>
        <w:spacing w:line="500" w:lineRule="exact"/>
        <w:ind w:firstLine="420" w:firstLineChars="200"/>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（4）基本大伙餐价格参照以下标准（其中鲜猪肉菜品比例每餐不得低于4个品种）：</w:t>
      </w:r>
    </w:p>
    <w:tbl>
      <w:tblPr>
        <w:tblStyle w:val="59"/>
        <w:tblW w:w="9150" w:type="dxa"/>
        <w:jc w:val="center"/>
        <w:tblLayout w:type="fixed"/>
        <w:tblCellMar>
          <w:top w:w="0" w:type="dxa"/>
          <w:left w:w="108" w:type="dxa"/>
          <w:bottom w:w="0" w:type="dxa"/>
          <w:right w:w="108" w:type="dxa"/>
        </w:tblCellMar>
      </w:tblPr>
      <w:tblGrid>
        <w:gridCol w:w="1561"/>
        <w:gridCol w:w="1375"/>
        <w:gridCol w:w="989"/>
        <w:gridCol w:w="3132"/>
        <w:gridCol w:w="2093"/>
      </w:tblGrid>
      <w:tr w14:paraId="35D4E444">
        <w:tblPrEx>
          <w:tblCellMar>
            <w:top w:w="0" w:type="dxa"/>
            <w:left w:w="108" w:type="dxa"/>
            <w:bottom w:w="0" w:type="dxa"/>
            <w:right w:w="108" w:type="dxa"/>
          </w:tblCellMar>
        </w:tblPrEx>
        <w:trPr>
          <w:trHeight w:val="818" w:hRule="atLeast"/>
          <w:jc w:val="center"/>
        </w:trPr>
        <w:tc>
          <w:tcPr>
            <w:tcW w:w="2937" w:type="dxa"/>
            <w:gridSpan w:val="2"/>
            <w:tcBorders>
              <w:top w:val="single" w:color="000000" w:sz="4" w:space="0"/>
              <w:left w:val="single" w:color="000000" w:sz="4" w:space="0"/>
              <w:bottom w:val="single" w:color="000000" w:sz="4" w:space="0"/>
              <w:right w:val="single" w:color="000000" w:sz="4" w:space="0"/>
            </w:tcBorders>
            <w:noWrap/>
            <w:vAlign w:val="center"/>
          </w:tcPr>
          <w:p w14:paraId="129590E4">
            <w:pPr>
              <w:spacing w:line="500" w:lineRule="exact"/>
              <w:ind w:firstLine="420" w:firstLineChars="200"/>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品类</w:t>
            </w:r>
          </w:p>
        </w:tc>
        <w:tc>
          <w:tcPr>
            <w:tcW w:w="990" w:type="dxa"/>
            <w:tcBorders>
              <w:top w:val="single" w:color="000000" w:sz="4" w:space="0"/>
              <w:left w:val="single" w:color="000000" w:sz="4" w:space="0"/>
              <w:bottom w:val="single" w:color="000000" w:sz="4" w:space="0"/>
              <w:right w:val="single" w:color="000000" w:sz="4" w:space="0"/>
            </w:tcBorders>
            <w:noWrap/>
            <w:vAlign w:val="center"/>
          </w:tcPr>
          <w:p w14:paraId="4F23F171">
            <w:pPr>
              <w:spacing w:line="500" w:lineRule="exact"/>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售价（元）</w:t>
            </w:r>
          </w:p>
        </w:tc>
        <w:tc>
          <w:tcPr>
            <w:tcW w:w="3135" w:type="dxa"/>
            <w:tcBorders>
              <w:top w:val="single" w:color="000000" w:sz="4" w:space="0"/>
              <w:left w:val="single" w:color="000000" w:sz="4" w:space="0"/>
              <w:bottom w:val="single" w:color="000000" w:sz="4" w:space="0"/>
              <w:right w:val="single" w:color="000000" w:sz="4" w:space="0"/>
            </w:tcBorders>
            <w:noWrap/>
            <w:vAlign w:val="center"/>
          </w:tcPr>
          <w:p w14:paraId="5D1B639A">
            <w:pPr>
              <w:spacing w:line="500" w:lineRule="exact"/>
              <w:ind w:firstLine="420" w:firstLineChars="200"/>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荤菜类（g）（熟重）</w:t>
            </w:r>
          </w:p>
        </w:tc>
        <w:tc>
          <w:tcPr>
            <w:tcW w:w="2095" w:type="dxa"/>
            <w:tcBorders>
              <w:top w:val="single" w:color="000000" w:sz="4" w:space="0"/>
              <w:left w:val="single" w:color="000000" w:sz="4" w:space="0"/>
              <w:bottom w:val="single" w:color="000000" w:sz="4" w:space="0"/>
              <w:right w:val="single" w:color="000000" w:sz="4" w:space="0"/>
            </w:tcBorders>
            <w:noWrap/>
            <w:vAlign w:val="center"/>
          </w:tcPr>
          <w:p w14:paraId="0FF6C8CA">
            <w:pPr>
              <w:spacing w:line="500" w:lineRule="exact"/>
              <w:ind w:firstLine="420" w:firstLineChars="200"/>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素菜类（g）</w:t>
            </w:r>
          </w:p>
          <w:p w14:paraId="5DC96AB4">
            <w:pPr>
              <w:spacing w:line="500" w:lineRule="exact"/>
              <w:ind w:firstLine="420" w:firstLineChars="200"/>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（熟重）</w:t>
            </w:r>
          </w:p>
        </w:tc>
      </w:tr>
      <w:tr w14:paraId="251BEA4A">
        <w:tblPrEx>
          <w:tblCellMar>
            <w:top w:w="0" w:type="dxa"/>
            <w:left w:w="108" w:type="dxa"/>
            <w:bottom w:w="0" w:type="dxa"/>
            <w:right w:w="108" w:type="dxa"/>
          </w:tblCellMar>
        </w:tblPrEx>
        <w:trPr>
          <w:trHeight w:val="634" w:hRule="atLeast"/>
          <w:jc w:val="center"/>
        </w:trPr>
        <w:tc>
          <w:tcPr>
            <w:tcW w:w="1561" w:type="dxa"/>
            <w:tcBorders>
              <w:top w:val="single" w:color="000000" w:sz="4" w:space="0"/>
              <w:left w:val="single" w:color="000000" w:sz="4" w:space="0"/>
              <w:bottom w:val="single" w:color="auto" w:sz="4" w:space="0"/>
              <w:right w:val="single" w:color="000000" w:sz="4" w:space="0"/>
            </w:tcBorders>
            <w:noWrap/>
            <w:vAlign w:val="center"/>
          </w:tcPr>
          <w:p w14:paraId="65AC2BFF">
            <w:pPr>
              <w:spacing w:line="500" w:lineRule="exact"/>
              <w:jc w:val="center"/>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爱心餐</w:t>
            </w:r>
          </w:p>
          <w:p w14:paraId="3C1674FB">
            <w:pPr>
              <w:spacing w:line="500" w:lineRule="exact"/>
              <w:jc w:val="center"/>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米饭、汤免费</w:t>
            </w:r>
          </w:p>
        </w:tc>
        <w:tc>
          <w:tcPr>
            <w:tcW w:w="1376" w:type="dxa"/>
            <w:tcBorders>
              <w:top w:val="single" w:color="000000" w:sz="4" w:space="0"/>
              <w:left w:val="single" w:color="000000" w:sz="4" w:space="0"/>
              <w:bottom w:val="single" w:color="auto" w:sz="4" w:space="0"/>
              <w:right w:val="single" w:color="000000" w:sz="4" w:space="0"/>
            </w:tcBorders>
            <w:noWrap/>
            <w:vAlign w:val="center"/>
          </w:tcPr>
          <w:p w14:paraId="1693A975">
            <w:pPr>
              <w:spacing w:line="500" w:lineRule="exact"/>
              <w:jc w:val="center"/>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一荤一素</w:t>
            </w:r>
          </w:p>
        </w:tc>
        <w:tc>
          <w:tcPr>
            <w:tcW w:w="990" w:type="dxa"/>
            <w:tcBorders>
              <w:top w:val="single" w:color="000000" w:sz="4" w:space="0"/>
              <w:left w:val="single" w:color="000000" w:sz="4" w:space="0"/>
              <w:bottom w:val="single" w:color="auto" w:sz="4" w:space="0"/>
              <w:right w:val="single" w:color="000000" w:sz="4" w:space="0"/>
            </w:tcBorders>
            <w:noWrap/>
            <w:vAlign w:val="center"/>
          </w:tcPr>
          <w:p w14:paraId="2A461E5F">
            <w:pPr>
              <w:spacing w:line="500" w:lineRule="exact"/>
              <w:ind w:firstLine="420" w:firstLineChars="200"/>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5</w:t>
            </w:r>
          </w:p>
        </w:tc>
        <w:tc>
          <w:tcPr>
            <w:tcW w:w="3135" w:type="dxa"/>
            <w:tcBorders>
              <w:top w:val="single" w:color="000000" w:sz="4" w:space="0"/>
              <w:left w:val="single" w:color="000000" w:sz="4" w:space="0"/>
              <w:bottom w:val="single" w:color="000000" w:sz="4" w:space="0"/>
              <w:right w:val="single" w:color="000000" w:sz="4" w:space="0"/>
            </w:tcBorders>
            <w:noWrap/>
            <w:vAlign w:val="center"/>
          </w:tcPr>
          <w:p w14:paraId="2FAF5412">
            <w:pPr>
              <w:spacing w:line="500" w:lineRule="exact"/>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鲜猪肉≥60，配菜≥50</w:t>
            </w:r>
          </w:p>
        </w:tc>
        <w:tc>
          <w:tcPr>
            <w:tcW w:w="2095" w:type="dxa"/>
            <w:tcBorders>
              <w:top w:val="single" w:color="000000" w:sz="4" w:space="0"/>
              <w:left w:val="single" w:color="000000" w:sz="4" w:space="0"/>
              <w:bottom w:val="single" w:color="000000" w:sz="4" w:space="0"/>
              <w:right w:val="single" w:color="000000" w:sz="4" w:space="0"/>
            </w:tcBorders>
            <w:noWrap/>
            <w:vAlign w:val="center"/>
          </w:tcPr>
          <w:p w14:paraId="3254F448">
            <w:pPr>
              <w:spacing w:line="500" w:lineRule="exact"/>
              <w:ind w:firstLine="420" w:firstLineChars="200"/>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 xml:space="preserve">≥100 </w:t>
            </w:r>
          </w:p>
        </w:tc>
      </w:tr>
      <w:tr w14:paraId="229476C5">
        <w:tblPrEx>
          <w:tblCellMar>
            <w:top w:w="0" w:type="dxa"/>
            <w:left w:w="108" w:type="dxa"/>
            <w:bottom w:w="0" w:type="dxa"/>
            <w:right w:w="108" w:type="dxa"/>
          </w:tblCellMar>
        </w:tblPrEx>
        <w:trPr>
          <w:trHeight w:val="634" w:hRule="atLeast"/>
          <w:jc w:val="center"/>
        </w:trPr>
        <w:tc>
          <w:tcPr>
            <w:tcW w:w="1561" w:type="dxa"/>
            <w:vMerge w:val="restart"/>
            <w:tcBorders>
              <w:top w:val="single" w:color="auto" w:sz="4" w:space="0"/>
              <w:left w:val="single" w:color="000000" w:sz="4" w:space="0"/>
              <w:bottom w:val="single" w:color="000000" w:sz="4" w:space="0"/>
              <w:right w:val="single" w:color="000000" w:sz="4" w:space="0"/>
            </w:tcBorders>
            <w:noWrap/>
            <w:vAlign w:val="center"/>
          </w:tcPr>
          <w:p w14:paraId="5002DB87">
            <w:pPr>
              <w:spacing w:line="500" w:lineRule="exact"/>
              <w:jc w:val="center"/>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基础大伙餐</w:t>
            </w:r>
          </w:p>
          <w:p w14:paraId="64C8DF7D">
            <w:pPr>
              <w:spacing w:line="500" w:lineRule="exact"/>
              <w:jc w:val="center"/>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米饭、汤免费</w:t>
            </w:r>
          </w:p>
        </w:tc>
        <w:tc>
          <w:tcPr>
            <w:tcW w:w="1376" w:type="dxa"/>
            <w:tcBorders>
              <w:top w:val="single" w:color="auto" w:sz="4" w:space="0"/>
              <w:left w:val="single" w:color="000000" w:sz="4" w:space="0"/>
              <w:bottom w:val="single" w:color="000000" w:sz="4" w:space="0"/>
              <w:right w:val="single" w:color="000000" w:sz="4" w:space="0"/>
            </w:tcBorders>
            <w:noWrap/>
            <w:vAlign w:val="center"/>
          </w:tcPr>
          <w:p w14:paraId="67B7FC5A">
            <w:pPr>
              <w:spacing w:line="500" w:lineRule="exact"/>
              <w:jc w:val="center"/>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两素</w:t>
            </w:r>
          </w:p>
        </w:tc>
        <w:tc>
          <w:tcPr>
            <w:tcW w:w="990" w:type="dxa"/>
            <w:tcBorders>
              <w:top w:val="single" w:color="auto" w:sz="4" w:space="0"/>
              <w:left w:val="single" w:color="000000" w:sz="4" w:space="0"/>
              <w:bottom w:val="single" w:color="000000" w:sz="4" w:space="0"/>
              <w:right w:val="single" w:color="000000" w:sz="4" w:space="0"/>
            </w:tcBorders>
            <w:noWrap/>
            <w:vAlign w:val="center"/>
          </w:tcPr>
          <w:p w14:paraId="555DC679">
            <w:pPr>
              <w:spacing w:line="500" w:lineRule="exact"/>
              <w:ind w:firstLine="420" w:firstLineChars="200"/>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5</w:t>
            </w:r>
          </w:p>
        </w:tc>
        <w:tc>
          <w:tcPr>
            <w:tcW w:w="3135" w:type="dxa"/>
            <w:tcBorders>
              <w:top w:val="single" w:color="000000" w:sz="4" w:space="0"/>
              <w:left w:val="single" w:color="000000" w:sz="4" w:space="0"/>
              <w:bottom w:val="single" w:color="000000" w:sz="4" w:space="0"/>
              <w:right w:val="single" w:color="000000" w:sz="4" w:space="0"/>
            </w:tcBorders>
            <w:noWrap/>
            <w:vAlign w:val="center"/>
          </w:tcPr>
          <w:p w14:paraId="3B929703">
            <w:pPr>
              <w:spacing w:line="500" w:lineRule="exact"/>
              <w:ind w:firstLine="420" w:firstLineChars="200"/>
              <w:rPr>
                <w:rFonts w:hint="eastAsia" w:ascii="方正仿宋_GBK" w:hAnsi="宋体" w:eastAsia="方正仿宋_GBK" w:cs="宋体"/>
                <w:color w:val="auto"/>
                <w:sz w:val="21"/>
                <w:szCs w:val="21"/>
              </w:rPr>
            </w:pPr>
          </w:p>
        </w:tc>
        <w:tc>
          <w:tcPr>
            <w:tcW w:w="2095" w:type="dxa"/>
            <w:tcBorders>
              <w:top w:val="single" w:color="000000" w:sz="4" w:space="0"/>
              <w:left w:val="single" w:color="000000" w:sz="4" w:space="0"/>
              <w:bottom w:val="single" w:color="000000" w:sz="4" w:space="0"/>
              <w:right w:val="single" w:color="000000" w:sz="4" w:space="0"/>
            </w:tcBorders>
            <w:noWrap/>
            <w:vAlign w:val="center"/>
          </w:tcPr>
          <w:p w14:paraId="039AEB04">
            <w:pPr>
              <w:spacing w:line="500" w:lineRule="exact"/>
              <w:ind w:firstLine="420" w:firstLineChars="200"/>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≥200</w:t>
            </w:r>
          </w:p>
        </w:tc>
      </w:tr>
      <w:tr w14:paraId="2352BE1B">
        <w:tblPrEx>
          <w:tblCellMar>
            <w:top w:w="0" w:type="dxa"/>
            <w:left w:w="108" w:type="dxa"/>
            <w:bottom w:w="0" w:type="dxa"/>
            <w:right w:w="108" w:type="dxa"/>
          </w:tblCellMar>
        </w:tblPrEx>
        <w:trPr>
          <w:trHeight w:val="634" w:hRule="atLeast"/>
          <w:jc w:val="center"/>
        </w:trPr>
        <w:tc>
          <w:tcPr>
            <w:tcW w:w="2937" w:type="dxa"/>
            <w:vMerge w:val="continue"/>
            <w:tcBorders>
              <w:top w:val="single" w:color="auto" w:sz="4" w:space="0"/>
              <w:left w:val="single" w:color="000000" w:sz="4" w:space="0"/>
              <w:bottom w:val="single" w:color="000000" w:sz="4" w:space="0"/>
              <w:right w:val="single" w:color="000000" w:sz="4" w:space="0"/>
            </w:tcBorders>
            <w:noWrap w:val="0"/>
            <w:vAlign w:val="center"/>
          </w:tcPr>
          <w:p w14:paraId="0562C8A5">
            <w:pPr>
              <w:widowControl/>
              <w:spacing w:line="500" w:lineRule="exact"/>
              <w:jc w:val="left"/>
              <w:rPr>
                <w:rFonts w:hint="eastAsia" w:ascii="方正仿宋_GBK" w:hAnsi="宋体" w:eastAsia="方正仿宋_GBK" w:cs="宋体"/>
                <w:color w:val="auto"/>
                <w:sz w:val="21"/>
                <w:szCs w:val="21"/>
              </w:rPr>
            </w:pPr>
          </w:p>
        </w:tc>
        <w:tc>
          <w:tcPr>
            <w:tcW w:w="1376" w:type="dxa"/>
            <w:tcBorders>
              <w:top w:val="single" w:color="000000" w:sz="4" w:space="0"/>
              <w:left w:val="single" w:color="000000" w:sz="4" w:space="0"/>
              <w:bottom w:val="single" w:color="000000" w:sz="4" w:space="0"/>
              <w:right w:val="single" w:color="000000" w:sz="4" w:space="0"/>
            </w:tcBorders>
            <w:noWrap/>
            <w:vAlign w:val="center"/>
          </w:tcPr>
          <w:p w14:paraId="5708FABB">
            <w:pPr>
              <w:spacing w:line="500" w:lineRule="exact"/>
              <w:jc w:val="center"/>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一荤一素</w:t>
            </w:r>
          </w:p>
        </w:tc>
        <w:tc>
          <w:tcPr>
            <w:tcW w:w="990" w:type="dxa"/>
            <w:tcBorders>
              <w:top w:val="single" w:color="000000" w:sz="4" w:space="0"/>
              <w:left w:val="single" w:color="000000" w:sz="4" w:space="0"/>
              <w:bottom w:val="single" w:color="000000" w:sz="4" w:space="0"/>
              <w:right w:val="single" w:color="000000" w:sz="4" w:space="0"/>
            </w:tcBorders>
            <w:noWrap/>
            <w:vAlign w:val="center"/>
          </w:tcPr>
          <w:p w14:paraId="5AEC35D9">
            <w:pPr>
              <w:spacing w:line="500" w:lineRule="exact"/>
              <w:ind w:firstLine="420" w:firstLineChars="200"/>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6</w:t>
            </w:r>
          </w:p>
        </w:tc>
        <w:tc>
          <w:tcPr>
            <w:tcW w:w="3135" w:type="dxa"/>
            <w:tcBorders>
              <w:top w:val="single" w:color="000000" w:sz="4" w:space="0"/>
              <w:left w:val="single" w:color="000000" w:sz="4" w:space="0"/>
              <w:bottom w:val="single" w:color="000000" w:sz="4" w:space="0"/>
              <w:right w:val="single" w:color="000000" w:sz="4" w:space="0"/>
            </w:tcBorders>
            <w:noWrap/>
            <w:vAlign w:val="center"/>
          </w:tcPr>
          <w:p w14:paraId="05CE0070">
            <w:pPr>
              <w:spacing w:line="500" w:lineRule="exact"/>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肉类≥60，配菜≥50</w:t>
            </w:r>
          </w:p>
        </w:tc>
        <w:tc>
          <w:tcPr>
            <w:tcW w:w="2095" w:type="dxa"/>
            <w:tcBorders>
              <w:top w:val="single" w:color="000000" w:sz="4" w:space="0"/>
              <w:left w:val="single" w:color="000000" w:sz="4" w:space="0"/>
              <w:bottom w:val="single" w:color="000000" w:sz="4" w:space="0"/>
              <w:right w:val="single" w:color="000000" w:sz="4" w:space="0"/>
            </w:tcBorders>
            <w:noWrap/>
            <w:vAlign w:val="center"/>
          </w:tcPr>
          <w:p w14:paraId="38CF4B0A">
            <w:pPr>
              <w:spacing w:line="500" w:lineRule="exact"/>
              <w:ind w:firstLine="420" w:firstLineChars="200"/>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≥100</w:t>
            </w:r>
          </w:p>
        </w:tc>
      </w:tr>
      <w:tr w14:paraId="0DD00399">
        <w:tblPrEx>
          <w:tblCellMar>
            <w:top w:w="0" w:type="dxa"/>
            <w:left w:w="108" w:type="dxa"/>
            <w:bottom w:w="0" w:type="dxa"/>
            <w:right w:w="108" w:type="dxa"/>
          </w:tblCellMar>
        </w:tblPrEx>
        <w:trPr>
          <w:trHeight w:val="824" w:hRule="atLeast"/>
          <w:jc w:val="center"/>
        </w:trPr>
        <w:tc>
          <w:tcPr>
            <w:tcW w:w="2937" w:type="dxa"/>
            <w:vMerge w:val="continue"/>
            <w:tcBorders>
              <w:top w:val="single" w:color="auto" w:sz="4" w:space="0"/>
              <w:left w:val="single" w:color="000000" w:sz="4" w:space="0"/>
              <w:bottom w:val="single" w:color="000000" w:sz="4" w:space="0"/>
              <w:right w:val="single" w:color="000000" w:sz="4" w:space="0"/>
            </w:tcBorders>
            <w:noWrap w:val="0"/>
            <w:vAlign w:val="center"/>
          </w:tcPr>
          <w:p w14:paraId="56811FE2">
            <w:pPr>
              <w:widowControl/>
              <w:spacing w:line="500" w:lineRule="exact"/>
              <w:jc w:val="left"/>
              <w:rPr>
                <w:rFonts w:hint="eastAsia" w:ascii="方正仿宋_GBK" w:hAnsi="宋体" w:eastAsia="方正仿宋_GBK" w:cs="宋体"/>
                <w:color w:val="auto"/>
                <w:sz w:val="21"/>
                <w:szCs w:val="21"/>
              </w:rPr>
            </w:pPr>
          </w:p>
        </w:tc>
        <w:tc>
          <w:tcPr>
            <w:tcW w:w="1376" w:type="dxa"/>
            <w:tcBorders>
              <w:top w:val="single" w:color="000000" w:sz="4" w:space="0"/>
              <w:left w:val="single" w:color="000000" w:sz="4" w:space="0"/>
              <w:bottom w:val="single" w:color="000000" w:sz="4" w:space="0"/>
              <w:right w:val="single" w:color="000000" w:sz="4" w:space="0"/>
            </w:tcBorders>
            <w:noWrap/>
            <w:vAlign w:val="center"/>
          </w:tcPr>
          <w:p w14:paraId="0C73C25B">
            <w:pPr>
              <w:spacing w:line="500" w:lineRule="exact"/>
              <w:jc w:val="center"/>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一荤两素</w:t>
            </w:r>
          </w:p>
        </w:tc>
        <w:tc>
          <w:tcPr>
            <w:tcW w:w="990" w:type="dxa"/>
            <w:tcBorders>
              <w:top w:val="single" w:color="000000" w:sz="4" w:space="0"/>
              <w:left w:val="single" w:color="000000" w:sz="4" w:space="0"/>
              <w:bottom w:val="single" w:color="000000" w:sz="4" w:space="0"/>
              <w:right w:val="single" w:color="000000" w:sz="4" w:space="0"/>
            </w:tcBorders>
            <w:noWrap/>
            <w:vAlign w:val="center"/>
          </w:tcPr>
          <w:p w14:paraId="117EEF67">
            <w:pPr>
              <w:spacing w:line="500" w:lineRule="exact"/>
              <w:ind w:firstLine="420" w:firstLineChars="200"/>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7</w:t>
            </w:r>
          </w:p>
        </w:tc>
        <w:tc>
          <w:tcPr>
            <w:tcW w:w="3135" w:type="dxa"/>
            <w:tcBorders>
              <w:top w:val="single" w:color="000000" w:sz="4" w:space="0"/>
              <w:left w:val="single" w:color="000000" w:sz="4" w:space="0"/>
              <w:bottom w:val="single" w:color="000000" w:sz="4" w:space="0"/>
              <w:right w:val="single" w:color="000000" w:sz="4" w:space="0"/>
            </w:tcBorders>
            <w:noWrap/>
            <w:vAlign w:val="center"/>
          </w:tcPr>
          <w:p w14:paraId="69979832">
            <w:pPr>
              <w:spacing w:line="500" w:lineRule="exact"/>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肉类≥60，配菜≥100</w:t>
            </w:r>
          </w:p>
        </w:tc>
        <w:tc>
          <w:tcPr>
            <w:tcW w:w="2095" w:type="dxa"/>
            <w:tcBorders>
              <w:top w:val="single" w:color="000000" w:sz="4" w:space="0"/>
              <w:left w:val="single" w:color="000000" w:sz="4" w:space="0"/>
              <w:bottom w:val="single" w:color="000000" w:sz="4" w:space="0"/>
              <w:right w:val="single" w:color="000000" w:sz="4" w:space="0"/>
            </w:tcBorders>
            <w:noWrap/>
            <w:vAlign w:val="center"/>
          </w:tcPr>
          <w:p w14:paraId="4558665E">
            <w:pPr>
              <w:spacing w:line="500" w:lineRule="exact"/>
              <w:ind w:firstLine="420" w:firstLineChars="200"/>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≥200</w:t>
            </w:r>
          </w:p>
        </w:tc>
      </w:tr>
      <w:tr w14:paraId="0C714759">
        <w:tblPrEx>
          <w:tblCellMar>
            <w:top w:w="0" w:type="dxa"/>
            <w:left w:w="108" w:type="dxa"/>
            <w:bottom w:w="0" w:type="dxa"/>
            <w:right w:w="108" w:type="dxa"/>
          </w:tblCellMar>
        </w:tblPrEx>
        <w:trPr>
          <w:trHeight w:val="824" w:hRule="atLeast"/>
          <w:jc w:val="center"/>
        </w:trPr>
        <w:tc>
          <w:tcPr>
            <w:tcW w:w="2937" w:type="dxa"/>
            <w:vMerge w:val="continue"/>
            <w:tcBorders>
              <w:top w:val="single" w:color="auto" w:sz="4" w:space="0"/>
              <w:left w:val="single" w:color="000000" w:sz="4" w:space="0"/>
              <w:bottom w:val="single" w:color="000000" w:sz="4" w:space="0"/>
              <w:right w:val="single" w:color="000000" w:sz="4" w:space="0"/>
            </w:tcBorders>
            <w:noWrap w:val="0"/>
            <w:vAlign w:val="center"/>
          </w:tcPr>
          <w:p w14:paraId="5E76C7B9">
            <w:pPr>
              <w:widowControl/>
              <w:spacing w:line="500" w:lineRule="exact"/>
              <w:jc w:val="left"/>
              <w:rPr>
                <w:rFonts w:hint="eastAsia" w:ascii="方正仿宋_GBK" w:hAnsi="宋体" w:eastAsia="方正仿宋_GBK" w:cs="宋体"/>
                <w:color w:val="auto"/>
                <w:sz w:val="21"/>
                <w:szCs w:val="21"/>
              </w:rPr>
            </w:pPr>
          </w:p>
        </w:tc>
        <w:tc>
          <w:tcPr>
            <w:tcW w:w="1376" w:type="dxa"/>
            <w:tcBorders>
              <w:top w:val="single" w:color="000000" w:sz="4" w:space="0"/>
              <w:left w:val="single" w:color="000000" w:sz="4" w:space="0"/>
              <w:bottom w:val="single" w:color="000000" w:sz="4" w:space="0"/>
              <w:right w:val="single" w:color="000000" w:sz="4" w:space="0"/>
            </w:tcBorders>
            <w:noWrap/>
            <w:vAlign w:val="center"/>
          </w:tcPr>
          <w:p w14:paraId="087BCA73">
            <w:pPr>
              <w:spacing w:line="500" w:lineRule="exact"/>
              <w:jc w:val="center"/>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两荤一素</w:t>
            </w:r>
          </w:p>
        </w:tc>
        <w:tc>
          <w:tcPr>
            <w:tcW w:w="990" w:type="dxa"/>
            <w:tcBorders>
              <w:top w:val="single" w:color="000000" w:sz="4" w:space="0"/>
              <w:left w:val="single" w:color="000000" w:sz="4" w:space="0"/>
              <w:bottom w:val="single" w:color="000000" w:sz="4" w:space="0"/>
              <w:right w:val="single" w:color="000000" w:sz="4" w:space="0"/>
            </w:tcBorders>
            <w:noWrap/>
            <w:vAlign w:val="center"/>
          </w:tcPr>
          <w:p w14:paraId="3C7222D9">
            <w:pPr>
              <w:spacing w:line="500" w:lineRule="exact"/>
              <w:ind w:firstLine="420" w:firstLineChars="200"/>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8</w:t>
            </w:r>
          </w:p>
        </w:tc>
        <w:tc>
          <w:tcPr>
            <w:tcW w:w="3135" w:type="dxa"/>
            <w:tcBorders>
              <w:top w:val="single" w:color="000000" w:sz="4" w:space="0"/>
              <w:left w:val="single" w:color="000000" w:sz="4" w:space="0"/>
              <w:bottom w:val="single" w:color="000000" w:sz="4" w:space="0"/>
              <w:right w:val="single" w:color="000000" w:sz="4" w:space="0"/>
            </w:tcBorders>
            <w:noWrap/>
            <w:vAlign w:val="center"/>
          </w:tcPr>
          <w:p w14:paraId="62D44D87">
            <w:pPr>
              <w:spacing w:line="500" w:lineRule="exact"/>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肉类≥120，配菜≥100</w:t>
            </w:r>
          </w:p>
        </w:tc>
        <w:tc>
          <w:tcPr>
            <w:tcW w:w="2095" w:type="dxa"/>
            <w:tcBorders>
              <w:top w:val="single" w:color="000000" w:sz="4" w:space="0"/>
              <w:left w:val="single" w:color="000000" w:sz="4" w:space="0"/>
              <w:bottom w:val="single" w:color="000000" w:sz="4" w:space="0"/>
              <w:right w:val="single" w:color="000000" w:sz="4" w:space="0"/>
            </w:tcBorders>
            <w:noWrap/>
            <w:vAlign w:val="center"/>
          </w:tcPr>
          <w:p w14:paraId="1C1F7238">
            <w:pPr>
              <w:spacing w:line="500" w:lineRule="exact"/>
              <w:ind w:firstLine="420" w:firstLineChars="200"/>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≥100</w:t>
            </w:r>
          </w:p>
        </w:tc>
      </w:tr>
      <w:tr w14:paraId="18F5E7FD">
        <w:tblPrEx>
          <w:tblCellMar>
            <w:top w:w="0" w:type="dxa"/>
            <w:left w:w="108" w:type="dxa"/>
            <w:bottom w:w="0" w:type="dxa"/>
            <w:right w:w="108" w:type="dxa"/>
          </w:tblCellMar>
        </w:tblPrEx>
        <w:trPr>
          <w:trHeight w:val="914" w:hRule="atLeast"/>
          <w:jc w:val="center"/>
        </w:trPr>
        <w:tc>
          <w:tcPr>
            <w:tcW w:w="2937" w:type="dxa"/>
            <w:vMerge w:val="continue"/>
            <w:tcBorders>
              <w:top w:val="single" w:color="auto" w:sz="4" w:space="0"/>
              <w:left w:val="single" w:color="000000" w:sz="4" w:space="0"/>
              <w:bottom w:val="single" w:color="000000" w:sz="4" w:space="0"/>
              <w:right w:val="single" w:color="000000" w:sz="4" w:space="0"/>
            </w:tcBorders>
            <w:noWrap w:val="0"/>
            <w:vAlign w:val="center"/>
          </w:tcPr>
          <w:p w14:paraId="6AB0A3D4">
            <w:pPr>
              <w:widowControl/>
              <w:spacing w:line="500" w:lineRule="exact"/>
              <w:jc w:val="left"/>
              <w:rPr>
                <w:rFonts w:hint="eastAsia" w:ascii="方正仿宋_GBK" w:hAnsi="宋体" w:eastAsia="方正仿宋_GBK" w:cs="宋体"/>
                <w:color w:val="auto"/>
                <w:sz w:val="21"/>
                <w:szCs w:val="21"/>
              </w:rPr>
            </w:pPr>
          </w:p>
        </w:tc>
        <w:tc>
          <w:tcPr>
            <w:tcW w:w="1376" w:type="dxa"/>
            <w:tcBorders>
              <w:top w:val="single" w:color="000000" w:sz="4" w:space="0"/>
              <w:left w:val="single" w:color="000000" w:sz="4" w:space="0"/>
              <w:bottom w:val="single" w:color="000000" w:sz="4" w:space="0"/>
              <w:right w:val="single" w:color="000000" w:sz="4" w:space="0"/>
            </w:tcBorders>
            <w:noWrap/>
            <w:vAlign w:val="center"/>
          </w:tcPr>
          <w:p w14:paraId="59849F44">
            <w:pPr>
              <w:spacing w:line="500" w:lineRule="exact"/>
              <w:jc w:val="center"/>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两荤两素</w:t>
            </w:r>
          </w:p>
        </w:tc>
        <w:tc>
          <w:tcPr>
            <w:tcW w:w="990" w:type="dxa"/>
            <w:tcBorders>
              <w:top w:val="single" w:color="000000" w:sz="4" w:space="0"/>
              <w:left w:val="single" w:color="000000" w:sz="4" w:space="0"/>
              <w:bottom w:val="single" w:color="000000" w:sz="4" w:space="0"/>
              <w:right w:val="single" w:color="000000" w:sz="4" w:space="0"/>
            </w:tcBorders>
            <w:noWrap/>
            <w:vAlign w:val="center"/>
          </w:tcPr>
          <w:p w14:paraId="520F36AC">
            <w:pPr>
              <w:spacing w:line="500" w:lineRule="exact"/>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10</w:t>
            </w:r>
          </w:p>
        </w:tc>
        <w:tc>
          <w:tcPr>
            <w:tcW w:w="3135" w:type="dxa"/>
            <w:tcBorders>
              <w:top w:val="single" w:color="000000" w:sz="4" w:space="0"/>
              <w:left w:val="single" w:color="000000" w:sz="4" w:space="0"/>
              <w:bottom w:val="single" w:color="000000" w:sz="4" w:space="0"/>
              <w:right w:val="single" w:color="000000" w:sz="4" w:space="0"/>
            </w:tcBorders>
            <w:noWrap/>
            <w:vAlign w:val="center"/>
          </w:tcPr>
          <w:p w14:paraId="6D33E87C">
            <w:pPr>
              <w:spacing w:line="500" w:lineRule="exact"/>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肉类≥120，配菜≥100</w:t>
            </w:r>
          </w:p>
        </w:tc>
        <w:tc>
          <w:tcPr>
            <w:tcW w:w="2095" w:type="dxa"/>
            <w:tcBorders>
              <w:top w:val="single" w:color="000000" w:sz="4" w:space="0"/>
              <w:left w:val="single" w:color="000000" w:sz="4" w:space="0"/>
              <w:bottom w:val="single" w:color="000000" w:sz="4" w:space="0"/>
              <w:right w:val="single" w:color="000000" w:sz="4" w:space="0"/>
            </w:tcBorders>
            <w:noWrap/>
            <w:vAlign w:val="center"/>
          </w:tcPr>
          <w:p w14:paraId="312361F7">
            <w:pPr>
              <w:spacing w:line="500" w:lineRule="exact"/>
              <w:ind w:firstLine="420" w:firstLineChars="200"/>
              <w:rPr>
                <w:rFonts w:hint="eastAsia" w:ascii="方正仿宋_GBK" w:hAnsi="宋体" w:eastAsia="方正仿宋_GBK" w:cs="宋体"/>
                <w:color w:val="auto"/>
                <w:sz w:val="21"/>
                <w:szCs w:val="21"/>
              </w:rPr>
            </w:pPr>
            <w:r>
              <w:rPr>
                <w:rFonts w:hint="eastAsia" w:ascii="方正仿宋_GBK" w:hAnsi="宋体" w:eastAsia="方正仿宋_GBK" w:cs="宋体"/>
                <w:color w:val="auto"/>
                <w:sz w:val="21"/>
                <w:szCs w:val="21"/>
              </w:rPr>
              <w:t>≥200</w:t>
            </w:r>
          </w:p>
        </w:tc>
      </w:tr>
    </w:tbl>
    <w:p w14:paraId="1D73891C">
      <w:pPr>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（5）</w:t>
      </w:r>
      <w:r>
        <w:rPr>
          <w:rFonts w:hint="eastAsia" w:ascii="华文仿宋" w:hAnsi="华文仿宋" w:eastAsia="华文仿宋" w:cs="华文仿宋"/>
          <w:color w:val="auto"/>
          <w:sz w:val="28"/>
          <w:szCs w:val="28"/>
          <w:u w:val="single"/>
        </w:rPr>
        <w:t>包1、包3、包4、包5</w:t>
      </w:r>
      <w:r>
        <w:rPr>
          <w:rFonts w:hint="eastAsia" w:ascii="华文仿宋" w:hAnsi="华文仿宋" w:eastAsia="华文仿宋" w:cs="华文仿宋"/>
          <w:color w:val="auto"/>
          <w:sz w:val="28"/>
          <w:szCs w:val="28"/>
        </w:rPr>
        <w:t>乙方须按照甲方要求每日提供爱心保障餐，以套餐形式提供，确保每日不同样，配置标准：中餐和晚餐一荤一素，提供免费汤，米饭免费添加；爱心保障餐每餐不高于5元，鼓励乙方主动让利给困难家庭学生，可以通过关怀育人的项目，适当再降低餐标，由乙方在经营期内制订供餐方案，报甲方审核书面同意后实施。乙方须按照以上服务要求在基本大伙方案中响应，爱心保障餐品质应符合基本大伙饭菜品质和质量份量要求。</w:t>
      </w:r>
    </w:p>
    <w:p w14:paraId="24C9B721">
      <w:pPr>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3.食堂业态和档口设置须进行前置审核，特色品种在同质同量同品种的前提下，价格应低于周边市场价格或不高于同类高校，罗列所有能提供的特色菜品或套餐品类，菜肴品种、菜品价格、成本核算、菜品质量标准和经营管理（含人员管理）等须交甲方监管部门审核书面同意后方可实施，甲方实行全过程监督管理，否则，乙方按照每一菜品每次5000元违约金支付甲方。乙方不得从事餐饮以外的其它任何业务（如经营超市等），不得经营超出自身经营许可或条件的餐饮项目（如没有凉菜制作条件和餐饮许可，则不得经营凉菜项目等）。乙方需不断增加饭菜的花色品种，提高饭菜质量，注重科学营养配餐。保证甲方正常教学运行期间满足师生就餐需求，且未经批准不得擅自停业。</w:t>
      </w:r>
    </w:p>
    <w:p w14:paraId="309450DE">
      <w:pPr>
        <w:pageBreakBefore w:val="0"/>
        <w:widowControl w:val="0"/>
        <w:kinsoku/>
        <w:wordWrap/>
        <w:overflowPunct/>
        <w:topLinePunct w:val="0"/>
        <w:autoSpaceDE/>
        <w:autoSpaceDN/>
        <w:bidi w:val="0"/>
        <w:adjustRightInd/>
        <w:spacing w:line="480" w:lineRule="exact"/>
        <w:ind w:firstLine="560" w:firstLineChars="20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4.乙方须直接管理和经营食堂，食堂所有窗口须一体化管理，不得分包或转包，</w:t>
      </w:r>
      <w:r>
        <w:rPr>
          <w:rFonts w:hint="eastAsia" w:ascii="华文仿宋" w:hAnsi="华文仿宋" w:eastAsia="华文仿宋" w:cs="华文仿宋"/>
          <w:bCs/>
          <w:color w:val="auto"/>
          <w:sz w:val="28"/>
          <w:szCs w:val="28"/>
        </w:rPr>
        <w:t>一经发现分包或转包，甲方不认可任何分包转包合同，有权直接终止合同，扣罚所有履约保证金并追究乙方责任。甲方定期或不定期对所有档口工作人员的聘用合同、缴纳社保的材料、上岗情况及工资流水进行查验。</w:t>
      </w:r>
      <w:r>
        <w:rPr>
          <w:rFonts w:hint="eastAsia" w:ascii="华文仿宋" w:hAnsi="华文仿宋" w:eastAsia="华文仿宋" w:cs="华文仿宋"/>
          <w:color w:val="auto"/>
          <w:sz w:val="28"/>
          <w:szCs w:val="28"/>
        </w:rPr>
        <w:t>乙方不得在食堂内非窗口场所、食堂周边、校园内摆摊设点，不得破坏食堂整体格局、外观和使用功能。</w:t>
      </w:r>
    </w:p>
    <w:p w14:paraId="5992FE87">
      <w:pPr>
        <w:pageBreakBefore w:val="0"/>
        <w:widowControl w:val="0"/>
        <w:kinsoku/>
        <w:wordWrap/>
        <w:overflowPunct/>
        <w:topLinePunct w:val="0"/>
        <w:autoSpaceDE/>
        <w:autoSpaceDN/>
        <w:bidi w:val="0"/>
        <w:adjustRightInd/>
        <w:spacing w:line="480" w:lineRule="exact"/>
        <w:ind w:firstLine="560" w:firstLineChars="20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5.乙方须注重食品安全卫生管理，严格执行国家、政府行政主管部门、学校对食品安全生产的法律、法规、规章制度的要求，有健全的食品安全管理制度，有食品安全管理团队，有完备的食品安全事故处置预案。不得在食堂内使用、销售预制菜。</w:t>
      </w:r>
    </w:p>
    <w:p w14:paraId="039F4929">
      <w:pPr>
        <w:pageBreakBefore w:val="0"/>
        <w:widowControl w:val="0"/>
        <w:kinsoku/>
        <w:wordWrap/>
        <w:overflowPunct/>
        <w:topLinePunct w:val="0"/>
        <w:autoSpaceDE/>
        <w:autoSpaceDN/>
        <w:bidi w:val="0"/>
        <w:adjustRightInd/>
        <w:spacing w:line="480" w:lineRule="exact"/>
        <w:ind w:firstLine="560" w:firstLineChars="20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6.乙方须注重师生身体健康，按照《“健康中国2030”规划纲要》减盐要求，本项目所有食堂须使用低钠盐。且必须在具有食盐批发业务资质的企业中采购低钠盐。否则，甲方按每次50000元扣罚乙方违约金。</w:t>
      </w:r>
    </w:p>
    <w:p w14:paraId="1E789866">
      <w:pPr>
        <w:pageBreakBefore w:val="0"/>
        <w:widowControl w:val="0"/>
        <w:kinsoku/>
        <w:wordWrap/>
        <w:overflowPunct/>
        <w:topLinePunct w:val="0"/>
        <w:autoSpaceDE/>
        <w:autoSpaceDN/>
        <w:bidi w:val="0"/>
        <w:adjustRightInd/>
        <w:spacing w:line="480" w:lineRule="exact"/>
        <w:ind w:firstLine="560" w:firstLineChars="20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7.人员管理要求：</w:t>
      </w:r>
    </w:p>
    <w:p w14:paraId="77FDCF24">
      <w:pPr>
        <w:pageBreakBefore w:val="0"/>
        <w:widowControl w:val="0"/>
        <w:kinsoku/>
        <w:wordWrap/>
        <w:overflowPunct/>
        <w:topLinePunct w:val="0"/>
        <w:autoSpaceDE/>
        <w:autoSpaceDN/>
        <w:bidi w:val="0"/>
        <w:adjustRightInd/>
        <w:spacing w:line="480" w:lineRule="exact"/>
        <w:ind w:firstLine="560" w:firstLineChars="20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乙方在合同期内须履行好主体责任，按要求做好在本项目员工的教育管理，甲方将严格按该相关要求加强对成交乙方的考核。严格把好食堂从业人员的“入门关”，严格从业资格审查。对拟使用的食堂从业人员，要按照相关文件要求，开展性侵等各类违法犯罪信息查询，并按规定定期报备查询结果。食堂管理服务人员应政治坚定、遵纪守法、廉洁自律、品行端正、无犯罪记录；身体健康无传染性疾病；心理健康无精神病史；掌握相关岗位业务知识和技能，能胜任工作；年龄原则上不宜过大。乙方须按照要求提供项目所有人员信息（甲方严格报名）备查；甲方将不定期全面排查食堂从业人员动态信息情况，按照相关文件规定，每年3月对在岗人员进行涉罪信息查询，对不符合或不具备在岗条件的人员要及时进行清退。乙方要关心关爱食堂从业人员，及时了解他们的思想动态，协助解决实际困难。</w:t>
      </w:r>
    </w:p>
    <w:p w14:paraId="378C4314">
      <w:pPr>
        <w:pageBreakBefore w:val="0"/>
        <w:widowControl w:val="0"/>
        <w:kinsoku/>
        <w:wordWrap/>
        <w:overflowPunct/>
        <w:topLinePunct w:val="0"/>
        <w:autoSpaceDE/>
        <w:autoSpaceDN/>
        <w:bidi w:val="0"/>
        <w:adjustRightInd/>
        <w:spacing w:line="480" w:lineRule="exact"/>
        <w:ind w:firstLine="560" w:firstLineChars="20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乙方须服从政府相关部门和学校的监督管理和指导，自行承担经营责任和风险。乙方应制定完善的员工管理办法和制度，依法用工。</w:t>
      </w:r>
      <w:r>
        <w:rPr>
          <w:rFonts w:hint="eastAsia" w:ascii="华文仿宋" w:hAnsi="华文仿宋" w:eastAsia="华文仿宋" w:cs="华文仿宋"/>
          <w:bCs/>
          <w:color w:val="auto"/>
          <w:sz w:val="28"/>
          <w:szCs w:val="28"/>
        </w:rPr>
        <w:t>乙方以本单位名义依法为本项目食堂所有从业人员全员签订劳动合同，不能签订劳动合同的必须签订劳务协议。</w:t>
      </w:r>
      <w:r>
        <w:rPr>
          <w:rFonts w:hint="eastAsia" w:ascii="华文仿宋" w:hAnsi="华文仿宋" w:eastAsia="华文仿宋" w:cs="华文仿宋"/>
          <w:color w:val="auto"/>
          <w:sz w:val="28"/>
          <w:szCs w:val="28"/>
        </w:rPr>
        <w:t>工资待遇和社会保险按国家规定执行，必须做好内部员工管理，包括安全和稳定的管理。乙方应妥善处理与就餐人员之间的矛盾、冲突，且不得使冲突升级，乙方承担由此造成的一切经济、安全和法律责任。若因乙方资金链断裂、内部员工工伤、工资报酬、供货商、合作商、贷款纠纷等情况出现上访、投诉或重大网络舆情事件，或者发生</w:t>
      </w:r>
      <w:r>
        <w:rPr>
          <w:rFonts w:hint="eastAsia" w:ascii="华文仿宋" w:hAnsi="华文仿宋" w:eastAsia="华文仿宋" w:cs="华文仿宋"/>
          <w:color w:val="auto"/>
          <w:sz w:val="28"/>
          <w:szCs w:val="28"/>
          <w:lang w:val="zh-CN"/>
        </w:rPr>
        <w:t>学生集体性食物中毒、火灾、拥挤踩踏等群体性安全事故和</w:t>
      </w:r>
      <w:r>
        <w:rPr>
          <w:rFonts w:hint="eastAsia" w:ascii="华文仿宋" w:hAnsi="华文仿宋" w:eastAsia="华文仿宋" w:cs="华文仿宋"/>
          <w:color w:val="auto"/>
          <w:sz w:val="28"/>
          <w:szCs w:val="28"/>
        </w:rPr>
        <w:t>重大</w:t>
      </w:r>
      <w:r>
        <w:rPr>
          <w:rFonts w:hint="eastAsia" w:ascii="华文仿宋" w:hAnsi="华文仿宋" w:eastAsia="华文仿宋" w:cs="华文仿宋"/>
          <w:color w:val="auto"/>
          <w:sz w:val="28"/>
          <w:szCs w:val="28"/>
          <w:lang w:val="zh-CN"/>
        </w:rPr>
        <w:t>网络舆情事件</w:t>
      </w:r>
      <w:r>
        <w:rPr>
          <w:rFonts w:hint="eastAsia" w:ascii="华文仿宋" w:hAnsi="华文仿宋" w:eastAsia="华文仿宋" w:cs="华文仿宋"/>
          <w:bCs/>
          <w:color w:val="auto"/>
          <w:sz w:val="28"/>
          <w:szCs w:val="28"/>
          <w:lang w:val="zh-CN"/>
        </w:rPr>
        <w:t>，</w:t>
      </w:r>
      <w:r>
        <w:rPr>
          <w:rFonts w:hint="eastAsia" w:ascii="华文仿宋" w:hAnsi="华文仿宋" w:eastAsia="华文仿宋" w:cs="华文仿宋"/>
          <w:color w:val="auto"/>
          <w:sz w:val="28"/>
          <w:szCs w:val="28"/>
        </w:rPr>
        <w:t>一经查实，乙方每次向甲方支付违约金500000元，如造成重大不良影响，甲方有权单方面解除合同，且不退还全部履约保证金。乙方或乙方工作人员应遵守甲方相关规章制度，因乙方或乙方工作人员原因给自身、甲方或第三方造成的一切人身、财产损害等后果由乙方自行承担。乙方须为食堂购买食品安全责任险和燃气安全责任险，且乙方须自行承担员工和经营范围内发生的人身财产安全、食品安全、燃气安全、消防安全等事故造成的一切经济、行政和法律责任。</w:t>
      </w:r>
    </w:p>
    <w:p w14:paraId="2E1DDACD">
      <w:pPr>
        <w:pageBreakBefore w:val="0"/>
        <w:widowControl w:val="0"/>
        <w:kinsoku/>
        <w:wordWrap/>
        <w:overflowPunct/>
        <w:topLinePunct w:val="0"/>
        <w:autoSpaceDE/>
        <w:autoSpaceDN/>
        <w:bidi w:val="0"/>
        <w:adjustRightInd/>
        <w:spacing w:line="480" w:lineRule="exact"/>
        <w:ind w:firstLine="560" w:firstLineChars="20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乙方必须以本单位名义为本项目食堂所有从业人员购买社保，不能购买社保的超龄人员必须100%购买雇主责任险，如发现少买或漏买，甲方将按每人每月1000元违约金处罚乙方。</w:t>
      </w:r>
    </w:p>
    <w:p w14:paraId="4A9CB572">
      <w:pPr>
        <w:pageBreakBefore w:val="0"/>
        <w:widowControl w:val="0"/>
        <w:kinsoku/>
        <w:wordWrap/>
        <w:overflowPunct/>
        <w:topLinePunct w:val="0"/>
        <w:autoSpaceDE/>
        <w:autoSpaceDN/>
        <w:bidi w:val="0"/>
        <w:adjustRightInd/>
        <w:spacing w:line="480" w:lineRule="exact"/>
        <w:ind w:firstLine="560" w:firstLineChars="20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8.结算要求：乙方营业款结算周期则上为每月20日，如遇寒暑假和法定节假日，结算周期顺延。为防止乙方拖欠员工工资、保险，供货商货款和其他合作商款项等，乙方需在甲方发出的营业款结算帐单之日起10日内将员工资、保险，供货商货款和其他合作商款项支付到位，甲方在收到乙方提交的工资、保险，供货商货款和其他合作商款项支付证明材料后10内将营业款支付到位。</w:t>
      </w:r>
    </w:p>
    <w:p w14:paraId="7B161E59">
      <w:pPr>
        <w:pageBreakBefore w:val="0"/>
        <w:widowControl w:val="0"/>
        <w:kinsoku/>
        <w:wordWrap/>
        <w:overflowPunct/>
        <w:topLinePunct w:val="0"/>
        <w:autoSpaceDE/>
        <w:autoSpaceDN/>
        <w:bidi w:val="0"/>
        <w:adjustRightInd/>
        <w:spacing w:line="480" w:lineRule="exact"/>
        <w:ind w:firstLine="560" w:firstLineChars="20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9.乙方必须使用甲方的一卡通系统进行收费，不得采取其他任何支付方式(除学校统一监管的现金收银以外)。否则，经查实后乙方按照每次20000元的违约金标准支付甲方，若当月发现三次以上违规交易的情况，则扣除当月营业额的20%作为违约金。甲方不再向乙方收取收费系统维护费，乙方需自行承担甲方食堂新增收费终端设备和数智食堂软硬件的购买、升级、线路改造及日常设备维护费用。</w:t>
      </w:r>
    </w:p>
    <w:p w14:paraId="5CD9158B">
      <w:pPr>
        <w:pageBreakBefore w:val="0"/>
        <w:widowControl w:val="0"/>
        <w:kinsoku/>
        <w:wordWrap/>
        <w:overflowPunct/>
        <w:topLinePunct w:val="0"/>
        <w:autoSpaceDE/>
        <w:autoSpaceDN/>
        <w:bidi w:val="0"/>
        <w:adjustRightInd/>
        <w:spacing w:line="480" w:lineRule="exact"/>
        <w:ind w:firstLine="560" w:firstLineChars="20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10.乙方须根据食堂的定位和要求进行成本核算。要按照相关规章制度和甲方要求，聘请市内外专家对员工进行安全和业务能力培训，并承担专家指导费；与其他食堂保持和谐经营关系。要采取有效措施确保饮食安全、生产安全和价格稳定，接受甲方监督考核，承担一切安全事故责任。</w:t>
      </w:r>
    </w:p>
    <w:p w14:paraId="73213A7E">
      <w:pPr>
        <w:pageBreakBefore w:val="0"/>
        <w:widowControl w:val="0"/>
        <w:kinsoku/>
        <w:wordWrap/>
        <w:overflowPunct/>
        <w:topLinePunct w:val="0"/>
        <w:autoSpaceDE/>
        <w:autoSpaceDN/>
        <w:bidi w:val="0"/>
        <w:adjustRightInd/>
        <w:spacing w:line="480" w:lineRule="exact"/>
        <w:ind w:firstLine="560" w:firstLineChars="20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11.本项目乙方所有员工上岗前必须取得健康证，避免因员工身体原因造成的安全事故，否则不能上岗且按照每次违规扣罚2000元标准执行。乙方还须根据实际用工需求接纳甲方推荐的优秀员工和管理人员。</w:t>
      </w:r>
    </w:p>
    <w:p w14:paraId="61F19CFC">
      <w:pPr>
        <w:pageBreakBefore w:val="0"/>
        <w:widowControl w:val="0"/>
        <w:kinsoku/>
        <w:wordWrap/>
        <w:overflowPunct/>
        <w:topLinePunct w:val="0"/>
        <w:autoSpaceDE/>
        <w:autoSpaceDN/>
        <w:bidi w:val="0"/>
        <w:adjustRightInd/>
        <w:spacing w:line="480" w:lineRule="exact"/>
        <w:ind w:firstLine="560" w:firstLineChars="20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12.乙方需自行负责经营区域及分摊的公共区域清洁卫生，其标准必须达到上级主管部门及甲方的相关要求，接受学校的日常监督考核。</w:t>
      </w:r>
    </w:p>
    <w:p w14:paraId="1F98F66D">
      <w:pPr>
        <w:pageBreakBefore w:val="0"/>
        <w:widowControl w:val="0"/>
        <w:kinsoku/>
        <w:wordWrap/>
        <w:overflowPunct/>
        <w:topLinePunct w:val="0"/>
        <w:autoSpaceDE/>
        <w:autoSpaceDN/>
        <w:bidi w:val="0"/>
        <w:adjustRightInd/>
        <w:spacing w:line="480" w:lineRule="exact"/>
        <w:ind w:firstLine="560" w:firstLineChars="20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13.乙方须确保饭菜品质，成品菜符合质量要求，按五项指标（饮食卫生、服务态度、饭菜价格、饭菜质量、花色品种）接受甲方后勤部门考核和监督。乙方必须设立纸质意见簿和“一码收集”“一键反馈”等数智化意见采集和反馈系统，听取意见，改进服务，师生满意率达85%以上。无条件配合甲方创建主管部门组织的学生食堂相关评选和创建活动。</w:t>
      </w:r>
    </w:p>
    <w:p w14:paraId="21A3817E">
      <w:pPr>
        <w:pageBreakBefore w:val="0"/>
        <w:widowControl w:val="0"/>
        <w:kinsoku/>
        <w:wordWrap/>
        <w:overflowPunct/>
        <w:topLinePunct w:val="0"/>
        <w:autoSpaceDE/>
        <w:autoSpaceDN/>
        <w:bidi w:val="0"/>
        <w:adjustRightInd/>
        <w:spacing w:line="480" w:lineRule="exact"/>
        <w:ind w:firstLine="560" w:firstLineChars="20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14.乙方必须把好饮食卫生“四关”，即验收关、拣洗关、烹饪关和销售关；“三消毒”，即餐具消毒、工用具消毒和功能间消毒；“二净”，即窗口服务员工要衣、帽干净整洁；“一留样”，即熟食留样并记录。</w:t>
      </w:r>
    </w:p>
    <w:p w14:paraId="128D3626">
      <w:pPr>
        <w:pageBreakBefore w:val="0"/>
        <w:widowControl w:val="0"/>
        <w:kinsoku/>
        <w:wordWrap/>
        <w:overflowPunct/>
        <w:topLinePunct w:val="0"/>
        <w:autoSpaceDE/>
        <w:autoSpaceDN/>
        <w:bidi w:val="0"/>
        <w:adjustRightInd/>
        <w:spacing w:line="480" w:lineRule="exact"/>
        <w:ind w:firstLine="560" w:firstLineChars="20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15.乙方做好餐具和工用具的洗涤，洗涤用品必须选用符合国家相关标准的食品级用品，清洗好的餐具和工用具做好保洁工作，餐具需烘干，无水渍。</w:t>
      </w:r>
    </w:p>
    <w:p w14:paraId="1E4E35F6">
      <w:pPr>
        <w:pageBreakBefore w:val="0"/>
        <w:widowControl w:val="0"/>
        <w:kinsoku/>
        <w:wordWrap/>
        <w:overflowPunct/>
        <w:topLinePunct w:val="0"/>
        <w:autoSpaceDE/>
        <w:autoSpaceDN/>
        <w:bidi w:val="0"/>
        <w:adjustRightInd/>
        <w:spacing w:line="480" w:lineRule="exact"/>
        <w:ind w:firstLine="560" w:firstLineChars="20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16.乙方所提供的不锈钢餐具必须符合国家标准B/T15067.2-2016，密胺塑料餐具必须符合国家标准GB/T41001-2021，一次性塑料餐饮用具必须符合国家标准GB/T18006.12009，GB/T18006.1-2020，一次性纸碗必须符合国家标准GB/T27591—2011，一次性筷子（木筷）必须符合国家标准GB/T19790.1-2021，一次性筷子（竹筷）必须符合国家标准GB19790.2-2005，倡导使用环保低碳可降解产品。</w:t>
      </w:r>
    </w:p>
    <w:p w14:paraId="0B71D795">
      <w:pPr>
        <w:pageBreakBefore w:val="0"/>
        <w:widowControl w:val="0"/>
        <w:kinsoku/>
        <w:wordWrap/>
        <w:overflowPunct/>
        <w:topLinePunct w:val="0"/>
        <w:autoSpaceDE/>
        <w:autoSpaceDN/>
        <w:bidi w:val="0"/>
        <w:adjustRightInd/>
        <w:spacing w:line="480" w:lineRule="exact"/>
        <w:ind w:firstLine="560" w:firstLineChars="20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17.乙方应加强员工安全教育，落实安全措施，按加工流程和操作流程规范生产，违章操作者按有关制度严格处罚，确保食品安全、消防安全、生产安全、食堂卫生、环境卫生，“四防”（防毒、防火、防盗、防恐）责任到人，食堂负责人及专职安全员每日负责检查并作好检查记录备查。</w:t>
      </w:r>
    </w:p>
    <w:p w14:paraId="00805F03">
      <w:pPr>
        <w:pageBreakBefore w:val="0"/>
        <w:widowControl w:val="0"/>
        <w:kinsoku/>
        <w:wordWrap/>
        <w:overflowPunct/>
        <w:topLinePunct w:val="0"/>
        <w:autoSpaceDE/>
        <w:autoSpaceDN/>
        <w:bidi w:val="0"/>
        <w:adjustRightInd/>
        <w:spacing w:line="480" w:lineRule="exact"/>
        <w:ind w:firstLine="560" w:firstLineChars="20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18.乙方经营本项目要实行“四统一”，即统一规划建设、统一管理、统一采购、统一洗消，服从调整和安排。如遇紧急情况和突发事件，乙方必须无条件服从甲方的统一安排和指挥。</w:t>
      </w:r>
    </w:p>
    <w:p w14:paraId="504ED012">
      <w:pPr>
        <w:pageBreakBefore w:val="0"/>
        <w:widowControl w:val="0"/>
        <w:kinsoku/>
        <w:wordWrap/>
        <w:overflowPunct/>
        <w:topLinePunct w:val="0"/>
        <w:autoSpaceDE/>
        <w:autoSpaceDN/>
        <w:bidi w:val="0"/>
        <w:adjustRightInd/>
        <w:spacing w:line="480" w:lineRule="exact"/>
        <w:ind w:firstLine="560" w:firstLineChars="20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19.乙方必须按照甲方要求，指派公司负责人全面统筹所经营管理食堂的食品安全、饭菜质量、内部管理等，每月应至少1次到食堂现场检查食品安全工作并留在检查影像资料和记录备查。</w:t>
      </w:r>
    </w:p>
    <w:p w14:paraId="09A6599C">
      <w:pPr>
        <w:pageBreakBefore w:val="0"/>
        <w:widowControl w:val="0"/>
        <w:kinsoku/>
        <w:wordWrap/>
        <w:overflowPunct/>
        <w:topLinePunct w:val="0"/>
        <w:autoSpaceDE/>
        <w:autoSpaceDN/>
        <w:bidi w:val="0"/>
        <w:adjustRightInd/>
        <w:spacing w:line="480" w:lineRule="exact"/>
        <w:ind w:firstLine="560" w:firstLineChars="20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20.招标文件中未尽条款按《中华人民共和国食品安全法》、《中华人民共和国食品安全法实施条例》、《餐饮服务食品安全操作规范》、《GB31654-2021食品安全国家标准餐饮服务通用卫生规范》、《重庆文理学院食品安全管理办法》、《重庆文理学院食堂监管办法》等最新相关文件要求执行。</w:t>
      </w:r>
    </w:p>
    <w:p w14:paraId="76F6D72D">
      <w:pPr>
        <w:pageBreakBefore w:val="0"/>
        <w:widowControl w:val="0"/>
        <w:kinsoku/>
        <w:wordWrap/>
        <w:overflowPunct/>
        <w:topLinePunct w:val="0"/>
        <w:autoSpaceDE/>
        <w:autoSpaceDN/>
        <w:bidi w:val="0"/>
        <w:adjustRightInd/>
        <w:spacing w:line="480" w:lineRule="exact"/>
        <w:ind w:firstLine="560" w:firstLineChars="20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21.甲方不提供员工住宿场所，乙方自行解决员工住宿问题，员工不得在食堂内住宿。</w:t>
      </w:r>
    </w:p>
    <w:p w14:paraId="5F1DB4D4">
      <w:pPr>
        <w:pageBreakBefore w:val="0"/>
        <w:widowControl w:val="0"/>
        <w:kinsoku/>
        <w:wordWrap/>
        <w:overflowPunct/>
        <w:topLinePunct w:val="0"/>
        <w:autoSpaceDE/>
        <w:autoSpaceDN/>
        <w:bidi w:val="0"/>
        <w:adjustRightInd/>
        <w:spacing w:line="480" w:lineRule="exact"/>
        <w:ind w:firstLine="560" w:firstLineChars="20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22.垃圾处理及油污排放:厨余垃圾成交乙方必须交由政府相关部门指定的有合法资质的单位回收处理，费用由成交乙方承担，严禁私自变卖等违法处理，否则每次扣罚违约金10000元。油污排放：食堂内所有油污必须排入学校现有的化油池，食堂至化油池间的管网根据需要进行必要的改造，并做好疏通和维护保养工作，其费用由成交乙方承担，拒绝改造或者改造不到位的每次扣罚违约金10000元。</w:t>
      </w:r>
    </w:p>
    <w:p w14:paraId="32F63174">
      <w:pPr>
        <w:pageBreakBefore w:val="0"/>
        <w:widowControl w:val="0"/>
        <w:kinsoku/>
        <w:wordWrap/>
        <w:overflowPunct/>
        <w:topLinePunct w:val="0"/>
        <w:autoSpaceDE/>
        <w:autoSpaceDN/>
        <w:bidi w:val="0"/>
        <w:adjustRightInd/>
        <w:spacing w:line="480" w:lineRule="exact"/>
        <w:ind w:firstLine="560" w:firstLineChars="20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23.</w:t>
      </w:r>
      <w:r>
        <w:rPr>
          <w:rFonts w:hint="eastAsia" w:ascii="华文仿宋" w:hAnsi="华文仿宋" w:eastAsia="华文仿宋" w:cs="华文仿宋"/>
          <w:color w:val="auto"/>
          <w:sz w:val="28"/>
          <w:szCs w:val="28"/>
          <w:lang w:val="en-US" w:eastAsia="zh-CN"/>
        </w:rPr>
        <w:t>甲方</w:t>
      </w:r>
      <w:r>
        <w:rPr>
          <w:rFonts w:hint="eastAsia" w:ascii="华文仿宋" w:hAnsi="华文仿宋" w:eastAsia="华文仿宋" w:cs="华文仿宋"/>
          <w:color w:val="auto"/>
          <w:sz w:val="28"/>
          <w:szCs w:val="28"/>
        </w:rPr>
        <w:t>食堂货运升降梯使用要求:现食堂内有部分货运升降梯暂不能使用，如乙方需要使用须对其安全性加强管理，并取得市场监管部门许可后方可使用，其使用的安全责任和费用由成交乙方承担。</w:t>
      </w:r>
    </w:p>
    <w:p w14:paraId="67DF1859">
      <w:pPr>
        <w:pageBreakBefore w:val="0"/>
        <w:widowControl w:val="0"/>
        <w:kinsoku/>
        <w:wordWrap/>
        <w:overflowPunct/>
        <w:topLinePunct w:val="0"/>
        <w:autoSpaceDE/>
        <w:autoSpaceDN/>
        <w:bidi w:val="0"/>
        <w:adjustRightInd/>
        <w:spacing w:line="480" w:lineRule="exact"/>
        <w:ind w:firstLine="560" w:firstLineChars="20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24、物质存贮管理要求:</w:t>
      </w:r>
      <w:r>
        <w:rPr>
          <w:rFonts w:hint="eastAsia" w:ascii="华文仿宋" w:hAnsi="华文仿宋" w:eastAsia="华文仿宋" w:cs="华文仿宋"/>
          <w:color w:val="auto"/>
          <w:sz w:val="28"/>
          <w:szCs w:val="28"/>
          <w:lang w:val="en-US" w:eastAsia="zh-CN"/>
        </w:rPr>
        <w:t>乙方</w:t>
      </w:r>
      <w:r>
        <w:rPr>
          <w:rFonts w:hint="eastAsia" w:ascii="华文仿宋" w:hAnsi="华文仿宋" w:eastAsia="华文仿宋" w:cs="华文仿宋"/>
          <w:color w:val="auto"/>
          <w:sz w:val="28"/>
          <w:szCs w:val="28"/>
        </w:rPr>
        <w:t xml:space="preserve">建设数智化库房管理系统，做到物资分区、分类、整齐有序，标识清楚、温度适宜、干净卫生、专人管理、台账清晰。 </w:t>
      </w:r>
    </w:p>
    <w:p w14:paraId="002FACC1">
      <w:pPr>
        <w:pageBreakBefore w:val="0"/>
        <w:widowControl w:val="0"/>
        <w:kinsoku/>
        <w:wordWrap/>
        <w:overflowPunct/>
        <w:topLinePunct w:val="0"/>
        <w:autoSpaceDE/>
        <w:autoSpaceDN/>
        <w:bidi w:val="0"/>
        <w:adjustRightInd/>
        <w:spacing w:line="480" w:lineRule="exact"/>
        <w:ind w:firstLine="560" w:firstLineChars="200"/>
        <w:jc w:val="left"/>
        <w:textAlignment w:val="auto"/>
        <w:rPr>
          <w:rFonts w:hint="eastAsia" w:ascii="华文仿宋" w:hAnsi="华文仿宋" w:eastAsia="华文仿宋" w:cs="华文仿宋"/>
          <w:color w:val="auto"/>
          <w:sz w:val="28"/>
          <w:szCs w:val="28"/>
          <w:u w:val="single"/>
        </w:rPr>
      </w:pPr>
      <w:r>
        <w:rPr>
          <w:rFonts w:hint="eastAsia" w:ascii="华文仿宋" w:hAnsi="华文仿宋" w:eastAsia="华文仿宋" w:cs="华文仿宋"/>
          <w:color w:val="auto"/>
          <w:sz w:val="28"/>
          <w:szCs w:val="28"/>
          <w:u w:val="single"/>
        </w:rPr>
        <w:t>25.接待餐厅要求：包2乙方须积极配合、参与甲方的各类重大活动（如迎新、专项会务及活动、上级检查评估等），加强桌餐（包房接待）备餐能力，并提供优质服务。按甲方会议、活动主办单位要求提供用餐方案（用餐方案须经甲方会议活动主办单位审核书面同意后执行），用餐形式包含大型会议自助餐和包房接待餐，方案中涉及的菜品等应优质薄利提供。</w:t>
      </w:r>
    </w:p>
    <w:p w14:paraId="6429C668">
      <w:pPr>
        <w:pageBreakBefore w:val="0"/>
        <w:widowControl w:val="0"/>
        <w:kinsoku/>
        <w:wordWrap/>
        <w:overflowPunct/>
        <w:topLinePunct w:val="0"/>
        <w:autoSpaceDE/>
        <w:autoSpaceDN/>
        <w:bidi w:val="0"/>
        <w:adjustRightInd/>
        <w:spacing w:line="480" w:lineRule="exact"/>
        <w:ind w:firstLine="560" w:firstLineChars="200"/>
        <w:jc w:val="left"/>
        <w:textAlignment w:val="auto"/>
        <w:rPr>
          <w:rFonts w:hint="eastAsia" w:ascii="华文仿宋" w:hAnsi="华文仿宋" w:eastAsia="华文仿宋" w:cs="华文仿宋"/>
          <w:color w:val="auto"/>
          <w:sz w:val="28"/>
          <w:szCs w:val="28"/>
          <w:u w:val="single"/>
        </w:rPr>
      </w:pPr>
      <w:r>
        <w:rPr>
          <w:rFonts w:hint="eastAsia" w:ascii="华文仿宋" w:hAnsi="华文仿宋" w:eastAsia="华文仿宋" w:cs="华文仿宋"/>
          <w:color w:val="auto"/>
          <w:sz w:val="28"/>
          <w:szCs w:val="28"/>
        </w:rPr>
        <w:t>26.</w:t>
      </w:r>
      <w:r>
        <w:rPr>
          <w:rFonts w:hint="eastAsia" w:ascii="华文仿宋" w:hAnsi="华文仿宋" w:eastAsia="华文仿宋" w:cs="华文仿宋"/>
          <w:color w:val="auto"/>
          <w:sz w:val="28"/>
          <w:szCs w:val="28"/>
          <w:u w:val="single"/>
        </w:rPr>
        <w:t>包1、包3、包5乙方必须在收到中标通知之日起至2025年9月5日正式供餐之前，无条件根据甲方要求做好暑假食堂供餐值班保障工作。乙方</w:t>
      </w:r>
      <w:r>
        <w:rPr>
          <w:rFonts w:hint="eastAsia" w:ascii="华文仿宋" w:hAnsi="华文仿宋" w:eastAsia="华文仿宋" w:cs="华文仿宋"/>
          <w:color w:val="auto"/>
          <w:sz w:val="28"/>
          <w:szCs w:val="28"/>
          <w:u w:val="single"/>
          <w:lang w:val="en-US" w:eastAsia="zh-CN"/>
        </w:rPr>
        <w:t>须</w:t>
      </w:r>
      <w:r>
        <w:rPr>
          <w:rFonts w:hint="eastAsia" w:ascii="华文仿宋" w:hAnsi="华文仿宋" w:eastAsia="华文仿宋" w:cs="华文仿宋"/>
          <w:color w:val="auto"/>
          <w:sz w:val="28"/>
          <w:szCs w:val="28"/>
          <w:u w:val="single"/>
        </w:rPr>
        <w:t>在2025年9月5日达到正式供餐条件要求，否则按违约处理，每延迟一天须支付违约金100000元。</w:t>
      </w:r>
    </w:p>
    <w:p w14:paraId="5991A5A3">
      <w:pPr>
        <w:pageBreakBefore w:val="0"/>
        <w:widowControl w:val="0"/>
        <w:kinsoku/>
        <w:wordWrap/>
        <w:overflowPunct/>
        <w:topLinePunct w:val="0"/>
        <w:autoSpaceDE/>
        <w:autoSpaceDN/>
        <w:bidi w:val="0"/>
        <w:adjustRightInd/>
        <w:spacing w:line="480" w:lineRule="exact"/>
        <w:ind w:firstLine="560" w:firstLineChars="20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27.经营服务时间：乙方须无条件服从甲方关于寒暑假期间留校师生正常伙食供应的值班工作安排，保证寒暑假期间师生的正常供餐，否则，</w:t>
      </w:r>
      <w:r>
        <w:rPr>
          <w:rFonts w:hint="eastAsia" w:ascii="华文仿宋" w:hAnsi="华文仿宋" w:eastAsia="华文仿宋" w:cs="华文仿宋"/>
          <w:color w:val="auto"/>
          <w:sz w:val="28"/>
          <w:szCs w:val="28"/>
          <w:lang w:val="en-US" w:eastAsia="zh-CN"/>
        </w:rPr>
        <w:t>乙方</w:t>
      </w:r>
      <w:r>
        <w:rPr>
          <w:rFonts w:hint="eastAsia" w:ascii="华文仿宋" w:hAnsi="华文仿宋" w:eastAsia="华文仿宋" w:cs="华文仿宋"/>
          <w:color w:val="auto"/>
          <w:sz w:val="28"/>
          <w:szCs w:val="28"/>
        </w:rPr>
        <w:t>按50000元/次</w:t>
      </w:r>
      <w:r>
        <w:rPr>
          <w:rFonts w:hint="eastAsia" w:ascii="华文仿宋" w:hAnsi="华文仿宋" w:eastAsia="华文仿宋" w:cs="华文仿宋"/>
          <w:color w:val="auto"/>
          <w:sz w:val="28"/>
          <w:szCs w:val="28"/>
          <w:lang w:val="en-US" w:eastAsia="zh-CN"/>
        </w:rPr>
        <w:t>向</w:t>
      </w:r>
      <w:r>
        <w:rPr>
          <w:rFonts w:hint="eastAsia" w:ascii="华文仿宋" w:hAnsi="华文仿宋" w:eastAsia="华文仿宋" w:cs="华文仿宋"/>
          <w:color w:val="auto"/>
          <w:sz w:val="28"/>
          <w:szCs w:val="28"/>
        </w:rPr>
        <w:t>甲方</w:t>
      </w:r>
      <w:r>
        <w:rPr>
          <w:rFonts w:hint="eastAsia" w:ascii="华文仿宋" w:hAnsi="华文仿宋" w:eastAsia="华文仿宋" w:cs="华文仿宋"/>
          <w:color w:val="auto"/>
          <w:sz w:val="28"/>
          <w:szCs w:val="28"/>
          <w:lang w:val="en-US" w:eastAsia="zh-CN"/>
        </w:rPr>
        <w:t>支付</w:t>
      </w:r>
      <w:r>
        <w:rPr>
          <w:rFonts w:hint="eastAsia" w:ascii="华文仿宋" w:hAnsi="华文仿宋" w:eastAsia="华文仿宋" w:cs="华文仿宋"/>
          <w:color w:val="auto"/>
          <w:sz w:val="28"/>
          <w:szCs w:val="28"/>
        </w:rPr>
        <w:t>违约金。每学期开学及放假开停餐须严格按照甲方的通知时间执行。经营期间乙方不得以任何理由私自全部或部分或个别档口停餐，否则，</w:t>
      </w:r>
      <w:r>
        <w:rPr>
          <w:rFonts w:hint="eastAsia" w:ascii="华文仿宋" w:hAnsi="华文仿宋" w:eastAsia="华文仿宋" w:cs="华文仿宋"/>
          <w:color w:val="auto"/>
          <w:sz w:val="28"/>
          <w:szCs w:val="28"/>
          <w:lang w:val="en-US" w:eastAsia="zh-CN"/>
        </w:rPr>
        <w:t>乙方</w:t>
      </w:r>
      <w:r>
        <w:rPr>
          <w:rFonts w:hint="eastAsia" w:ascii="华文仿宋" w:hAnsi="华文仿宋" w:eastAsia="华文仿宋" w:cs="华文仿宋"/>
          <w:color w:val="auto"/>
          <w:sz w:val="28"/>
          <w:szCs w:val="28"/>
        </w:rPr>
        <w:t>按每餐所停或未开餐档口20000元/个</w:t>
      </w:r>
      <w:r>
        <w:rPr>
          <w:rFonts w:hint="eastAsia" w:ascii="华文仿宋" w:hAnsi="华文仿宋" w:eastAsia="华文仿宋" w:cs="华文仿宋"/>
          <w:color w:val="auto"/>
          <w:sz w:val="28"/>
          <w:szCs w:val="28"/>
          <w:lang w:val="en-US" w:eastAsia="zh-CN"/>
        </w:rPr>
        <w:t>向</w:t>
      </w:r>
      <w:r>
        <w:rPr>
          <w:rFonts w:hint="eastAsia" w:ascii="华文仿宋" w:hAnsi="华文仿宋" w:eastAsia="华文仿宋" w:cs="华文仿宋"/>
          <w:color w:val="auto"/>
          <w:sz w:val="28"/>
          <w:szCs w:val="28"/>
        </w:rPr>
        <w:t>甲方</w:t>
      </w:r>
      <w:r>
        <w:rPr>
          <w:rFonts w:hint="eastAsia" w:ascii="华文仿宋" w:hAnsi="华文仿宋" w:eastAsia="华文仿宋" w:cs="华文仿宋"/>
          <w:color w:val="auto"/>
          <w:sz w:val="28"/>
          <w:szCs w:val="28"/>
          <w:lang w:val="en-US" w:eastAsia="zh-CN"/>
        </w:rPr>
        <w:t>支付违约</w:t>
      </w:r>
      <w:r>
        <w:rPr>
          <w:rFonts w:hint="eastAsia" w:ascii="华文仿宋" w:hAnsi="华文仿宋" w:eastAsia="华文仿宋" w:cs="华文仿宋"/>
          <w:color w:val="auto"/>
          <w:sz w:val="28"/>
          <w:szCs w:val="28"/>
        </w:rPr>
        <w:t>金。</w:t>
      </w:r>
    </w:p>
    <w:p w14:paraId="610EDEAC">
      <w:pPr>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u w:val="single"/>
        </w:rPr>
      </w:pPr>
      <w:r>
        <w:rPr>
          <w:rFonts w:hint="eastAsia" w:ascii="华文仿宋" w:hAnsi="华文仿宋" w:eastAsia="华文仿宋" w:cs="华文仿宋"/>
          <w:color w:val="auto"/>
          <w:sz w:val="28"/>
          <w:szCs w:val="28"/>
          <w:u w:val="single"/>
        </w:rPr>
        <w:t>28.包2乙方在知味楼二楼、包3乙方在知善楼二楼、包5乙方在星湖校区知和楼二楼食堂必须分别保证有一个面积大小合理、窗口独立的民族特色食品专卖窗口，须严格遵守少数民族的饮食习惯和加工程序。</w:t>
      </w:r>
    </w:p>
    <w:p w14:paraId="0A99AE43">
      <w:pPr>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u w:val="single"/>
        </w:rPr>
      </w:pPr>
      <w:r>
        <w:rPr>
          <w:rFonts w:hint="eastAsia" w:ascii="华文仿宋" w:hAnsi="华文仿宋" w:eastAsia="华文仿宋" w:cs="华文仿宋"/>
          <w:color w:val="auto"/>
          <w:sz w:val="28"/>
          <w:szCs w:val="28"/>
          <w:u w:val="single"/>
        </w:rPr>
        <w:t>29.包3乙方须在红河A区知善楼二楼的现小鱼精品套餐窗口及操作间、现洗消间、2间库房、更衣间、办公室等区域暂时设立附属幼儿园食堂。附属幼儿园食堂由永川兴龙湖小学独立经营（包括水、电、气费单独计量并由永川兴龙湖小学付费），时间一年，须预留区域不少于80平方米（包括附属幼儿园食堂加工区20平方米、存储区20平方米、洗消区10平方米，烹饪间20平方米，配餐间10平方米）。因兴龙湖小学一年后要将该区域要交还给包3乙方，所以包3乙方需要出资对该区域按照幼儿园食堂要求进行统一设计装修、安装食安系统、抽排系统、排水系统、灶2台、餐具消毒柜1台、六门冰箱2台等后厨必备的设备设施（装修要求、安全责任划分由乙方与附属幼儿园另行协商约定，甲方不承担任何责任），且必须在幼儿园开园前达到供餐条件（具体时间以幼儿园通知为准）。</w:t>
      </w:r>
    </w:p>
    <w:p w14:paraId="5EB18510">
      <w:pPr>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u w:val="single"/>
        </w:rPr>
      </w:pPr>
      <w:r>
        <w:rPr>
          <w:rFonts w:hint="eastAsia" w:ascii="华文仿宋" w:hAnsi="华文仿宋" w:eastAsia="华文仿宋" w:cs="华文仿宋"/>
          <w:color w:val="auto"/>
          <w:sz w:val="28"/>
          <w:szCs w:val="28"/>
          <w:u w:val="single"/>
        </w:rPr>
        <w:t>30.座位个数。包1红河B区知味楼一楼食堂不低于687个座位；包2红河B区知味楼二楼食堂学生就餐区不低于794个座位；包3红河A区知善楼一、二楼食堂不低于1784个座位；包4红河A校区三食堂不低于900个座位；包5星湖校区知和楼一、二楼食堂不低于1000个座位，学聚苑食堂不低于264个座位。乙方的餐桌椅配置须符合高端大气的现代大学食堂标准要求，并经甲方基建后勤处书面同意。</w:t>
      </w:r>
    </w:p>
    <w:p w14:paraId="530591C1">
      <w:pPr>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31.监督管理。乙方须服从学校现有的以及学校不断完善和新增的各项管理制度、规范及考核办法，并按照考核结果和考核意见进行整改落实。考核分为日常考核、学期考核，按考核办法执行。成交供应商在运营期间，因管理不善，收到学校、国家机关在监督管理过程中提出的各项整改要求和处罚必须无条件按要求限时完成整改，接受处罚。</w:t>
      </w:r>
    </w:p>
    <w:p w14:paraId="2F5C6E85">
      <w:pPr>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第</w:t>
      </w:r>
      <w:r>
        <w:rPr>
          <w:rFonts w:hint="eastAsia" w:ascii="华文仿宋" w:hAnsi="华文仿宋" w:eastAsia="华文仿宋" w:cs="华文仿宋"/>
          <w:color w:val="auto"/>
          <w:sz w:val="28"/>
          <w:szCs w:val="28"/>
          <w:lang w:val="en-US" w:eastAsia="zh-CN"/>
        </w:rPr>
        <w:t>九</w:t>
      </w:r>
      <w:r>
        <w:rPr>
          <w:rFonts w:hint="eastAsia" w:ascii="华文仿宋" w:hAnsi="华文仿宋" w:eastAsia="华文仿宋" w:cs="华文仿宋"/>
          <w:color w:val="auto"/>
          <w:sz w:val="28"/>
          <w:szCs w:val="28"/>
        </w:rPr>
        <w:t>条  食材要求</w:t>
      </w:r>
    </w:p>
    <w:p w14:paraId="7C80625F">
      <w:pPr>
        <w:pageBreakBefore w:val="0"/>
        <w:widowControl w:val="0"/>
        <w:kinsoku/>
        <w:wordWrap/>
        <w:overflowPunct/>
        <w:topLinePunct w:val="0"/>
        <w:autoSpaceDE/>
        <w:autoSpaceDN/>
        <w:bidi w:val="0"/>
        <w:adjustRightInd/>
        <w:spacing w:line="480" w:lineRule="exact"/>
        <w:ind w:firstLine="560" w:firstLineChars="20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1.乙方必须建立食堂集中统一采购制度，集中统一采购食材（含米、面、油、肉、蔬菜、一次性餐具以及各类原辅料及调料），其中食用油必须为非转基因品种，米为品牌优质东北当年产大米，未经甲方允许，不得使用及进口冻制食材。乙方必须全力配合甲方搞好食品安全的入口关管理，须保证各类食材乙方资质符合甲方要求，相应证照复印件收集完整，报甲方备案，并将原辅料采购相关信息纳入甲方数智食堂系统统一管理。执行好甲方规定的采购原则和制度，确保食材采购管理规范。</w:t>
      </w:r>
    </w:p>
    <w:p w14:paraId="52E5CCE3">
      <w:pPr>
        <w:pageBreakBefore w:val="0"/>
        <w:widowControl w:val="0"/>
        <w:kinsoku/>
        <w:wordWrap/>
        <w:overflowPunct/>
        <w:topLinePunct w:val="0"/>
        <w:autoSpaceDE/>
        <w:autoSpaceDN/>
        <w:bidi w:val="0"/>
        <w:adjustRightInd/>
        <w:spacing w:line="480" w:lineRule="exact"/>
        <w:ind w:firstLine="560" w:firstLineChars="20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2.乙方必须使用进销存管理系统，在系统中建立所有食材（主料、辅料、调料）进货、出货台账，甲方将根据系统数据对食材进出情况进行核验。乙方须安排专人负责管理进销存系统，确保每天进货、出货数据及时更新，保证食材种类、数量与系统数据一致。</w:t>
      </w:r>
    </w:p>
    <w:p w14:paraId="36CDBC60">
      <w:pPr>
        <w:pageBreakBefore w:val="0"/>
        <w:widowControl w:val="0"/>
        <w:kinsoku/>
        <w:wordWrap/>
        <w:overflowPunct/>
        <w:topLinePunct w:val="0"/>
        <w:autoSpaceDE/>
        <w:autoSpaceDN/>
        <w:bidi w:val="0"/>
        <w:adjustRightInd/>
        <w:spacing w:line="480" w:lineRule="exact"/>
        <w:ind w:firstLine="560" w:firstLineChars="20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3.餐饮原材料的采购须严格执行索证索票、登记和验收制度，并建立台帐，确保准确溯源。对购买的每批次货物生产厂家的营业执照、卫生许可证、检疫检验、购货单据等相关证明应保存二年以上，以备查验。严禁“三无产品”（无生产日期、无质量合格证及无生产厂家）、不合格品、过期、变质食品及原料进入食堂，否则视为违约，甲方有权单方面解除合同，且不退还全部履约保证金。</w:t>
      </w:r>
    </w:p>
    <w:p w14:paraId="7C04999A">
      <w:pPr>
        <w:pageBreakBefore w:val="0"/>
        <w:widowControl w:val="0"/>
        <w:kinsoku/>
        <w:wordWrap/>
        <w:overflowPunct/>
        <w:topLinePunct w:val="0"/>
        <w:autoSpaceDE/>
        <w:autoSpaceDN/>
        <w:bidi w:val="0"/>
        <w:adjustRightInd/>
        <w:spacing w:line="480" w:lineRule="exact"/>
        <w:ind w:firstLine="560" w:firstLineChars="20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4.甲方随机检查乙方的伙食原材料采购情况，包括但不限于乙方合同、发票、支付凭证等文件资料，甲方必要时有权委托第三方机构对乙方伙食原料进行检验检测，并由乙方承担检验检测费；检验检测不合格的，乙方承担所有有关责任。乙方需积极配合甲方开展此项工作，不得推诿、拒绝，否则视为违约，每次扣罚违约金10000元。</w:t>
      </w:r>
    </w:p>
    <w:p w14:paraId="58161197">
      <w:pPr>
        <w:pageBreakBefore w:val="0"/>
        <w:widowControl w:val="0"/>
        <w:kinsoku/>
        <w:wordWrap/>
        <w:overflowPunct/>
        <w:topLinePunct w:val="0"/>
        <w:autoSpaceDE/>
        <w:autoSpaceDN/>
        <w:bidi w:val="0"/>
        <w:adjustRightInd/>
        <w:spacing w:line="480" w:lineRule="exact"/>
        <w:ind w:firstLine="560" w:firstLineChars="20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5.乙方烹制饭菜所用的原材料、调味品等应符合国家有关规定，严禁使用非食用辅助材料或添加剂加工食品，否则视为违约，首次扣罚违约金10000元，第二次开始每次50000元。</w:t>
      </w:r>
    </w:p>
    <w:p w14:paraId="72D0292F">
      <w:pPr>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6.乙方须按照《重庆市财政局关于做好贫困地区农副产品预留采购份额工作的通知》（渝财采购〔2019〕10 号，如有新文件要求，按新文件要求执行）及相关上级部门关于消费帮扶工作的要求，完成甲方预留给贫困地区或乡村振兴帮扶地区农副产品的采购份额，采购金额以甲方核定为准，乙方不得推诿、拒绝，否则，乙方每次向甲方支付违约金50000元人民币。</w:t>
      </w:r>
    </w:p>
    <w:p w14:paraId="26E6D325">
      <w:pPr>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第</w:t>
      </w:r>
      <w:r>
        <w:rPr>
          <w:rFonts w:hint="eastAsia" w:ascii="华文仿宋" w:hAnsi="华文仿宋" w:eastAsia="华文仿宋" w:cs="华文仿宋"/>
          <w:color w:val="auto"/>
          <w:sz w:val="28"/>
          <w:szCs w:val="28"/>
          <w:lang w:val="en-US" w:eastAsia="zh-CN"/>
        </w:rPr>
        <w:t>十</w:t>
      </w:r>
      <w:r>
        <w:rPr>
          <w:rFonts w:hint="eastAsia" w:ascii="华文仿宋" w:hAnsi="华文仿宋" w:eastAsia="华文仿宋" w:cs="华文仿宋"/>
          <w:color w:val="auto"/>
          <w:sz w:val="28"/>
          <w:szCs w:val="28"/>
        </w:rPr>
        <w:t>条 消防安全要求</w:t>
      </w:r>
    </w:p>
    <w:p w14:paraId="2580CC6B">
      <w:pPr>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bookmarkStart w:id="186" w:name="OLE_LINK30"/>
      <w:bookmarkStart w:id="187" w:name="OLE_LINK31"/>
      <w:r>
        <w:rPr>
          <w:rFonts w:hint="eastAsia" w:ascii="华文仿宋" w:hAnsi="华文仿宋" w:eastAsia="华文仿宋" w:cs="华文仿宋"/>
          <w:color w:val="auto"/>
          <w:sz w:val="28"/>
          <w:szCs w:val="28"/>
        </w:rPr>
        <w:t>1.乙方必须按照市场监管、消防、环保、燃气等部门及甲方的要求对食堂的燃气设施、一氧化碳探头、燃气报警装置和安全自闭阀、抽排灭火喷淋、新风系统、消防报警、喷淋、烟感、温感、报警系统、特种设备及电路电气设备进行安装、更换、添置、维修、维护、年检并取得相关合格报告或检验合格证明材料交甲方备案，保证相关设施、设备的正常、安全运行，确保通过食品安全、消防安全、燃气安全、环保等部门的验收。为保证服务需要，</w:t>
      </w:r>
      <w:r>
        <w:rPr>
          <w:rFonts w:hint="eastAsia" w:ascii="华文仿宋" w:hAnsi="华文仿宋" w:eastAsia="华文仿宋" w:cs="华文仿宋"/>
          <w:bCs/>
          <w:color w:val="auto"/>
          <w:sz w:val="28"/>
          <w:szCs w:val="28"/>
        </w:rPr>
        <w:t>完成油烟净化器、烟道、烟机及送排风系统的更换</w:t>
      </w:r>
      <w:r>
        <w:rPr>
          <w:rFonts w:hint="eastAsia" w:ascii="华文仿宋" w:hAnsi="华文仿宋" w:eastAsia="华文仿宋" w:cs="华文仿宋"/>
          <w:color w:val="auto"/>
          <w:sz w:val="28"/>
          <w:szCs w:val="28"/>
        </w:rPr>
        <w:t>、清洗、维护，油烟抽排标准符合国家及重庆市有关规定，上述一切改造、安装、更换、维修维护、整改费用由乙方自行承担。</w:t>
      </w:r>
    </w:p>
    <w:p w14:paraId="48D33498">
      <w:pPr>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2.环境改善完成后，乙方应达到由</w:t>
      </w:r>
      <w:bookmarkStart w:id="188" w:name="OLE_LINK18"/>
      <w:bookmarkStart w:id="189" w:name="OLE_LINK17"/>
      <w:r>
        <w:rPr>
          <w:rFonts w:hint="eastAsia" w:ascii="华文仿宋" w:hAnsi="华文仿宋" w:eastAsia="华文仿宋" w:cs="华文仿宋"/>
          <w:color w:val="auto"/>
          <w:sz w:val="28"/>
          <w:szCs w:val="28"/>
        </w:rPr>
        <w:t>政府机构认可的第三方机构出具的消防安全验收合格检测报告</w:t>
      </w:r>
      <w:bookmarkEnd w:id="188"/>
      <w:bookmarkEnd w:id="189"/>
      <w:r>
        <w:rPr>
          <w:rFonts w:hint="eastAsia" w:ascii="华文仿宋" w:hAnsi="华文仿宋" w:eastAsia="华文仿宋" w:cs="华文仿宋"/>
          <w:color w:val="auto"/>
          <w:sz w:val="28"/>
          <w:szCs w:val="28"/>
        </w:rPr>
        <w:t>，相关费用由乙方承担。</w:t>
      </w:r>
    </w:p>
    <w:p w14:paraId="0A6499B6">
      <w:pPr>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3.乙方必须按消防法规相关要求，食堂防火分隔采用2.0砖墙分隔并使用防火玻璃，装修材料燃烧性能等级需达到B1级（难燃材料）及以上，其中顶棚材料须采用A级（不燃材料），严禁使用易燃可燃材料,具体要求如下：</w:t>
      </w:r>
    </w:p>
    <w:p w14:paraId="2C9AC970">
      <w:pPr>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（1）建筑防火规范</w:t>
      </w:r>
    </w:p>
    <w:p w14:paraId="33C5DC88">
      <w:pPr>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a.耐火等级</w:t>
      </w:r>
    </w:p>
    <w:p w14:paraId="5D3903AF">
      <w:pPr>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厨房区域应与其他区域采用防火隔墙（≥2h耐火极限）和甲级防火门分隔。</w:t>
      </w:r>
    </w:p>
    <w:p w14:paraId="7AAD82A0">
      <w:pPr>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墙面、地面：B1级（难燃）材料及以上，顶棚必须使用A级（不燃）材料，禁止使用易燃材料（如泡沫板、木板等）。</w:t>
      </w:r>
    </w:p>
    <w:p w14:paraId="7F2C512E">
      <w:pPr>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b.安全疏散</w:t>
      </w:r>
    </w:p>
    <w:p w14:paraId="75203905">
      <w:pPr>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出口数量：至少设置2个独立安全出口，且间距≥5米。</w:t>
      </w:r>
    </w:p>
    <w:p w14:paraId="778D75C6">
      <w:pPr>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通道宽度：主疏散通道≥1.4米，次通道≥1.1米，不得堆放杂物。</w:t>
      </w:r>
    </w:p>
    <w:p w14:paraId="42950A71">
      <w:pPr>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疏散门：必须为外开式，宽度≥1.2米，禁止使用推拉门或卷帘门。</w:t>
      </w:r>
    </w:p>
    <w:p w14:paraId="0D813E62">
      <w:pPr>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(2)厨房专项要求</w:t>
      </w:r>
    </w:p>
    <w:p w14:paraId="0702AAD4">
      <w:pPr>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a.防火分隔</w:t>
      </w:r>
    </w:p>
    <w:p w14:paraId="4D1AA2CA">
      <w:pPr>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厨房区域必须单独划分，与用餐区采用防火墙（耐火极限≥2h）分隔，就餐区域禁止出现明火操作。</w:t>
      </w:r>
    </w:p>
    <w:p w14:paraId="655A4AE8">
      <w:pPr>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b.燃气表间需独立设置，通风次数≥6次/小时。</w:t>
      </w:r>
    </w:p>
    <w:p w14:paraId="5D17D459">
      <w:pPr>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c.排油烟系统</w:t>
      </w:r>
    </w:p>
    <w:p w14:paraId="05E36A0F">
      <w:pPr>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排油烟管道应采用不锈钢材质，安装防火阀（150℃自动关闭）和油烟净化装置。</w:t>
      </w:r>
    </w:p>
    <w:p w14:paraId="1453BFF7">
      <w:pPr>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排油烟罩、管道每季月至少清洗1次（需留存清洗记录）。</w:t>
      </w:r>
    </w:p>
    <w:p w14:paraId="3D6EFF5C">
      <w:pPr>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d.灭火设施</w:t>
      </w:r>
    </w:p>
    <w:p w14:paraId="52B36FB7">
      <w:pPr>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厨房必须安装厨房专用自动灭火装置（覆盖炉灶、烟道等），并联动燃气切断阀。</w:t>
      </w:r>
    </w:p>
    <w:p w14:paraId="79A28F0E">
      <w:pPr>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配置泡沫灭火器（应对油火），每50㎡不少于2具。</w:t>
      </w:r>
    </w:p>
    <w:p w14:paraId="25EDFE91">
      <w:pPr>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(3)消防设施配置</w:t>
      </w:r>
    </w:p>
    <w:p w14:paraId="4A07D461">
      <w:pPr>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a.火灾报警系统</w:t>
      </w:r>
    </w:p>
    <w:p w14:paraId="6716E5DB">
      <w:pPr>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安装感烟、感温探测器（现有位置不得私自改变、遮挡），厨房需增设可燃气体探测器并全面覆盖操作经营范围（燃气泄漏报警）。</w:t>
      </w:r>
    </w:p>
    <w:p w14:paraId="639D0B74">
      <w:pPr>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b.报警系统需联动声光警报和应急广播。</w:t>
      </w:r>
    </w:p>
    <w:p w14:paraId="5AB6645C">
      <w:pPr>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c.喷淋系统</w:t>
      </w:r>
    </w:p>
    <w:p w14:paraId="1E7A3465">
      <w:pPr>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用餐区采用标准喷头（动作温度68℃），厨房区域需用高温喷头（93℃）。</w:t>
      </w:r>
    </w:p>
    <w:p w14:paraId="3BEBC171">
      <w:pPr>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喷淋头与灶具水平距离≥0.8米，避免误喷。</w:t>
      </w:r>
    </w:p>
    <w:p w14:paraId="79B88D45">
      <w:pPr>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d.应急照明与标识</w:t>
      </w:r>
    </w:p>
    <w:p w14:paraId="77C66EE8">
      <w:pPr>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疏散通道、出口处设置持续供电≥1小时的应急照明。</w:t>
      </w:r>
    </w:p>
    <w:p w14:paraId="24DE1386">
      <w:pPr>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地面1米以下设置发光疏散指示标志，间距≤20米。</w:t>
      </w:r>
    </w:p>
    <w:p w14:paraId="479F0DF9">
      <w:pPr>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(4)电气防火要求</w:t>
      </w:r>
    </w:p>
    <w:p w14:paraId="340130A4">
      <w:pPr>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a.所有电线穿金属管保护或阻燃PVC管，禁止私拉临时线路。</w:t>
      </w:r>
    </w:p>
    <w:p w14:paraId="0FD6D4CF">
      <w:pPr>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b.大功率设备（如蒸柜、烤箱）需单独回路，配电箱加装漏电保护器。</w:t>
      </w:r>
    </w:p>
    <w:p w14:paraId="06678478">
      <w:pPr>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c.插座、开关距水源≥1米，厨房设备需防水防潮。</w:t>
      </w:r>
    </w:p>
    <w:p w14:paraId="416CF6FA">
      <w:pPr>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(5)施工期间管理</w:t>
      </w:r>
    </w:p>
    <w:p w14:paraId="7AC0280C">
      <w:pPr>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动火审批：焊接、切割等作业需办理动火证，现场配置灭火器材并清除周边可燃物。</w:t>
      </w:r>
    </w:p>
    <w:p w14:paraId="1841017A">
      <w:pPr>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临时用电：使用防爆灯具和电缆，下班后切断电源。</w:t>
      </w:r>
    </w:p>
    <w:p w14:paraId="3733FA9F">
      <w:pPr>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4.燃气报警探头全覆盖；消防通道畅通、设施设备完好及标识标牌醒目。乙方全面负责食堂内的防火、防盗工作和员工的管理工作，认真履行安全职责，不得占用消防通道、遮挡消防设施设备及标牌。注意用水、用电、用气的安全，并做好定期相关培训。配合甲方及国家相关部门定期安全检查，发现安全隐患立即整改。若乙方出现食堂重大消防安全事故并造成重大负面影响的，乙方除承担一切经济和法律责任外，甲方有权单方面解除合同，并扣罚乙方全部履约保证金；若出现食堂消防安全事故未且造成负面影响的，甲方扣罚乙方违约金20000元/次。</w:t>
      </w:r>
    </w:p>
    <w:p w14:paraId="706FF69D">
      <w:pPr>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5.乙方不得损坏原有的消防设施设备，如原有消防设施设备已坏或不能正常使用或覆盖不全，由乙方负责增加、更换，被更换的设施设备交由采购处置；按消防要求，乙方配置足够的灭火器材和后厨F类专用灭火器、灭火毯、疏散引导箱，安装满足需要的应急照明和疏散标识。乙方需按消防和物业管理条例自行添置消防设备设施。</w:t>
      </w:r>
      <w:bookmarkEnd w:id="186"/>
      <w:bookmarkEnd w:id="187"/>
    </w:p>
    <w:p w14:paraId="185712B8">
      <w:pPr>
        <w:pStyle w:val="3"/>
        <w:pageBreakBefore w:val="0"/>
        <w:widowControl w:val="0"/>
        <w:kinsoku/>
        <w:wordWrap/>
        <w:overflowPunct/>
        <w:topLinePunct w:val="0"/>
        <w:autoSpaceDE/>
        <w:autoSpaceDN/>
        <w:bidi w:val="0"/>
        <w:adjustRightInd/>
        <w:spacing w:before="0" w:after="0" w:line="480" w:lineRule="exact"/>
        <w:ind w:firstLine="560" w:firstLineChars="200"/>
        <w:textAlignment w:val="auto"/>
        <w:rPr>
          <w:rFonts w:hint="eastAsia" w:ascii="华文仿宋" w:hAnsi="华文仿宋" w:eastAsia="华文仿宋" w:cs="华文仿宋"/>
          <w:b w:val="0"/>
          <w:color w:val="auto"/>
          <w:sz w:val="28"/>
          <w:szCs w:val="28"/>
        </w:rPr>
      </w:pPr>
      <w:bookmarkStart w:id="190" w:name="_Toc3749"/>
      <w:bookmarkStart w:id="191" w:name="_Toc31824"/>
      <w:r>
        <w:rPr>
          <w:rFonts w:hint="eastAsia" w:ascii="华文仿宋" w:hAnsi="华文仿宋" w:eastAsia="华文仿宋" w:cs="华文仿宋"/>
          <w:b w:val="0"/>
          <w:color w:val="auto"/>
          <w:sz w:val="28"/>
          <w:szCs w:val="28"/>
        </w:rPr>
        <w:t>第</w:t>
      </w:r>
      <w:r>
        <w:rPr>
          <w:rFonts w:hint="eastAsia" w:ascii="华文仿宋" w:hAnsi="华文仿宋" w:eastAsia="华文仿宋" w:cs="华文仿宋"/>
          <w:b w:val="0"/>
          <w:color w:val="auto"/>
          <w:sz w:val="28"/>
          <w:szCs w:val="28"/>
          <w:lang w:val="en-US" w:eastAsia="zh-CN"/>
        </w:rPr>
        <w:t>十一</w:t>
      </w:r>
      <w:r>
        <w:rPr>
          <w:rFonts w:hint="eastAsia" w:ascii="华文仿宋" w:hAnsi="华文仿宋" w:eastAsia="华文仿宋" w:cs="华文仿宋"/>
          <w:b w:val="0"/>
          <w:color w:val="auto"/>
          <w:sz w:val="28"/>
          <w:szCs w:val="28"/>
        </w:rPr>
        <w:t>条  食堂服务育人要求</w:t>
      </w:r>
      <w:bookmarkEnd w:id="190"/>
      <w:bookmarkEnd w:id="191"/>
    </w:p>
    <w:p w14:paraId="16AE78C3">
      <w:pPr>
        <w:pageBreakBefore w:val="0"/>
        <w:widowControl w:val="0"/>
        <w:kinsoku/>
        <w:wordWrap/>
        <w:overflowPunct/>
        <w:topLinePunct w:val="0"/>
        <w:autoSpaceDE/>
        <w:autoSpaceDN/>
        <w:bidi w:val="0"/>
        <w:adjustRightInd/>
        <w:spacing w:line="480" w:lineRule="exact"/>
        <w:ind w:firstLine="560" w:firstLineChars="20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乙方围绕后勤育人的要求，应积极配合甲方推进“三全育人”工作，乙方需按照不低于3万元/年的投入，无条件协助甲方相关部门做好实践体验育人、劳动育人、环境育人、服务育人、文化育人和后勤餐饮特色文化打造工作。深化共建共享工作机制，在食堂就餐区设立数智电子文化展示墙，由乙方投入充足经费开展以食品安全、营养健康、制止餐饮浪费等文化主题活动，积极配合甲方学生伙管会的各项活动规划和落实。乙方还需应甲方要求投入充足经费确保各类饮食文化活动项目的开展、传统佳节氛围营造、勤工助学岗位提供以及勤工助学人员的伙食保障。食堂文化建设符合甲方相关规定，与甲方发展特色契合，打造后勤育人品牌，积极营造和谐校园文化，不得在甲方本招标区域以外从事任何商业、广告、集会等活动。</w:t>
      </w:r>
    </w:p>
    <w:p w14:paraId="30BA06EE">
      <w:pPr>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第</w:t>
      </w:r>
      <w:r>
        <w:rPr>
          <w:rFonts w:hint="eastAsia" w:ascii="华文仿宋" w:hAnsi="华文仿宋" w:eastAsia="华文仿宋" w:cs="华文仿宋"/>
          <w:color w:val="auto"/>
          <w:sz w:val="28"/>
          <w:szCs w:val="28"/>
          <w:lang w:val="en-US" w:eastAsia="zh-CN"/>
        </w:rPr>
        <w:t>十二</w:t>
      </w:r>
      <w:r>
        <w:rPr>
          <w:rFonts w:hint="eastAsia" w:ascii="华文仿宋" w:hAnsi="华文仿宋" w:eastAsia="华文仿宋" w:cs="华文仿宋"/>
          <w:color w:val="auto"/>
          <w:sz w:val="28"/>
          <w:szCs w:val="28"/>
        </w:rPr>
        <w:t>条  教工餐要求</w:t>
      </w:r>
    </w:p>
    <w:p w14:paraId="0F86E1B4">
      <w:pPr>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1.甲方以提供的优惠条件要求乙方做好自助教工餐。自助教工餐菜品必须有鸡、鸭、鱼、兔、猪、牛羊肉、根茎、瓜果、豆制品、绿叶蔬菜等荤素菜合理搭配的新鲜食材。菜品基本配置：每餐 6荤6素、荤或素汤1道（变换使用）、生牛乳酸奶1盒（每人）或水果1个（每人）、米饭、粥、馒头，做到饭菜丰富、品种轮换（原则上每周菜品重复率不超过20%且每天要有1道主题菜品）、南北风味搭配；做好饭菜保温。价格为15元（甲方在编在岗教职工当天第一次只刷卡计次学校补贴15元给乙方，第二次刷卡为15元，甲方不再补贴；甲方外聘合同工及退休教职工当天第一次刷卡5元，甲方补贴10元给乙方，第二次刷卡为15元，甲方不再补贴）。乙方每周提前制订教工餐菜单，并提交采购审核，并于每周五前公布下周菜单。</w:t>
      </w:r>
    </w:p>
    <w:p w14:paraId="15A0D16A">
      <w:pPr>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2.乙方采购原料须符合《食品安全法》及其实施条例规定，从正规固定进货渠道采购。主材选择必须为非转基因品牌植物油，品牌优质东北米、优质鲜肉（一级以上），鱼类菜品须用活鱼制作。所选主材需提供相关证明材料交甲方备案。</w:t>
      </w:r>
    </w:p>
    <w:p w14:paraId="39AC5CDA">
      <w:pPr>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3.甲方将在成交乙方运行期间适时合理调整教工餐供应方式和考核方式，成交乙方须无条件配合。</w:t>
      </w:r>
    </w:p>
    <w:p w14:paraId="23161176">
      <w:pPr>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4.甲方在勘察阶段提供一年的教工餐菜单供乙方查看，此菜单作为合同期内的教工餐，未经甲方书面同意，不得随意变更。如未查看视为认同此菜单。</w:t>
      </w:r>
    </w:p>
    <w:p w14:paraId="45350E89">
      <w:pPr>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第十</w:t>
      </w:r>
      <w:r>
        <w:rPr>
          <w:rFonts w:hint="eastAsia" w:ascii="华文仿宋" w:hAnsi="华文仿宋" w:eastAsia="华文仿宋" w:cs="华文仿宋"/>
          <w:color w:val="auto"/>
          <w:sz w:val="28"/>
          <w:szCs w:val="28"/>
          <w:lang w:val="en-US" w:eastAsia="zh-CN"/>
        </w:rPr>
        <w:t>三</w:t>
      </w:r>
      <w:r>
        <w:rPr>
          <w:rFonts w:hint="eastAsia" w:ascii="华文仿宋" w:hAnsi="华文仿宋" w:eastAsia="华文仿宋" w:cs="华文仿宋"/>
          <w:color w:val="auto"/>
          <w:sz w:val="28"/>
          <w:szCs w:val="28"/>
        </w:rPr>
        <w:t>条项目管理班子要求</w:t>
      </w:r>
    </w:p>
    <w:p w14:paraId="29B8C50B">
      <w:pPr>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乙方为本项目配置科学合理的管理服务团队，并要求管理服务团队素质高、经验丰富、人员充足，管理服务制度健全。各食堂必须配备项目负责人、厨师、食品安全总监、消防安全人员各1名（该人员必须具备消防设施操作证），食品安全员各2名，提供项目管理班子所有成员及职务清单，加盖乙方公章（具体见附件项目全部人员组成表），项目负责人、厨师、食品安全总监、食品安全员必须持有市场监督管理局颁发的食品安全知识考试合格证书，且项目负责人、食品安全总监、食品安全员必须为投标单位员工（提供劳动合同和2025年1月至5月连续的养老保险证明复印件加盖乙方公章，原件现场备查）。本项目负责人应当具备国民教育专科及以上文化程度。实际到岗履职的项目管理班子成员应与投标文件中的一致，不得擅自更换。特殊情况经甲方书面同意，以上岗位人员方可调整。如未经甲方书面同意擅自更换人员，每擅自更换一次乙方需向甲方支付违约金50000元/人/次。如项目管理班子未按照要求配备配齐相应人员或未配备相应资格的人员视为违约，甲方扣罚乙方违约金10000元/人/次。</w:t>
      </w:r>
    </w:p>
    <w:p w14:paraId="4223C99F">
      <w:pPr>
        <w:pageBreakBefore w:val="0"/>
        <w:widowControl w:val="0"/>
        <w:kinsoku/>
        <w:wordWrap/>
        <w:overflowPunct/>
        <w:topLinePunct w:val="0"/>
        <w:autoSpaceDE/>
        <w:autoSpaceDN/>
        <w:bidi w:val="0"/>
        <w:adjustRightInd/>
        <w:snapToGrid w:val="0"/>
        <w:spacing w:line="480" w:lineRule="exact"/>
        <w:textAlignment w:val="auto"/>
        <w:rPr>
          <w:rFonts w:hint="eastAsia" w:ascii="华文仿宋" w:hAnsi="华文仿宋" w:eastAsia="华文仿宋" w:cs="华文仿宋"/>
          <w:color w:val="auto"/>
          <w:sz w:val="28"/>
          <w:szCs w:val="28"/>
        </w:rPr>
      </w:pPr>
    </w:p>
    <w:p w14:paraId="411E977D">
      <w:pPr>
        <w:pageBreakBefore w:val="0"/>
        <w:widowControl w:val="0"/>
        <w:kinsoku/>
        <w:wordWrap/>
        <w:overflowPunct/>
        <w:topLinePunct w:val="0"/>
        <w:autoSpaceDE/>
        <w:autoSpaceDN/>
        <w:bidi w:val="0"/>
        <w:adjustRightInd/>
        <w:snapToGrid w:val="0"/>
        <w:spacing w:line="480" w:lineRule="exact"/>
        <w:ind w:firstLine="2242" w:firstLineChars="800"/>
        <w:textAlignment w:val="auto"/>
        <w:rPr>
          <w:rFonts w:hint="eastAsia" w:ascii="华文仿宋" w:hAnsi="华文仿宋" w:eastAsia="华文仿宋" w:cs="华文仿宋"/>
          <w:b/>
          <w:color w:val="auto"/>
          <w:sz w:val="28"/>
          <w:szCs w:val="28"/>
        </w:rPr>
      </w:pPr>
      <w:r>
        <w:rPr>
          <w:rFonts w:hint="eastAsia" w:ascii="华文仿宋" w:hAnsi="华文仿宋" w:eastAsia="华文仿宋" w:cs="华文仿宋"/>
          <w:b/>
          <w:color w:val="auto"/>
          <w:sz w:val="28"/>
          <w:szCs w:val="28"/>
        </w:rPr>
        <w:t>第</w:t>
      </w:r>
      <w:r>
        <w:rPr>
          <w:rFonts w:hint="eastAsia" w:ascii="华文仿宋" w:hAnsi="华文仿宋" w:eastAsia="华文仿宋" w:cs="华文仿宋"/>
          <w:b/>
          <w:color w:val="auto"/>
          <w:sz w:val="28"/>
          <w:szCs w:val="28"/>
          <w:lang w:val="en-US" w:eastAsia="zh-CN"/>
        </w:rPr>
        <w:t>四</w:t>
      </w:r>
      <w:r>
        <w:rPr>
          <w:rFonts w:hint="eastAsia" w:ascii="华文仿宋" w:hAnsi="华文仿宋" w:eastAsia="华文仿宋" w:cs="华文仿宋"/>
          <w:b/>
          <w:color w:val="auto"/>
          <w:sz w:val="28"/>
          <w:szCs w:val="28"/>
        </w:rPr>
        <w:t>部分  数智食堂建设要求</w:t>
      </w:r>
    </w:p>
    <w:p w14:paraId="6AFDC7A2">
      <w:pPr>
        <w:pageBreakBefore w:val="0"/>
        <w:widowControl w:val="0"/>
        <w:kinsoku/>
        <w:wordWrap/>
        <w:overflowPunct/>
        <w:topLinePunct w:val="0"/>
        <w:autoSpaceDE/>
        <w:autoSpaceDN/>
        <w:bidi w:val="0"/>
        <w:adjustRightInd/>
        <w:snapToGrid w:val="0"/>
        <w:spacing w:line="480" w:lineRule="exact"/>
        <w:ind w:firstLine="561" w:firstLineChars="200"/>
        <w:textAlignment w:val="auto"/>
        <w:rPr>
          <w:rFonts w:hint="eastAsia" w:ascii="华文仿宋" w:hAnsi="华文仿宋" w:eastAsia="华文仿宋" w:cs="华文仿宋"/>
          <w:b/>
          <w:color w:val="auto"/>
          <w:sz w:val="28"/>
          <w:szCs w:val="28"/>
        </w:rPr>
      </w:pPr>
      <w:bookmarkStart w:id="192" w:name="OLE_LINK48"/>
      <w:r>
        <w:rPr>
          <w:rFonts w:hint="eastAsia" w:ascii="华文仿宋" w:hAnsi="华文仿宋" w:eastAsia="华文仿宋" w:cs="华文仿宋"/>
          <w:b/>
          <w:color w:val="auto"/>
          <w:sz w:val="28"/>
          <w:szCs w:val="28"/>
        </w:rPr>
        <w:t>第十</w:t>
      </w:r>
      <w:r>
        <w:rPr>
          <w:rFonts w:hint="eastAsia" w:ascii="华文仿宋" w:hAnsi="华文仿宋" w:eastAsia="华文仿宋" w:cs="华文仿宋"/>
          <w:b/>
          <w:color w:val="auto"/>
          <w:sz w:val="28"/>
          <w:szCs w:val="28"/>
          <w:lang w:val="en-US" w:eastAsia="zh-CN"/>
        </w:rPr>
        <w:t>四</w:t>
      </w:r>
      <w:r>
        <w:rPr>
          <w:rFonts w:hint="eastAsia" w:ascii="华文仿宋" w:hAnsi="华文仿宋" w:eastAsia="华文仿宋" w:cs="华文仿宋"/>
          <w:b/>
          <w:color w:val="auto"/>
          <w:sz w:val="28"/>
          <w:szCs w:val="28"/>
        </w:rPr>
        <w:t>条</w:t>
      </w:r>
      <w:bookmarkStart w:id="193" w:name="OLE_LINK39"/>
      <w:r>
        <w:rPr>
          <w:rFonts w:hint="eastAsia" w:ascii="华文仿宋" w:hAnsi="华文仿宋" w:eastAsia="华文仿宋" w:cs="华文仿宋"/>
          <w:b/>
          <w:color w:val="auto"/>
          <w:sz w:val="28"/>
          <w:szCs w:val="28"/>
          <w:lang w:val="en-US" w:eastAsia="zh-CN"/>
        </w:rPr>
        <w:t xml:space="preserve"> </w:t>
      </w:r>
      <w:r>
        <w:rPr>
          <w:rFonts w:hint="eastAsia" w:ascii="华文仿宋" w:hAnsi="华文仿宋" w:eastAsia="华文仿宋" w:cs="华文仿宋"/>
          <w:b/>
          <w:color w:val="auto"/>
          <w:sz w:val="28"/>
          <w:szCs w:val="28"/>
        </w:rPr>
        <w:t>数智食堂总体要求</w:t>
      </w:r>
      <w:bookmarkEnd w:id="193"/>
    </w:p>
    <w:bookmarkEnd w:id="192"/>
    <w:p w14:paraId="2F8F9428">
      <w:pPr>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项目实施后，须实现以下四个方面的管理及功能：一是视频监控管理，实时了解后厨动态，实现全流程记录，大厅屏幕实时播放，引导公众直接参与食安监督，提升保障食堂工作人员的自律意识，监管系统实现全覆盖，需接入学校视频监控系统；二是通过智能物联硬件设备+食安管控平台，对食堂进行全面的监管，及时发现违规异常情况，发出预警，从多方面保障校园食品安全，智能物联硬件设备包含智能晨检门禁、智能留样秤、智能留样冰箱、动火离人摄像头、AI行为分析摄像头、AI鼠患识别、食安服务终端、仓库物联监管系统、紫外消毒管理系统、餐具消毒系统、冷库监管、水电能耗监管、客流量智能人员统计摄像头、农残检测、重金属检测和智能溯源秤、陌生人识别摄像机等；三是食堂数据化管理，提高管理层的工作效率，包含食堂数据驾驶舱和后勤监管平台数据屏等；四是后勤监管数智化升级，实现师生满意度管理、菜品菜价审核、菜品溯源监管、数字化巡检和合同考核、处罚管理等。</w:t>
      </w:r>
    </w:p>
    <w:p w14:paraId="1C935D2A">
      <w:pPr>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华文仿宋" w:hAnsi="华文仿宋" w:eastAsia="华文仿宋" w:cs="华文仿宋"/>
          <w:b/>
          <w:color w:val="auto"/>
          <w:sz w:val="28"/>
          <w:szCs w:val="28"/>
          <w:u w:val="single"/>
          <w:lang w:eastAsia="zh-CN"/>
        </w:rPr>
      </w:pPr>
      <w:r>
        <w:rPr>
          <w:rFonts w:hint="eastAsia" w:ascii="华文仿宋" w:hAnsi="华文仿宋" w:eastAsia="华文仿宋" w:cs="华文仿宋"/>
          <w:color w:val="auto"/>
          <w:sz w:val="28"/>
          <w:szCs w:val="28"/>
          <w:u w:val="single"/>
        </w:rPr>
        <w:t>第十</w:t>
      </w:r>
      <w:r>
        <w:rPr>
          <w:rFonts w:hint="eastAsia" w:ascii="华文仿宋" w:hAnsi="华文仿宋" w:eastAsia="华文仿宋" w:cs="华文仿宋"/>
          <w:color w:val="auto"/>
          <w:sz w:val="28"/>
          <w:szCs w:val="28"/>
          <w:u w:val="single"/>
          <w:lang w:val="en-US" w:eastAsia="zh-CN"/>
        </w:rPr>
        <w:t>五</w:t>
      </w:r>
      <w:r>
        <w:rPr>
          <w:rFonts w:hint="eastAsia" w:ascii="华文仿宋" w:hAnsi="华文仿宋" w:eastAsia="华文仿宋" w:cs="华文仿宋"/>
          <w:color w:val="auto"/>
          <w:sz w:val="28"/>
          <w:szCs w:val="28"/>
          <w:u w:val="single"/>
        </w:rPr>
        <w:t>条 数智食堂”数智化设备建设要求</w:t>
      </w:r>
      <w:r>
        <w:rPr>
          <w:rFonts w:hint="eastAsia" w:ascii="华文仿宋" w:hAnsi="华文仿宋" w:eastAsia="华文仿宋" w:cs="华文仿宋"/>
          <w:b/>
          <w:color w:val="auto"/>
          <w:sz w:val="28"/>
          <w:szCs w:val="28"/>
          <w:u w:val="single"/>
          <w:lang w:eastAsia="zh-CN"/>
        </w:rPr>
        <w:t>（</w:t>
      </w:r>
      <w:r>
        <w:rPr>
          <w:rFonts w:hint="eastAsia" w:ascii="华文仿宋" w:hAnsi="华文仿宋" w:eastAsia="华文仿宋" w:cs="华文仿宋"/>
          <w:b/>
          <w:color w:val="auto"/>
          <w:sz w:val="28"/>
          <w:szCs w:val="28"/>
          <w:u w:val="single"/>
          <w:lang w:val="en-US" w:eastAsia="zh-CN"/>
        </w:rPr>
        <w:t>详见附件二</w:t>
      </w:r>
      <w:r>
        <w:rPr>
          <w:rFonts w:hint="eastAsia" w:ascii="华文仿宋" w:hAnsi="华文仿宋" w:eastAsia="华文仿宋" w:cs="华文仿宋"/>
          <w:b/>
          <w:color w:val="auto"/>
          <w:sz w:val="28"/>
          <w:szCs w:val="28"/>
          <w:u w:val="single"/>
          <w:lang w:eastAsia="zh-CN"/>
        </w:rPr>
        <w:t>）</w:t>
      </w:r>
    </w:p>
    <w:p w14:paraId="7443902A">
      <w:pPr>
        <w:pageBreakBefore w:val="0"/>
        <w:widowControl w:val="0"/>
        <w:kinsoku/>
        <w:wordWrap/>
        <w:overflowPunct/>
        <w:topLinePunct w:val="0"/>
        <w:autoSpaceDE/>
        <w:autoSpaceDN/>
        <w:bidi w:val="0"/>
        <w:adjustRightInd/>
        <w:snapToGrid w:val="0"/>
        <w:spacing w:line="480" w:lineRule="exact"/>
        <w:jc w:val="center"/>
        <w:textAlignment w:val="auto"/>
        <w:rPr>
          <w:rFonts w:hint="eastAsia" w:ascii="华文仿宋" w:hAnsi="华文仿宋" w:eastAsia="华文仿宋" w:cs="华文仿宋"/>
          <w:b/>
          <w:color w:val="auto"/>
          <w:sz w:val="28"/>
          <w:szCs w:val="28"/>
        </w:rPr>
      </w:pPr>
    </w:p>
    <w:p w14:paraId="4A7C571D">
      <w:pPr>
        <w:pageBreakBefore w:val="0"/>
        <w:widowControl w:val="0"/>
        <w:kinsoku/>
        <w:wordWrap/>
        <w:overflowPunct/>
        <w:topLinePunct w:val="0"/>
        <w:autoSpaceDE/>
        <w:autoSpaceDN/>
        <w:bidi w:val="0"/>
        <w:adjustRightInd/>
        <w:snapToGrid w:val="0"/>
        <w:spacing w:line="480" w:lineRule="exact"/>
        <w:jc w:val="center"/>
        <w:textAlignment w:val="auto"/>
        <w:rPr>
          <w:rFonts w:hint="eastAsia" w:ascii="华文仿宋" w:hAnsi="华文仿宋" w:eastAsia="华文仿宋" w:cs="华文仿宋"/>
          <w:b/>
          <w:color w:val="auto"/>
          <w:sz w:val="28"/>
          <w:szCs w:val="28"/>
        </w:rPr>
      </w:pPr>
      <w:r>
        <w:rPr>
          <w:rFonts w:hint="eastAsia" w:ascii="华文仿宋" w:hAnsi="华文仿宋" w:eastAsia="华文仿宋" w:cs="华文仿宋"/>
          <w:b/>
          <w:color w:val="auto"/>
          <w:sz w:val="28"/>
          <w:szCs w:val="28"/>
        </w:rPr>
        <w:t>第</w:t>
      </w:r>
      <w:r>
        <w:rPr>
          <w:rFonts w:hint="eastAsia" w:ascii="华文仿宋" w:hAnsi="华文仿宋" w:eastAsia="华文仿宋" w:cs="华文仿宋"/>
          <w:b/>
          <w:color w:val="auto"/>
          <w:sz w:val="28"/>
          <w:szCs w:val="28"/>
          <w:lang w:val="en-US" w:eastAsia="zh-CN"/>
        </w:rPr>
        <w:t>五</w:t>
      </w:r>
      <w:r>
        <w:rPr>
          <w:rFonts w:hint="eastAsia" w:ascii="华文仿宋" w:hAnsi="华文仿宋" w:eastAsia="华文仿宋" w:cs="华文仿宋"/>
          <w:b/>
          <w:color w:val="auto"/>
          <w:sz w:val="28"/>
          <w:szCs w:val="28"/>
        </w:rPr>
        <w:t>部分 服务考核</w:t>
      </w:r>
    </w:p>
    <w:p w14:paraId="42FBAC43">
      <w:pPr>
        <w:pageBreakBefore w:val="0"/>
        <w:widowControl w:val="0"/>
        <w:kinsoku/>
        <w:wordWrap/>
        <w:overflowPunct/>
        <w:topLinePunct w:val="0"/>
        <w:autoSpaceDE/>
        <w:autoSpaceDN/>
        <w:bidi w:val="0"/>
        <w:adjustRightInd/>
        <w:snapToGrid w:val="0"/>
        <w:spacing w:line="480" w:lineRule="exact"/>
        <w:ind w:firstLine="560" w:firstLineChars="20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第十</w:t>
      </w:r>
      <w:r>
        <w:rPr>
          <w:rFonts w:hint="eastAsia" w:ascii="华文仿宋" w:hAnsi="华文仿宋" w:eastAsia="华文仿宋" w:cs="华文仿宋"/>
          <w:color w:val="auto"/>
          <w:sz w:val="28"/>
          <w:szCs w:val="28"/>
          <w:lang w:val="en-US" w:eastAsia="zh-CN"/>
        </w:rPr>
        <w:t>六</w:t>
      </w:r>
      <w:r>
        <w:rPr>
          <w:rFonts w:hint="eastAsia" w:ascii="华文仿宋" w:hAnsi="华文仿宋" w:eastAsia="华文仿宋" w:cs="华文仿宋"/>
          <w:color w:val="auto"/>
          <w:sz w:val="28"/>
          <w:szCs w:val="28"/>
        </w:rPr>
        <w:t>条 服务考核</w:t>
      </w:r>
    </w:p>
    <w:p w14:paraId="346CEC8F">
      <w:pPr>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为调动</w:t>
      </w:r>
      <w:r>
        <w:rPr>
          <w:rFonts w:hint="eastAsia" w:ascii="华文仿宋" w:hAnsi="华文仿宋" w:eastAsia="华文仿宋" w:cs="华文仿宋"/>
          <w:color w:val="auto"/>
          <w:sz w:val="28"/>
          <w:szCs w:val="28"/>
          <w:lang w:val="en-US" w:eastAsia="zh-CN"/>
        </w:rPr>
        <w:t>乙方</w:t>
      </w:r>
      <w:r>
        <w:rPr>
          <w:rFonts w:hint="eastAsia" w:ascii="华文仿宋" w:hAnsi="华文仿宋" w:eastAsia="华文仿宋" w:cs="华文仿宋"/>
          <w:color w:val="auto"/>
          <w:sz w:val="28"/>
          <w:szCs w:val="28"/>
        </w:rPr>
        <w:t>经营积极性，确保师生餐饮的品质和质量，</w:t>
      </w:r>
      <w:r>
        <w:rPr>
          <w:rFonts w:hint="eastAsia" w:ascii="华文仿宋" w:hAnsi="华文仿宋" w:eastAsia="华文仿宋" w:cs="华文仿宋"/>
          <w:color w:val="auto"/>
          <w:sz w:val="28"/>
          <w:szCs w:val="28"/>
          <w:lang w:val="en-US" w:eastAsia="zh-CN"/>
        </w:rPr>
        <w:t>甲方</w:t>
      </w:r>
      <w:r>
        <w:rPr>
          <w:rFonts w:hint="eastAsia" w:ascii="华文仿宋" w:hAnsi="华文仿宋" w:eastAsia="华文仿宋" w:cs="华文仿宋"/>
          <w:color w:val="auto"/>
          <w:sz w:val="28"/>
          <w:szCs w:val="28"/>
        </w:rPr>
        <w:t>按照</w:t>
      </w:r>
      <w:r>
        <w:rPr>
          <w:rFonts w:hint="eastAsia" w:ascii="华文仿宋" w:hAnsi="华文仿宋" w:eastAsia="华文仿宋" w:cs="华文仿宋"/>
          <w:color w:val="auto"/>
          <w:sz w:val="28"/>
          <w:szCs w:val="28"/>
          <w:lang w:val="en-US" w:eastAsia="zh-CN"/>
        </w:rPr>
        <w:t>乙方</w:t>
      </w:r>
      <w:r>
        <w:rPr>
          <w:rFonts w:hint="eastAsia" w:ascii="华文仿宋" w:hAnsi="华文仿宋" w:eastAsia="华文仿宋" w:cs="华文仿宋"/>
          <w:color w:val="auto"/>
          <w:sz w:val="28"/>
          <w:szCs w:val="28"/>
        </w:rPr>
        <w:t xml:space="preserve">投标承诺收取考核费，采取学期考核和日常考核相结合的方式建立考核机制，根据考核结果实施奖惩。 </w:t>
      </w:r>
    </w:p>
    <w:p w14:paraId="310BB542">
      <w:pPr>
        <w:pStyle w:val="22"/>
        <w:pageBreakBefore w:val="0"/>
        <w:widowControl w:val="0"/>
        <w:numPr>
          <w:ilvl w:val="0"/>
          <w:numId w:val="200"/>
        </w:numPr>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kern w:val="2"/>
          <w:sz w:val="28"/>
          <w:szCs w:val="28"/>
          <w:lang w:val="en-US" w:eastAsia="zh-CN" w:bidi="ar-SA"/>
        </w:rPr>
      </w:pPr>
      <w:r>
        <w:rPr>
          <w:rFonts w:hint="eastAsia" w:ascii="华文仿宋" w:hAnsi="华文仿宋" w:eastAsia="华文仿宋" w:cs="华文仿宋"/>
          <w:color w:val="auto"/>
          <w:kern w:val="2"/>
          <w:sz w:val="28"/>
          <w:szCs w:val="28"/>
          <w:lang w:val="en-US" w:eastAsia="zh-CN" w:bidi="ar-SA"/>
        </w:rPr>
        <w:t>日常考核</w:t>
      </w:r>
    </w:p>
    <w:p w14:paraId="06DC3A82">
      <w:pPr>
        <w:pageBreakBefore w:val="0"/>
        <w:widowControl w:val="0"/>
        <w:numPr>
          <w:ilvl w:val="0"/>
          <w:numId w:val="0"/>
        </w:numPr>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kern w:val="2"/>
          <w:sz w:val="28"/>
          <w:szCs w:val="28"/>
          <w:lang w:val="en-US" w:eastAsia="zh-CN" w:bidi="ar-SA"/>
        </w:rPr>
      </w:pPr>
      <w:r>
        <w:rPr>
          <w:rFonts w:hint="eastAsia" w:ascii="华文仿宋" w:hAnsi="华文仿宋" w:eastAsia="华文仿宋" w:cs="华文仿宋"/>
          <w:color w:val="auto"/>
          <w:kern w:val="2"/>
          <w:sz w:val="28"/>
          <w:szCs w:val="28"/>
          <w:lang w:val="en-US" w:eastAsia="zh-CN" w:bidi="ar-SA"/>
        </w:rPr>
        <w:t>按《重庆文理学院学生食堂委托经营管理日常考核实施细则》执行（见附件一）。</w:t>
      </w:r>
    </w:p>
    <w:p w14:paraId="21A72AE3">
      <w:pPr>
        <w:pageBreakBefore w:val="0"/>
        <w:widowControl w:val="0"/>
        <w:kinsoku/>
        <w:wordWrap/>
        <w:overflowPunct/>
        <w:topLinePunct w:val="0"/>
        <w:autoSpaceDE/>
        <w:autoSpaceDN/>
        <w:bidi w:val="0"/>
        <w:adjustRightInd/>
        <w:spacing w:line="480" w:lineRule="exact"/>
        <w:ind w:firstLine="560" w:firstLineChars="200"/>
        <w:jc w:val="left"/>
        <w:textAlignment w:val="auto"/>
        <w:rPr>
          <w:rFonts w:hint="eastAsia" w:ascii="华文仿宋" w:hAnsi="华文仿宋" w:eastAsia="华文仿宋" w:cs="华文仿宋"/>
          <w:color w:val="auto"/>
          <w:kern w:val="2"/>
          <w:sz w:val="28"/>
          <w:szCs w:val="28"/>
          <w:lang w:val="en-US" w:eastAsia="zh-CN" w:bidi="ar-SA"/>
        </w:rPr>
      </w:pPr>
      <w:r>
        <w:rPr>
          <w:rFonts w:hint="eastAsia" w:ascii="华文仿宋" w:hAnsi="华文仿宋" w:eastAsia="华文仿宋" w:cs="华文仿宋"/>
          <w:color w:val="auto"/>
          <w:kern w:val="2"/>
          <w:sz w:val="28"/>
          <w:szCs w:val="28"/>
          <w:lang w:val="en-US" w:eastAsia="zh-CN" w:bidi="ar-SA"/>
        </w:rPr>
        <w:t>1.甲方可根据实际情况对日常考核实施细则进行修订，乙方须按修订后的办法执行。</w:t>
      </w:r>
    </w:p>
    <w:p w14:paraId="60EEF7F4">
      <w:pPr>
        <w:pageBreakBefore w:val="0"/>
        <w:widowControl w:val="0"/>
        <w:numPr>
          <w:ilvl w:val="0"/>
          <w:numId w:val="0"/>
        </w:numPr>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kern w:val="2"/>
          <w:sz w:val="28"/>
          <w:szCs w:val="28"/>
          <w:lang w:val="en-US" w:eastAsia="zh-CN" w:bidi="ar-SA"/>
        </w:rPr>
      </w:pPr>
      <w:r>
        <w:rPr>
          <w:rFonts w:hint="eastAsia" w:ascii="华文仿宋" w:hAnsi="华文仿宋" w:eastAsia="华文仿宋" w:cs="华文仿宋"/>
          <w:color w:val="auto"/>
          <w:kern w:val="2"/>
          <w:sz w:val="28"/>
          <w:szCs w:val="28"/>
          <w:lang w:val="en-US" w:eastAsia="zh-CN" w:bidi="ar-SA"/>
        </w:rPr>
        <w:t>2.上述违约金均从乙方最近一次营业款中扣除并按甲方要求及时整改。</w:t>
      </w:r>
    </w:p>
    <w:p w14:paraId="02E01A32">
      <w:pPr>
        <w:pStyle w:val="22"/>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kern w:val="2"/>
          <w:sz w:val="28"/>
          <w:szCs w:val="28"/>
          <w:lang w:val="en-US" w:eastAsia="zh-CN" w:bidi="ar-SA"/>
        </w:rPr>
      </w:pPr>
      <w:r>
        <w:rPr>
          <w:rFonts w:hint="eastAsia" w:ascii="华文仿宋" w:hAnsi="华文仿宋" w:eastAsia="华文仿宋" w:cs="华文仿宋"/>
          <w:color w:val="auto"/>
          <w:kern w:val="2"/>
          <w:sz w:val="28"/>
          <w:szCs w:val="28"/>
          <w:lang w:val="en-US" w:eastAsia="zh-CN" w:bidi="ar-SA"/>
        </w:rPr>
        <w:t>（二）学期考核</w:t>
      </w:r>
    </w:p>
    <w:p w14:paraId="3C3E5DF6">
      <w:pPr>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华文仿宋" w:hAnsi="华文仿宋" w:eastAsia="华文仿宋" w:cs="华文仿宋"/>
          <w:color w:val="auto"/>
          <w:kern w:val="2"/>
          <w:sz w:val="28"/>
          <w:szCs w:val="28"/>
          <w:lang w:val="en-US" w:eastAsia="zh-CN" w:bidi="ar-SA"/>
        </w:rPr>
      </w:pPr>
      <w:r>
        <w:rPr>
          <w:rFonts w:hint="eastAsia" w:ascii="华文仿宋" w:hAnsi="华文仿宋" w:eastAsia="华文仿宋" w:cs="华文仿宋"/>
          <w:color w:val="auto"/>
          <w:kern w:val="2"/>
          <w:sz w:val="28"/>
          <w:szCs w:val="28"/>
          <w:lang w:val="en-US" w:eastAsia="zh-CN" w:bidi="ar-SA"/>
        </w:rPr>
        <w:t>甲方每学期在食堂内线下组织一次满意度测评，填写“餐饮服务满意度测评表”（见下表），每个项目参加测评人数不低于200人：</w:t>
      </w:r>
    </w:p>
    <w:p w14:paraId="1F34F6AD">
      <w:pPr>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华文仿宋" w:hAnsi="华文仿宋" w:eastAsia="华文仿宋" w:cs="华文仿宋"/>
          <w:color w:val="auto"/>
          <w:kern w:val="2"/>
          <w:sz w:val="28"/>
          <w:szCs w:val="28"/>
          <w:lang w:val="en-US" w:eastAsia="zh-CN" w:bidi="ar-SA"/>
        </w:rPr>
      </w:pPr>
      <w:r>
        <w:rPr>
          <w:rFonts w:hint="eastAsia" w:ascii="华文仿宋" w:hAnsi="华文仿宋" w:eastAsia="华文仿宋" w:cs="华文仿宋"/>
          <w:color w:val="auto"/>
          <w:kern w:val="2"/>
          <w:sz w:val="28"/>
          <w:szCs w:val="28"/>
          <w:lang w:val="en-US" w:eastAsia="zh-CN" w:bidi="ar-SA"/>
        </w:rPr>
        <w:t>餐饮服务学期满意度测评表（100分，得分保留一位小数）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887"/>
        <w:gridCol w:w="727"/>
        <w:gridCol w:w="917"/>
        <w:gridCol w:w="927"/>
        <w:gridCol w:w="953"/>
        <w:gridCol w:w="950"/>
        <w:gridCol w:w="912"/>
        <w:gridCol w:w="865"/>
        <w:gridCol w:w="1199"/>
      </w:tblGrid>
      <w:tr w14:paraId="6D917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954" w:type="dxa"/>
            <w:noWrap w:val="0"/>
            <w:vAlign w:val="center"/>
          </w:tcPr>
          <w:p w14:paraId="55C9C75B">
            <w:pPr>
              <w:pageBreakBefore w:val="0"/>
              <w:widowControl w:val="0"/>
              <w:kinsoku/>
              <w:wordWrap/>
              <w:overflowPunct/>
              <w:topLinePunct w:val="0"/>
              <w:autoSpaceDE/>
              <w:autoSpaceDN/>
              <w:bidi w:val="0"/>
              <w:adjustRightInd/>
              <w:snapToGrid w:val="0"/>
              <w:spacing w:line="480" w:lineRule="exac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项目</w:t>
            </w:r>
          </w:p>
        </w:tc>
        <w:tc>
          <w:tcPr>
            <w:tcW w:w="887" w:type="dxa"/>
            <w:noWrap w:val="0"/>
            <w:vAlign w:val="center"/>
          </w:tcPr>
          <w:p w14:paraId="4E4706CF">
            <w:pPr>
              <w:pageBreakBefore w:val="0"/>
              <w:widowControl w:val="0"/>
              <w:kinsoku/>
              <w:wordWrap/>
              <w:overflowPunct/>
              <w:topLinePunct w:val="0"/>
              <w:autoSpaceDE/>
              <w:autoSpaceDN/>
              <w:bidi w:val="0"/>
              <w:adjustRightInd/>
              <w:snapToGrid w:val="0"/>
              <w:spacing w:line="480" w:lineRule="exact"/>
              <w:jc w:val="center"/>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就餐环境</w:t>
            </w:r>
          </w:p>
        </w:tc>
        <w:tc>
          <w:tcPr>
            <w:tcW w:w="727" w:type="dxa"/>
            <w:noWrap w:val="0"/>
            <w:vAlign w:val="center"/>
          </w:tcPr>
          <w:p w14:paraId="1D2BE34D">
            <w:pPr>
              <w:pageBreakBefore w:val="0"/>
              <w:widowControl w:val="0"/>
              <w:kinsoku/>
              <w:wordWrap/>
              <w:overflowPunct/>
              <w:topLinePunct w:val="0"/>
              <w:autoSpaceDE/>
              <w:autoSpaceDN/>
              <w:bidi w:val="0"/>
              <w:adjustRightInd/>
              <w:snapToGrid w:val="0"/>
              <w:spacing w:line="480" w:lineRule="exact"/>
              <w:jc w:val="center"/>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食堂卫生</w:t>
            </w:r>
          </w:p>
        </w:tc>
        <w:tc>
          <w:tcPr>
            <w:tcW w:w="917" w:type="dxa"/>
            <w:noWrap w:val="0"/>
            <w:vAlign w:val="center"/>
          </w:tcPr>
          <w:p w14:paraId="7B415B1D">
            <w:pPr>
              <w:pageBreakBefore w:val="0"/>
              <w:widowControl w:val="0"/>
              <w:kinsoku/>
              <w:wordWrap/>
              <w:overflowPunct/>
              <w:topLinePunct w:val="0"/>
              <w:autoSpaceDE/>
              <w:autoSpaceDN/>
              <w:bidi w:val="0"/>
              <w:adjustRightInd/>
              <w:snapToGrid w:val="0"/>
              <w:spacing w:line="480" w:lineRule="exact"/>
              <w:jc w:val="center"/>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餐具清洁</w:t>
            </w:r>
          </w:p>
        </w:tc>
        <w:tc>
          <w:tcPr>
            <w:tcW w:w="927" w:type="dxa"/>
            <w:noWrap w:val="0"/>
            <w:vAlign w:val="center"/>
          </w:tcPr>
          <w:p w14:paraId="516AD5EA">
            <w:pPr>
              <w:pageBreakBefore w:val="0"/>
              <w:widowControl w:val="0"/>
              <w:kinsoku/>
              <w:wordWrap/>
              <w:overflowPunct/>
              <w:topLinePunct w:val="0"/>
              <w:autoSpaceDE/>
              <w:autoSpaceDN/>
              <w:bidi w:val="0"/>
              <w:adjustRightInd/>
              <w:snapToGrid w:val="0"/>
              <w:spacing w:line="480" w:lineRule="exact"/>
              <w:jc w:val="center"/>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菜品</w:t>
            </w:r>
          </w:p>
          <w:p w14:paraId="6D1283E1">
            <w:pPr>
              <w:pageBreakBefore w:val="0"/>
              <w:widowControl w:val="0"/>
              <w:kinsoku/>
              <w:wordWrap/>
              <w:overflowPunct/>
              <w:topLinePunct w:val="0"/>
              <w:autoSpaceDE/>
              <w:autoSpaceDN/>
              <w:bidi w:val="0"/>
              <w:adjustRightInd/>
              <w:snapToGrid w:val="0"/>
              <w:spacing w:line="480" w:lineRule="exact"/>
              <w:jc w:val="center"/>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味道</w:t>
            </w:r>
          </w:p>
        </w:tc>
        <w:tc>
          <w:tcPr>
            <w:tcW w:w="953" w:type="dxa"/>
            <w:noWrap w:val="0"/>
            <w:vAlign w:val="center"/>
          </w:tcPr>
          <w:p w14:paraId="341474A5">
            <w:pPr>
              <w:pageBreakBefore w:val="0"/>
              <w:widowControl w:val="0"/>
              <w:kinsoku/>
              <w:wordWrap/>
              <w:overflowPunct/>
              <w:topLinePunct w:val="0"/>
              <w:autoSpaceDE/>
              <w:autoSpaceDN/>
              <w:bidi w:val="0"/>
              <w:adjustRightInd/>
              <w:snapToGrid w:val="0"/>
              <w:spacing w:line="480" w:lineRule="exact"/>
              <w:jc w:val="center"/>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菜品</w:t>
            </w:r>
          </w:p>
          <w:p w14:paraId="71D4363C">
            <w:pPr>
              <w:pageBreakBefore w:val="0"/>
              <w:widowControl w:val="0"/>
              <w:kinsoku/>
              <w:wordWrap/>
              <w:overflowPunct/>
              <w:topLinePunct w:val="0"/>
              <w:autoSpaceDE/>
              <w:autoSpaceDN/>
              <w:bidi w:val="0"/>
              <w:adjustRightInd/>
              <w:snapToGrid w:val="0"/>
              <w:spacing w:line="480" w:lineRule="exact"/>
              <w:jc w:val="center"/>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变化</w:t>
            </w:r>
          </w:p>
        </w:tc>
        <w:tc>
          <w:tcPr>
            <w:tcW w:w="950" w:type="dxa"/>
            <w:noWrap w:val="0"/>
            <w:vAlign w:val="center"/>
          </w:tcPr>
          <w:p w14:paraId="73F1F454">
            <w:pPr>
              <w:pageBreakBefore w:val="0"/>
              <w:widowControl w:val="0"/>
              <w:kinsoku/>
              <w:wordWrap/>
              <w:overflowPunct/>
              <w:topLinePunct w:val="0"/>
              <w:autoSpaceDE/>
              <w:autoSpaceDN/>
              <w:bidi w:val="0"/>
              <w:adjustRightInd/>
              <w:snapToGrid w:val="0"/>
              <w:spacing w:line="480" w:lineRule="exact"/>
              <w:jc w:val="center"/>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菜品</w:t>
            </w:r>
          </w:p>
          <w:p w14:paraId="4952A83A">
            <w:pPr>
              <w:pageBreakBefore w:val="0"/>
              <w:widowControl w:val="0"/>
              <w:kinsoku/>
              <w:wordWrap/>
              <w:overflowPunct/>
              <w:topLinePunct w:val="0"/>
              <w:autoSpaceDE/>
              <w:autoSpaceDN/>
              <w:bidi w:val="0"/>
              <w:adjustRightInd/>
              <w:snapToGrid w:val="0"/>
              <w:spacing w:line="480" w:lineRule="exact"/>
              <w:jc w:val="center"/>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质量</w:t>
            </w:r>
          </w:p>
        </w:tc>
        <w:tc>
          <w:tcPr>
            <w:tcW w:w="912" w:type="dxa"/>
            <w:noWrap w:val="0"/>
            <w:vAlign w:val="center"/>
          </w:tcPr>
          <w:p w14:paraId="582676C0">
            <w:pPr>
              <w:pageBreakBefore w:val="0"/>
              <w:widowControl w:val="0"/>
              <w:kinsoku/>
              <w:wordWrap/>
              <w:overflowPunct/>
              <w:topLinePunct w:val="0"/>
              <w:autoSpaceDE/>
              <w:autoSpaceDN/>
              <w:bidi w:val="0"/>
              <w:adjustRightInd/>
              <w:snapToGrid w:val="0"/>
              <w:spacing w:line="480" w:lineRule="exact"/>
              <w:jc w:val="center"/>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服务</w:t>
            </w:r>
          </w:p>
          <w:p w14:paraId="70FB7364">
            <w:pPr>
              <w:pageBreakBefore w:val="0"/>
              <w:widowControl w:val="0"/>
              <w:kinsoku/>
              <w:wordWrap/>
              <w:overflowPunct/>
              <w:topLinePunct w:val="0"/>
              <w:autoSpaceDE/>
              <w:autoSpaceDN/>
              <w:bidi w:val="0"/>
              <w:adjustRightInd/>
              <w:snapToGrid w:val="0"/>
              <w:spacing w:line="480" w:lineRule="exact"/>
              <w:jc w:val="center"/>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态度</w:t>
            </w:r>
          </w:p>
        </w:tc>
        <w:tc>
          <w:tcPr>
            <w:tcW w:w="865" w:type="dxa"/>
            <w:noWrap w:val="0"/>
            <w:vAlign w:val="center"/>
          </w:tcPr>
          <w:p w14:paraId="147A2BB3">
            <w:pPr>
              <w:pageBreakBefore w:val="0"/>
              <w:widowControl w:val="0"/>
              <w:kinsoku/>
              <w:wordWrap/>
              <w:overflowPunct/>
              <w:topLinePunct w:val="0"/>
              <w:autoSpaceDE/>
              <w:autoSpaceDN/>
              <w:bidi w:val="0"/>
              <w:adjustRightInd/>
              <w:snapToGrid w:val="0"/>
              <w:spacing w:line="480" w:lineRule="exact"/>
              <w:jc w:val="center"/>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米饭品质</w:t>
            </w:r>
          </w:p>
        </w:tc>
        <w:tc>
          <w:tcPr>
            <w:tcW w:w="1199" w:type="dxa"/>
            <w:noWrap w:val="0"/>
            <w:vAlign w:val="center"/>
          </w:tcPr>
          <w:p w14:paraId="2C782A35">
            <w:pPr>
              <w:pageBreakBefore w:val="0"/>
              <w:widowControl w:val="0"/>
              <w:kinsoku/>
              <w:wordWrap/>
              <w:overflowPunct/>
              <w:topLinePunct w:val="0"/>
              <w:autoSpaceDE/>
              <w:autoSpaceDN/>
              <w:bidi w:val="0"/>
              <w:adjustRightInd/>
              <w:snapToGrid w:val="0"/>
              <w:spacing w:line="480" w:lineRule="exact"/>
              <w:jc w:val="center"/>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得分</w:t>
            </w:r>
          </w:p>
        </w:tc>
      </w:tr>
      <w:tr w14:paraId="79B3D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4" w:type="dxa"/>
            <w:noWrap w:val="0"/>
            <w:vAlign w:val="center"/>
          </w:tcPr>
          <w:p w14:paraId="51FE6A50">
            <w:pPr>
              <w:pageBreakBefore w:val="0"/>
              <w:widowControl w:val="0"/>
              <w:kinsoku/>
              <w:wordWrap/>
              <w:overflowPunct/>
              <w:topLinePunct w:val="0"/>
              <w:autoSpaceDE/>
              <w:autoSpaceDN/>
              <w:bidi w:val="0"/>
              <w:adjustRightInd/>
              <w:snapToGrid w:val="0"/>
              <w:spacing w:line="480" w:lineRule="exac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分值</w:t>
            </w:r>
          </w:p>
        </w:tc>
        <w:tc>
          <w:tcPr>
            <w:tcW w:w="887" w:type="dxa"/>
            <w:noWrap w:val="0"/>
            <w:vAlign w:val="center"/>
          </w:tcPr>
          <w:p w14:paraId="5121F498">
            <w:pPr>
              <w:pageBreakBefore w:val="0"/>
              <w:widowControl w:val="0"/>
              <w:kinsoku/>
              <w:wordWrap/>
              <w:overflowPunct/>
              <w:topLinePunct w:val="0"/>
              <w:autoSpaceDE/>
              <w:autoSpaceDN/>
              <w:bidi w:val="0"/>
              <w:adjustRightInd/>
              <w:spacing w:line="480" w:lineRule="exact"/>
              <w:jc w:val="center"/>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10</w:t>
            </w:r>
          </w:p>
        </w:tc>
        <w:tc>
          <w:tcPr>
            <w:tcW w:w="727" w:type="dxa"/>
            <w:noWrap w:val="0"/>
            <w:vAlign w:val="center"/>
          </w:tcPr>
          <w:p w14:paraId="09BE8903">
            <w:pPr>
              <w:pageBreakBefore w:val="0"/>
              <w:widowControl w:val="0"/>
              <w:kinsoku/>
              <w:wordWrap/>
              <w:overflowPunct/>
              <w:topLinePunct w:val="0"/>
              <w:autoSpaceDE/>
              <w:autoSpaceDN/>
              <w:bidi w:val="0"/>
              <w:adjustRightInd/>
              <w:spacing w:line="480" w:lineRule="exact"/>
              <w:jc w:val="center"/>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10</w:t>
            </w:r>
          </w:p>
        </w:tc>
        <w:tc>
          <w:tcPr>
            <w:tcW w:w="917" w:type="dxa"/>
            <w:noWrap w:val="0"/>
            <w:vAlign w:val="center"/>
          </w:tcPr>
          <w:p w14:paraId="49982809">
            <w:pPr>
              <w:pageBreakBefore w:val="0"/>
              <w:widowControl w:val="0"/>
              <w:kinsoku/>
              <w:wordWrap/>
              <w:overflowPunct/>
              <w:topLinePunct w:val="0"/>
              <w:autoSpaceDE/>
              <w:autoSpaceDN/>
              <w:bidi w:val="0"/>
              <w:adjustRightInd/>
              <w:spacing w:line="480" w:lineRule="exact"/>
              <w:jc w:val="center"/>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10</w:t>
            </w:r>
          </w:p>
        </w:tc>
        <w:tc>
          <w:tcPr>
            <w:tcW w:w="927" w:type="dxa"/>
            <w:noWrap w:val="0"/>
            <w:vAlign w:val="center"/>
          </w:tcPr>
          <w:p w14:paraId="5F76E2E0">
            <w:pPr>
              <w:pageBreakBefore w:val="0"/>
              <w:widowControl w:val="0"/>
              <w:kinsoku/>
              <w:wordWrap/>
              <w:overflowPunct/>
              <w:topLinePunct w:val="0"/>
              <w:autoSpaceDE/>
              <w:autoSpaceDN/>
              <w:bidi w:val="0"/>
              <w:adjustRightInd/>
              <w:spacing w:line="480" w:lineRule="exact"/>
              <w:jc w:val="center"/>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10</w:t>
            </w:r>
          </w:p>
        </w:tc>
        <w:tc>
          <w:tcPr>
            <w:tcW w:w="953" w:type="dxa"/>
            <w:noWrap w:val="0"/>
            <w:vAlign w:val="center"/>
          </w:tcPr>
          <w:p w14:paraId="7EC6FCEB">
            <w:pPr>
              <w:pageBreakBefore w:val="0"/>
              <w:widowControl w:val="0"/>
              <w:kinsoku/>
              <w:wordWrap/>
              <w:overflowPunct/>
              <w:topLinePunct w:val="0"/>
              <w:autoSpaceDE/>
              <w:autoSpaceDN/>
              <w:bidi w:val="0"/>
              <w:adjustRightInd/>
              <w:spacing w:line="480" w:lineRule="exact"/>
              <w:jc w:val="center"/>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10</w:t>
            </w:r>
          </w:p>
        </w:tc>
        <w:tc>
          <w:tcPr>
            <w:tcW w:w="950" w:type="dxa"/>
            <w:noWrap w:val="0"/>
            <w:vAlign w:val="center"/>
          </w:tcPr>
          <w:p w14:paraId="66689B3A">
            <w:pPr>
              <w:pageBreakBefore w:val="0"/>
              <w:widowControl w:val="0"/>
              <w:kinsoku/>
              <w:wordWrap/>
              <w:overflowPunct/>
              <w:topLinePunct w:val="0"/>
              <w:autoSpaceDE/>
              <w:autoSpaceDN/>
              <w:bidi w:val="0"/>
              <w:adjustRightInd/>
              <w:spacing w:line="480" w:lineRule="exact"/>
              <w:jc w:val="center"/>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20</w:t>
            </w:r>
          </w:p>
        </w:tc>
        <w:tc>
          <w:tcPr>
            <w:tcW w:w="912" w:type="dxa"/>
            <w:noWrap w:val="0"/>
            <w:vAlign w:val="center"/>
          </w:tcPr>
          <w:p w14:paraId="28F035A1">
            <w:pPr>
              <w:pageBreakBefore w:val="0"/>
              <w:widowControl w:val="0"/>
              <w:kinsoku/>
              <w:wordWrap/>
              <w:overflowPunct/>
              <w:topLinePunct w:val="0"/>
              <w:autoSpaceDE/>
              <w:autoSpaceDN/>
              <w:bidi w:val="0"/>
              <w:adjustRightInd/>
              <w:spacing w:line="480" w:lineRule="exact"/>
              <w:jc w:val="center"/>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20</w:t>
            </w:r>
          </w:p>
        </w:tc>
        <w:tc>
          <w:tcPr>
            <w:tcW w:w="865" w:type="dxa"/>
            <w:noWrap w:val="0"/>
            <w:vAlign w:val="center"/>
          </w:tcPr>
          <w:p w14:paraId="56C21501">
            <w:pPr>
              <w:pageBreakBefore w:val="0"/>
              <w:widowControl w:val="0"/>
              <w:kinsoku/>
              <w:wordWrap/>
              <w:overflowPunct/>
              <w:topLinePunct w:val="0"/>
              <w:autoSpaceDE/>
              <w:autoSpaceDN/>
              <w:bidi w:val="0"/>
              <w:adjustRightInd/>
              <w:spacing w:line="480" w:lineRule="exact"/>
              <w:jc w:val="center"/>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10</w:t>
            </w:r>
          </w:p>
        </w:tc>
        <w:tc>
          <w:tcPr>
            <w:tcW w:w="1199" w:type="dxa"/>
            <w:noWrap w:val="0"/>
            <w:vAlign w:val="center"/>
          </w:tcPr>
          <w:p w14:paraId="5868F1F1">
            <w:pPr>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华文仿宋" w:hAnsi="华文仿宋" w:eastAsia="华文仿宋" w:cs="华文仿宋"/>
                <w:color w:val="auto"/>
                <w:sz w:val="28"/>
                <w:szCs w:val="28"/>
              </w:rPr>
            </w:pPr>
          </w:p>
        </w:tc>
      </w:tr>
      <w:tr w14:paraId="236E6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4" w:type="dxa"/>
            <w:noWrap w:val="0"/>
            <w:vAlign w:val="center"/>
          </w:tcPr>
          <w:p w14:paraId="3EE62EB9">
            <w:pPr>
              <w:pageBreakBefore w:val="0"/>
              <w:widowControl w:val="0"/>
              <w:kinsoku/>
              <w:wordWrap/>
              <w:overflowPunct/>
              <w:topLinePunct w:val="0"/>
              <w:autoSpaceDE/>
              <w:autoSpaceDN/>
              <w:bidi w:val="0"/>
              <w:adjustRightInd/>
              <w:snapToGrid w:val="0"/>
              <w:spacing w:line="480" w:lineRule="exac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意见</w:t>
            </w:r>
          </w:p>
        </w:tc>
        <w:tc>
          <w:tcPr>
            <w:tcW w:w="8337" w:type="dxa"/>
            <w:gridSpan w:val="9"/>
            <w:noWrap w:val="0"/>
            <w:vAlign w:val="top"/>
          </w:tcPr>
          <w:p w14:paraId="74DEFBB1">
            <w:pPr>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华文仿宋" w:hAnsi="华文仿宋" w:eastAsia="华文仿宋" w:cs="华文仿宋"/>
                <w:color w:val="auto"/>
                <w:sz w:val="28"/>
                <w:szCs w:val="28"/>
              </w:rPr>
            </w:pPr>
          </w:p>
        </w:tc>
      </w:tr>
    </w:tbl>
    <w:p w14:paraId="2E138BB7">
      <w:pPr>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备注：1、学期满意度测评与日常考核相结合，发生较大消防安全事故、食品卫生安全事故、员工群体性事件等对</w:t>
      </w:r>
      <w:r>
        <w:rPr>
          <w:rFonts w:hint="eastAsia" w:ascii="华文仿宋" w:hAnsi="华文仿宋" w:eastAsia="华文仿宋" w:cs="华文仿宋"/>
          <w:color w:val="auto"/>
          <w:sz w:val="28"/>
          <w:szCs w:val="28"/>
          <w:lang w:eastAsia="zh-CN"/>
        </w:rPr>
        <w:t>甲方</w:t>
      </w:r>
      <w:r>
        <w:rPr>
          <w:rFonts w:hint="eastAsia" w:ascii="华文仿宋" w:hAnsi="华文仿宋" w:eastAsia="华文仿宋" w:cs="华文仿宋"/>
          <w:color w:val="auto"/>
          <w:sz w:val="28"/>
          <w:szCs w:val="28"/>
        </w:rPr>
        <w:t>造成重大负面影响的事件，学期考核直接为不合格。</w:t>
      </w:r>
    </w:p>
    <w:p w14:paraId="0BB296A7">
      <w:pPr>
        <w:pageBreakBefore w:val="0"/>
        <w:widowControl w:val="0"/>
        <w:numPr>
          <w:ilvl w:val="0"/>
          <w:numId w:val="198"/>
        </w:numPr>
        <w:kinsoku/>
        <w:wordWrap/>
        <w:overflowPunct/>
        <w:topLinePunct w:val="0"/>
        <w:autoSpaceDE/>
        <w:autoSpaceDN/>
        <w:bidi w:val="0"/>
        <w:adjustRightInd/>
        <w:snapToGrid w:val="0"/>
        <w:spacing w:line="480" w:lineRule="exact"/>
        <w:ind w:firstLine="560" w:firstLineChars="200"/>
        <w:textAlignment w:val="auto"/>
        <w:rPr>
          <w:rFonts w:hint="eastAsia" w:ascii="华文仿宋" w:hAnsi="华文仿宋" w:eastAsia="华文仿宋" w:cs="华文仿宋"/>
          <w:color w:val="auto"/>
          <w:sz w:val="28"/>
          <w:szCs w:val="28"/>
          <w:u w:val="single"/>
        </w:rPr>
      </w:pPr>
      <w:r>
        <w:rPr>
          <w:rFonts w:hint="eastAsia" w:ascii="华文仿宋" w:hAnsi="华文仿宋" w:eastAsia="华文仿宋" w:cs="华文仿宋"/>
          <w:color w:val="auto"/>
          <w:sz w:val="28"/>
          <w:szCs w:val="28"/>
        </w:rPr>
        <w:t>学期满意度测评成绩与日常考核相结合，</w:t>
      </w:r>
      <w:r>
        <w:rPr>
          <w:rFonts w:hint="eastAsia" w:ascii="华文仿宋" w:hAnsi="华文仿宋" w:eastAsia="华文仿宋" w:cs="华文仿宋"/>
          <w:color w:val="auto"/>
          <w:sz w:val="28"/>
          <w:szCs w:val="28"/>
          <w:u w:val="single"/>
        </w:rPr>
        <w:t>学期满意度测评成绩=餐饮服务学期满意度测评*40%，日常考核成绩=（100-学期日常考核扣分）*60%，</w:t>
      </w:r>
      <w:r>
        <w:rPr>
          <w:rFonts w:hint="eastAsia" w:ascii="华文仿宋" w:hAnsi="华文仿宋" w:eastAsia="华文仿宋" w:cs="华文仿宋"/>
          <w:color w:val="auto"/>
          <w:sz w:val="28"/>
          <w:szCs w:val="28"/>
        </w:rPr>
        <w:t>除发生备注第1条外，</w:t>
      </w:r>
      <w:r>
        <w:rPr>
          <w:rFonts w:hint="eastAsia" w:ascii="华文仿宋" w:hAnsi="华文仿宋" w:eastAsia="华文仿宋" w:cs="华文仿宋"/>
          <w:color w:val="auto"/>
          <w:sz w:val="28"/>
          <w:szCs w:val="28"/>
          <w:u w:val="single"/>
        </w:rPr>
        <w:t>学期考核成绩=学期满意度测评成绩+日常考核成绩。</w:t>
      </w:r>
    </w:p>
    <w:p w14:paraId="4B48638E">
      <w:pPr>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3.以上测评表，</w:t>
      </w:r>
      <w:r>
        <w:rPr>
          <w:rFonts w:hint="eastAsia" w:ascii="华文仿宋" w:hAnsi="华文仿宋" w:eastAsia="华文仿宋" w:cs="华文仿宋"/>
          <w:color w:val="auto"/>
          <w:sz w:val="28"/>
          <w:szCs w:val="28"/>
          <w:lang w:eastAsia="zh-CN"/>
        </w:rPr>
        <w:t>甲方</w:t>
      </w:r>
      <w:r>
        <w:rPr>
          <w:rFonts w:hint="eastAsia" w:ascii="华文仿宋" w:hAnsi="华文仿宋" w:eastAsia="华文仿宋" w:cs="华文仿宋"/>
          <w:color w:val="auto"/>
          <w:sz w:val="28"/>
          <w:szCs w:val="28"/>
        </w:rPr>
        <w:t>每学期可以根据上级机关和学校管理要求，结合实际情况对测评项目及细则予以调整。</w:t>
      </w:r>
    </w:p>
    <w:p w14:paraId="2F878ACA">
      <w:pPr>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（三）考核结果运用</w:t>
      </w:r>
    </w:p>
    <w:p w14:paraId="4FB96663">
      <w:pPr>
        <w:pageBreakBefore w:val="0"/>
        <w:widowControl w:val="0"/>
        <w:kinsoku/>
        <w:wordWrap/>
        <w:overflowPunct/>
        <w:topLinePunct w:val="0"/>
        <w:autoSpaceDE/>
        <w:autoSpaceDN/>
        <w:bidi w:val="0"/>
        <w:adjustRightInd/>
        <w:snapToGrid w:val="0"/>
        <w:spacing w:line="480" w:lineRule="exact"/>
        <w:ind w:firstLine="560" w:firstLineChars="200"/>
        <w:jc w:val="left"/>
        <w:textAlignment w:val="auto"/>
        <w:rPr>
          <w:rFonts w:hint="eastAsia" w:ascii="华文仿宋" w:hAnsi="华文仿宋" w:eastAsia="华文仿宋" w:cs="华文仿宋"/>
          <w:b/>
          <w:bCs/>
          <w:color w:val="auto"/>
          <w:sz w:val="28"/>
          <w:szCs w:val="28"/>
        </w:rPr>
      </w:pPr>
      <w:r>
        <w:rPr>
          <w:rFonts w:hint="eastAsia" w:ascii="华文仿宋" w:hAnsi="华文仿宋" w:eastAsia="华文仿宋" w:cs="华文仿宋"/>
          <w:color w:val="auto"/>
          <w:sz w:val="28"/>
          <w:szCs w:val="28"/>
        </w:rPr>
        <w:t>学期考核成绩≥95分为非常优秀，全额返还当学期所提取考核费；95分＞学期考核成绩≥90分为基本优秀，返还当学期所提取考核费50%；90分＞学期考核成绩≥85分为良好，返还当学期所提取考核费40%； 85分＞学期考核成绩≥80分为合格，返还当学期所提取考核费30%；80分＞学期考核成绩≥70分为合格，不返还当学期所提取考核费；学期考核成绩&lt;70分为不合格，</w:t>
      </w:r>
      <w:r>
        <w:rPr>
          <w:rFonts w:hint="eastAsia" w:ascii="华文仿宋" w:hAnsi="华文仿宋" w:eastAsia="华文仿宋" w:cs="华文仿宋"/>
          <w:color w:val="auto"/>
          <w:sz w:val="28"/>
          <w:szCs w:val="28"/>
          <w:lang w:val="zh-CN"/>
        </w:rPr>
        <w:t>对其诫勉谈话，</w:t>
      </w:r>
      <w:r>
        <w:rPr>
          <w:rFonts w:hint="eastAsia" w:ascii="华文仿宋" w:hAnsi="华文仿宋" w:eastAsia="华文仿宋" w:cs="华文仿宋"/>
          <w:color w:val="auto"/>
          <w:sz w:val="28"/>
          <w:szCs w:val="28"/>
        </w:rPr>
        <w:t>按合同违约处理，</w:t>
      </w:r>
      <w:r>
        <w:rPr>
          <w:rFonts w:hint="eastAsia" w:ascii="华文仿宋" w:hAnsi="华文仿宋" w:eastAsia="华文仿宋" w:cs="华文仿宋"/>
          <w:color w:val="auto"/>
          <w:sz w:val="28"/>
          <w:szCs w:val="28"/>
          <w:lang w:eastAsia="zh-CN"/>
        </w:rPr>
        <w:t>乙方</w:t>
      </w:r>
      <w:r>
        <w:rPr>
          <w:rFonts w:hint="eastAsia" w:ascii="华文仿宋" w:hAnsi="华文仿宋" w:eastAsia="华文仿宋" w:cs="华文仿宋"/>
          <w:color w:val="auto"/>
          <w:sz w:val="28"/>
          <w:szCs w:val="28"/>
        </w:rPr>
        <w:t>须向</w:t>
      </w:r>
      <w:r>
        <w:rPr>
          <w:rFonts w:hint="eastAsia" w:ascii="华文仿宋" w:hAnsi="华文仿宋" w:eastAsia="华文仿宋" w:cs="华文仿宋"/>
          <w:color w:val="auto"/>
          <w:sz w:val="28"/>
          <w:szCs w:val="28"/>
          <w:lang w:eastAsia="zh-CN"/>
        </w:rPr>
        <w:t>甲方</w:t>
      </w:r>
      <w:r>
        <w:rPr>
          <w:rFonts w:hint="eastAsia" w:ascii="华文仿宋" w:hAnsi="华文仿宋" w:eastAsia="华文仿宋" w:cs="华文仿宋"/>
          <w:color w:val="auto"/>
          <w:sz w:val="28"/>
          <w:szCs w:val="28"/>
        </w:rPr>
        <w:t>支付违约金200000元，且下一个考核期每月营业款再原有考核费提取的基础上再增加1%提取每月考核费，出现一切经济和法律责任由</w:t>
      </w:r>
      <w:r>
        <w:rPr>
          <w:rFonts w:hint="eastAsia" w:ascii="华文仿宋" w:hAnsi="华文仿宋" w:eastAsia="华文仿宋" w:cs="华文仿宋"/>
          <w:color w:val="auto"/>
          <w:sz w:val="28"/>
          <w:szCs w:val="28"/>
          <w:lang w:eastAsia="zh-CN"/>
        </w:rPr>
        <w:t>乙方</w:t>
      </w:r>
      <w:r>
        <w:rPr>
          <w:rFonts w:hint="eastAsia" w:ascii="华文仿宋" w:hAnsi="华文仿宋" w:eastAsia="华文仿宋" w:cs="华文仿宋"/>
          <w:color w:val="auto"/>
          <w:sz w:val="28"/>
          <w:szCs w:val="28"/>
        </w:rPr>
        <w:t>自行承担，</w:t>
      </w:r>
      <w:r>
        <w:rPr>
          <w:rFonts w:hint="eastAsia" w:ascii="华文仿宋" w:hAnsi="华文仿宋" w:eastAsia="华文仿宋" w:cs="华文仿宋"/>
          <w:color w:val="auto"/>
          <w:sz w:val="28"/>
          <w:szCs w:val="28"/>
          <w:lang w:eastAsia="zh-CN"/>
        </w:rPr>
        <w:t>甲方</w:t>
      </w:r>
      <w:r>
        <w:rPr>
          <w:rFonts w:hint="eastAsia" w:ascii="华文仿宋" w:hAnsi="华文仿宋" w:eastAsia="华文仿宋" w:cs="华文仿宋"/>
          <w:color w:val="auto"/>
          <w:sz w:val="28"/>
          <w:szCs w:val="28"/>
        </w:rPr>
        <w:t>不承担任何责任和做任何补偿。未返还完的考核费用于</w:t>
      </w:r>
      <w:r>
        <w:rPr>
          <w:rFonts w:hint="eastAsia" w:ascii="华文仿宋" w:hAnsi="华文仿宋" w:eastAsia="华文仿宋" w:cs="华文仿宋"/>
          <w:color w:val="auto"/>
          <w:sz w:val="28"/>
          <w:szCs w:val="28"/>
          <w:lang w:val="en-US" w:eastAsia="zh-CN"/>
        </w:rPr>
        <w:t>甲方</w:t>
      </w:r>
      <w:r>
        <w:rPr>
          <w:rFonts w:hint="eastAsia" w:ascii="华文仿宋" w:hAnsi="华文仿宋" w:eastAsia="华文仿宋" w:cs="华文仿宋"/>
          <w:color w:val="auto"/>
          <w:sz w:val="28"/>
          <w:szCs w:val="28"/>
        </w:rPr>
        <w:t>学生奖助贷、合理承担食堂在编在岗监管人员的薪资、食品安全管理及学生活动等公益性支出，惠及全校学生。</w:t>
      </w:r>
    </w:p>
    <w:p w14:paraId="5F80B3DC">
      <w:pPr>
        <w:pageBreakBefore w:val="0"/>
        <w:widowControl w:val="0"/>
        <w:kinsoku/>
        <w:wordWrap/>
        <w:overflowPunct/>
        <w:topLinePunct w:val="0"/>
        <w:autoSpaceDE/>
        <w:autoSpaceDN/>
        <w:bidi w:val="0"/>
        <w:adjustRightInd/>
        <w:snapToGrid w:val="0"/>
        <w:spacing w:line="480" w:lineRule="exact"/>
        <w:jc w:val="center"/>
        <w:textAlignment w:val="auto"/>
        <w:rPr>
          <w:rFonts w:hint="eastAsia" w:ascii="华文仿宋" w:hAnsi="华文仿宋" w:eastAsia="华文仿宋" w:cs="华文仿宋"/>
          <w:b/>
          <w:bCs/>
          <w:color w:val="auto"/>
          <w:sz w:val="28"/>
          <w:szCs w:val="28"/>
        </w:rPr>
      </w:pPr>
      <w:r>
        <w:rPr>
          <w:rFonts w:hint="eastAsia" w:ascii="华文仿宋" w:hAnsi="华文仿宋" w:eastAsia="华文仿宋" w:cs="华文仿宋"/>
          <w:b/>
          <w:bCs/>
          <w:color w:val="auto"/>
          <w:sz w:val="28"/>
          <w:szCs w:val="28"/>
        </w:rPr>
        <w:t>第</w:t>
      </w:r>
      <w:r>
        <w:rPr>
          <w:rFonts w:hint="eastAsia" w:ascii="华文仿宋" w:hAnsi="华文仿宋" w:eastAsia="华文仿宋" w:cs="华文仿宋"/>
          <w:b/>
          <w:bCs/>
          <w:color w:val="auto"/>
          <w:sz w:val="28"/>
          <w:szCs w:val="28"/>
          <w:lang w:val="en-US" w:eastAsia="zh-CN"/>
        </w:rPr>
        <w:t>六</w:t>
      </w:r>
      <w:r>
        <w:rPr>
          <w:rFonts w:hint="eastAsia" w:ascii="华文仿宋" w:hAnsi="华文仿宋" w:eastAsia="华文仿宋" w:cs="华文仿宋"/>
          <w:b/>
          <w:bCs/>
          <w:color w:val="auto"/>
          <w:sz w:val="28"/>
          <w:szCs w:val="28"/>
        </w:rPr>
        <w:t>部分 违约责任</w:t>
      </w:r>
    </w:p>
    <w:p w14:paraId="46E68D04">
      <w:pPr>
        <w:pageBreakBefore w:val="0"/>
        <w:widowControl w:val="0"/>
        <w:kinsoku/>
        <w:wordWrap/>
        <w:overflowPunct/>
        <w:topLinePunct w:val="0"/>
        <w:autoSpaceDE/>
        <w:autoSpaceDN/>
        <w:bidi w:val="0"/>
        <w:adjustRightInd/>
        <w:snapToGrid w:val="0"/>
        <w:spacing w:line="480" w:lineRule="exact"/>
        <w:ind w:firstLine="54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lang w:val="en-US" w:eastAsia="zh-CN"/>
        </w:rPr>
        <w:t xml:space="preserve">第十七条 </w:t>
      </w:r>
      <w:r>
        <w:rPr>
          <w:rFonts w:hint="eastAsia" w:ascii="华文仿宋" w:hAnsi="华文仿宋" w:eastAsia="华文仿宋" w:cs="华文仿宋"/>
          <w:color w:val="auto"/>
          <w:sz w:val="28"/>
          <w:szCs w:val="28"/>
          <w:lang w:eastAsia="zh-CN"/>
        </w:rPr>
        <w:t>乙方</w:t>
      </w:r>
      <w:r>
        <w:rPr>
          <w:rFonts w:hint="eastAsia" w:ascii="华文仿宋" w:hAnsi="华文仿宋" w:eastAsia="华文仿宋" w:cs="华文仿宋"/>
          <w:color w:val="auto"/>
          <w:sz w:val="28"/>
          <w:szCs w:val="28"/>
        </w:rPr>
        <w:t>提供的服务质量、服务标准不符合采购文件及合同要求的、或履约过程中有违约行为的，</w:t>
      </w:r>
      <w:r>
        <w:rPr>
          <w:rFonts w:hint="eastAsia" w:ascii="华文仿宋" w:hAnsi="华文仿宋" w:eastAsia="华文仿宋" w:cs="华文仿宋"/>
          <w:color w:val="auto"/>
          <w:sz w:val="28"/>
          <w:szCs w:val="28"/>
          <w:lang w:eastAsia="zh-CN"/>
        </w:rPr>
        <w:t>甲方</w:t>
      </w:r>
      <w:r>
        <w:rPr>
          <w:rFonts w:hint="eastAsia" w:ascii="华文仿宋" w:hAnsi="华文仿宋" w:eastAsia="华文仿宋" w:cs="华文仿宋"/>
          <w:color w:val="auto"/>
          <w:sz w:val="28"/>
          <w:szCs w:val="28"/>
        </w:rPr>
        <w:t>保留追究由此给</w:t>
      </w:r>
      <w:r>
        <w:rPr>
          <w:rFonts w:hint="eastAsia" w:ascii="华文仿宋" w:hAnsi="华文仿宋" w:eastAsia="华文仿宋" w:cs="华文仿宋"/>
          <w:color w:val="auto"/>
          <w:sz w:val="28"/>
          <w:szCs w:val="28"/>
          <w:lang w:eastAsia="zh-CN"/>
        </w:rPr>
        <w:t>甲方</w:t>
      </w:r>
      <w:r>
        <w:rPr>
          <w:rFonts w:hint="eastAsia" w:ascii="华文仿宋" w:hAnsi="华文仿宋" w:eastAsia="华文仿宋" w:cs="华文仿宋"/>
          <w:color w:val="auto"/>
          <w:sz w:val="28"/>
          <w:szCs w:val="28"/>
        </w:rPr>
        <w:t>造成损失责任的权力。</w:t>
      </w:r>
    </w:p>
    <w:p w14:paraId="0CB0B879">
      <w:pPr>
        <w:pageBreakBefore w:val="0"/>
        <w:widowControl w:val="0"/>
        <w:kinsoku/>
        <w:wordWrap/>
        <w:overflowPunct/>
        <w:topLinePunct w:val="0"/>
        <w:autoSpaceDE/>
        <w:autoSpaceDN/>
        <w:bidi w:val="0"/>
        <w:adjustRightInd/>
        <w:spacing w:line="480" w:lineRule="exact"/>
        <w:ind w:firstLine="560" w:firstLineChars="20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lang w:val="en-US" w:eastAsia="zh-CN"/>
        </w:rPr>
        <w:t xml:space="preserve">第十八条 </w:t>
      </w:r>
      <w:r>
        <w:rPr>
          <w:rFonts w:hint="eastAsia" w:ascii="华文仿宋" w:hAnsi="华文仿宋" w:eastAsia="华文仿宋" w:cs="华文仿宋"/>
          <w:color w:val="auto"/>
          <w:sz w:val="28"/>
          <w:szCs w:val="28"/>
        </w:rPr>
        <w:t>本项目一律为一卡通刷卡消费的方式结算，新增</w:t>
      </w:r>
      <w:r>
        <w:rPr>
          <w:rFonts w:hint="eastAsia" w:ascii="华文仿宋" w:hAnsi="华文仿宋" w:eastAsia="华文仿宋" w:cs="华文仿宋"/>
          <w:bCs/>
          <w:color w:val="auto"/>
          <w:sz w:val="28"/>
          <w:szCs w:val="28"/>
        </w:rPr>
        <w:t>校园一卡通设备购置和安装费由成交供应商承担，</w:t>
      </w:r>
      <w:r>
        <w:rPr>
          <w:rFonts w:hint="eastAsia" w:ascii="华文仿宋" w:hAnsi="华文仿宋" w:eastAsia="华文仿宋" w:cs="华文仿宋"/>
          <w:color w:val="auto"/>
          <w:sz w:val="28"/>
          <w:szCs w:val="28"/>
        </w:rPr>
        <w:t>不得以任何非一卡通方式进行交易，否则经查实后</w:t>
      </w:r>
      <w:r>
        <w:rPr>
          <w:rFonts w:hint="eastAsia" w:ascii="华文仿宋" w:hAnsi="华文仿宋" w:eastAsia="华文仿宋" w:cs="华文仿宋"/>
          <w:color w:val="auto"/>
          <w:sz w:val="28"/>
          <w:szCs w:val="28"/>
          <w:lang w:eastAsia="zh-CN"/>
        </w:rPr>
        <w:t>乙方</w:t>
      </w:r>
      <w:r>
        <w:rPr>
          <w:rFonts w:hint="eastAsia" w:ascii="华文仿宋" w:hAnsi="华文仿宋" w:eastAsia="华文仿宋" w:cs="华文仿宋"/>
          <w:color w:val="auto"/>
          <w:sz w:val="28"/>
          <w:szCs w:val="28"/>
        </w:rPr>
        <w:t>向</w:t>
      </w:r>
      <w:r>
        <w:rPr>
          <w:rFonts w:hint="eastAsia" w:ascii="华文仿宋" w:hAnsi="华文仿宋" w:eastAsia="华文仿宋" w:cs="华文仿宋"/>
          <w:color w:val="auto"/>
          <w:sz w:val="28"/>
          <w:szCs w:val="28"/>
          <w:lang w:eastAsia="zh-CN"/>
        </w:rPr>
        <w:t>甲方</w:t>
      </w:r>
      <w:r>
        <w:rPr>
          <w:rFonts w:hint="eastAsia" w:ascii="华文仿宋" w:hAnsi="华文仿宋" w:eastAsia="华文仿宋" w:cs="华文仿宋"/>
          <w:color w:val="auto"/>
          <w:sz w:val="28"/>
          <w:szCs w:val="28"/>
        </w:rPr>
        <w:t>每次支付违约金20000元，若当月发现三次以上（含本数）违规交易的情况，按当月营业额的20%支付违约金，一年累计发现5次及以上，</w:t>
      </w:r>
      <w:r>
        <w:rPr>
          <w:rFonts w:hint="eastAsia" w:ascii="华文仿宋" w:hAnsi="华文仿宋" w:eastAsia="华文仿宋" w:cs="华文仿宋"/>
          <w:color w:val="auto"/>
          <w:sz w:val="28"/>
          <w:szCs w:val="28"/>
          <w:lang w:eastAsia="zh-CN"/>
        </w:rPr>
        <w:t>甲方</w:t>
      </w:r>
      <w:r>
        <w:rPr>
          <w:rFonts w:hint="eastAsia" w:ascii="华文仿宋" w:hAnsi="华文仿宋" w:eastAsia="华文仿宋" w:cs="华文仿宋"/>
          <w:color w:val="auto"/>
          <w:sz w:val="28"/>
          <w:szCs w:val="28"/>
        </w:rPr>
        <w:t>有权解除合同。</w:t>
      </w:r>
    </w:p>
    <w:p w14:paraId="062A912F">
      <w:pPr>
        <w:pageBreakBefore w:val="0"/>
        <w:widowControl w:val="0"/>
        <w:kinsoku/>
        <w:wordWrap/>
        <w:overflowPunct/>
        <w:topLinePunct w:val="0"/>
        <w:autoSpaceDE/>
        <w:autoSpaceDN/>
        <w:bidi w:val="0"/>
        <w:adjustRightInd/>
        <w:spacing w:line="480" w:lineRule="exact"/>
        <w:ind w:firstLine="560" w:firstLineChars="20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lang w:val="en-US" w:eastAsia="zh-CN"/>
        </w:rPr>
        <w:t xml:space="preserve">第十九条 </w:t>
      </w:r>
      <w:r>
        <w:rPr>
          <w:rFonts w:hint="eastAsia" w:ascii="华文仿宋" w:hAnsi="华文仿宋" w:eastAsia="华文仿宋" w:cs="华文仿宋"/>
          <w:color w:val="auto"/>
          <w:sz w:val="28"/>
          <w:szCs w:val="28"/>
        </w:rPr>
        <w:t>除不可抗力或</w:t>
      </w:r>
      <w:r>
        <w:rPr>
          <w:rFonts w:hint="eastAsia" w:ascii="华文仿宋" w:hAnsi="华文仿宋" w:eastAsia="华文仿宋" w:cs="华文仿宋"/>
          <w:color w:val="auto"/>
          <w:sz w:val="28"/>
          <w:szCs w:val="28"/>
          <w:lang w:eastAsia="zh-CN"/>
        </w:rPr>
        <w:t>甲方</w:t>
      </w:r>
      <w:r>
        <w:rPr>
          <w:rFonts w:hint="eastAsia" w:ascii="华文仿宋" w:hAnsi="华文仿宋" w:eastAsia="华文仿宋" w:cs="华文仿宋"/>
          <w:color w:val="auto"/>
          <w:sz w:val="28"/>
          <w:szCs w:val="28"/>
        </w:rPr>
        <w:t>书面同意外，</w:t>
      </w:r>
      <w:r>
        <w:rPr>
          <w:rFonts w:hint="eastAsia" w:ascii="华文仿宋" w:hAnsi="华文仿宋" w:eastAsia="华文仿宋" w:cs="华文仿宋"/>
          <w:color w:val="auto"/>
          <w:sz w:val="28"/>
          <w:szCs w:val="28"/>
          <w:lang w:eastAsia="zh-CN"/>
        </w:rPr>
        <w:t>乙方</w:t>
      </w:r>
      <w:r>
        <w:rPr>
          <w:rFonts w:hint="eastAsia" w:ascii="华文仿宋" w:hAnsi="华文仿宋" w:eastAsia="华文仿宋" w:cs="华文仿宋"/>
          <w:color w:val="auto"/>
          <w:sz w:val="28"/>
          <w:szCs w:val="28"/>
        </w:rPr>
        <w:t>在经营过程中不得以任何理由擅自停止供餐，否则每次按每档口支付违约金20000元。</w:t>
      </w:r>
    </w:p>
    <w:p w14:paraId="45A4AA5E">
      <w:pPr>
        <w:pageBreakBefore w:val="0"/>
        <w:widowControl w:val="0"/>
        <w:kinsoku/>
        <w:wordWrap/>
        <w:overflowPunct/>
        <w:topLinePunct w:val="0"/>
        <w:autoSpaceDE/>
        <w:autoSpaceDN/>
        <w:bidi w:val="0"/>
        <w:adjustRightInd/>
        <w:spacing w:line="480" w:lineRule="exact"/>
        <w:ind w:firstLine="560" w:firstLineChars="20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lang w:val="en-US" w:eastAsia="zh-CN"/>
        </w:rPr>
        <w:t xml:space="preserve">第二十条 </w:t>
      </w:r>
      <w:r>
        <w:rPr>
          <w:rFonts w:hint="eastAsia" w:ascii="华文仿宋" w:hAnsi="华文仿宋" w:eastAsia="华文仿宋" w:cs="华文仿宋"/>
          <w:color w:val="auto"/>
          <w:sz w:val="28"/>
          <w:szCs w:val="28"/>
        </w:rPr>
        <w:t>若</w:t>
      </w:r>
      <w:r>
        <w:rPr>
          <w:rFonts w:hint="eastAsia" w:ascii="华文仿宋" w:hAnsi="华文仿宋" w:eastAsia="华文仿宋" w:cs="华文仿宋"/>
          <w:color w:val="auto"/>
          <w:sz w:val="28"/>
          <w:szCs w:val="28"/>
          <w:lang w:eastAsia="zh-CN"/>
        </w:rPr>
        <w:t>乙方</w:t>
      </w:r>
      <w:r>
        <w:rPr>
          <w:rFonts w:hint="eastAsia" w:ascii="华文仿宋" w:hAnsi="华文仿宋" w:eastAsia="华文仿宋" w:cs="华文仿宋"/>
          <w:color w:val="auto"/>
          <w:sz w:val="28"/>
          <w:szCs w:val="28"/>
        </w:rPr>
        <w:t>擅自变更食品售价，则按每个品种支付违约金5000元/次。</w:t>
      </w:r>
    </w:p>
    <w:p w14:paraId="44BB30E8">
      <w:pPr>
        <w:pageBreakBefore w:val="0"/>
        <w:widowControl w:val="0"/>
        <w:kinsoku/>
        <w:wordWrap/>
        <w:overflowPunct/>
        <w:topLinePunct w:val="0"/>
        <w:autoSpaceDE/>
        <w:autoSpaceDN/>
        <w:bidi w:val="0"/>
        <w:adjustRightInd/>
        <w:spacing w:line="480" w:lineRule="exact"/>
        <w:ind w:firstLine="560" w:firstLineChars="20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lang w:val="en-US" w:eastAsia="zh-CN"/>
        </w:rPr>
        <w:t xml:space="preserve">第二十一条 </w:t>
      </w:r>
      <w:r>
        <w:rPr>
          <w:rFonts w:hint="eastAsia" w:ascii="华文仿宋" w:hAnsi="华文仿宋" w:eastAsia="华文仿宋" w:cs="华文仿宋"/>
          <w:color w:val="auto"/>
          <w:sz w:val="28"/>
          <w:szCs w:val="28"/>
        </w:rPr>
        <w:t>若</w:t>
      </w:r>
      <w:r>
        <w:rPr>
          <w:rFonts w:hint="eastAsia" w:ascii="华文仿宋" w:hAnsi="华文仿宋" w:eastAsia="华文仿宋" w:cs="华文仿宋"/>
          <w:color w:val="auto"/>
          <w:sz w:val="28"/>
          <w:szCs w:val="28"/>
          <w:lang w:eastAsia="zh-CN"/>
        </w:rPr>
        <w:t>乙方</w:t>
      </w:r>
      <w:r>
        <w:rPr>
          <w:rFonts w:hint="eastAsia" w:ascii="华文仿宋" w:hAnsi="华文仿宋" w:eastAsia="华文仿宋" w:cs="华文仿宋"/>
          <w:color w:val="auto"/>
          <w:sz w:val="28"/>
          <w:szCs w:val="28"/>
        </w:rPr>
        <w:t>采购转基因食材或外国进口类食材，则按每个食材品种支付违约金10000元/次。</w:t>
      </w:r>
    </w:p>
    <w:p w14:paraId="48170265">
      <w:pPr>
        <w:pageBreakBefore w:val="0"/>
        <w:widowControl w:val="0"/>
        <w:kinsoku/>
        <w:wordWrap/>
        <w:overflowPunct/>
        <w:topLinePunct w:val="0"/>
        <w:autoSpaceDE/>
        <w:autoSpaceDN/>
        <w:bidi w:val="0"/>
        <w:adjustRightInd/>
        <w:spacing w:line="480" w:lineRule="exact"/>
        <w:ind w:firstLine="560" w:firstLineChars="20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lang w:val="en-US" w:eastAsia="zh-CN"/>
        </w:rPr>
        <w:t xml:space="preserve">第二十二条 </w:t>
      </w:r>
      <w:r>
        <w:rPr>
          <w:rFonts w:hint="eastAsia" w:ascii="华文仿宋" w:hAnsi="华文仿宋" w:eastAsia="华文仿宋" w:cs="华文仿宋"/>
          <w:color w:val="auto"/>
          <w:sz w:val="28"/>
          <w:szCs w:val="28"/>
        </w:rPr>
        <w:t>若发生师生有效投诉，视其情况支付违约金500元及以上/次。</w:t>
      </w:r>
    </w:p>
    <w:p w14:paraId="56B457DD">
      <w:pPr>
        <w:pageBreakBefore w:val="0"/>
        <w:widowControl w:val="0"/>
        <w:kinsoku/>
        <w:wordWrap/>
        <w:overflowPunct/>
        <w:topLinePunct w:val="0"/>
        <w:autoSpaceDE/>
        <w:autoSpaceDN/>
        <w:bidi w:val="0"/>
        <w:adjustRightInd/>
        <w:spacing w:line="480" w:lineRule="exact"/>
        <w:ind w:firstLine="560" w:firstLineChars="20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lang w:val="en-US" w:eastAsia="zh-CN"/>
        </w:rPr>
        <w:t xml:space="preserve">第二十三条 </w:t>
      </w:r>
      <w:r>
        <w:rPr>
          <w:rFonts w:hint="eastAsia" w:ascii="华文仿宋" w:hAnsi="华文仿宋" w:eastAsia="华文仿宋" w:cs="华文仿宋"/>
          <w:color w:val="auto"/>
          <w:sz w:val="28"/>
          <w:szCs w:val="28"/>
        </w:rPr>
        <w:t>若发现各类食材存在食品安全隐患的，视其情况支付违约金5000元-10000元/次。</w:t>
      </w:r>
    </w:p>
    <w:p w14:paraId="6D99DC36">
      <w:pPr>
        <w:pageBreakBefore w:val="0"/>
        <w:widowControl w:val="0"/>
        <w:kinsoku/>
        <w:wordWrap/>
        <w:overflowPunct/>
        <w:topLinePunct w:val="0"/>
        <w:autoSpaceDE/>
        <w:autoSpaceDN/>
        <w:bidi w:val="0"/>
        <w:adjustRightInd/>
        <w:spacing w:line="480" w:lineRule="exact"/>
        <w:ind w:firstLine="560" w:firstLineChars="20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lang w:val="en-US" w:eastAsia="zh-CN"/>
        </w:rPr>
        <w:t xml:space="preserve">第二十四条 </w:t>
      </w:r>
      <w:r>
        <w:rPr>
          <w:rFonts w:hint="eastAsia" w:ascii="华文仿宋" w:hAnsi="华文仿宋" w:eastAsia="华文仿宋" w:cs="华文仿宋"/>
          <w:color w:val="auto"/>
          <w:sz w:val="28"/>
          <w:szCs w:val="28"/>
        </w:rPr>
        <w:t>若</w:t>
      </w:r>
      <w:r>
        <w:rPr>
          <w:rFonts w:hint="eastAsia" w:ascii="华文仿宋" w:hAnsi="华文仿宋" w:eastAsia="华文仿宋" w:cs="华文仿宋"/>
          <w:color w:val="auto"/>
          <w:sz w:val="28"/>
          <w:szCs w:val="28"/>
          <w:lang w:eastAsia="zh-CN"/>
        </w:rPr>
        <w:t>乙方</w:t>
      </w:r>
      <w:r>
        <w:rPr>
          <w:rFonts w:hint="eastAsia" w:ascii="华文仿宋" w:hAnsi="华文仿宋" w:eastAsia="华文仿宋" w:cs="华文仿宋"/>
          <w:color w:val="auto"/>
          <w:sz w:val="28"/>
          <w:szCs w:val="28"/>
        </w:rPr>
        <w:t>不服从</w:t>
      </w:r>
      <w:r>
        <w:rPr>
          <w:rFonts w:hint="eastAsia" w:ascii="华文仿宋" w:hAnsi="华文仿宋" w:eastAsia="华文仿宋" w:cs="华文仿宋"/>
          <w:color w:val="auto"/>
          <w:sz w:val="28"/>
          <w:szCs w:val="28"/>
          <w:lang w:eastAsia="zh-CN"/>
        </w:rPr>
        <w:t>甲方</w:t>
      </w:r>
      <w:r>
        <w:rPr>
          <w:rFonts w:hint="eastAsia" w:ascii="华文仿宋" w:hAnsi="华文仿宋" w:eastAsia="华文仿宋" w:cs="华文仿宋"/>
          <w:color w:val="auto"/>
          <w:sz w:val="28"/>
          <w:szCs w:val="28"/>
        </w:rPr>
        <w:t>管理，不及时按照</w:t>
      </w:r>
      <w:r>
        <w:rPr>
          <w:rFonts w:hint="eastAsia" w:ascii="华文仿宋" w:hAnsi="华文仿宋" w:eastAsia="华文仿宋" w:cs="华文仿宋"/>
          <w:color w:val="auto"/>
          <w:sz w:val="28"/>
          <w:szCs w:val="28"/>
          <w:lang w:eastAsia="zh-CN"/>
        </w:rPr>
        <w:t>甲方</w:t>
      </w:r>
      <w:r>
        <w:rPr>
          <w:rFonts w:hint="eastAsia" w:ascii="华文仿宋" w:hAnsi="华文仿宋" w:eastAsia="华文仿宋" w:cs="华文仿宋"/>
          <w:color w:val="auto"/>
          <w:sz w:val="28"/>
          <w:szCs w:val="28"/>
        </w:rPr>
        <w:t>的要求及时进行整改的，每次支付违约金10000元至50000元。</w:t>
      </w:r>
    </w:p>
    <w:p w14:paraId="6E3627FE">
      <w:pPr>
        <w:pageBreakBefore w:val="0"/>
        <w:widowControl w:val="0"/>
        <w:kinsoku/>
        <w:wordWrap/>
        <w:overflowPunct/>
        <w:topLinePunct w:val="0"/>
        <w:autoSpaceDE/>
        <w:autoSpaceDN/>
        <w:bidi w:val="0"/>
        <w:adjustRightInd/>
        <w:spacing w:line="480" w:lineRule="exact"/>
        <w:ind w:firstLine="560" w:firstLineChars="20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lang w:val="en-US" w:eastAsia="zh-CN"/>
        </w:rPr>
        <w:t xml:space="preserve">第二十五条 </w:t>
      </w:r>
      <w:r>
        <w:rPr>
          <w:rFonts w:hint="eastAsia" w:ascii="华文仿宋" w:hAnsi="华文仿宋" w:eastAsia="华文仿宋" w:cs="华文仿宋"/>
          <w:color w:val="auto"/>
          <w:sz w:val="28"/>
          <w:szCs w:val="28"/>
          <w:lang w:eastAsia="zh-CN"/>
        </w:rPr>
        <w:t>乙方</w:t>
      </w:r>
      <w:r>
        <w:rPr>
          <w:rFonts w:hint="eastAsia" w:ascii="华文仿宋" w:hAnsi="华文仿宋" w:eastAsia="华文仿宋" w:cs="华文仿宋"/>
          <w:color w:val="auto"/>
          <w:sz w:val="28"/>
          <w:szCs w:val="28"/>
        </w:rPr>
        <w:t>在接受市场监督管理局等有关职能部门以及上级机关等各级各类检查时，给</w:t>
      </w:r>
      <w:r>
        <w:rPr>
          <w:rFonts w:hint="eastAsia" w:ascii="华文仿宋" w:hAnsi="华文仿宋" w:eastAsia="华文仿宋" w:cs="华文仿宋"/>
          <w:color w:val="auto"/>
          <w:sz w:val="28"/>
          <w:szCs w:val="28"/>
          <w:lang w:eastAsia="zh-CN"/>
        </w:rPr>
        <w:t>甲方</w:t>
      </w:r>
      <w:r>
        <w:rPr>
          <w:rFonts w:hint="eastAsia" w:ascii="华文仿宋" w:hAnsi="华文仿宋" w:eastAsia="华文仿宋" w:cs="华文仿宋"/>
          <w:color w:val="auto"/>
          <w:sz w:val="28"/>
          <w:szCs w:val="28"/>
        </w:rPr>
        <w:t>造成不良影响的，视其情节每发生一次支付违约金2000元及以上；</w:t>
      </w:r>
      <w:r>
        <w:rPr>
          <w:rFonts w:hint="eastAsia" w:ascii="华文仿宋" w:hAnsi="华文仿宋" w:eastAsia="华文仿宋" w:cs="华文仿宋"/>
          <w:color w:val="auto"/>
          <w:sz w:val="28"/>
          <w:szCs w:val="28"/>
          <w:lang w:eastAsia="zh-CN"/>
        </w:rPr>
        <w:t>乙方</w:t>
      </w:r>
      <w:r>
        <w:rPr>
          <w:rFonts w:hint="eastAsia" w:ascii="华文仿宋" w:hAnsi="华文仿宋" w:eastAsia="华文仿宋" w:cs="华文仿宋"/>
          <w:color w:val="auto"/>
          <w:sz w:val="28"/>
          <w:szCs w:val="28"/>
        </w:rPr>
        <w:t>提供霉烂变质食物（包括库存中有过期或霉变货物）等，每发生一次支付违约金10000元。</w:t>
      </w:r>
    </w:p>
    <w:p w14:paraId="45EC7A1C">
      <w:pPr>
        <w:pageBreakBefore w:val="0"/>
        <w:widowControl w:val="0"/>
        <w:kinsoku/>
        <w:wordWrap/>
        <w:overflowPunct/>
        <w:topLinePunct w:val="0"/>
        <w:autoSpaceDE/>
        <w:autoSpaceDN/>
        <w:bidi w:val="0"/>
        <w:adjustRightInd/>
        <w:snapToGrid w:val="0"/>
        <w:spacing w:line="480" w:lineRule="exact"/>
        <w:ind w:firstLine="54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lang w:val="en-US" w:eastAsia="zh-CN"/>
        </w:rPr>
        <w:t xml:space="preserve">第二十六条 </w:t>
      </w:r>
      <w:r>
        <w:rPr>
          <w:rFonts w:hint="eastAsia" w:ascii="华文仿宋" w:hAnsi="华文仿宋" w:eastAsia="华文仿宋" w:cs="华文仿宋"/>
          <w:color w:val="auto"/>
          <w:sz w:val="28"/>
          <w:szCs w:val="28"/>
          <w:lang w:eastAsia="zh-CN"/>
        </w:rPr>
        <w:t>乙方</w:t>
      </w:r>
      <w:r>
        <w:rPr>
          <w:rFonts w:hint="eastAsia" w:ascii="华文仿宋" w:hAnsi="华文仿宋" w:eastAsia="华文仿宋" w:cs="华文仿宋"/>
          <w:color w:val="auto"/>
          <w:sz w:val="28"/>
          <w:szCs w:val="28"/>
        </w:rPr>
        <w:t>在经营过程中发生投毒或食物中毒等食品安全事故、消防安全事故时，由</w:t>
      </w:r>
      <w:r>
        <w:rPr>
          <w:rFonts w:hint="eastAsia" w:ascii="华文仿宋" w:hAnsi="华文仿宋" w:eastAsia="华文仿宋" w:cs="华文仿宋"/>
          <w:color w:val="auto"/>
          <w:sz w:val="28"/>
          <w:szCs w:val="28"/>
          <w:lang w:eastAsia="zh-CN"/>
        </w:rPr>
        <w:t>乙方</w:t>
      </w:r>
      <w:r>
        <w:rPr>
          <w:rFonts w:hint="eastAsia" w:ascii="华文仿宋" w:hAnsi="华文仿宋" w:eastAsia="华文仿宋" w:cs="华文仿宋"/>
          <w:color w:val="auto"/>
          <w:sz w:val="28"/>
          <w:szCs w:val="28"/>
        </w:rPr>
        <w:t>承担一切经济责任（包括</w:t>
      </w:r>
      <w:r>
        <w:rPr>
          <w:rFonts w:hint="eastAsia" w:ascii="华文仿宋" w:hAnsi="华文仿宋" w:eastAsia="华文仿宋" w:cs="华文仿宋"/>
          <w:color w:val="auto"/>
          <w:sz w:val="28"/>
          <w:szCs w:val="28"/>
          <w:lang w:eastAsia="zh-CN"/>
        </w:rPr>
        <w:t>甲方</w:t>
      </w:r>
      <w:r>
        <w:rPr>
          <w:rFonts w:hint="eastAsia" w:ascii="华文仿宋" w:hAnsi="华文仿宋" w:eastAsia="华文仿宋" w:cs="华文仿宋"/>
          <w:color w:val="auto"/>
          <w:sz w:val="28"/>
          <w:szCs w:val="28"/>
        </w:rPr>
        <w:t>及</w:t>
      </w:r>
      <w:r>
        <w:rPr>
          <w:rFonts w:hint="eastAsia" w:ascii="华文仿宋" w:hAnsi="华文仿宋" w:eastAsia="华文仿宋" w:cs="华文仿宋"/>
          <w:color w:val="auto"/>
          <w:sz w:val="28"/>
          <w:szCs w:val="28"/>
          <w:lang w:eastAsia="zh-CN"/>
        </w:rPr>
        <w:t>甲方</w:t>
      </w:r>
      <w:r>
        <w:rPr>
          <w:rFonts w:hint="eastAsia" w:ascii="华文仿宋" w:hAnsi="华文仿宋" w:eastAsia="华文仿宋" w:cs="华文仿宋"/>
          <w:color w:val="auto"/>
          <w:sz w:val="28"/>
          <w:szCs w:val="28"/>
        </w:rPr>
        <w:t>相关管理人员受到的经济处罚）和法律责任，情节严重者，</w:t>
      </w:r>
      <w:r>
        <w:rPr>
          <w:rFonts w:hint="eastAsia" w:ascii="华文仿宋" w:hAnsi="华文仿宋" w:eastAsia="华文仿宋" w:cs="华文仿宋"/>
          <w:color w:val="auto"/>
          <w:sz w:val="28"/>
          <w:szCs w:val="28"/>
          <w:lang w:eastAsia="zh-CN"/>
        </w:rPr>
        <w:t>甲方</w:t>
      </w:r>
      <w:r>
        <w:rPr>
          <w:rFonts w:hint="eastAsia" w:ascii="华文仿宋" w:hAnsi="华文仿宋" w:eastAsia="华文仿宋" w:cs="华文仿宋"/>
          <w:color w:val="auto"/>
          <w:sz w:val="28"/>
          <w:szCs w:val="28"/>
        </w:rPr>
        <w:t>除不退还</w:t>
      </w:r>
      <w:r>
        <w:rPr>
          <w:rFonts w:hint="eastAsia" w:ascii="华文仿宋" w:hAnsi="华文仿宋" w:eastAsia="华文仿宋" w:cs="华文仿宋"/>
          <w:color w:val="auto"/>
          <w:sz w:val="28"/>
          <w:szCs w:val="28"/>
          <w:lang w:eastAsia="zh-CN"/>
        </w:rPr>
        <w:t>乙方</w:t>
      </w:r>
      <w:r>
        <w:rPr>
          <w:rFonts w:hint="eastAsia" w:ascii="华文仿宋" w:hAnsi="华文仿宋" w:eastAsia="华文仿宋" w:cs="华文仿宋"/>
          <w:color w:val="auto"/>
          <w:sz w:val="28"/>
          <w:szCs w:val="28"/>
        </w:rPr>
        <w:t>履约保证金外，还应承担50000元/次的合同违约金，且</w:t>
      </w:r>
      <w:r>
        <w:rPr>
          <w:rFonts w:hint="eastAsia" w:ascii="华文仿宋" w:hAnsi="华文仿宋" w:eastAsia="华文仿宋" w:cs="华文仿宋"/>
          <w:color w:val="auto"/>
          <w:sz w:val="28"/>
          <w:szCs w:val="28"/>
          <w:lang w:eastAsia="zh-CN"/>
        </w:rPr>
        <w:t>甲方</w:t>
      </w:r>
      <w:r>
        <w:rPr>
          <w:rFonts w:hint="eastAsia" w:ascii="华文仿宋" w:hAnsi="华文仿宋" w:eastAsia="华文仿宋" w:cs="华文仿宋"/>
          <w:color w:val="auto"/>
          <w:sz w:val="28"/>
          <w:szCs w:val="28"/>
        </w:rPr>
        <w:t>有权解除合同。</w:t>
      </w:r>
    </w:p>
    <w:p w14:paraId="306845CC">
      <w:pPr>
        <w:pageBreakBefore w:val="0"/>
        <w:widowControl w:val="0"/>
        <w:kinsoku/>
        <w:wordWrap/>
        <w:overflowPunct/>
        <w:topLinePunct w:val="0"/>
        <w:autoSpaceDE/>
        <w:autoSpaceDN/>
        <w:bidi w:val="0"/>
        <w:adjustRightInd/>
        <w:snapToGrid w:val="0"/>
        <w:spacing w:line="480" w:lineRule="exact"/>
        <w:ind w:firstLine="54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lang w:val="en-US" w:eastAsia="zh-CN"/>
        </w:rPr>
        <w:t xml:space="preserve">第二十七条 </w:t>
      </w:r>
      <w:r>
        <w:rPr>
          <w:rFonts w:hint="eastAsia" w:ascii="华文仿宋" w:hAnsi="华文仿宋" w:eastAsia="华文仿宋" w:cs="华文仿宋"/>
          <w:color w:val="auto"/>
          <w:sz w:val="28"/>
          <w:szCs w:val="28"/>
        </w:rPr>
        <w:t>合同期满或经营期内解除合同时，</w:t>
      </w:r>
      <w:r>
        <w:rPr>
          <w:rFonts w:hint="eastAsia" w:ascii="华文仿宋" w:hAnsi="华文仿宋" w:eastAsia="华文仿宋" w:cs="华文仿宋"/>
          <w:color w:val="auto"/>
          <w:sz w:val="28"/>
          <w:szCs w:val="28"/>
          <w:lang w:eastAsia="zh-CN"/>
        </w:rPr>
        <w:t>乙方</w:t>
      </w:r>
      <w:r>
        <w:rPr>
          <w:rFonts w:hint="eastAsia" w:ascii="华文仿宋" w:hAnsi="华文仿宋" w:eastAsia="华文仿宋" w:cs="华文仿宋"/>
          <w:color w:val="auto"/>
          <w:sz w:val="28"/>
          <w:szCs w:val="28"/>
        </w:rPr>
        <w:t>逾期未撤离，由此造成的一切后果与损失由</w:t>
      </w:r>
      <w:r>
        <w:rPr>
          <w:rFonts w:hint="eastAsia" w:ascii="华文仿宋" w:hAnsi="华文仿宋" w:eastAsia="华文仿宋" w:cs="华文仿宋"/>
          <w:color w:val="auto"/>
          <w:sz w:val="28"/>
          <w:szCs w:val="28"/>
          <w:lang w:eastAsia="zh-CN"/>
        </w:rPr>
        <w:t>乙方</w:t>
      </w:r>
      <w:r>
        <w:rPr>
          <w:rFonts w:hint="eastAsia" w:ascii="华文仿宋" w:hAnsi="华文仿宋" w:eastAsia="华文仿宋" w:cs="华文仿宋"/>
          <w:color w:val="auto"/>
          <w:sz w:val="28"/>
          <w:szCs w:val="28"/>
        </w:rPr>
        <w:t>承担。</w:t>
      </w:r>
      <w:r>
        <w:rPr>
          <w:rFonts w:hint="eastAsia" w:ascii="华文仿宋" w:hAnsi="华文仿宋" w:eastAsia="华文仿宋" w:cs="华文仿宋"/>
          <w:color w:val="auto"/>
          <w:sz w:val="28"/>
          <w:szCs w:val="28"/>
          <w:lang w:eastAsia="zh-CN"/>
        </w:rPr>
        <w:t>乙方</w:t>
      </w:r>
      <w:r>
        <w:rPr>
          <w:rFonts w:hint="eastAsia" w:ascii="华文仿宋" w:hAnsi="华文仿宋" w:eastAsia="华文仿宋" w:cs="华文仿宋"/>
          <w:color w:val="auto"/>
          <w:sz w:val="28"/>
          <w:szCs w:val="28"/>
        </w:rPr>
        <w:t>在合同期内可以对食堂进行再次装修，其装修费用均由</w:t>
      </w:r>
      <w:r>
        <w:rPr>
          <w:rFonts w:hint="eastAsia" w:ascii="华文仿宋" w:hAnsi="华文仿宋" w:eastAsia="华文仿宋" w:cs="华文仿宋"/>
          <w:color w:val="auto"/>
          <w:sz w:val="28"/>
          <w:szCs w:val="28"/>
          <w:lang w:eastAsia="zh-CN"/>
        </w:rPr>
        <w:t>乙方</w:t>
      </w:r>
      <w:r>
        <w:rPr>
          <w:rFonts w:hint="eastAsia" w:ascii="华文仿宋" w:hAnsi="华文仿宋" w:eastAsia="华文仿宋" w:cs="华文仿宋"/>
          <w:color w:val="auto"/>
          <w:sz w:val="28"/>
          <w:szCs w:val="28"/>
        </w:rPr>
        <w:t>自行承担，同时，</w:t>
      </w:r>
      <w:r>
        <w:rPr>
          <w:rFonts w:hint="eastAsia" w:ascii="华文仿宋" w:hAnsi="华文仿宋" w:eastAsia="华文仿宋" w:cs="华文仿宋"/>
          <w:color w:val="auto"/>
          <w:sz w:val="28"/>
          <w:szCs w:val="28"/>
          <w:lang w:eastAsia="zh-CN"/>
        </w:rPr>
        <w:t>乙方</w:t>
      </w:r>
      <w:r>
        <w:rPr>
          <w:rFonts w:hint="eastAsia" w:ascii="华文仿宋" w:hAnsi="华文仿宋" w:eastAsia="华文仿宋" w:cs="华文仿宋"/>
          <w:color w:val="auto"/>
          <w:sz w:val="28"/>
          <w:szCs w:val="28"/>
        </w:rPr>
        <w:t>再次装修方案必须经</w:t>
      </w:r>
      <w:r>
        <w:rPr>
          <w:rFonts w:hint="eastAsia" w:ascii="华文仿宋" w:hAnsi="华文仿宋" w:eastAsia="华文仿宋" w:cs="华文仿宋"/>
          <w:color w:val="auto"/>
          <w:sz w:val="28"/>
          <w:szCs w:val="28"/>
          <w:lang w:eastAsia="zh-CN"/>
        </w:rPr>
        <w:t>甲方</w:t>
      </w:r>
      <w:r>
        <w:rPr>
          <w:rFonts w:hint="eastAsia" w:ascii="华文仿宋" w:hAnsi="华文仿宋" w:eastAsia="华文仿宋" w:cs="华文仿宋"/>
          <w:color w:val="auto"/>
          <w:sz w:val="28"/>
          <w:szCs w:val="28"/>
        </w:rPr>
        <w:t>书面书面同意后方可进行，否则每次支付违约金50000元。</w:t>
      </w:r>
    </w:p>
    <w:p w14:paraId="381E80D1">
      <w:pPr>
        <w:pageBreakBefore w:val="0"/>
        <w:widowControl w:val="0"/>
        <w:kinsoku/>
        <w:wordWrap/>
        <w:overflowPunct/>
        <w:topLinePunct w:val="0"/>
        <w:autoSpaceDE/>
        <w:autoSpaceDN/>
        <w:bidi w:val="0"/>
        <w:adjustRightInd/>
        <w:snapToGrid w:val="0"/>
        <w:spacing w:line="480" w:lineRule="exact"/>
        <w:ind w:firstLine="54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lang w:val="en-US" w:eastAsia="zh-CN"/>
        </w:rPr>
        <w:t xml:space="preserve">第二十八条 </w:t>
      </w:r>
      <w:r>
        <w:rPr>
          <w:rFonts w:hint="eastAsia" w:ascii="华文仿宋" w:hAnsi="华文仿宋" w:eastAsia="华文仿宋" w:cs="华文仿宋"/>
          <w:color w:val="auto"/>
          <w:sz w:val="28"/>
          <w:szCs w:val="28"/>
          <w:lang w:eastAsia="zh-CN"/>
        </w:rPr>
        <w:t>乙方</w:t>
      </w:r>
      <w:r>
        <w:rPr>
          <w:rFonts w:hint="eastAsia" w:ascii="华文仿宋" w:hAnsi="华文仿宋" w:eastAsia="华文仿宋" w:cs="华文仿宋"/>
          <w:color w:val="auto"/>
          <w:sz w:val="28"/>
          <w:szCs w:val="28"/>
        </w:rPr>
        <w:t>因饭菜质量、价格和卫生等问题造成学生集体上</w:t>
      </w:r>
      <w:r>
        <w:rPr>
          <w:rFonts w:hint="eastAsia" w:ascii="华文仿宋" w:hAnsi="华文仿宋" w:eastAsia="华文仿宋" w:cs="华文仿宋"/>
          <w:bCs/>
          <w:color w:val="auto"/>
          <w:sz w:val="28"/>
          <w:szCs w:val="28"/>
        </w:rPr>
        <w:t>访或10人及其以上</w:t>
      </w:r>
      <w:r>
        <w:rPr>
          <w:rFonts w:hint="eastAsia" w:ascii="华文仿宋" w:hAnsi="华文仿宋" w:eastAsia="华文仿宋" w:cs="华文仿宋"/>
          <w:color w:val="auto"/>
          <w:sz w:val="28"/>
          <w:szCs w:val="28"/>
        </w:rPr>
        <w:t>集体签名反映问题的，经检查、检测情况属实，则每次向</w:t>
      </w:r>
      <w:r>
        <w:rPr>
          <w:rFonts w:hint="eastAsia" w:ascii="华文仿宋" w:hAnsi="华文仿宋" w:eastAsia="华文仿宋" w:cs="华文仿宋"/>
          <w:color w:val="auto"/>
          <w:sz w:val="28"/>
          <w:szCs w:val="28"/>
          <w:lang w:eastAsia="zh-CN"/>
        </w:rPr>
        <w:t>甲方</w:t>
      </w:r>
      <w:r>
        <w:rPr>
          <w:rFonts w:hint="eastAsia" w:ascii="华文仿宋" w:hAnsi="华文仿宋" w:eastAsia="华文仿宋" w:cs="华文仿宋"/>
          <w:color w:val="auto"/>
          <w:sz w:val="28"/>
          <w:szCs w:val="28"/>
        </w:rPr>
        <w:t>支付违约金50000元，情节严重者</w:t>
      </w:r>
      <w:r>
        <w:rPr>
          <w:rFonts w:hint="eastAsia" w:ascii="华文仿宋" w:hAnsi="华文仿宋" w:eastAsia="华文仿宋" w:cs="华文仿宋"/>
          <w:color w:val="auto"/>
          <w:sz w:val="28"/>
          <w:szCs w:val="28"/>
          <w:lang w:eastAsia="zh-CN"/>
        </w:rPr>
        <w:t>甲方</w:t>
      </w:r>
      <w:r>
        <w:rPr>
          <w:rFonts w:hint="eastAsia" w:ascii="华文仿宋" w:hAnsi="华文仿宋" w:eastAsia="华文仿宋" w:cs="华文仿宋"/>
          <w:color w:val="auto"/>
          <w:sz w:val="28"/>
          <w:szCs w:val="28"/>
        </w:rPr>
        <w:t>有权不退还全部履约保证金直至解除委托经营合同。</w:t>
      </w:r>
    </w:p>
    <w:p w14:paraId="35FFBE69">
      <w:pPr>
        <w:pageBreakBefore w:val="0"/>
        <w:widowControl w:val="0"/>
        <w:kinsoku/>
        <w:wordWrap/>
        <w:overflowPunct/>
        <w:topLinePunct w:val="0"/>
        <w:autoSpaceDE/>
        <w:autoSpaceDN/>
        <w:bidi w:val="0"/>
        <w:adjustRightInd/>
        <w:snapToGrid w:val="0"/>
        <w:spacing w:line="480" w:lineRule="exact"/>
        <w:ind w:firstLine="54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lang w:val="en-US" w:eastAsia="zh-CN"/>
        </w:rPr>
        <w:t xml:space="preserve">第二十九条 </w:t>
      </w:r>
      <w:r>
        <w:rPr>
          <w:rFonts w:hint="eastAsia" w:ascii="华文仿宋" w:hAnsi="华文仿宋" w:eastAsia="华文仿宋" w:cs="华文仿宋"/>
          <w:color w:val="auto"/>
          <w:sz w:val="28"/>
          <w:szCs w:val="28"/>
          <w:lang w:eastAsia="zh-CN"/>
        </w:rPr>
        <w:t>乙方</w:t>
      </w:r>
      <w:r>
        <w:rPr>
          <w:rFonts w:hint="eastAsia" w:ascii="华文仿宋" w:hAnsi="华文仿宋" w:eastAsia="华文仿宋" w:cs="华文仿宋"/>
          <w:color w:val="auto"/>
          <w:sz w:val="28"/>
          <w:szCs w:val="28"/>
        </w:rPr>
        <w:t>在合同期内如果没有向</w:t>
      </w:r>
      <w:r>
        <w:rPr>
          <w:rFonts w:hint="eastAsia" w:ascii="华文仿宋" w:hAnsi="华文仿宋" w:eastAsia="华文仿宋" w:cs="华文仿宋"/>
          <w:color w:val="auto"/>
          <w:sz w:val="28"/>
          <w:szCs w:val="28"/>
          <w:lang w:eastAsia="zh-CN"/>
        </w:rPr>
        <w:t>甲方</w:t>
      </w:r>
      <w:r>
        <w:rPr>
          <w:rFonts w:hint="eastAsia" w:ascii="华文仿宋" w:hAnsi="华文仿宋" w:eastAsia="华文仿宋" w:cs="华文仿宋"/>
          <w:color w:val="auto"/>
          <w:sz w:val="28"/>
          <w:szCs w:val="28"/>
        </w:rPr>
        <w:t>进行书面申请并获得书面同意，而擅自关闭食堂的全部或部分经营窗口的，按每档口每关闭一餐支付违约金20000元。情节严重者</w:t>
      </w:r>
      <w:r>
        <w:rPr>
          <w:rFonts w:hint="eastAsia" w:ascii="华文仿宋" w:hAnsi="华文仿宋" w:eastAsia="华文仿宋" w:cs="华文仿宋"/>
          <w:color w:val="auto"/>
          <w:sz w:val="28"/>
          <w:szCs w:val="28"/>
          <w:lang w:eastAsia="zh-CN"/>
        </w:rPr>
        <w:t>甲方</w:t>
      </w:r>
      <w:r>
        <w:rPr>
          <w:rFonts w:hint="eastAsia" w:ascii="华文仿宋" w:hAnsi="华文仿宋" w:eastAsia="华文仿宋" w:cs="华文仿宋"/>
          <w:color w:val="auto"/>
          <w:sz w:val="28"/>
          <w:szCs w:val="28"/>
        </w:rPr>
        <w:t>有权解除合同，并且不承担任何违约责任。</w:t>
      </w:r>
    </w:p>
    <w:p w14:paraId="1583C570">
      <w:pPr>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lang w:val="en-US" w:eastAsia="zh-CN"/>
        </w:rPr>
        <w:t xml:space="preserve">第三十条 </w:t>
      </w:r>
      <w:r>
        <w:rPr>
          <w:rFonts w:hint="eastAsia" w:ascii="华文仿宋" w:hAnsi="华文仿宋" w:eastAsia="华文仿宋" w:cs="华文仿宋"/>
          <w:color w:val="auto"/>
          <w:sz w:val="28"/>
          <w:szCs w:val="28"/>
          <w:lang w:eastAsia="zh-CN"/>
        </w:rPr>
        <w:t>乙方</w:t>
      </w:r>
      <w:r>
        <w:rPr>
          <w:rFonts w:hint="eastAsia" w:ascii="华文仿宋" w:hAnsi="华文仿宋" w:eastAsia="华文仿宋" w:cs="华文仿宋"/>
          <w:color w:val="auto"/>
          <w:sz w:val="28"/>
          <w:szCs w:val="28"/>
        </w:rPr>
        <w:t>采购、销售、库房中存放“三无”食品或商品、不合格品及过期食品或商品、销售腐烂、变质食品及水果，如经查实，每发现一次</w:t>
      </w:r>
      <w:r>
        <w:rPr>
          <w:rFonts w:hint="eastAsia" w:ascii="华文仿宋" w:hAnsi="华文仿宋" w:eastAsia="华文仿宋" w:cs="华文仿宋"/>
          <w:color w:val="auto"/>
          <w:sz w:val="28"/>
          <w:szCs w:val="28"/>
          <w:lang w:eastAsia="zh-CN"/>
        </w:rPr>
        <w:t>乙方</w:t>
      </w:r>
      <w:r>
        <w:rPr>
          <w:rFonts w:hint="eastAsia" w:ascii="华文仿宋" w:hAnsi="华文仿宋" w:eastAsia="华文仿宋" w:cs="华文仿宋"/>
          <w:color w:val="auto"/>
          <w:sz w:val="28"/>
          <w:szCs w:val="28"/>
        </w:rPr>
        <w:t>向</w:t>
      </w:r>
      <w:r>
        <w:rPr>
          <w:rFonts w:hint="eastAsia" w:ascii="华文仿宋" w:hAnsi="华文仿宋" w:eastAsia="华文仿宋" w:cs="华文仿宋"/>
          <w:color w:val="auto"/>
          <w:sz w:val="28"/>
          <w:szCs w:val="28"/>
          <w:lang w:eastAsia="zh-CN"/>
        </w:rPr>
        <w:t>甲方</w:t>
      </w:r>
      <w:r>
        <w:rPr>
          <w:rFonts w:hint="eastAsia" w:ascii="华文仿宋" w:hAnsi="华文仿宋" w:eastAsia="华文仿宋" w:cs="华文仿宋"/>
          <w:color w:val="auto"/>
          <w:sz w:val="28"/>
          <w:szCs w:val="28"/>
        </w:rPr>
        <w:t>支付违约金10000元。情节严重者，</w:t>
      </w:r>
      <w:r>
        <w:rPr>
          <w:rFonts w:hint="eastAsia" w:ascii="华文仿宋" w:hAnsi="华文仿宋" w:eastAsia="华文仿宋" w:cs="华文仿宋"/>
          <w:color w:val="auto"/>
          <w:sz w:val="28"/>
          <w:szCs w:val="28"/>
          <w:lang w:eastAsia="zh-CN"/>
        </w:rPr>
        <w:t>甲方</w:t>
      </w:r>
      <w:r>
        <w:rPr>
          <w:rFonts w:hint="eastAsia" w:ascii="华文仿宋" w:hAnsi="华文仿宋" w:eastAsia="华文仿宋" w:cs="华文仿宋"/>
          <w:color w:val="auto"/>
          <w:sz w:val="28"/>
          <w:szCs w:val="28"/>
        </w:rPr>
        <w:t>有权扣除</w:t>
      </w:r>
      <w:r>
        <w:rPr>
          <w:rFonts w:hint="eastAsia" w:ascii="华文仿宋" w:hAnsi="华文仿宋" w:eastAsia="华文仿宋" w:cs="华文仿宋"/>
          <w:color w:val="auto"/>
          <w:sz w:val="28"/>
          <w:szCs w:val="28"/>
          <w:lang w:val="en-US" w:eastAsia="zh-CN"/>
        </w:rPr>
        <w:t>乙方</w:t>
      </w:r>
      <w:r>
        <w:rPr>
          <w:rFonts w:hint="eastAsia" w:ascii="华文仿宋" w:hAnsi="华文仿宋" w:eastAsia="华文仿宋" w:cs="华文仿宋"/>
          <w:color w:val="auto"/>
          <w:sz w:val="28"/>
          <w:szCs w:val="28"/>
        </w:rPr>
        <w:t>全部履约保证金并终止合同。</w:t>
      </w:r>
    </w:p>
    <w:p w14:paraId="4F0232E3">
      <w:pPr>
        <w:pageBreakBefore w:val="0"/>
        <w:widowControl w:val="0"/>
        <w:kinsoku/>
        <w:wordWrap/>
        <w:overflowPunct/>
        <w:topLinePunct w:val="0"/>
        <w:autoSpaceDE/>
        <w:autoSpaceDN/>
        <w:bidi w:val="0"/>
        <w:adjustRightInd/>
        <w:snapToGrid w:val="0"/>
        <w:spacing w:line="480" w:lineRule="exact"/>
        <w:ind w:firstLine="54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lang w:val="en-US" w:eastAsia="zh-CN"/>
        </w:rPr>
        <w:t xml:space="preserve">第三十一条 </w:t>
      </w:r>
      <w:r>
        <w:rPr>
          <w:rFonts w:hint="eastAsia" w:ascii="华文仿宋" w:hAnsi="华文仿宋" w:eastAsia="华文仿宋" w:cs="华文仿宋"/>
          <w:color w:val="auto"/>
          <w:sz w:val="28"/>
          <w:szCs w:val="28"/>
          <w:lang w:eastAsia="zh-CN"/>
        </w:rPr>
        <w:t>乙方</w:t>
      </w:r>
      <w:r>
        <w:rPr>
          <w:rFonts w:hint="eastAsia" w:ascii="华文仿宋" w:hAnsi="华文仿宋" w:eastAsia="华文仿宋" w:cs="华文仿宋"/>
          <w:color w:val="auto"/>
          <w:sz w:val="28"/>
          <w:szCs w:val="28"/>
        </w:rPr>
        <w:t>必须做好内部人员管理，包括安全和稳定的管理。若因</w:t>
      </w:r>
      <w:r>
        <w:rPr>
          <w:rFonts w:hint="eastAsia" w:ascii="华文仿宋" w:hAnsi="华文仿宋" w:eastAsia="华文仿宋" w:cs="华文仿宋"/>
          <w:color w:val="auto"/>
          <w:sz w:val="28"/>
          <w:szCs w:val="28"/>
          <w:lang w:eastAsia="zh-CN"/>
        </w:rPr>
        <w:t>乙方</w:t>
      </w:r>
      <w:r>
        <w:rPr>
          <w:rFonts w:hint="eastAsia" w:ascii="华文仿宋" w:hAnsi="华文仿宋" w:eastAsia="华文仿宋" w:cs="华文仿宋"/>
          <w:color w:val="auto"/>
          <w:sz w:val="28"/>
          <w:szCs w:val="28"/>
        </w:rPr>
        <w:t>资金链接断裂、内部员工工伤、工资报酬、供货商、合作商、贷款等纠纷情况出现上访或投诉事件，一经查实，</w:t>
      </w:r>
      <w:r>
        <w:rPr>
          <w:rFonts w:hint="eastAsia" w:ascii="华文仿宋" w:hAnsi="华文仿宋" w:eastAsia="华文仿宋" w:cs="华文仿宋"/>
          <w:color w:val="auto"/>
          <w:sz w:val="28"/>
          <w:szCs w:val="28"/>
          <w:lang w:eastAsia="zh-CN"/>
        </w:rPr>
        <w:t>乙方</w:t>
      </w:r>
      <w:r>
        <w:rPr>
          <w:rFonts w:hint="eastAsia" w:ascii="华文仿宋" w:hAnsi="华文仿宋" w:eastAsia="华文仿宋" w:cs="华文仿宋"/>
          <w:color w:val="auto"/>
          <w:sz w:val="28"/>
          <w:szCs w:val="28"/>
        </w:rPr>
        <w:t>每次向</w:t>
      </w:r>
      <w:r>
        <w:rPr>
          <w:rFonts w:hint="eastAsia" w:ascii="华文仿宋" w:hAnsi="华文仿宋" w:eastAsia="华文仿宋" w:cs="华文仿宋"/>
          <w:color w:val="auto"/>
          <w:sz w:val="28"/>
          <w:szCs w:val="28"/>
          <w:lang w:eastAsia="zh-CN"/>
        </w:rPr>
        <w:t>甲方</w:t>
      </w:r>
      <w:r>
        <w:rPr>
          <w:rFonts w:hint="eastAsia" w:ascii="华文仿宋" w:hAnsi="华文仿宋" w:eastAsia="华文仿宋" w:cs="华文仿宋"/>
          <w:color w:val="auto"/>
          <w:sz w:val="28"/>
          <w:szCs w:val="28"/>
        </w:rPr>
        <w:t>支付违约金</w:t>
      </w:r>
      <w:r>
        <w:rPr>
          <w:rFonts w:hint="eastAsia" w:ascii="华文仿宋" w:hAnsi="华文仿宋" w:eastAsia="华文仿宋" w:cs="华文仿宋"/>
          <w:color w:val="auto"/>
          <w:sz w:val="28"/>
          <w:szCs w:val="28"/>
          <w:u w:val="single"/>
        </w:rPr>
        <w:t>500000元，</w:t>
      </w:r>
      <w:r>
        <w:rPr>
          <w:rFonts w:hint="eastAsia" w:ascii="华文仿宋" w:hAnsi="华文仿宋" w:eastAsia="华文仿宋" w:cs="华文仿宋"/>
          <w:color w:val="auto"/>
          <w:sz w:val="28"/>
          <w:szCs w:val="28"/>
        </w:rPr>
        <w:t>造成重大不良影响的，</w:t>
      </w:r>
      <w:r>
        <w:rPr>
          <w:rFonts w:hint="eastAsia" w:ascii="华文仿宋" w:hAnsi="华文仿宋" w:eastAsia="华文仿宋" w:cs="华文仿宋"/>
          <w:color w:val="auto"/>
          <w:sz w:val="28"/>
          <w:szCs w:val="28"/>
          <w:lang w:eastAsia="zh-CN"/>
        </w:rPr>
        <w:t>甲方</w:t>
      </w:r>
      <w:r>
        <w:rPr>
          <w:rFonts w:hint="eastAsia" w:ascii="华文仿宋" w:hAnsi="华文仿宋" w:eastAsia="华文仿宋" w:cs="华文仿宋"/>
          <w:color w:val="auto"/>
          <w:sz w:val="28"/>
          <w:szCs w:val="28"/>
        </w:rPr>
        <w:t>有权单方面解除合同，并不退还全部履约保证金。</w:t>
      </w:r>
    </w:p>
    <w:p w14:paraId="5D77EB72">
      <w:pPr>
        <w:pageBreakBefore w:val="0"/>
        <w:widowControl w:val="0"/>
        <w:kinsoku/>
        <w:wordWrap/>
        <w:overflowPunct/>
        <w:topLinePunct w:val="0"/>
        <w:autoSpaceDE/>
        <w:autoSpaceDN/>
        <w:bidi w:val="0"/>
        <w:adjustRightInd/>
        <w:snapToGrid w:val="0"/>
        <w:spacing w:line="480" w:lineRule="exact"/>
        <w:ind w:firstLine="54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lang w:val="en-US" w:eastAsia="zh-CN"/>
        </w:rPr>
        <w:t xml:space="preserve">第三十二条 </w:t>
      </w:r>
      <w:r>
        <w:rPr>
          <w:rFonts w:hint="eastAsia" w:ascii="华文仿宋" w:hAnsi="华文仿宋" w:eastAsia="华文仿宋" w:cs="华文仿宋"/>
          <w:color w:val="auto"/>
          <w:sz w:val="28"/>
          <w:szCs w:val="28"/>
          <w:lang w:eastAsia="zh-CN"/>
        </w:rPr>
        <w:t>乙方</w:t>
      </w:r>
      <w:r>
        <w:rPr>
          <w:rFonts w:hint="eastAsia" w:ascii="华文仿宋" w:hAnsi="华文仿宋" w:eastAsia="华文仿宋" w:cs="华文仿宋"/>
          <w:color w:val="auto"/>
          <w:sz w:val="28"/>
          <w:szCs w:val="28"/>
        </w:rPr>
        <w:t>在合同期内提出提前解除合同的，放弃经营资格的，必须在学期结束的前一个月告知</w:t>
      </w:r>
      <w:r>
        <w:rPr>
          <w:rFonts w:hint="eastAsia" w:ascii="华文仿宋" w:hAnsi="华文仿宋" w:eastAsia="华文仿宋" w:cs="华文仿宋"/>
          <w:color w:val="auto"/>
          <w:sz w:val="28"/>
          <w:szCs w:val="28"/>
          <w:lang w:eastAsia="zh-CN"/>
        </w:rPr>
        <w:t>甲方</w:t>
      </w:r>
      <w:r>
        <w:rPr>
          <w:rFonts w:hint="eastAsia" w:ascii="华文仿宋" w:hAnsi="华文仿宋" w:eastAsia="华文仿宋" w:cs="华文仿宋"/>
          <w:color w:val="auto"/>
          <w:sz w:val="28"/>
          <w:szCs w:val="28"/>
        </w:rPr>
        <w:t>，征得</w:t>
      </w:r>
      <w:r>
        <w:rPr>
          <w:rFonts w:hint="eastAsia" w:ascii="华文仿宋" w:hAnsi="华文仿宋" w:eastAsia="华文仿宋" w:cs="华文仿宋"/>
          <w:color w:val="auto"/>
          <w:sz w:val="28"/>
          <w:szCs w:val="28"/>
          <w:lang w:eastAsia="zh-CN"/>
        </w:rPr>
        <w:t>甲方</w:t>
      </w:r>
      <w:r>
        <w:rPr>
          <w:rFonts w:hint="eastAsia" w:ascii="华文仿宋" w:hAnsi="华文仿宋" w:eastAsia="华文仿宋" w:cs="华文仿宋"/>
          <w:color w:val="auto"/>
          <w:sz w:val="28"/>
          <w:szCs w:val="28"/>
        </w:rPr>
        <w:t>书面同意后方可解除本合同，所有装修及设备设施必须完好无损且无偿归</w:t>
      </w:r>
      <w:r>
        <w:rPr>
          <w:rFonts w:hint="eastAsia" w:ascii="华文仿宋" w:hAnsi="华文仿宋" w:eastAsia="华文仿宋" w:cs="华文仿宋"/>
          <w:color w:val="auto"/>
          <w:sz w:val="28"/>
          <w:szCs w:val="28"/>
          <w:lang w:eastAsia="zh-CN"/>
        </w:rPr>
        <w:t>甲方</w:t>
      </w:r>
      <w:r>
        <w:rPr>
          <w:rFonts w:hint="eastAsia" w:ascii="华文仿宋" w:hAnsi="华文仿宋" w:eastAsia="华文仿宋" w:cs="华文仿宋"/>
          <w:color w:val="auto"/>
          <w:sz w:val="28"/>
          <w:szCs w:val="28"/>
        </w:rPr>
        <w:t>处置，否则</w:t>
      </w:r>
      <w:r>
        <w:rPr>
          <w:rFonts w:hint="eastAsia" w:ascii="华文仿宋" w:hAnsi="华文仿宋" w:eastAsia="华文仿宋" w:cs="华文仿宋"/>
          <w:color w:val="auto"/>
          <w:sz w:val="28"/>
          <w:szCs w:val="28"/>
          <w:lang w:eastAsia="zh-CN"/>
        </w:rPr>
        <w:t>乙方</w:t>
      </w:r>
      <w:r>
        <w:rPr>
          <w:rFonts w:hint="eastAsia" w:ascii="华文仿宋" w:hAnsi="华文仿宋" w:eastAsia="华文仿宋" w:cs="华文仿宋"/>
          <w:color w:val="auto"/>
          <w:sz w:val="28"/>
          <w:szCs w:val="28"/>
        </w:rPr>
        <w:t>必须承担违约责任,</w:t>
      </w:r>
      <w:r>
        <w:rPr>
          <w:rFonts w:hint="eastAsia" w:ascii="华文仿宋" w:hAnsi="华文仿宋" w:eastAsia="华文仿宋" w:cs="华文仿宋"/>
          <w:color w:val="auto"/>
          <w:sz w:val="28"/>
          <w:szCs w:val="28"/>
          <w:lang w:eastAsia="zh-CN"/>
        </w:rPr>
        <w:t>甲方</w:t>
      </w:r>
      <w:r>
        <w:rPr>
          <w:rFonts w:hint="eastAsia" w:ascii="华文仿宋" w:hAnsi="华文仿宋" w:eastAsia="华文仿宋" w:cs="华文仿宋"/>
          <w:color w:val="auto"/>
          <w:sz w:val="28"/>
          <w:szCs w:val="28"/>
        </w:rPr>
        <w:t>不退还履约保证金。</w:t>
      </w:r>
    </w:p>
    <w:p w14:paraId="4B24BB1F">
      <w:pPr>
        <w:pageBreakBefore w:val="0"/>
        <w:widowControl w:val="0"/>
        <w:kinsoku/>
        <w:wordWrap/>
        <w:overflowPunct/>
        <w:topLinePunct w:val="0"/>
        <w:autoSpaceDE/>
        <w:autoSpaceDN/>
        <w:bidi w:val="0"/>
        <w:adjustRightInd/>
        <w:snapToGrid w:val="0"/>
        <w:spacing w:line="480" w:lineRule="exact"/>
        <w:ind w:firstLine="54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lang w:val="en-US" w:eastAsia="zh-CN"/>
        </w:rPr>
        <w:t xml:space="preserve">第三十三条 </w:t>
      </w:r>
      <w:r>
        <w:rPr>
          <w:rFonts w:hint="eastAsia" w:ascii="华文仿宋" w:hAnsi="华文仿宋" w:eastAsia="华文仿宋" w:cs="华文仿宋"/>
          <w:color w:val="auto"/>
          <w:sz w:val="28"/>
          <w:szCs w:val="28"/>
          <w:lang w:eastAsia="zh-CN"/>
        </w:rPr>
        <w:t>乙方</w:t>
      </w:r>
      <w:r>
        <w:rPr>
          <w:rFonts w:hint="eastAsia" w:ascii="华文仿宋" w:hAnsi="华文仿宋" w:eastAsia="华文仿宋" w:cs="华文仿宋"/>
          <w:color w:val="auto"/>
          <w:sz w:val="28"/>
          <w:szCs w:val="28"/>
        </w:rPr>
        <w:t>在合同期内，存在违法行为或者较为严重的违规等行为，不再适宜继续经营的，</w:t>
      </w:r>
      <w:r>
        <w:rPr>
          <w:rFonts w:hint="eastAsia" w:ascii="华文仿宋" w:hAnsi="华文仿宋" w:eastAsia="华文仿宋" w:cs="华文仿宋"/>
          <w:color w:val="auto"/>
          <w:sz w:val="28"/>
          <w:szCs w:val="28"/>
          <w:lang w:eastAsia="zh-CN"/>
        </w:rPr>
        <w:t>甲方</w:t>
      </w:r>
      <w:r>
        <w:rPr>
          <w:rFonts w:hint="eastAsia" w:ascii="华文仿宋" w:hAnsi="华文仿宋" w:eastAsia="华文仿宋" w:cs="华文仿宋"/>
          <w:color w:val="auto"/>
          <w:sz w:val="28"/>
          <w:szCs w:val="28"/>
        </w:rPr>
        <w:t>有权单方提前解除本合同，不用承担任何责任。</w:t>
      </w:r>
    </w:p>
    <w:p w14:paraId="6F72F59C">
      <w:pPr>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华文仿宋" w:hAnsi="华文仿宋" w:eastAsia="华文仿宋" w:cs="华文仿宋"/>
          <w:color w:val="auto"/>
          <w:sz w:val="28"/>
          <w:szCs w:val="28"/>
          <w:u w:val="single"/>
        </w:rPr>
      </w:pPr>
      <w:r>
        <w:rPr>
          <w:rFonts w:hint="eastAsia" w:ascii="华文仿宋" w:hAnsi="华文仿宋" w:eastAsia="华文仿宋" w:cs="华文仿宋"/>
          <w:color w:val="auto"/>
          <w:sz w:val="28"/>
          <w:szCs w:val="28"/>
          <w:lang w:val="en-US" w:eastAsia="zh-CN"/>
        </w:rPr>
        <w:t xml:space="preserve">第三十四条 </w:t>
      </w:r>
      <w:r>
        <w:rPr>
          <w:rFonts w:hint="eastAsia" w:ascii="华文仿宋" w:hAnsi="华文仿宋" w:eastAsia="华文仿宋" w:cs="华文仿宋"/>
          <w:color w:val="auto"/>
          <w:sz w:val="28"/>
          <w:szCs w:val="28"/>
          <w:u w:val="single"/>
          <w:lang w:eastAsia="zh-CN"/>
        </w:rPr>
        <w:t>乙方</w:t>
      </w:r>
      <w:r>
        <w:rPr>
          <w:rFonts w:hint="eastAsia" w:ascii="华文仿宋" w:hAnsi="华文仿宋" w:eastAsia="华文仿宋" w:cs="华文仿宋"/>
          <w:color w:val="auto"/>
          <w:sz w:val="28"/>
          <w:szCs w:val="28"/>
          <w:u w:val="single"/>
        </w:rPr>
        <w:t>在投标时所有的承诺必须按照</w:t>
      </w:r>
      <w:r>
        <w:rPr>
          <w:rFonts w:hint="eastAsia" w:ascii="华文仿宋" w:hAnsi="华文仿宋" w:eastAsia="华文仿宋" w:cs="华文仿宋"/>
          <w:color w:val="auto"/>
          <w:sz w:val="28"/>
          <w:szCs w:val="28"/>
          <w:u w:val="single"/>
          <w:lang w:eastAsia="zh-CN"/>
        </w:rPr>
        <w:t>甲方</w:t>
      </w:r>
      <w:r>
        <w:rPr>
          <w:rFonts w:hint="eastAsia" w:ascii="华文仿宋" w:hAnsi="华文仿宋" w:eastAsia="华文仿宋" w:cs="华文仿宋"/>
          <w:color w:val="auto"/>
          <w:sz w:val="28"/>
          <w:szCs w:val="28"/>
          <w:u w:val="single"/>
        </w:rPr>
        <w:t>的要求及时兑现，未能及时兑现的视为违约，</w:t>
      </w:r>
      <w:r>
        <w:rPr>
          <w:rFonts w:hint="eastAsia" w:ascii="华文仿宋" w:hAnsi="华文仿宋" w:eastAsia="华文仿宋" w:cs="华文仿宋"/>
          <w:color w:val="auto"/>
          <w:sz w:val="28"/>
          <w:szCs w:val="28"/>
          <w:u w:val="single"/>
          <w:lang w:eastAsia="zh-CN"/>
        </w:rPr>
        <w:t>甲方</w:t>
      </w:r>
      <w:r>
        <w:rPr>
          <w:rFonts w:hint="eastAsia" w:ascii="华文仿宋" w:hAnsi="华文仿宋" w:eastAsia="华文仿宋" w:cs="华文仿宋"/>
          <w:color w:val="auto"/>
          <w:sz w:val="28"/>
          <w:szCs w:val="28"/>
          <w:u w:val="single"/>
        </w:rPr>
        <w:t>将对</w:t>
      </w:r>
      <w:r>
        <w:rPr>
          <w:rFonts w:hint="eastAsia" w:ascii="华文仿宋" w:hAnsi="华文仿宋" w:eastAsia="华文仿宋" w:cs="华文仿宋"/>
          <w:color w:val="auto"/>
          <w:sz w:val="28"/>
          <w:szCs w:val="28"/>
          <w:u w:val="single"/>
          <w:lang w:eastAsia="zh-CN"/>
        </w:rPr>
        <w:t>乙方</w:t>
      </w:r>
      <w:r>
        <w:rPr>
          <w:rFonts w:hint="eastAsia" w:ascii="华文仿宋" w:hAnsi="华文仿宋" w:eastAsia="华文仿宋" w:cs="华文仿宋"/>
          <w:color w:val="auto"/>
          <w:sz w:val="28"/>
          <w:szCs w:val="28"/>
          <w:u w:val="single"/>
        </w:rPr>
        <w:t>扣罚违约金10万-50万元每项。情节严重者，</w:t>
      </w:r>
      <w:r>
        <w:rPr>
          <w:rFonts w:hint="eastAsia" w:ascii="华文仿宋" w:hAnsi="华文仿宋" w:eastAsia="华文仿宋" w:cs="华文仿宋"/>
          <w:color w:val="auto"/>
          <w:sz w:val="28"/>
          <w:szCs w:val="28"/>
          <w:u w:val="single"/>
          <w:lang w:eastAsia="zh-CN"/>
        </w:rPr>
        <w:t>甲方</w:t>
      </w:r>
      <w:r>
        <w:rPr>
          <w:rFonts w:hint="eastAsia" w:ascii="华文仿宋" w:hAnsi="华文仿宋" w:eastAsia="华文仿宋" w:cs="华文仿宋"/>
          <w:color w:val="auto"/>
          <w:sz w:val="28"/>
          <w:szCs w:val="28"/>
          <w:u w:val="single"/>
        </w:rPr>
        <w:t>有权扣除全部履约保证金并终止合同。</w:t>
      </w:r>
    </w:p>
    <w:p w14:paraId="4D0A7047">
      <w:pPr>
        <w:pageBreakBefore w:val="0"/>
        <w:widowControl w:val="0"/>
        <w:kinsoku/>
        <w:wordWrap/>
        <w:overflowPunct/>
        <w:topLinePunct w:val="0"/>
        <w:autoSpaceDE/>
        <w:autoSpaceDN/>
        <w:bidi w:val="0"/>
        <w:adjustRightInd/>
        <w:snapToGrid w:val="0"/>
        <w:spacing w:line="480" w:lineRule="exact"/>
        <w:jc w:val="center"/>
        <w:textAlignment w:val="auto"/>
        <w:rPr>
          <w:rFonts w:hint="default" w:ascii="华文仿宋" w:hAnsi="华文仿宋" w:eastAsia="华文仿宋" w:cs="华文仿宋"/>
          <w:b/>
          <w:bCs/>
          <w:color w:val="auto"/>
          <w:sz w:val="28"/>
          <w:szCs w:val="28"/>
          <w:lang w:val="en-US" w:eastAsia="zh-CN"/>
        </w:rPr>
      </w:pPr>
      <w:r>
        <w:rPr>
          <w:rFonts w:hint="eastAsia" w:ascii="华文仿宋" w:hAnsi="华文仿宋" w:eastAsia="华文仿宋" w:cs="华文仿宋"/>
          <w:b/>
          <w:bCs/>
          <w:color w:val="auto"/>
          <w:sz w:val="28"/>
          <w:szCs w:val="28"/>
          <w:lang w:val="en-US" w:eastAsia="zh-CN"/>
        </w:rPr>
        <w:t>第七部分</w:t>
      </w:r>
      <w:r>
        <w:rPr>
          <w:rFonts w:hint="eastAsia" w:ascii="华文仿宋" w:hAnsi="华文仿宋" w:eastAsia="华文仿宋" w:cs="华文仿宋"/>
          <w:b/>
          <w:bCs/>
          <w:color w:val="auto"/>
          <w:sz w:val="28"/>
          <w:szCs w:val="28"/>
        </w:rPr>
        <w:t xml:space="preserve"> </w:t>
      </w:r>
      <w:r>
        <w:rPr>
          <w:rFonts w:hint="eastAsia" w:ascii="华文仿宋" w:hAnsi="华文仿宋" w:eastAsia="华文仿宋" w:cs="华文仿宋"/>
          <w:b/>
          <w:bCs/>
          <w:color w:val="auto"/>
          <w:sz w:val="28"/>
          <w:szCs w:val="28"/>
          <w:lang w:val="en-US" w:eastAsia="zh-CN"/>
        </w:rPr>
        <w:t>合同终止</w:t>
      </w:r>
    </w:p>
    <w:p w14:paraId="494A44E9">
      <w:pPr>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lang w:val="en-US" w:eastAsia="zh-CN"/>
        </w:rPr>
        <w:t xml:space="preserve">第三十五条 </w:t>
      </w:r>
      <w:r>
        <w:rPr>
          <w:rFonts w:hint="eastAsia" w:ascii="华文仿宋" w:hAnsi="华文仿宋" w:eastAsia="华文仿宋" w:cs="华文仿宋"/>
          <w:color w:val="auto"/>
          <w:sz w:val="28"/>
          <w:szCs w:val="28"/>
          <w:lang w:eastAsia="zh-CN"/>
        </w:rPr>
        <w:t>乙方</w:t>
      </w:r>
      <w:r>
        <w:rPr>
          <w:rFonts w:hint="eastAsia" w:ascii="华文仿宋" w:hAnsi="华文仿宋" w:eastAsia="华文仿宋" w:cs="华文仿宋"/>
          <w:color w:val="auto"/>
          <w:sz w:val="28"/>
          <w:szCs w:val="28"/>
        </w:rPr>
        <w:t>必须严格履约，非法律规定或者自然灾害等不可抗力因素不得无故停止经营或退场，否则</w:t>
      </w:r>
      <w:r>
        <w:rPr>
          <w:rFonts w:hint="eastAsia" w:ascii="华文仿宋" w:hAnsi="华文仿宋" w:eastAsia="华文仿宋" w:cs="华文仿宋"/>
          <w:color w:val="auto"/>
          <w:sz w:val="28"/>
          <w:szCs w:val="28"/>
          <w:lang w:eastAsia="zh-CN"/>
        </w:rPr>
        <w:t>甲方</w:t>
      </w:r>
      <w:r>
        <w:rPr>
          <w:rFonts w:hint="eastAsia" w:ascii="华文仿宋" w:hAnsi="华文仿宋" w:eastAsia="华文仿宋" w:cs="华文仿宋"/>
          <w:color w:val="auto"/>
          <w:sz w:val="28"/>
          <w:szCs w:val="28"/>
        </w:rPr>
        <w:t>有权不退还履约保证金。</w:t>
      </w:r>
      <w:r>
        <w:rPr>
          <w:rFonts w:hint="eastAsia" w:ascii="华文仿宋" w:hAnsi="华文仿宋" w:eastAsia="华文仿宋" w:cs="华文仿宋"/>
          <w:color w:val="auto"/>
          <w:sz w:val="28"/>
          <w:szCs w:val="28"/>
          <w:lang w:eastAsia="zh-CN"/>
        </w:rPr>
        <w:t>乙方</w:t>
      </w:r>
      <w:r>
        <w:rPr>
          <w:rFonts w:hint="eastAsia" w:ascii="华文仿宋" w:hAnsi="华文仿宋" w:eastAsia="华文仿宋" w:cs="华文仿宋"/>
          <w:color w:val="auto"/>
          <w:sz w:val="28"/>
          <w:szCs w:val="28"/>
        </w:rPr>
        <w:t>确实有特殊原因需要提前解约，必须在学期结束的前一个月告知</w:t>
      </w:r>
      <w:r>
        <w:rPr>
          <w:rFonts w:hint="eastAsia" w:ascii="华文仿宋" w:hAnsi="华文仿宋" w:eastAsia="华文仿宋" w:cs="华文仿宋"/>
          <w:color w:val="auto"/>
          <w:sz w:val="28"/>
          <w:szCs w:val="28"/>
          <w:lang w:eastAsia="zh-CN"/>
        </w:rPr>
        <w:t>甲方</w:t>
      </w:r>
      <w:r>
        <w:rPr>
          <w:rFonts w:hint="eastAsia" w:ascii="华文仿宋" w:hAnsi="华文仿宋" w:eastAsia="华文仿宋" w:cs="华文仿宋"/>
          <w:color w:val="auto"/>
          <w:sz w:val="28"/>
          <w:szCs w:val="28"/>
        </w:rPr>
        <w:t>，经</w:t>
      </w:r>
      <w:r>
        <w:rPr>
          <w:rFonts w:hint="eastAsia" w:ascii="华文仿宋" w:hAnsi="华文仿宋" w:eastAsia="华文仿宋" w:cs="华文仿宋"/>
          <w:color w:val="auto"/>
          <w:sz w:val="28"/>
          <w:szCs w:val="28"/>
          <w:lang w:eastAsia="zh-CN"/>
        </w:rPr>
        <w:t>甲方</w:t>
      </w:r>
      <w:r>
        <w:rPr>
          <w:rFonts w:hint="eastAsia" w:ascii="华文仿宋" w:hAnsi="华文仿宋" w:eastAsia="华文仿宋" w:cs="华文仿宋"/>
          <w:color w:val="auto"/>
          <w:sz w:val="28"/>
          <w:szCs w:val="28"/>
        </w:rPr>
        <w:t>批准后方可终止协议书。</w:t>
      </w:r>
    </w:p>
    <w:p w14:paraId="797D36FD">
      <w:pPr>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lang w:val="en-US" w:eastAsia="zh-CN"/>
        </w:rPr>
        <w:t xml:space="preserve">第三十六条 </w:t>
      </w:r>
      <w:r>
        <w:rPr>
          <w:rFonts w:hint="eastAsia" w:ascii="华文仿宋" w:hAnsi="华文仿宋" w:eastAsia="华文仿宋" w:cs="华文仿宋"/>
          <w:color w:val="auto"/>
          <w:sz w:val="28"/>
          <w:szCs w:val="28"/>
          <w:lang w:eastAsia="zh-CN"/>
        </w:rPr>
        <w:t>乙方</w:t>
      </w:r>
      <w:r>
        <w:rPr>
          <w:rFonts w:hint="eastAsia" w:ascii="华文仿宋" w:hAnsi="华文仿宋" w:eastAsia="华文仿宋" w:cs="华文仿宋"/>
          <w:color w:val="auto"/>
          <w:sz w:val="28"/>
          <w:szCs w:val="28"/>
        </w:rPr>
        <w:t>退出时，须在3天内无条件完成撤场并完成所有移交工作，形成书面移交手续，由</w:t>
      </w:r>
      <w:r>
        <w:rPr>
          <w:rFonts w:hint="eastAsia" w:ascii="华文仿宋" w:hAnsi="华文仿宋" w:eastAsia="华文仿宋" w:cs="华文仿宋"/>
          <w:color w:val="auto"/>
          <w:sz w:val="28"/>
          <w:szCs w:val="28"/>
          <w:lang w:eastAsia="zh-CN"/>
        </w:rPr>
        <w:t>乙方</w:t>
      </w:r>
      <w:r>
        <w:rPr>
          <w:rFonts w:hint="eastAsia" w:ascii="华文仿宋" w:hAnsi="华文仿宋" w:eastAsia="华文仿宋" w:cs="华文仿宋"/>
          <w:color w:val="auto"/>
          <w:sz w:val="28"/>
          <w:szCs w:val="28"/>
        </w:rPr>
        <w:t>投资的装修及设备设施不得拆除和损坏，无偿交由</w:t>
      </w:r>
      <w:r>
        <w:rPr>
          <w:rFonts w:hint="eastAsia" w:ascii="华文仿宋" w:hAnsi="华文仿宋" w:eastAsia="华文仿宋" w:cs="华文仿宋"/>
          <w:color w:val="auto"/>
          <w:sz w:val="28"/>
          <w:szCs w:val="28"/>
          <w:lang w:eastAsia="zh-CN"/>
        </w:rPr>
        <w:t>甲方</w:t>
      </w:r>
      <w:r>
        <w:rPr>
          <w:rFonts w:hint="eastAsia" w:ascii="华文仿宋" w:hAnsi="华文仿宋" w:eastAsia="华文仿宋" w:cs="华文仿宋"/>
          <w:color w:val="auto"/>
          <w:sz w:val="28"/>
          <w:szCs w:val="28"/>
        </w:rPr>
        <w:t>处置且</w:t>
      </w:r>
      <w:r>
        <w:rPr>
          <w:rFonts w:hint="eastAsia" w:ascii="华文仿宋" w:hAnsi="华文仿宋" w:eastAsia="华文仿宋" w:cs="华文仿宋"/>
          <w:color w:val="auto"/>
          <w:sz w:val="28"/>
          <w:szCs w:val="28"/>
          <w:lang w:eastAsia="zh-CN"/>
        </w:rPr>
        <w:t>甲方</w:t>
      </w:r>
      <w:r>
        <w:rPr>
          <w:rFonts w:hint="eastAsia" w:ascii="华文仿宋" w:hAnsi="华文仿宋" w:eastAsia="华文仿宋" w:cs="华文仿宋"/>
          <w:color w:val="auto"/>
          <w:sz w:val="28"/>
          <w:szCs w:val="28"/>
        </w:rPr>
        <w:t>不作任何补偿。否则，</w:t>
      </w:r>
      <w:r>
        <w:rPr>
          <w:rFonts w:hint="eastAsia" w:ascii="华文仿宋" w:hAnsi="华文仿宋" w:eastAsia="华文仿宋" w:cs="华文仿宋"/>
          <w:color w:val="auto"/>
          <w:sz w:val="28"/>
          <w:szCs w:val="28"/>
          <w:lang w:eastAsia="zh-CN"/>
        </w:rPr>
        <w:t>甲方</w:t>
      </w:r>
      <w:r>
        <w:rPr>
          <w:rFonts w:hint="eastAsia" w:ascii="华文仿宋" w:hAnsi="华文仿宋" w:eastAsia="华文仿宋" w:cs="华文仿宋"/>
          <w:color w:val="auto"/>
          <w:sz w:val="28"/>
          <w:szCs w:val="28"/>
        </w:rPr>
        <w:t>有权不退还全部履约保证金，并列入学校黑名单，并上报相关部分纳入失信名单，所有责任由</w:t>
      </w:r>
      <w:r>
        <w:rPr>
          <w:rFonts w:hint="eastAsia" w:ascii="华文仿宋" w:hAnsi="华文仿宋" w:eastAsia="华文仿宋" w:cs="华文仿宋"/>
          <w:color w:val="auto"/>
          <w:sz w:val="28"/>
          <w:szCs w:val="28"/>
          <w:lang w:eastAsia="zh-CN"/>
        </w:rPr>
        <w:t>乙方</w:t>
      </w:r>
      <w:r>
        <w:rPr>
          <w:rFonts w:hint="eastAsia" w:ascii="华文仿宋" w:hAnsi="华文仿宋" w:eastAsia="华文仿宋" w:cs="华文仿宋"/>
          <w:color w:val="auto"/>
          <w:sz w:val="28"/>
          <w:szCs w:val="28"/>
        </w:rPr>
        <w:t>自负。</w:t>
      </w:r>
    </w:p>
    <w:p w14:paraId="1C8CE876">
      <w:pPr>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lang w:val="en-US" w:eastAsia="zh-CN"/>
        </w:rPr>
        <w:t xml:space="preserve">第三十七条 </w:t>
      </w:r>
      <w:r>
        <w:rPr>
          <w:rFonts w:hint="eastAsia" w:ascii="华文仿宋" w:hAnsi="华文仿宋" w:eastAsia="华文仿宋" w:cs="华文仿宋"/>
          <w:color w:val="auto"/>
          <w:sz w:val="28"/>
          <w:szCs w:val="28"/>
        </w:rPr>
        <w:t>若</w:t>
      </w:r>
      <w:r>
        <w:rPr>
          <w:rFonts w:hint="eastAsia" w:ascii="华文仿宋" w:hAnsi="华文仿宋" w:eastAsia="华文仿宋" w:cs="华文仿宋"/>
          <w:color w:val="auto"/>
          <w:sz w:val="28"/>
          <w:szCs w:val="28"/>
          <w:lang w:eastAsia="zh-CN"/>
        </w:rPr>
        <w:t>乙方</w:t>
      </w:r>
      <w:r>
        <w:rPr>
          <w:rFonts w:hint="eastAsia" w:ascii="华文仿宋" w:hAnsi="华文仿宋" w:eastAsia="华文仿宋" w:cs="华文仿宋"/>
          <w:color w:val="auto"/>
          <w:sz w:val="28"/>
          <w:szCs w:val="28"/>
        </w:rPr>
        <w:t>借故拖延移交时间，</w:t>
      </w:r>
      <w:r>
        <w:rPr>
          <w:rFonts w:hint="eastAsia" w:ascii="华文仿宋" w:hAnsi="华文仿宋" w:eastAsia="华文仿宋" w:cs="华文仿宋"/>
          <w:color w:val="auto"/>
          <w:sz w:val="28"/>
          <w:szCs w:val="28"/>
          <w:lang w:eastAsia="zh-CN"/>
        </w:rPr>
        <w:t>甲方</w:t>
      </w:r>
      <w:r>
        <w:rPr>
          <w:rFonts w:hint="eastAsia" w:ascii="华文仿宋" w:hAnsi="华文仿宋" w:eastAsia="华文仿宋" w:cs="华文仿宋"/>
          <w:color w:val="auto"/>
          <w:sz w:val="28"/>
          <w:szCs w:val="28"/>
        </w:rPr>
        <w:t>有权不退还全部履约保证金；同时，超过协议期满3天后</w:t>
      </w:r>
      <w:r>
        <w:rPr>
          <w:rFonts w:hint="eastAsia" w:ascii="华文仿宋" w:hAnsi="华文仿宋" w:eastAsia="华文仿宋" w:cs="华文仿宋"/>
          <w:color w:val="auto"/>
          <w:sz w:val="28"/>
          <w:szCs w:val="28"/>
          <w:lang w:eastAsia="zh-CN"/>
        </w:rPr>
        <w:t>甲方</w:t>
      </w:r>
      <w:r>
        <w:rPr>
          <w:rFonts w:hint="eastAsia" w:ascii="华文仿宋" w:hAnsi="华文仿宋" w:eastAsia="华文仿宋" w:cs="华文仿宋"/>
          <w:color w:val="auto"/>
          <w:sz w:val="28"/>
          <w:szCs w:val="28"/>
        </w:rPr>
        <w:t>认为</w:t>
      </w:r>
      <w:r>
        <w:rPr>
          <w:rFonts w:hint="eastAsia" w:ascii="华文仿宋" w:hAnsi="华文仿宋" w:eastAsia="华文仿宋" w:cs="华文仿宋"/>
          <w:color w:val="auto"/>
          <w:sz w:val="28"/>
          <w:szCs w:val="28"/>
          <w:lang w:eastAsia="zh-CN"/>
        </w:rPr>
        <w:t>乙方</w:t>
      </w:r>
      <w:r>
        <w:rPr>
          <w:rFonts w:hint="eastAsia" w:ascii="华文仿宋" w:hAnsi="华文仿宋" w:eastAsia="华文仿宋" w:cs="华文仿宋"/>
          <w:color w:val="auto"/>
          <w:sz w:val="28"/>
          <w:szCs w:val="28"/>
        </w:rPr>
        <w:t>已经进行了撤场处理，并视</w:t>
      </w:r>
      <w:r>
        <w:rPr>
          <w:rFonts w:hint="eastAsia" w:ascii="华文仿宋" w:hAnsi="华文仿宋" w:eastAsia="华文仿宋" w:cs="华文仿宋"/>
          <w:color w:val="auto"/>
          <w:sz w:val="28"/>
          <w:szCs w:val="28"/>
          <w:lang w:eastAsia="zh-CN"/>
        </w:rPr>
        <w:t>乙方</w:t>
      </w:r>
      <w:r>
        <w:rPr>
          <w:rFonts w:hint="eastAsia" w:ascii="华文仿宋" w:hAnsi="华文仿宋" w:eastAsia="华文仿宋" w:cs="华文仿宋"/>
          <w:color w:val="auto"/>
          <w:sz w:val="28"/>
          <w:szCs w:val="28"/>
        </w:rPr>
        <w:t>经营场地里的所有物品为退还或转交给</w:t>
      </w:r>
      <w:r>
        <w:rPr>
          <w:rFonts w:hint="eastAsia" w:ascii="华文仿宋" w:hAnsi="华文仿宋" w:eastAsia="华文仿宋" w:cs="华文仿宋"/>
          <w:color w:val="auto"/>
          <w:sz w:val="28"/>
          <w:szCs w:val="28"/>
          <w:lang w:eastAsia="zh-CN"/>
        </w:rPr>
        <w:t>甲方</w:t>
      </w:r>
      <w:r>
        <w:rPr>
          <w:rFonts w:hint="eastAsia" w:ascii="华文仿宋" w:hAnsi="华文仿宋" w:eastAsia="华文仿宋" w:cs="华文仿宋"/>
          <w:color w:val="auto"/>
          <w:sz w:val="28"/>
          <w:szCs w:val="28"/>
        </w:rPr>
        <w:t>的设施设备，或属于</w:t>
      </w:r>
      <w:r>
        <w:rPr>
          <w:rFonts w:hint="eastAsia" w:ascii="华文仿宋" w:hAnsi="华文仿宋" w:eastAsia="华文仿宋" w:cs="华文仿宋"/>
          <w:color w:val="auto"/>
          <w:sz w:val="28"/>
          <w:szCs w:val="28"/>
          <w:lang w:eastAsia="zh-CN"/>
        </w:rPr>
        <w:t>乙方</w:t>
      </w:r>
      <w:r>
        <w:rPr>
          <w:rFonts w:hint="eastAsia" w:ascii="华文仿宋" w:hAnsi="华文仿宋" w:eastAsia="华文仿宋" w:cs="华文仿宋"/>
          <w:color w:val="auto"/>
          <w:sz w:val="28"/>
          <w:szCs w:val="28"/>
        </w:rPr>
        <w:t>废弃物，</w:t>
      </w:r>
      <w:r>
        <w:rPr>
          <w:rFonts w:hint="eastAsia" w:ascii="华文仿宋" w:hAnsi="华文仿宋" w:eastAsia="华文仿宋" w:cs="华文仿宋"/>
          <w:color w:val="auto"/>
          <w:sz w:val="28"/>
          <w:szCs w:val="28"/>
          <w:lang w:eastAsia="zh-CN"/>
        </w:rPr>
        <w:t>甲方</w:t>
      </w:r>
      <w:r>
        <w:rPr>
          <w:rFonts w:hint="eastAsia" w:ascii="华文仿宋" w:hAnsi="华文仿宋" w:eastAsia="华文仿宋" w:cs="华文仿宋"/>
          <w:color w:val="auto"/>
          <w:sz w:val="28"/>
          <w:szCs w:val="28"/>
        </w:rPr>
        <w:t>有权以任何方式处置所有物品，责任由</w:t>
      </w:r>
      <w:r>
        <w:rPr>
          <w:rFonts w:hint="eastAsia" w:ascii="华文仿宋" w:hAnsi="华文仿宋" w:eastAsia="华文仿宋" w:cs="华文仿宋"/>
          <w:color w:val="auto"/>
          <w:sz w:val="28"/>
          <w:szCs w:val="28"/>
          <w:lang w:eastAsia="zh-CN"/>
        </w:rPr>
        <w:t>乙方</w:t>
      </w:r>
      <w:r>
        <w:rPr>
          <w:rFonts w:hint="eastAsia" w:ascii="华文仿宋" w:hAnsi="华文仿宋" w:eastAsia="华文仿宋" w:cs="华文仿宋"/>
          <w:color w:val="auto"/>
          <w:sz w:val="28"/>
          <w:szCs w:val="28"/>
        </w:rPr>
        <w:t>自负，相关清理、处理费用由</w:t>
      </w:r>
      <w:r>
        <w:rPr>
          <w:rFonts w:hint="eastAsia" w:ascii="华文仿宋" w:hAnsi="华文仿宋" w:eastAsia="华文仿宋" w:cs="华文仿宋"/>
          <w:color w:val="auto"/>
          <w:sz w:val="28"/>
          <w:szCs w:val="28"/>
          <w:lang w:eastAsia="zh-CN"/>
        </w:rPr>
        <w:t>乙方</w:t>
      </w:r>
      <w:r>
        <w:rPr>
          <w:rFonts w:hint="eastAsia" w:ascii="华文仿宋" w:hAnsi="华文仿宋" w:eastAsia="华文仿宋" w:cs="华文仿宋"/>
          <w:color w:val="auto"/>
          <w:sz w:val="28"/>
          <w:szCs w:val="28"/>
        </w:rPr>
        <w:t>负责，并从其最后一个月营业款中扣除。</w:t>
      </w:r>
    </w:p>
    <w:p w14:paraId="586169D3">
      <w:pPr>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lang w:val="en-US" w:eastAsia="zh-CN"/>
        </w:rPr>
        <w:t xml:space="preserve">第三十八条 </w:t>
      </w:r>
      <w:r>
        <w:rPr>
          <w:rFonts w:hint="eastAsia" w:ascii="华文仿宋" w:hAnsi="华文仿宋" w:eastAsia="华文仿宋" w:cs="华文仿宋"/>
          <w:color w:val="auto"/>
          <w:sz w:val="28"/>
          <w:szCs w:val="28"/>
        </w:rPr>
        <w:t>对于</w:t>
      </w:r>
      <w:r>
        <w:rPr>
          <w:rFonts w:hint="eastAsia" w:ascii="华文仿宋" w:hAnsi="华文仿宋" w:eastAsia="华文仿宋" w:cs="华文仿宋"/>
          <w:color w:val="auto"/>
          <w:sz w:val="28"/>
          <w:szCs w:val="28"/>
          <w:lang w:eastAsia="zh-CN"/>
        </w:rPr>
        <w:t>乙方</w:t>
      </w:r>
      <w:r>
        <w:rPr>
          <w:rFonts w:hint="eastAsia" w:ascii="华文仿宋" w:hAnsi="华文仿宋" w:eastAsia="华文仿宋" w:cs="华文仿宋"/>
          <w:color w:val="auto"/>
          <w:sz w:val="28"/>
          <w:szCs w:val="28"/>
        </w:rPr>
        <w:t>无偿使用的属于</w:t>
      </w:r>
      <w:r>
        <w:rPr>
          <w:rFonts w:hint="eastAsia" w:ascii="华文仿宋" w:hAnsi="华文仿宋" w:eastAsia="华文仿宋" w:cs="华文仿宋"/>
          <w:color w:val="auto"/>
          <w:sz w:val="28"/>
          <w:szCs w:val="28"/>
          <w:lang w:eastAsia="zh-CN"/>
        </w:rPr>
        <w:t>甲方</w:t>
      </w:r>
      <w:r>
        <w:rPr>
          <w:rFonts w:hint="eastAsia" w:ascii="华文仿宋" w:hAnsi="华文仿宋" w:eastAsia="华文仿宋" w:cs="华文仿宋"/>
          <w:color w:val="auto"/>
          <w:sz w:val="28"/>
          <w:szCs w:val="28"/>
        </w:rPr>
        <w:t>的资产设备，</w:t>
      </w:r>
      <w:r>
        <w:rPr>
          <w:rFonts w:hint="eastAsia" w:ascii="华文仿宋" w:hAnsi="华文仿宋" w:eastAsia="华文仿宋" w:cs="华文仿宋"/>
          <w:color w:val="auto"/>
          <w:sz w:val="28"/>
          <w:szCs w:val="28"/>
          <w:lang w:eastAsia="zh-CN"/>
        </w:rPr>
        <w:t>乙方</w:t>
      </w:r>
      <w:r>
        <w:rPr>
          <w:rFonts w:hint="eastAsia" w:ascii="华文仿宋" w:hAnsi="华文仿宋" w:eastAsia="华文仿宋" w:cs="华文仿宋"/>
          <w:color w:val="auto"/>
          <w:sz w:val="28"/>
          <w:szCs w:val="28"/>
        </w:rPr>
        <w:t>在撤场时未归还</w:t>
      </w:r>
      <w:r>
        <w:rPr>
          <w:rFonts w:hint="eastAsia" w:ascii="华文仿宋" w:hAnsi="华文仿宋" w:eastAsia="华文仿宋" w:cs="华文仿宋"/>
          <w:color w:val="auto"/>
          <w:sz w:val="28"/>
          <w:szCs w:val="28"/>
          <w:lang w:eastAsia="zh-CN"/>
        </w:rPr>
        <w:t>甲方</w:t>
      </w:r>
      <w:r>
        <w:rPr>
          <w:rFonts w:hint="eastAsia" w:ascii="华文仿宋" w:hAnsi="华文仿宋" w:eastAsia="华文仿宋" w:cs="华文仿宋"/>
          <w:color w:val="auto"/>
          <w:sz w:val="28"/>
          <w:szCs w:val="28"/>
        </w:rPr>
        <w:t>或非正常</w:t>
      </w:r>
      <w:r>
        <w:rPr>
          <w:rFonts w:hint="eastAsia" w:ascii="华文仿宋" w:hAnsi="华文仿宋" w:eastAsia="华文仿宋" w:cs="华文仿宋"/>
          <w:color w:val="auto"/>
          <w:kern w:val="0"/>
          <w:sz w:val="28"/>
          <w:szCs w:val="28"/>
        </w:rPr>
        <w:t>损失的</w:t>
      </w:r>
      <w:r>
        <w:rPr>
          <w:rFonts w:hint="eastAsia" w:ascii="华文仿宋" w:hAnsi="华文仿宋" w:eastAsia="华文仿宋" w:cs="华文仿宋"/>
          <w:color w:val="auto"/>
          <w:sz w:val="28"/>
          <w:szCs w:val="28"/>
        </w:rPr>
        <w:t>，</w:t>
      </w:r>
      <w:r>
        <w:rPr>
          <w:rFonts w:hint="eastAsia" w:ascii="华文仿宋" w:hAnsi="华文仿宋" w:eastAsia="华文仿宋" w:cs="华文仿宋"/>
          <w:color w:val="auto"/>
          <w:sz w:val="28"/>
          <w:szCs w:val="28"/>
          <w:lang w:eastAsia="zh-CN"/>
        </w:rPr>
        <w:t>甲方</w:t>
      </w:r>
      <w:r>
        <w:rPr>
          <w:rFonts w:hint="eastAsia" w:ascii="华文仿宋" w:hAnsi="华文仿宋" w:eastAsia="华文仿宋" w:cs="华文仿宋"/>
          <w:color w:val="auto"/>
          <w:sz w:val="28"/>
          <w:szCs w:val="28"/>
        </w:rPr>
        <w:t>有权从履约保证金或营业款中扣抵，具体设备设施清单详见双方确定后的移交清单。</w:t>
      </w:r>
    </w:p>
    <w:p w14:paraId="4E0907AA">
      <w:pPr>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lang w:val="en-US" w:eastAsia="zh-CN"/>
        </w:rPr>
        <w:t xml:space="preserve">第三十九条 </w:t>
      </w:r>
      <w:r>
        <w:rPr>
          <w:rFonts w:hint="eastAsia" w:ascii="华文仿宋" w:hAnsi="华文仿宋" w:eastAsia="华文仿宋" w:cs="华文仿宋"/>
          <w:color w:val="auto"/>
          <w:sz w:val="28"/>
          <w:szCs w:val="28"/>
        </w:rPr>
        <w:t>协议期内如</w:t>
      </w:r>
      <w:r>
        <w:rPr>
          <w:rFonts w:hint="eastAsia" w:ascii="华文仿宋" w:hAnsi="华文仿宋" w:eastAsia="华文仿宋" w:cs="华文仿宋"/>
          <w:color w:val="auto"/>
          <w:sz w:val="28"/>
          <w:szCs w:val="28"/>
          <w:lang w:eastAsia="zh-CN"/>
        </w:rPr>
        <w:t>乙方</w:t>
      </w:r>
      <w:r>
        <w:rPr>
          <w:rFonts w:hint="eastAsia" w:ascii="华文仿宋" w:hAnsi="华文仿宋" w:eastAsia="华文仿宋" w:cs="华文仿宋"/>
          <w:color w:val="auto"/>
          <w:sz w:val="28"/>
          <w:szCs w:val="28"/>
        </w:rPr>
        <w:t>发生严重生产安全事故，或发生食品安全事故，或发生</w:t>
      </w:r>
      <w:r>
        <w:rPr>
          <w:rFonts w:hint="eastAsia" w:ascii="华文仿宋" w:hAnsi="华文仿宋" w:eastAsia="华文仿宋" w:cs="华文仿宋"/>
          <w:color w:val="auto"/>
          <w:kern w:val="0"/>
          <w:sz w:val="28"/>
          <w:szCs w:val="28"/>
        </w:rPr>
        <w:t>较大</w:t>
      </w:r>
      <w:r>
        <w:rPr>
          <w:rFonts w:hint="eastAsia" w:ascii="华文仿宋" w:hAnsi="华文仿宋" w:eastAsia="华文仿宋" w:cs="华文仿宋"/>
          <w:color w:val="auto"/>
          <w:sz w:val="28"/>
          <w:szCs w:val="28"/>
        </w:rPr>
        <w:t>消防安全事故，或和就餐者发生冲突造成严重后果，或楼层间经营关系紧张不能主动改善，或因伙食工作引起师生或</w:t>
      </w:r>
      <w:r>
        <w:rPr>
          <w:rFonts w:hint="eastAsia" w:ascii="华文仿宋" w:hAnsi="华文仿宋" w:eastAsia="华文仿宋" w:cs="华文仿宋"/>
          <w:color w:val="auto"/>
          <w:sz w:val="28"/>
          <w:szCs w:val="28"/>
          <w:lang w:eastAsia="zh-CN"/>
        </w:rPr>
        <w:t>乙方</w:t>
      </w:r>
      <w:r>
        <w:rPr>
          <w:rFonts w:hint="eastAsia" w:ascii="华文仿宋" w:hAnsi="华文仿宋" w:eastAsia="华文仿宋" w:cs="华文仿宋"/>
          <w:color w:val="auto"/>
          <w:sz w:val="28"/>
          <w:szCs w:val="28"/>
        </w:rPr>
        <w:t>内部员工（或供应商以及其他合作方）群体不满意事件等（包括“违约责任”规定的终止协议书条款），学校有权立即终止本协议，由此产生的一切经济和法律责任一律由</w:t>
      </w:r>
      <w:r>
        <w:rPr>
          <w:rFonts w:hint="eastAsia" w:ascii="华文仿宋" w:hAnsi="华文仿宋" w:eastAsia="华文仿宋" w:cs="华文仿宋"/>
          <w:color w:val="auto"/>
          <w:sz w:val="28"/>
          <w:szCs w:val="28"/>
          <w:lang w:eastAsia="zh-CN"/>
        </w:rPr>
        <w:t>乙方</w:t>
      </w:r>
      <w:r>
        <w:rPr>
          <w:rFonts w:hint="eastAsia" w:ascii="华文仿宋" w:hAnsi="华文仿宋" w:eastAsia="华文仿宋" w:cs="华文仿宋"/>
          <w:color w:val="auto"/>
          <w:sz w:val="28"/>
          <w:szCs w:val="28"/>
        </w:rPr>
        <w:t>承担，且</w:t>
      </w:r>
      <w:r>
        <w:rPr>
          <w:rFonts w:hint="eastAsia" w:ascii="华文仿宋" w:hAnsi="华文仿宋" w:eastAsia="华文仿宋" w:cs="华文仿宋"/>
          <w:color w:val="auto"/>
          <w:sz w:val="28"/>
          <w:szCs w:val="28"/>
          <w:lang w:eastAsia="zh-CN"/>
        </w:rPr>
        <w:t>甲方</w:t>
      </w:r>
      <w:r>
        <w:rPr>
          <w:rFonts w:hint="eastAsia" w:ascii="华文仿宋" w:hAnsi="华文仿宋" w:eastAsia="华文仿宋" w:cs="华文仿宋"/>
          <w:color w:val="auto"/>
          <w:sz w:val="28"/>
          <w:szCs w:val="28"/>
        </w:rPr>
        <w:t>有权不退还履约保证金。</w:t>
      </w:r>
    </w:p>
    <w:p w14:paraId="10AED2E9">
      <w:pPr>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lang w:val="en-US" w:eastAsia="zh-CN"/>
        </w:rPr>
        <w:t xml:space="preserve">第四十条 </w:t>
      </w:r>
      <w:r>
        <w:rPr>
          <w:rFonts w:hint="eastAsia" w:ascii="华文仿宋" w:hAnsi="华文仿宋" w:eastAsia="华文仿宋" w:cs="华文仿宋"/>
          <w:color w:val="auto"/>
          <w:sz w:val="28"/>
          <w:szCs w:val="28"/>
          <w:lang w:eastAsia="zh-CN"/>
        </w:rPr>
        <w:t>乙方</w:t>
      </w:r>
      <w:r>
        <w:rPr>
          <w:rFonts w:hint="eastAsia" w:ascii="华文仿宋" w:hAnsi="华文仿宋" w:eastAsia="华文仿宋" w:cs="华文仿宋"/>
          <w:color w:val="auto"/>
          <w:sz w:val="28"/>
          <w:szCs w:val="28"/>
        </w:rPr>
        <w:t>员工擅自通过线上、线下等方式发布与</w:t>
      </w:r>
      <w:r>
        <w:rPr>
          <w:rFonts w:hint="eastAsia" w:ascii="华文仿宋" w:hAnsi="华文仿宋" w:eastAsia="华文仿宋" w:cs="华文仿宋"/>
          <w:color w:val="auto"/>
          <w:sz w:val="28"/>
          <w:szCs w:val="28"/>
          <w:lang w:eastAsia="zh-CN"/>
        </w:rPr>
        <w:t>甲方</w:t>
      </w:r>
      <w:r>
        <w:rPr>
          <w:rFonts w:hint="eastAsia" w:ascii="华文仿宋" w:hAnsi="华文仿宋" w:eastAsia="华文仿宋" w:cs="华文仿宋"/>
          <w:color w:val="auto"/>
          <w:sz w:val="28"/>
          <w:szCs w:val="28"/>
        </w:rPr>
        <w:t>有关的负面信息给</w:t>
      </w:r>
      <w:r>
        <w:rPr>
          <w:rFonts w:hint="eastAsia" w:ascii="华文仿宋" w:hAnsi="华文仿宋" w:eastAsia="华文仿宋" w:cs="华文仿宋"/>
          <w:color w:val="auto"/>
          <w:sz w:val="28"/>
          <w:szCs w:val="28"/>
          <w:lang w:eastAsia="zh-CN"/>
        </w:rPr>
        <w:t>甲方</w:t>
      </w:r>
      <w:r>
        <w:rPr>
          <w:rFonts w:hint="eastAsia" w:ascii="华文仿宋" w:hAnsi="华文仿宋" w:eastAsia="华文仿宋" w:cs="华文仿宋"/>
          <w:color w:val="auto"/>
          <w:sz w:val="28"/>
          <w:szCs w:val="28"/>
        </w:rPr>
        <w:t>带来重大经济或名誉损失的，</w:t>
      </w:r>
      <w:r>
        <w:rPr>
          <w:rFonts w:hint="eastAsia" w:ascii="华文仿宋" w:hAnsi="华文仿宋" w:eastAsia="华文仿宋" w:cs="华文仿宋"/>
          <w:color w:val="auto"/>
          <w:sz w:val="28"/>
          <w:szCs w:val="28"/>
          <w:lang w:eastAsia="zh-CN"/>
        </w:rPr>
        <w:t>甲方</w:t>
      </w:r>
      <w:r>
        <w:rPr>
          <w:rFonts w:hint="eastAsia" w:ascii="华文仿宋" w:hAnsi="华文仿宋" w:eastAsia="华文仿宋" w:cs="华文仿宋"/>
          <w:color w:val="auto"/>
          <w:sz w:val="28"/>
          <w:szCs w:val="28"/>
        </w:rPr>
        <w:t>有权立即终止本协议，由此产生的一切经济和法律责任一律由</w:t>
      </w:r>
      <w:r>
        <w:rPr>
          <w:rFonts w:hint="eastAsia" w:ascii="华文仿宋" w:hAnsi="华文仿宋" w:eastAsia="华文仿宋" w:cs="华文仿宋"/>
          <w:color w:val="auto"/>
          <w:sz w:val="28"/>
          <w:szCs w:val="28"/>
          <w:lang w:eastAsia="zh-CN"/>
        </w:rPr>
        <w:t>乙方</w:t>
      </w:r>
      <w:r>
        <w:rPr>
          <w:rFonts w:hint="eastAsia" w:ascii="华文仿宋" w:hAnsi="华文仿宋" w:eastAsia="华文仿宋" w:cs="华文仿宋"/>
          <w:color w:val="auto"/>
          <w:sz w:val="28"/>
          <w:szCs w:val="28"/>
        </w:rPr>
        <w:t>承担，且</w:t>
      </w:r>
      <w:r>
        <w:rPr>
          <w:rFonts w:hint="eastAsia" w:ascii="华文仿宋" w:hAnsi="华文仿宋" w:eastAsia="华文仿宋" w:cs="华文仿宋"/>
          <w:color w:val="auto"/>
          <w:sz w:val="28"/>
          <w:szCs w:val="28"/>
          <w:lang w:eastAsia="zh-CN"/>
        </w:rPr>
        <w:t>甲方</w:t>
      </w:r>
      <w:r>
        <w:rPr>
          <w:rFonts w:hint="eastAsia" w:ascii="华文仿宋" w:hAnsi="华文仿宋" w:eastAsia="华文仿宋" w:cs="华文仿宋"/>
          <w:color w:val="auto"/>
          <w:sz w:val="28"/>
          <w:szCs w:val="28"/>
        </w:rPr>
        <w:t>有权不退还履约保证金。</w:t>
      </w:r>
    </w:p>
    <w:p w14:paraId="5601281A">
      <w:pPr>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lang w:val="en-US" w:eastAsia="zh-CN"/>
        </w:rPr>
        <w:t xml:space="preserve">第四十一条 </w:t>
      </w:r>
      <w:r>
        <w:rPr>
          <w:rFonts w:hint="eastAsia" w:ascii="华文仿宋" w:hAnsi="华文仿宋" w:eastAsia="华文仿宋" w:cs="华文仿宋"/>
          <w:color w:val="auto"/>
          <w:sz w:val="28"/>
          <w:szCs w:val="28"/>
          <w:lang w:eastAsia="zh-CN"/>
        </w:rPr>
        <w:t>乙方</w:t>
      </w:r>
      <w:r>
        <w:rPr>
          <w:rFonts w:hint="eastAsia" w:ascii="华文仿宋" w:hAnsi="华文仿宋" w:eastAsia="华文仿宋" w:cs="华文仿宋"/>
          <w:color w:val="auto"/>
          <w:sz w:val="28"/>
          <w:szCs w:val="28"/>
        </w:rPr>
        <w:t>在经营期内，如被</w:t>
      </w:r>
      <w:r>
        <w:rPr>
          <w:rFonts w:hint="eastAsia" w:ascii="华文仿宋" w:hAnsi="华文仿宋" w:eastAsia="华文仿宋" w:cs="华文仿宋"/>
          <w:color w:val="auto"/>
          <w:sz w:val="28"/>
          <w:szCs w:val="28"/>
          <w:lang w:eastAsia="zh-CN"/>
        </w:rPr>
        <w:t>甲方</w:t>
      </w:r>
      <w:r>
        <w:rPr>
          <w:rFonts w:hint="eastAsia" w:ascii="华文仿宋" w:hAnsi="华文仿宋" w:eastAsia="华文仿宋" w:cs="华文仿宋"/>
          <w:color w:val="auto"/>
          <w:sz w:val="28"/>
          <w:szCs w:val="28"/>
        </w:rPr>
        <w:t>、行政主管部门、行业主管部门提出安全整改要求拒不整改或多次整改不达标的，</w:t>
      </w:r>
      <w:r>
        <w:rPr>
          <w:rFonts w:hint="eastAsia" w:ascii="华文仿宋" w:hAnsi="华文仿宋" w:eastAsia="华文仿宋" w:cs="华文仿宋"/>
          <w:color w:val="auto"/>
          <w:sz w:val="28"/>
          <w:szCs w:val="28"/>
          <w:lang w:eastAsia="zh-CN"/>
        </w:rPr>
        <w:t>甲方</w:t>
      </w:r>
      <w:r>
        <w:rPr>
          <w:rFonts w:hint="eastAsia" w:ascii="华文仿宋" w:hAnsi="华文仿宋" w:eastAsia="华文仿宋" w:cs="华文仿宋"/>
          <w:color w:val="auto"/>
          <w:sz w:val="28"/>
          <w:szCs w:val="28"/>
        </w:rPr>
        <w:t>有权终止本协议，由此产生的一切经济和法律责任一律由</w:t>
      </w:r>
      <w:r>
        <w:rPr>
          <w:rFonts w:hint="eastAsia" w:ascii="华文仿宋" w:hAnsi="华文仿宋" w:eastAsia="华文仿宋" w:cs="华文仿宋"/>
          <w:color w:val="auto"/>
          <w:sz w:val="28"/>
          <w:szCs w:val="28"/>
          <w:lang w:eastAsia="zh-CN"/>
        </w:rPr>
        <w:t>乙方</w:t>
      </w:r>
      <w:r>
        <w:rPr>
          <w:rFonts w:hint="eastAsia" w:ascii="华文仿宋" w:hAnsi="华文仿宋" w:eastAsia="华文仿宋" w:cs="华文仿宋"/>
          <w:color w:val="auto"/>
          <w:sz w:val="28"/>
          <w:szCs w:val="28"/>
        </w:rPr>
        <w:t>承担，且</w:t>
      </w:r>
      <w:r>
        <w:rPr>
          <w:rFonts w:hint="eastAsia" w:ascii="华文仿宋" w:hAnsi="华文仿宋" w:eastAsia="华文仿宋" w:cs="华文仿宋"/>
          <w:color w:val="auto"/>
          <w:sz w:val="28"/>
          <w:szCs w:val="28"/>
          <w:lang w:eastAsia="zh-CN"/>
        </w:rPr>
        <w:t>甲方</w:t>
      </w:r>
      <w:r>
        <w:rPr>
          <w:rFonts w:hint="eastAsia" w:ascii="华文仿宋" w:hAnsi="华文仿宋" w:eastAsia="华文仿宋" w:cs="华文仿宋"/>
          <w:color w:val="auto"/>
          <w:sz w:val="28"/>
          <w:szCs w:val="28"/>
        </w:rPr>
        <w:t>有权不退还履约保证金。</w:t>
      </w:r>
    </w:p>
    <w:p w14:paraId="7E793D3D">
      <w:pPr>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lang w:val="en-US" w:eastAsia="zh-CN"/>
        </w:rPr>
        <w:t xml:space="preserve">第四十二条 </w:t>
      </w:r>
      <w:r>
        <w:rPr>
          <w:rFonts w:hint="eastAsia" w:ascii="华文仿宋" w:hAnsi="华文仿宋" w:eastAsia="华文仿宋" w:cs="华文仿宋"/>
          <w:color w:val="auto"/>
          <w:sz w:val="28"/>
          <w:szCs w:val="28"/>
          <w:lang w:eastAsia="zh-CN"/>
        </w:rPr>
        <w:t>甲方</w:t>
      </w:r>
      <w:r>
        <w:rPr>
          <w:rFonts w:hint="eastAsia" w:ascii="华文仿宋" w:hAnsi="华文仿宋" w:eastAsia="华文仿宋" w:cs="华文仿宋"/>
          <w:color w:val="auto"/>
          <w:sz w:val="28"/>
          <w:szCs w:val="28"/>
        </w:rPr>
        <w:t>因机构调整，学校规划布局改变带来的校区人数发生变化等问题，由此带来的经营风险由</w:t>
      </w:r>
      <w:r>
        <w:rPr>
          <w:rFonts w:hint="eastAsia" w:ascii="华文仿宋" w:hAnsi="华文仿宋" w:eastAsia="华文仿宋" w:cs="华文仿宋"/>
          <w:color w:val="auto"/>
          <w:sz w:val="28"/>
          <w:szCs w:val="28"/>
          <w:lang w:eastAsia="zh-CN"/>
        </w:rPr>
        <w:t>乙方</w:t>
      </w:r>
      <w:r>
        <w:rPr>
          <w:rFonts w:hint="eastAsia" w:ascii="华文仿宋" w:hAnsi="华文仿宋" w:eastAsia="华文仿宋" w:cs="华文仿宋"/>
          <w:color w:val="auto"/>
          <w:sz w:val="28"/>
          <w:szCs w:val="28"/>
        </w:rPr>
        <w:t>自行承担。</w:t>
      </w:r>
    </w:p>
    <w:p w14:paraId="593B5C34">
      <w:pPr>
        <w:pStyle w:val="22"/>
        <w:pageBreakBefore w:val="0"/>
        <w:widowControl w:val="0"/>
        <w:kinsoku/>
        <w:wordWrap/>
        <w:overflowPunct/>
        <w:topLinePunct w:val="0"/>
        <w:autoSpaceDE/>
        <w:autoSpaceDN/>
        <w:bidi w:val="0"/>
        <w:adjustRightInd/>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kern w:val="2"/>
          <w:sz w:val="28"/>
          <w:szCs w:val="28"/>
          <w:lang w:val="en-US" w:eastAsia="zh-CN" w:bidi="ar-SA"/>
        </w:rPr>
        <w:t>第四十三条 法</w:t>
      </w:r>
      <w:r>
        <w:rPr>
          <w:rFonts w:hint="eastAsia" w:ascii="华文仿宋" w:hAnsi="华文仿宋" w:eastAsia="华文仿宋" w:cs="华文仿宋"/>
          <w:color w:val="auto"/>
          <w:sz w:val="28"/>
          <w:szCs w:val="28"/>
        </w:rPr>
        <w:t>律、法规规定的其它解除合同的情形。</w:t>
      </w:r>
    </w:p>
    <w:p w14:paraId="528E5443">
      <w:pPr>
        <w:pageBreakBefore w:val="0"/>
        <w:widowControl w:val="0"/>
        <w:numPr>
          <w:ilvl w:val="0"/>
          <w:numId w:val="0"/>
        </w:numPr>
        <w:kinsoku/>
        <w:wordWrap/>
        <w:overflowPunct/>
        <w:topLinePunct w:val="0"/>
        <w:autoSpaceDE/>
        <w:autoSpaceDN/>
        <w:bidi w:val="0"/>
        <w:adjustRightInd/>
        <w:snapToGrid w:val="0"/>
        <w:spacing w:line="480" w:lineRule="exact"/>
        <w:ind w:leftChars="0"/>
        <w:jc w:val="both"/>
        <w:textAlignment w:val="auto"/>
        <w:rPr>
          <w:rFonts w:hint="eastAsia" w:ascii="华文仿宋" w:hAnsi="华文仿宋" w:eastAsia="华文仿宋" w:cs="华文仿宋"/>
          <w:b/>
          <w:bCs/>
          <w:color w:val="auto"/>
          <w:sz w:val="28"/>
          <w:szCs w:val="28"/>
        </w:rPr>
      </w:pPr>
    </w:p>
    <w:p w14:paraId="14F378AB">
      <w:pPr>
        <w:pageBreakBefore w:val="0"/>
        <w:widowControl w:val="0"/>
        <w:kinsoku/>
        <w:wordWrap/>
        <w:overflowPunct/>
        <w:topLinePunct w:val="0"/>
        <w:autoSpaceDE/>
        <w:autoSpaceDN/>
        <w:bidi w:val="0"/>
        <w:adjustRightInd/>
        <w:snapToGrid w:val="0"/>
        <w:spacing w:line="480" w:lineRule="exact"/>
        <w:ind w:firstLine="561" w:firstLineChars="200"/>
        <w:jc w:val="center"/>
        <w:textAlignment w:val="auto"/>
        <w:rPr>
          <w:rFonts w:hint="eastAsia" w:ascii="华文仿宋" w:hAnsi="华文仿宋" w:eastAsia="华文仿宋" w:cs="华文仿宋"/>
          <w:b/>
          <w:bCs/>
          <w:color w:val="auto"/>
          <w:sz w:val="28"/>
          <w:szCs w:val="28"/>
        </w:rPr>
      </w:pPr>
      <w:r>
        <w:rPr>
          <w:rFonts w:hint="eastAsia" w:ascii="华文仿宋" w:hAnsi="华文仿宋" w:eastAsia="华文仿宋" w:cs="华文仿宋"/>
          <w:b/>
          <w:bCs/>
          <w:color w:val="auto"/>
          <w:sz w:val="28"/>
          <w:szCs w:val="28"/>
        </w:rPr>
        <w:t>第</w:t>
      </w:r>
      <w:r>
        <w:rPr>
          <w:rFonts w:hint="eastAsia" w:ascii="华文仿宋" w:hAnsi="华文仿宋" w:eastAsia="华文仿宋" w:cs="华文仿宋"/>
          <w:b/>
          <w:bCs/>
          <w:color w:val="auto"/>
          <w:sz w:val="28"/>
          <w:szCs w:val="28"/>
          <w:lang w:val="en-US" w:eastAsia="zh-CN"/>
        </w:rPr>
        <w:t>八</w:t>
      </w:r>
      <w:r>
        <w:rPr>
          <w:rFonts w:hint="eastAsia" w:ascii="华文仿宋" w:hAnsi="华文仿宋" w:eastAsia="华文仿宋" w:cs="华文仿宋"/>
          <w:b/>
          <w:bCs/>
          <w:color w:val="auto"/>
          <w:sz w:val="28"/>
          <w:szCs w:val="28"/>
        </w:rPr>
        <w:t>部分  双方约定的其他事宜</w:t>
      </w:r>
    </w:p>
    <w:p w14:paraId="1822EAE1">
      <w:pPr>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lang w:val="en-US" w:eastAsia="zh-CN"/>
        </w:rPr>
        <w:t xml:space="preserve">第四十四条 </w:t>
      </w:r>
      <w:r>
        <w:rPr>
          <w:rFonts w:hint="eastAsia" w:ascii="华文仿宋" w:hAnsi="华文仿宋" w:eastAsia="华文仿宋" w:cs="华文仿宋"/>
          <w:color w:val="auto"/>
          <w:sz w:val="28"/>
          <w:szCs w:val="28"/>
        </w:rPr>
        <w:t>当本合同在履行过程中发生争议时，由双方协商解决；也可由有关部门调解解决；协商或调解不成，任何一方均可向重庆市永川区人民法院起诉。</w:t>
      </w:r>
    </w:p>
    <w:p w14:paraId="46E2C0A8">
      <w:pPr>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lang w:val="en-US" w:eastAsia="zh-CN"/>
        </w:rPr>
        <w:t xml:space="preserve">第四十五条 </w:t>
      </w:r>
      <w:r>
        <w:rPr>
          <w:rFonts w:hint="eastAsia" w:ascii="华文仿宋" w:hAnsi="华文仿宋" w:eastAsia="华文仿宋" w:cs="华文仿宋"/>
          <w:color w:val="auto"/>
          <w:sz w:val="28"/>
          <w:szCs w:val="28"/>
        </w:rPr>
        <w:t>甲方招标文件及其补遗资料和乙方投标文件及招标现场答疑等相关资料属于本合同组成部分，具有同等法律效力。</w:t>
      </w:r>
    </w:p>
    <w:p w14:paraId="06D0EAB0">
      <w:pPr>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lang w:val="en-US" w:eastAsia="zh-CN"/>
        </w:rPr>
        <w:t xml:space="preserve">第四十六条 </w:t>
      </w:r>
      <w:r>
        <w:rPr>
          <w:rFonts w:hint="eastAsia" w:ascii="华文仿宋" w:hAnsi="华文仿宋" w:eastAsia="华文仿宋" w:cs="华文仿宋"/>
          <w:color w:val="auto"/>
          <w:sz w:val="28"/>
          <w:szCs w:val="28"/>
        </w:rPr>
        <w:t>本合同一式陆份，甲方执肆份、乙方执贰份，从甲乙双方签字（盖章）之日起生效。</w:t>
      </w:r>
    </w:p>
    <w:p w14:paraId="54255F42">
      <w:pPr>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lang w:val="en-US" w:eastAsia="zh-CN"/>
        </w:rPr>
        <w:t xml:space="preserve">第四十七条 </w:t>
      </w:r>
      <w:r>
        <w:rPr>
          <w:rFonts w:hint="eastAsia" w:ascii="华文仿宋" w:hAnsi="华文仿宋" w:eastAsia="华文仿宋" w:cs="华文仿宋"/>
          <w:color w:val="auto"/>
          <w:sz w:val="28"/>
          <w:szCs w:val="28"/>
        </w:rPr>
        <w:t>本合同未尽事宜，由双方协商确定后形成会议纪要或补充协议。会议纪要或补充协议作为本合同的组成部分。</w:t>
      </w:r>
    </w:p>
    <w:p w14:paraId="2A581187">
      <w:pPr>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华文仿宋" w:hAnsi="华文仿宋" w:eastAsia="华文仿宋" w:cs="华文仿宋"/>
          <w:color w:val="auto"/>
          <w:sz w:val="28"/>
          <w:szCs w:val="28"/>
        </w:rPr>
      </w:pPr>
    </w:p>
    <w:p w14:paraId="6B00B8B7">
      <w:pPr>
        <w:pageBreakBefore w:val="0"/>
        <w:widowControl w:val="0"/>
        <w:kinsoku/>
        <w:wordWrap/>
        <w:overflowPunct/>
        <w:topLinePunct w:val="0"/>
        <w:autoSpaceDE/>
        <w:autoSpaceDN/>
        <w:bidi w:val="0"/>
        <w:adjustRightInd/>
        <w:snapToGrid w:val="0"/>
        <w:spacing w:line="480" w:lineRule="exac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附件：</w:t>
      </w:r>
    </w:p>
    <w:p w14:paraId="2372AB5A">
      <w:pPr>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lang w:val="en-US" w:eastAsia="zh-CN"/>
        </w:rPr>
        <w:t>一、</w:t>
      </w:r>
      <w:r>
        <w:rPr>
          <w:rFonts w:hint="eastAsia" w:ascii="华文仿宋" w:hAnsi="华文仿宋" w:eastAsia="华文仿宋" w:cs="华文仿宋"/>
          <w:color w:val="auto"/>
          <w:sz w:val="28"/>
          <w:szCs w:val="28"/>
        </w:rPr>
        <w:t>《重庆文理学院学生食堂委托经营管理日常考核实施细则》</w:t>
      </w:r>
    </w:p>
    <w:p w14:paraId="050C27C3">
      <w:pPr>
        <w:pageBreakBefore w:val="0"/>
        <w:widowControl w:val="0"/>
        <w:kinsoku/>
        <w:wordWrap/>
        <w:overflowPunct/>
        <w:topLinePunct w:val="0"/>
        <w:autoSpaceDE/>
        <w:autoSpaceDN/>
        <w:bidi w:val="0"/>
        <w:adjustRightInd/>
        <w:spacing w:line="480" w:lineRule="exact"/>
        <w:ind w:firstLine="560" w:firstLineChars="200"/>
        <w:jc w:val="left"/>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lang w:val="en-US" w:eastAsia="zh-CN"/>
        </w:rPr>
        <w:t>二、“</w:t>
      </w:r>
      <w:r>
        <w:rPr>
          <w:rFonts w:hint="eastAsia" w:ascii="华文仿宋" w:hAnsi="华文仿宋" w:eastAsia="华文仿宋" w:cs="华文仿宋"/>
          <w:color w:val="auto"/>
          <w:sz w:val="28"/>
          <w:szCs w:val="28"/>
        </w:rPr>
        <w:t>数智食堂”食堂数智化设备建设要求</w:t>
      </w:r>
    </w:p>
    <w:p w14:paraId="20DE6788">
      <w:pPr>
        <w:pageBreakBefore w:val="0"/>
        <w:widowControl w:val="0"/>
        <w:kinsoku/>
        <w:wordWrap/>
        <w:overflowPunct/>
        <w:topLinePunct w:val="0"/>
        <w:autoSpaceDE/>
        <w:autoSpaceDN/>
        <w:bidi w:val="0"/>
        <w:adjustRightInd/>
        <w:snapToGrid w:val="0"/>
        <w:spacing w:line="480" w:lineRule="exact"/>
        <w:ind w:firstLine="560" w:firstLineChars="200"/>
        <w:textAlignment w:val="auto"/>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lang w:val="en-US" w:eastAsia="zh-CN"/>
        </w:rPr>
        <w:t>三、</w:t>
      </w:r>
      <w:r>
        <w:rPr>
          <w:rFonts w:hint="eastAsia" w:ascii="华文仿宋" w:hAnsi="华文仿宋" w:eastAsia="华文仿宋" w:cs="华文仿宋"/>
          <w:color w:val="auto"/>
          <w:sz w:val="28"/>
          <w:szCs w:val="28"/>
        </w:rPr>
        <w:t>《</w:t>
      </w:r>
      <w:r>
        <w:rPr>
          <w:rFonts w:hint="eastAsia" w:ascii="华文仿宋" w:hAnsi="华文仿宋" w:eastAsia="华文仿宋" w:cs="华文仿宋"/>
          <w:color w:val="auto"/>
          <w:sz w:val="28"/>
          <w:szCs w:val="28"/>
          <w:lang w:val="en-US" w:eastAsia="zh-CN"/>
        </w:rPr>
        <w:t>甲方</w:t>
      </w:r>
      <w:r>
        <w:rPr>
          <w:rFonts w:hint="eastAsia" w:ascii="华文仿宋" w:hAnsi="华文仿宋" w:eastAsia="华文仿宋" w:cs="华文仿宋"/>
          <w:color w:val="auto"/>
          <w:sz w:val="28"/>
          <w:szCs w:val="28"/>
        </w:rPr>
        <w:t>食堂原有设备设施一览表》</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95"/>
        <w:gridCol w:w="4680"/>
      </w:tblGrid>
      <w:tr w14:paraId="427E7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695" w:type="dxa"/>
            <w:noWrap w:val="0"/>
            <w:vAlign w:val="center"/>
          </w:tcPr>
          <w:p w14:paraId="1265CD57">
            <w:pPr>
              <w:snapToGrid w:val="0"/>
              <w:spacing w:line="400" w:lineRule="exact"/>
              <w:ind w:firstLine="482" w:firstLineChars="200"/>
              <w:rPr>
                <w:rFonts w:ascii="宋体" w:hAnsi="宋体"/>
                <w:b/>
                <w:bCs/>
                <w:color w:val="auto"/>
                <w:sz w:val="24"/>
                <w:szCs w:val="24"/>
              </w:rPr>
            </w:pPr>
            <w:r>
              <w:rPr>
                <w:rFonts w:hint="eastAsia" w:ascii="宋体" w:hAnsi="宋体"/>
                <w:b/>
                <w:bCs/>
                <w:color w:val="auto"/>
                <w:sz w:val="24"/>
                <w:szCs w:val="24"/>
              </w:rPr>
              <w:t>甲</w:t>
            </w:r>
            <w:r>
              <w:rPr>
                <w:rFonts w:ascii="宋体" w:hAnsi="宋体"/>
                <w:b/>
                <w:bCs/>
                <w:color w:val="auto"/>
                <w:sz w:val="24"/>
                <w:szCs w:val="24"/>
              </w:rPr>
              <w:t xml:space="preserve">       </w:t>
            </w:r>
            <w:r>
              <w:rPr>
                <w:rFonts w:hint="eastAsia" w:ascii="宋体" w:hAnsi="宋体"/>
                <w:b/>
                <w:bCs/>
                <w:color w:val="auto"/>
                <w:sz w:val="24"/>
                <w:szCs w:val="24"/>
              </w:rPr>
              <w:t>方</w:t>
            </w:r>
          </w:p>
        </w:tc>
        <w:tc>
          <w:tcPr>
            <w:tcW w:w="4680" w:type="dxa"/>
            <w:noWrap w:val="0"/>
            <w:vAlign w:val="center"/>
          </w:tcPr>
          <w:p w14:paraId="6769CFF8">
            <w:pPr>
              <w:snapToGrid w:val="0"/>
              <w:spacing w:line="400" w:lineRule="exact"/>
              <w:ind w:firstLine="482" w:firstLineChars="200"/>
              <w:rPr>
                <w:rFonts w:ascii="宋体" w:hAnsi="宋体"/>
                <w:b/>
                <w:bCs/>
                <w:color w:val="auto"/>
                <w:sz w:val="24"/>
                <w:szCs w:val="24"/>
              </w:rPr>
            </w:pPr>
            <w:r>
              <w:rPr>
                <w:rFonts w:hint="eastAsia" w:ascii="宋体" w:hAnsi="宋体"/>
                <w:b/>
                <w:bCs/>
                <w:color w:val="auto"/>
                <w:sz w:val="24"/>
                <w:szCs w:val="24"/>
              </w:rPr>
              <w:t>乙</w:t>
            </w:r>
            <w:r>
              <w:rPr>
                <w:rFonts w:ascii="宋体" w:hAnsi="宋体"/>
                <w:b/>
                <w:bCs/>
                <w:color w:val="auto"/>
                <w:sz w:val="24"/>
                <w:szCs w:val="24"/>
              </w:rPr>
              <w:t xml:space="preserve">      </w:t>
            </w:r>
            <w:r>
              <w:rPr>
                <w:rFonts w:hint="eastAsia" w:ascii="宋体" w:hAnsi="宋体"/>
                <w:b/>
                <w:bCs/>
                <w:color w:val="auto"/>
                <w:sz w:val="24"/>
                <w:szCs w:val="24"/>
              </w:rPr>
              <w:t>方</w:t>
            </w:r>
          </w:p>
        </w:tc>
      </w:tr>
      <w:tr w14:paraId="2898E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8" w:hRule="atLeast"/>
          <w:jc w:val="center"/>
        </w:trPr>
        <w:tc>
          <w:tcPr>
            <w:tcW w:w="4695" w:type="dxa"/>
            <w:noWrap w:val="0"/>
            <w:vAlign w:val="center"/>
          </w:tcPr>
          <w:p w14:paraId="3CA64591">
            <w:pPr>
              <w:snapToGrid w:val="0"/>
              <w:spacing w:line="400" w:lineRule="exact"/>
              <w:ind w:firstLine="420" w:firstLineChars="200"/>
              <w:rPr>
                <w:rFonts w:ascii="宋体" w:hAnsi="宋体"/>
                <w:color w:val="auto"/>
                <w:sz w:val="21"/>
                <w:szCs w:val="21"/>
              </w:rPr>
            </w:pPr>
            <w:r>
              <w:rPr>
                <w:rFonts w:hint="eastAsia" w:ascii="宋体" w:hAnsi="宋体"/>
                <w:color w:val="auto"/>
                <w:sz w:val="21"/>
                <w:szCs w:val="21"/>
              </w:rPr>
              <w:t>单位名称（章）：重庆文理学院</w:t>
            </w:r>
            <w:r>
              <w:rPr>
                <w:rFonts w:ascii="宋体" w:hAnsi="宋体"/>
                <w:color w:val="auto"/>
                <w:sz w:val="21"/>
                <w:szCs w:val="21"/>
              </w:rPr>
              <w:t xml:space="preserve"> </w:t>
            </w:r>
          </w:p>
          <w:p w14:paraId="5265583A">
            <w:pPr>
              <w:snapToGrid w:val="0"/>
              <w:spacing w:line="400" w:lineRule="exact"/>
              <w:ind w:firstLine="420" w:firstLineChars="200"/>
              <w:rPr>
                <w:rFonts w:ascii="宋体" w:hAnsi="宋体"/>
                <w:color w:val="auto"/>
                <w:sz w:val="21"/>
                <w:szCs w:val="21"/>
              </w:rPr>
            </w:pPr>
            <w:r>
              <w:rPr>
                <w:rFonts w:hint="eastAsia" w:ascii="宋体" w:hAnsi="宋体"/>
                <w:color w:val="auto"/>
                <w:sz w:val="21"/>
                <w:szCs w:val="21"/>
              </w:rPr>
              <w:t>单位地址：重庆市永川区红河大道319号</w:t>
            </w:r>
          </w:p>
          <w:p w14:paraId="53E6009D">
            <w:pPr>
              <w:snapToGrid w:val="0"/>
              <w:spacing w:line="400" w:lineRule="exact"/>
              <w:ind w:firstLine="420" w:firstLineChars="200"/>
              <w:rPr>
                <w:rFonts w:ascii="宋体" w:hAnsi="宋体"/>
                <w:color w:val="auto"/>
                <w:sz w:val="21"/>
                <w:szCs w:val="21"/>
              </w:rPr>
            </w:pPr>
            <w:r>
              <w:rPr>
                <w:rFonts w:hint="eastAsia" w:ascii="宋体" w:hAnsi="宋体"/>
                <w:color w:val="auto"/>
                <w:sz w:val="21"/>
                <w:szCs w:val="21"/>
              </w:rPr>
              <w:t>法定代表人：黄伟九</w:t>
            </w:r>
          </w:p>
          <w:p w14:paraId="7EAA594F">
            <w:pPr>
              <w:snapToGrid w:val="0"/>
              <w:spacing w:line="400" w:lineRule="exact"/>
              <w:ind w:firstLine="420" w:firstLineChars="200"/>
              <w:rPr>
                <w:rFonts w:hint="default" w:ascii="宋体" w:hAnsi="宋体" w:eastAsia="宋体"/>
                <w:color w:val="auto"/>
                <w:sz w:val="21"/>
                <w:szCs w:val="21"/>
                <w:lang w:val="en-US" w:eastAsia="zh-CN"/>
              </w:rPr>
            </w:pPr>
            <w:r>
              <w:rPr>
                <w:rFonts w:hint="eastAsia" w:ascii="宋体" w:hAnsi="宋体"/>
                <w:color w:val="auto"/>
                <w:sz w:val="21"/>
                <w:szCs w:val="21"/>
              </w:rPr>
              <w:t>经办人：</w:t>
            </w:r>
          </w:p>
          <w:p w14:paraId="5EEC77A2">
            <w:pPr>
              <w:snapToGrid w:val="0"/>
              <w:spacing w:line="400" w:lineRule="exact"/>
              <w:ind w:left="420" w:leftChars="150"/>
              <w:rPr>
                <w:rFonts w:hint="eastAsia" w:ascii="宋体" w:hAnsi="宋体"/>
                <w:color w:val="auto"/>
                <w:sz w:val="21"/>
                <w:szCs w:val="21"/>
              </w:rPr>
            </w:pPr>
            <w:r>
              <w:rPr>
                <w:rFonts w:hint="eastAsia" w:ascii="宋体" w:hAnsi="宋体"/>
                <w:color w:val="auto"/>
                <w:sz w:val="21"/>
                <w:szCs w:val="21"/>
              </w:rPr>
              <w:t>联系电话：0234989</w:t>
            </w:r>
            <w:r>
              <w:rPr>
                <w:rFonts w:hint="eastAsia" w:ascii="宋体" w:hAnsi="宋体"/>
                <w:color w:val="auto"/>
                <w:sz w:val="21"/>
                <w:szCs w:val="21"/>
                <w:lang w:val="en-US" w:eastAsia="zh-CN"/>
              </w:rPr>
              <w:t>1808</w:t>
            </w:r>
            <w:r>
              <w:rPr>
                <w:rFonts w:hint="eastAsia" w:ascii="宋体" w:hAnsi="宋体"/>
                <w:color w:val="auto"/>
                <w:sz w:val="21"/>
                <w:szCs w:val="21"/>
              </w:rPr>
              <w:t xml:space="preserve">                 </w:t>
            </w:r>
          </w:p>
          <w:p w14:paraId="1E4FEAE4">
            <w:pPr>
              <w:snapToGrid w:val="0"/>
              <w:spacing w:line="400" w:lineRule="exact"/>
              <w:ind w:left="420" w:leftChars="150"/>
              <w:rPr>
                <w:rFonts w:ascii="宋体" w:hAnsi="宋体"/>
                <w:color w:val="auto"/>
                <w:sz w:val="21"/>
                <w:szCs w:val="21"/>
              </w:rPr>
            </w:pPr>
            <w:r>
              <w:rPr>
                <w:rFonts w:hint="eastAsia" w:ascii="宋体" w:hAnsi="宋体"/>
                <w:color w:val="auto"/>
                <w:sz w:val="21"/>
                <w:szCs w:val="21"/>
              </w:rPr>
              <w:t>开户银行：：工商银行重庆永川支行</w:t>
            </w:r>
          </w:p>
          <w:p w14:paraId="685A59AB">
            <w:pPr>
              <w:snapToGrid w:val="0"/>
              <w:spacing w:line="400" w:lineRule="exact"/>
              <w:ind w:firstLine="420" w:firstLineChars="200"/>
              <w:rPr>
                <w:rFonts w:ascii="宋体" w:hAnsi="宋体"/>
                <w:color w:val="auto"/>
                <w:sz w:val="21"/>
                <w:szCs w:val="21"/>
              </w:rPr>
            </w:pPr>
            <w:r>
              <w:rPr>
                <w:rFonts w:hint="eastAsia" w:ascii="宋体" w:hAnsi="宋体"/>
                <w:color w:val="auto"/>
                <w:sz w:val="21"/>
                <w:szCs w:val="21"/>
              </w:rPr>
              <w:t>银行帐号</w:t>
            </w:r>
            <w:r>
              <w:rPr>
                <w:rFonts w:ascii="宋体" w:hAnsi="宋体"/>
                <w:color w:val="auto"/>
                <w:sz w:val="21"/>
                <w:szCs w:val="21"/>
              </w:rPr>
              <w:t>: 3100090009024912448</w:t>
            </w:r>
          </w:p>
        </w:tc>
        <w:tc>
          <w:tcPr>
            <w:tcW w:w="4680" w:type="dxa"/>
            <w:noWrap w:val="0"/>
            <w:vAlign w:val="center"/>
          </w:tcPr>
          <w:p w14:paraId="4E0C6B54">
            <w:pPr>
              <w:snapToGrid w:val="0"/>
              <w:spacing w:line="400" w:lineRule="exact"/>
              <w:ind w:firstLine="420" w:firstLineChars="200"/>
              <w:rPr>
                <w:rFonts w:hint="eastAsia" w:ascii="宋体" w:hAnsi="宋体"/>
                <w:color w:val="auto"/>
                <w:sz w:val="21"/>
                <w:szCs w:val="21"/>
              </w:rPr>
            </w:pPr>
            <w:r>
              <w:rPr>
                <w:rFonts w:hint="eastAsia" w:ascii="宋体" w:hAnsi="宋体"/>
                <w:color w:val="auto"/>
                <w:sz w:val="21"/>
                <w:szCs w:val="21"/>
              </w:rPr>
              <w:t>单位名称（章）：</w:t>
            </w:r>
          </w:p>
          <w:p w14:paraId="36EC462A">
            <w:pPr>
              <w:snapToGrid w:val="0"/>
              <w:spacing w:line="400" w:lineRule="exact"/>
              <w:ind w:firstLine="420" w:firstLineChars="200"/>
              <w:rPr>
                <w:rFonts w:hint="eastAsia" w:ascii="宋体" w:hAnsi="宋体" w:eastAsia="宋体" w:cs="Times New Roman"/>
                <w:color w:val="auto"/>
                <w:sz w:val="21"/>
                <w:szCs w:val="21"/>
              </w:rPr>
            </w:pPr>
            <w:r>
              <w:rPr>
                <w:rFonts w:hint="eastAsia" w:ascii="宋体" w:hAnsi="宋体"/>
                <w:color w:val="auto"/>
                <w:sz w:val="21"/>
                <w:szCs w:val="21"/>
              </w:rPr>
              <w:t>单位地址：</w:t>
            </w:r>
          </w:p>
          <w:p w14:paraId="2C0254EB">
            <w:pPr>
              <w:snapToGrid w:val="0"/>
              <w:spacing w:line="400" w:lineRule="exact"/>
              <w:ind w:firstLine="420" w:firstLineChars="200"/>
              <w:rPr>
                <w:rFonts w:hint="eastAsia" w:ascii="宋体" w:hAnsi="宋体" w:eastAsia="宋体"/>
                <w:color w:val="auto"/>
                <w:sz w:val="21"/>
                <w:szCs w:val="21"/>
                <w:lang w:val="en-US" w:eastAsia="zh-CN"/>
              </w:rPr>
            </w:pPr>
            <w:r>
              <w:rPr>
                <w:rFonts w:hint="eastAsia" w:ascii="宋体" w:hAnsi="宋体"/>
                <w:color w:val="auto"/>
                <w:sz w:val="21"/>
                <w:szCs w:val="21"/>
              </w:rPr>
              <w:t>法定代表人：</w:t>
            </w:r>
          </w:p>
          <w:p w14:paraId="7E5FEFA7">
            <w:pPr>
              <w:snapToGrid w:val="0"/>
              <w:spacing w:line="400" w:lineRule="exact"/>
              <w:ind w:firstLine="420" w:firstLineChars="200"/>
              <w:rPr>
                <w:rFonts w:ascii="宋体" w:hAnsi="宋体"/>
                <w:color w:val="auto"/>
                <w:sz w:val="21"/>
                <w:szCs w:val="21"/>
              </w:rPr>
            </w:pPr>
            <w:r>
              <w:rPr>
                <w:rFonts w:hint="eastAsia" w:ascii="宋体" w:hAnsi="宋体"/>
                <w:color w:val="auto"/>
                <w:sz w:val="21"/>
                <w:szCs w:val="21"/>
              </w:rPr>
              <w:t>经办人：</w:t>
            </w:r>
          </w:p>
          <w:p w14:paraId="3238FD8D">
            <w:pPr>
              <w:snapToGrid w:val="0"/>
              <w:spacing w:line="400" w:lineRule="exact"/>
              <w:ind w:firstLine="420" w:firstLineChars="200"/>
              <w:rPr>
                <w:rFonts w:hint="default" w:ascii="宋体" w:hAnsi="宋体" w:eastAsia="宋体"/>
                <w:color w:val="auto"/>
                <w:sz w:val="21"/>
                <w:szCs w:val="21"/>
                <w:lang w:val="en-US" w:eastAsia="zh-CN"/>
              </w:rPr>
            </w:pPr>
            <w:r>
              <w:rPr>
                <w:rFonts w:hint="eastAsia" w:ascii="宋体" w:hAnsi="宋体"/>
                <w:color w:val="auto"/>
                <w:sz w:val="21"/>
                <w:szCs w:val="21"/>
              </w:rPr>
              <w:t>联系电话：</w:t>
            </w:r>
          </w:p>
          <w:p w14:paraId="7414FB57">
            <w:pPr>
              <w:snapToGrid w:val="0"/>
              <w:spacing w:line="400" w:lineRule="exact"/>
              <w:ind w:firstLine="420" w:firstLineChars="200"/>
              <w:rPr>
                <w:rFonts w:ascii="宋体" w:hAnsi="宋体"/>
                <w:color w:val="auto"/>
                <w:sz w:val="21"/>
                <w:szCs w:val="21"/>
              </w:rPr>
            </w:pPr>
            <w:r>
              <w:rPr>
                <w:rFonts w:hint="eastAsia" w:ascii="宋体" w:hAnsi="宋体"/>
                <w:color w:val="auto"/>
                <w:sz w:val="21"/>
                <w:szCs w:val="21"/>
              </w:rPr>
              <w:t>开户银行：</w:t>
            </w:r>
          </w:p>
          <w:p w14:paraId="731D1590">
            <w:pPr>
              <w:snapToGrid w:val="0"/>
              <w:spacing w:line="400" w:lineRule="exact"/>
              <w:ind w:firstLine="420" w:firstLineChars="200"/>
              <w:rPr>
                <w:rFonts w:ascii="宋体" w:hAnsi="宋体"/>
                <w:color w:val="auto"/>
                <w:sz w:val="21"/>
                <w:szCs w:val="21"/>
              </w:rPr>
            </w:pPr>
            <w:r>
              <w:rPr>
                <w:rFonts w:hint="eastAsia" w:ascii="宋体" w:hAnsi="宋体"/>
                <w:color w:val="auto"/>
                <w:sz w:val="21"/>
                <w:szCs w:val="21"/>
              </w:rPr>
              <w:t>银行帐号</w:t>
            </w:r>
            <w:r>
              <w:rPr>
                <w:rFonts w:ascii="宋体" w:hAnsi="宋体"/>
                <w:color w:val="auto"/>
                <w:sz w:val="21"/>
                <w:szCs w:val="21"/>
              </w:rPr>
              <w:t xml:space="preserve">: </w:t>
            </w:r>
          </w:p>
        </w:tc>
      </w:tr>
    </w:tbl>
    <w:p w14:paraId="0A3B7839">
      <w:pPr>
        <w:snapToGrid w:val="0"/>
        <w:spacing w:line="400" w:lineRule="exact"/>
        <w:ind w:firstLine="480" w:firstLineChars="200"/>
        <w:rPr>
          <w:rFonts w:ascii="宋体" w:hAnsi="宋体"/>
          <w:color w:val="auto"/>
          <w:sz w:val="24"/>
          <w:szCs w:val="24"/>
        </w:rPr>
      </w:pPr>
    </w:p>
    <w:p w14:paraId="3657ED7B">
      <w:pPr>
        <w:snapToGrid w:val="0"/>
        <w:spacing w:line="400" w:lineRule="exact"/>
        <w:rPr>
          <w:rFonts w:hint="eastAsia" w:ascii="宋体" w:hAnsi="宋体"/>
          <w:b/>
          <w:color w:val="auto"/>
          <w:sz w:val="24"/>
          <w:szCs w:val="24"/>
        </w:rPr>
      </w:pPr>
    </w:p>
    <w:p w14:paraId="40E6E825">
      <w:pPr>
        <w:snapToGrid w:val="0"/>
        <w:spacing w:line="400" w:lineRule="exact"/>
        <w:rPr>
          <w:rFonts w:hint="eastAsia" w:ascii="宋体" w:hAnsi="宋体"/>
          <w:b/>
          <w:color w:val="auto"/>
          <w:sz w:val="24"/>
          <w:szCs w:val="24"/>
        </w:rPr>
      </w:pPr>
      <w:r>
        <w:rPr>
          <w:rFonts w:hint="eastAsia" w:ascii="宋体" w:hAnsi="宋体"/>
          <w:b/>
          <w:color w:val="auto"/>
          <w:sz w:val="24"/>
          <w:szCs w:val="24"/>
          <w:lang w:val="en-US" w:eastAsia="zh-CN"/>
        </w:rPr>
        <w:t>附件一：</w:t>
      </w:r>
    </w:p>
    <w:p w14:paraId="277B261E">
      <w:pPr>
        <w:jc w:val="center"/>
        <w:rPr>
          <w:color w:val="auto"/>
        </w:rPr>
      </w:pPr>
      <w:r>
        <w:rPr>
          <w:rFonts w:hint="eastAsia"/>
          <w:color w:val="auto"/>
        </w:rPr>
        <w:t>重庆文理学院学生食堂委托经营管理日常考核实施细则</w:t>
      </w:r>
    </w:p>
    <w:tbl>
      <w:tblPr>
        <w:tblStyle w:val="59"/>
        <w:tblW w:w="9923" w:type="dxa"/>
        <w:jc w:val="center"/>
        <w:tblLayout w:type="fixed"/>
        <w:tblCellMar>
          <w:top w:w="0" w:type="dxa"/>
          <w:left w:w="108" w:type="dxa"/>
          <w:bottom w:w="0" w:type="dxa"/>
          <w:right w:w="108" w:type="dxa"/>
        </w:tblCellMar>
      </w:tblPr>
      <w:tblGrid>
        <w:gridCol w:w="499"/>
        <w:gridCol w:w="636"/>
        <w:gridCol w:w="477"/>
        <w:gridCol w:w="3350"/>
        <w:gridCol w:w="709"/>
        <w:gridCol w:w="2693"/>
        <w:gridCol w:w="1559"/>
      </w:tblGrid>
      <w:tr w14:paraId="5B3BEDF0">
        <w:tblPrEx>
          <w:tblCellMar>
            <w:top w:w="0" w:type="dxa"/>
            <w:left w:w="108" w:type="dxa"/>
            <w:bottom w:w="0" w:type="dxa"/>
            <w:right w:w="108" w:type="dxa"/>
          </w:tblCellMar>
        </w:tblPrEx>
        <w:trPr>
          <w:trHeight w:val="480" w:hRule="atLeast"/>
          <w:jc w:val="center"/>
        </w:trPr>
        <w:tc>
          <w:tcPr>
            <w:tcW w:w="499" w:type="dxa"/>
            <w:tcBorders>
              <w:top w:val="single" w:color="auto" w:sz="4" w:space="0"/>
              <w:left w:val="single" w:color="auto" w:sz="4" w:space="0"/>
              <w:bottom w:val="single" w:color="auto" w:sz="4" w:space="0"/>
              <w:right w:val="single" w:color="auto" w:sz="4" w:space="0"/>
            </w:tcBorders>
            <w:noWrap w:val="0"/>
            <w:vAlign w:val="center"/>
          </w:tcPr>
          <w:p w14:paraId="25033F09">
            <w:pPr>
              <w:rPr>
                <w:rFonts w:ascii="宋体" w:hAnsi="宋体" w:cs="宋体"/>
                <w:color w:val="auto"/>
                <w:sz w:val="18"/>
                <w:szCs w:val="18"/>
              </w:rPr>
            </w:pPr>
            <w:r>
              <w:rPr>
                <w:rFonts w:hint="eastAsia" w:ascii="宋体" w:hAnsi="宋体" w:cs="宋体"/>
                <w:color w:val="auto"/>
                <w:sz w:val="18"/>
                <w:szCs w:val="18"/>
              </w:rPr>
              <w:t>序号</w:t>
            </w:r>
          </w:p>
        </w:tc>
        <w:tc>
          <w:tcPr>
            <w:tcW w:w="636" w:type="dxa"/>
            <w:tcBorders>
              <w:top w:val="single" w:color="auto" w:sz="4" w:space="0"/>
              <w:left w:val="single" w:color="auto" w:sz="4" w:space="0"/>
              <w:bottom w:val="single" w:color="auto" w:sz="4" w:space="0"/>
              <w:right w:val="single" w:color="auto" w:sz="4" w:space="0"/>
            </w:tcBorders>
            <w:noWrap w:val="0"/>
            <w:vAlign w:val="center"/>
          </w:tcPr>
          <w:p w14:paraId="7F7F1121">
            <w:pPr>
              <w:rPr>
                <w:rFonts w:ascii="宋体" w:hAnsi="宋体" w:cs="宋体"/>
                <w:color w:val="auto"/>
                <w:sz w:val="18"/>
                <w:szCs w:val="18"/>
              </w:rPr>
            </w:pPr>
            <w:r>
              <w:rPr>
                <w:rFonts w:hint="eastAsia" w:ascii="宋体" w:hAnsi="宋体" w:cs="宋体"/>
                <w:color w:val="auto"/>
                <w:sz w:val="18"/>
                <w:szCs w:val="18"/>
              </w:rPr>
              <w:t>考核项目</w:t>
            </w:r>
          </w:p>
        </w:tc>
        <w:tc>
          <w:tcPr>
            <w:tcW w:w="3827" w:type="dxa"/>
            <w:gridSpan w:val="2"/>
            <w:tcBorders>
              <w:top w:val="single" w:color="auto" w:sz="4" w:space="0"/>
              <w:left w:val="single" w:color="auto" w:sz="4" w:space="0"/>
              <w:bottom w:val="single" w:color="auto" w:sz="4" w:space="0"/>
              <w:right w:val="single" w:color="auto" w:sz="4" w:space="0"/>
            </w:tcBorders>
            <w:noWrap w:val="0"/>
            <w:vAlign w:val="center"/>
          </w:tcPr>
          <w:p w14:paraId="13835CDD">
            <w:pPr>
              <w:rPr>
                <w:rFonts w:ascii="宋体" w:hAnsi="宋体" w:cs="宋体"/>
                <w:color w:val="auto"/>
                <w:sz w:val="18"/>
                <w:szCs w:val="18"/>
              </w:rPr>
            </w:pPr>
            <w:r>
              <w:rPr>
                <w:rFonts w:hint="eastAsia" w:ascii="宋体" w:hAnsi="宋体" w:cs="宋体"/>
                <w:color w:val="auto"/>
                <w:sz w:val="18"/>
                <w:szCs w:val="18"/>
              </w:rPr>
              <w:t>规范要求</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8AF1FCD">
            <w:pPr>
              <w:rPr>
                <w:rFonts w:ascii="宋体" w:hAnsi="宋体" w:cs="宋体"/>
                <w:color w:val="auto"/>
                <w:sz w:val="18"/>
                <w:szCs w:val="18"/>
              </w:rPr>
            </w:pPr>
            <w:r>
              <w:rPr>
                <w:rFonts w:hint="eastAsia" w:ascii="宋体" w:hAnsi="宋体" w:cs="宋体"/>
                <w:color w:val="auto"/>
                <w:sz w:val="18"/>
                <w:szCs w:val="18"/>
              </w:rPr>
              <w:t>考核方式</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13905E6B">
            <w:pPr>
              <w:rPr>
                <w:rFonts w:ascii="宋体" w:hAnsi="宋体" w:cs="宋体"/>
                <w:color w:val="auto"/>
                <w:sz w:val="18"/>
                <w:szCs w:val="18"/>
              </w:rPr>
            </w:pPr>
            <w:r>
              <w:rPr>
                <w:rFonts w:hint="eastAsia" w:ascii="宋体" w:hAnsi="宋体" w:cs="宋体"/>
                <w:color w:val="auto"/>
                <w:sz w:val="18"/>
                <w:szCs w:val="18"/>
              </w:rPr>
              <w:t>支付违约金标准</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3F4E9CEF">
            <w:pPr>
              <w:rPr>
                <w:rFonts w:ascii="宋体" w:hAnsi="宋体" w:cs="宋体"/>
                <w:color w:val="auto"/>
                <w:sz w:val="18"/>
                <w:szCs w:val="18"/>
              </w:rPr>
            </w:pPr>
            <w:r>
              <w:rPr>
                <w:rFonts w:hint="eastAsia" w:ascii="宋体" w:hAnsi="宋体" w:cs="宋体"/>
                <w:color w:val="auto"/>
                <w:sz w:val="18"/>
                <w:szCs w:val="18"/>
              </w:rPr>
              <w:t>扣分标准</w:t>
            </w:r>
          </w:p>
        </w:tc>
      </w:tr>
      <w:tr w14:paraId="0E36731D">
        <w:tblPrEx>
          <w:tblCellMar>
            <w:top w:w="0" w:type="dxa"/>
            <w:left w:w="108" w:type="dxa"/>
            <w:bottom w:w="0" w:type="dxa"/>
            <w:right w:w="108" w:type="dxa"/>
          </w:tblCellMar>
        </w:tblPrEx>
        <w:trPr>
          <w:trHeight w:val="480" w:hRule="atLeast"/>
          <w:jc w:val="center"/>
        </w:trPr>
        <w:tc>
          <w:tcPr>
            <w:tcW w:w="499" w:type="dxa"/>
            <w:vMerge w:val="restart"/>
            <w:tcBorders>
              <w:top w:val="single" w:color="auto" w:sz="4" w:space="0"/>
              <w:left w:val="single" w:color="auto" w:sz="4" w:space="0"/>
              <w:bottom w:val="single" w:color="auto" w:sz="4" w:space="0"/>
              <w:right w:val="single" w:color="auto" w:sz="4" w:space="0"/>
            </w:tcBorders>
            <w:noWrap w:val="0"/>
            <w:vAlign w:val="center"/>
          </w:tcPr>
          <w:p w14:paraId="260A96DD">
            <w:pPr>
              <w:rPr>
                <w:rFonts w:ascii="宋体" w:hAnsi="宋体" w:cs="宋体"/>
                <w:color w:val="auto"/>
                <w:sz w:val="18"/>
                <w:szCs w:val="18"/>
              </w:rPr>
            </w:pPr>
            <w:r>
              <w:rPr>
                <w:rFonts w:hint="eastAsia" w:ascii="宋体" w:hAnsi="宋体" w:cs="宋体"/>
                <w:color w:val="auto"/>
                <w:sz w:val="18"/>
                <w:szCs w:val="18"/>
              </w:rPr>
              <w:t>一</w:t>
            </w:r>
          </w:p>
        </w:tc>
        <w:tc>
          <w:tcPr>
            <w:tcW w:w="636" w:type="dxa"/>
            <w:vMerge w:val="restart"/>
            <w:tcBorders>
              <w:top w:val="single" w:color="auto" w:sz="4" w:space="0"/>
              <w:left w:val="single" w:color="auto" w:sz="4" w:space="0"/>
              <w:bottom w:val="single" w:color="auto" w:sz="4" w:space="0"/>
              <w:right w:val="single" w:color="auto" w:sz="4" w:space="0"/>
            </w:tcBorders>
            <w:noWrap w:val="0"/>
            <w:textDirection w:val="tbRlV"/>
            <w:vAlign w:val="center"/>
          </w:tcPr>
          <w:p w14:paraId="6D69CBA3">
            <w:pPr>
              <w:jc w:val="center"/>
              <w:rPr>
                <w:rFonts w:ascii="宋体" w:hAnsi="宋体" w:cs="宋体"/>
                <w:color w:val="auto"/>
                <w:sz w:val="18"/>
                <w:szCs w:val="18"/>
              </w:rPr>
            </w:pPr>
            <w:r>
              <w:rPr>
                <w:rFonts w:hint="eastAsia" w:ascii="宋体" w:hAnsi="宋体" w:cs="宋体"/>
                <w:color w:val="auto"/>
                <w:sz w:val="18"/>
                <w:szCs w:val="18"/>
              </w:rPr>
              <w:t>安全管理</w:t>
            </w:r>
          </w:p>
        </w:tc>
        <w:tc>
          <w:tcPr>
            <w:tcW w:w="477" w:type="dxa"/>
            <w:vMerge w:val="restart"/>
            <w:tcBorders>
              <w:top w:val="single" w:color="auto" w:sz="4" w:space="0"/>
              <w:left w:val="single" w:color="auto" w:sz="4" w:space="0"/>
              <w:bottom w:val="single" w:color="auto" w:sz="4" w:space="0"/>
              <w:right w:val="single" w:color="auto" w:sz="4" w:space="0"/>
            </w:tcBorders>
            <w:noWrap w:val="0"/>
            <w:textDirection w:val="tbRlV"/>
            <w:vAlign w:val="center"/>
          </w:tcPr>
          <w:p w14:paraId="335CBCC9">
            <w:pPr>
              <w:jc w:val="center"/>
              <w:rPr>
                <w:rFonts w:ascii="宋体" w:hAnsi="宋体" w:cs="宋体"/>
                <w:color w:val="auto"/>
                <w:sz w:val="18"/>
                <w:szCs w:val="18"/>
              </w:rPr>
            </w:pPr>
            <w:r>
              <w:rPr>
                <w:rFonts w:hint="eastAsia" w:ascii="宋体" w:hAnsi="宋体" w:cs="宋体"/>
                <w:color w:val="auto"/>
                <w:sz w:val="18"/>
                <w:szCs w:val="18"/>
              </w:rPr>
              <w:t>食品卫生安全</w:t>
            </w:r>
          </w:p>
        </w:tc>
        <w:tc>
          <w:tcPr>
            <w:tcW w:w="3350" w:type="dxa"/>
            <w:tcBorders>
              <w:top w:val="single" w:color="auto" w:sz="4" w:space="0"/>
              <w:left w:val="single" w:color="auto" w:sz="4" w:space="0"/>
              <w:bottom w:val="single" w:color="auto" w:sz="4" w:space="0"/>
              <w:right w:val="single" w:color="auto" w:sz="4" w:space="0"/>
            </w:tcBorders>
            <w:noWrap w:val="0"/>
            <w:vAlign w:val="center"/>
          </w:tcPr>
          <w:p w14:paraId="52C45372">
            <w:pPr>
              <w:rPr>
                <w:rFonts w:ascii="宋体" w:hAnsi="宋体" w:cs="宋体"/>
                <w:color w:val="auto"/>
                <w:sz w:val="18"/>
                <w:szCs w:val="18"/>
              </w:rPr>
            </w:pPr>
            <w:r>
              <w:rPr>
                <w:rFonts w:ascii="宋体" w:hAnsi="宋体" w:cs="宋体"/>
                <w:color w:val="auto"/>
                <w:sz w:val="18"/>
                <w:szCs w:val="18"/>
              </w:rPr>
              <w:t>1.应建有针对性的各岗位职责及工作流程制度</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B3F6804">
            <w:pPr>
              <w:rPr>
                <w:rFonts w:ascii="宋体" w:hAnsi="宋体" w:cs="宋体"/>
                <w:color w:val="auto"/>
                <w:sz w:val="18"/>
                <w:szCs w:val="18"/>
              </w:rPr>
            </w:pPr>
            <w:r>
              <w:rPr>
                <w:rFonts w:hint="eastAsia" w:ascii="宋体" w:hAnsi="宋体" w:cs="宋体"/>
                <w:color w:val="auto"/>
                <w:sz w:val="18"/>
                <w:szCs w:val="18"/>
              </w:rPr>
              <w:t>查看制度</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6F57F794">
            <w:pPr>
              <w:rPr>
                <w:rFonts w:ascii="宋体" w:hAnsi="宋体" w:cs="宋体"/>
                <w:color w:val="auto"/>
                <w:sz w:val="18"/>
                <w:szCs w:val="18"/>
              </w:rPr>
            </w:pPr>
            <w:r>
              <w:rPr>
                <w:rFonts w:hint="eastAsia" w:ascii="宋体" w:hAnsi="宋体" w:cs="宋体"/>
                <w:color w:val="auto"/>
                <w:sz w:val="18"/>
                <w:szCs w:val="18"/>
              </w:rPr>
              <w:t>缺一项制度每次支付违约金</w:t>
            </w:r>
            <w:r>
              <w:rPr>
                <w:rFonts w:ascii="宋体" w:hAnsi="宋体" w:cs="宋体"/>
                <w:color w:val="auto"/>
                <w:sz w:val="18"/>
                <w:szCs w:val="18"/>
              </w:rPr>
              <w:t>1000元</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4D7A73D2">
            <w:pPr>
              <w:rPr>
                <w:rFonts w:ascii="宋体" w:hAnsi="宋体" w:cs="宋体"/>
                <w:color w:val="auto"/>
                <w:sz w:val="18"/>
                <w:szCs w:val="18"/>
              </w:rPr>
            </w:pPr>
            <w:r>
              <w:rPr>
                <w:rFonts w:hint="eastAsia" w:ascii="宋体" w:hAnsi="宋体" w:cs="宋体"/>
                <w:color w:val="auto"/>
                <w:sz w:val="18"/>
                <w:szCs w:val="18"/>
              </w:rPr>
              <w:t>缺一项每次扣</w:t>
            </w:r>
            <w:r>
              <w:rPr>
                <w:rFonts w:ascii="宋体" w:hAnsi="宋体" w:cs="宋体"/>
                <w:color w:val="auto"/>
                <w:sz w:val="18"/>
                <w:szCs w:val="18"/>
              </w:rPr>
              <w:t>1分</w:t>
            </w:r>
          </w:p>
        </w:tc>
      </w:tr>
      <w:tr w14:paraId="400314DC">
        <w:tblPrEx>
          <w:tblCellMar>
            <w:top w:w="0" w:type="dxa"/>
            <w:left w:w="108" w:type="dxa"/>
            <w:bottom w:w="0" w:type="dxa"/>
            <w:right w:w="108" w:type="dxa"/>
          </w:tblCellMar>
        </w:tblPrEx>
        <w:trPr>
          <w:trHeight w:val="480" w:hRule="atLeast"/>
          <w:jc w:val="center"/>
        </w:trPr>
        <w:tc>
          <w:tcPr>
            <w:tcW w:w="499" w:type="dxa"/>
            <w:vMerge w:val="continue"/>
            <w:tcBorders>
              <w:top w:val="single" w:color="auto" w:sz="4" w:space="0"/>
              <w:left w:val="single" w:color="auto" w:sz="4" w:space="0"/>
              <w:bottom w:val="single" w:color="auto" w:sz="4" w:space="0"/>
              <w:right w:val="single" w:color="auto" w:sz="4" w:space="0"/>
            </w:tcBorders>
            <w:noWrap w:val="0"/>
            <w:vAlign w:val="center"/>
          </w:tcPr>
          <w:p w14:paraId="454E7759">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25F7C732">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noWrap w:val="0"/>
            <w:vAlign w:val="center"/>
          </w:tcPr>
          <w:p w14:paraId="4ACE5742">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noWrap w:val="0"/>
            <w:vAlign w:val="center"/>
          </w:tcPr>
          <w:p w14:paraId="7C1D58F0">
            <w:pPr>
              <w:rPr>
                <w:rFonts w:ascii="宋体" w:hAnsi="宋体" w:cs="宋体"/>
                <w:color w:val="auto"/>
                <w:sz w:val="18"/>
                <w:szCs w:val="18"/>
              </w:rPr>
            </w:pPr>
            <w:r>
              <w:rPr>
                <w:rFonts w:ascii="宋体" w:hAnsi="宋体" w:cs="宋体"/>
                <w:color w:val="auto"/>
                <w:sz w:val="18"/>
                <w:szCs w:val="18"/>
              </w:rPr>
              <w:t>2.应建有卫生与安全责任制度和责任追究制度</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EA96ED2">
            <w:pPr>
              <w:rPr>
                <w:rFonts w:ascii="宋体" w:hAnsi="宋体" w:cs="宋体"/>
                <w:color w:val="auto"/>
                <w:sz w:val="18"/>
                <w:szCs w:val="18"/>
              </w:rPr>
            </w:pPr>
            <w:r>
              <w:rPr>
                <w:rFonts w:hint="eastAsia" w:ascii="宋体" w:hAnsi="宋体" w:cs="宋体"/>
                <w:color w:val="auto"/>
                <w:sz w:val="18"/>
                <w:szCs w:val="18"/>
              </w:rPr>
              <w:t>查看制度</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323CA841">
            <w:pPr>
              <w:rPr>
                <w:rFonts w:ascii="宋体" w:hAnsi="宋体" w:cs="宋体"/>
                <w:color w:val="auto"/>
                <w:sz w:val="18"/>
                <w:szCs w:val="18"/>
              </w:rPr>
            </w:pPr>
            <w:r>
              <w:rPr>
                <w:rFonts w:hint="eastAsia" w:ascii="宋体" w:hAnsi="宋体" w:cs="宋体"/>
                <w:color w:val="auto"/>
                <w:sz w:val="18"/>
                <w:szCs w:val="18"/>
              </w:rPr>
              <w:t>缺一项制度每次支付违约金</w:t>
            </w:r>
            <w:r>
              <w:rPr>
                <w:rFonts w:ascii="宋体" w:hAnsi="宋体" w:cs="宋体"/>
                <w:color w:val="auto"/>
                <w:sz w:val="18"/>
                <w:szCs w:val="18"/>
              </w:rPr>
              <w:t>1000元</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4E62331F">
            <w:pPr>
              <w:rPr>
                <w:rFonts w:ascii="宋体" w:hAnsi="宋体" w:cs="宋体"/>
                <w:color w:val="auto"/>
                <w:sz w:val="18"/>
                <w:szCs w:val="18"/>
              </w:rPr>
            </w:pPr>
            <w:r>
              <w:rPr>
                <w:rFonts w:hint="eastAsia" w:ascii="宋体" w:hAnsi="宋体" w:cs="宋体"/>
                <w:color w:val="auto"/>
                <w:sz w:val="18"/>
                <w:szCs w:val="18"/>
              </w:rPr>
              <w:t>缺一项每次扣</w:t>
            </w:r>
            <w:r>
              <w:rPr>
                <w:rFonts w:ascii="宋体" w:hAnsi="宋体" w:cs="宋体"/>
                <w:color w:val="auto"/>
                <w:sz w:val="18"/>
                <w:szCs w:val="18"/>
              </w:rPr>
              <w:t>1分</w:t>
            </w:r>
          </w:p>
        </w:tc>
      </w:tr>
      <w:tr w14:paraId="3943FBC8">
        <w:tblPrEx>
          <w:tblCellMar>
            <w:top w:w="0" w:type="dxa"/>
            <w:left w:w="108" w:type="dxa"/>
            <w:bottom w:w="0" w:type="dxa"/>
            <w:right w:w="108" w:type="dxa"/>
          </w:tblCellMar>
        </w:tblPrEx>
        <w:trPr>
          <w:trHeight w:val="960" w:hRule="atLeast"/>
          <w:jc w:val="center"/>
        </w:trPr>
        <w:tc>
          <w:tcPr>
            <w:tcW w:w="499" w:type="dxa"/>
            <w:vMerge w:val="continue"/>
            <w:tcBorders>
              <w:top w:val="single" w:color="auto" w:sz="4" w:space="0"/>
              <w:left w:val="single" w:color="auto" w:sz="4" w:space="0"/>
              <w:bottom w:val="single" w:color="auto" w:sz="4" w:space="0"/>
              <w:right w:val="single" w:color="auto" w:sz="4" w:space="0"/>
            </w:tcBorders>
            <w:noWrap w:val="0"/>
            <w:vAlign w:val="center"/>
          </w:tcPr>
          <w:p w14:paraId="4E9D8AC8">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2B3B07DB">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noWrap w:val="0"/>
            <w:vAlign w:val="center"/>
          </w:tcPr>
          <w:p w14:paraId="0FA6BA40">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noWrap w:val="0"/>
            <w:vAlign w:val="center"/>
          </w:tcPr>
          <w:p w14:paraId="69CE223F">
            <w:pPr>
              <w:rPr>
                <w:rFonts w:ascii="宋体" w:hAnsi="宋体" w:cs="宋体"/>
                <w:color w:val="auto"/>
                <w:sz w:val="18"/>
                <w:szCs w:val="18"/>
              </w:rPr>
            </w:pPr>
            <w:r>
              <w:rPr>
                <w:rFonts w:ascii="宋体" w:hAnsi="宋体" w:cs="宋体"/>
                <w:color w:val="auto"/>
                <w:sz w:val="18"/>
                <w:szCs w:val="18"/>
              </w:rPr>
              <w:t>3.应持有效证件经营</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AC9ABF3">
            <w:pPr>
              <w:rPr>
                <w:rFonts w:ascii="宋体" w:hAnsi="宋体" w:cs="宋体"/>
                <w:color w:val="auto"/>
                <w:sz w:val="18"/>
                <w:szCs w:val="18"/>
              </w:rPr>
            </w:pPr>
            <w:r>
              <w:rPr>
                <w:rFonts w:hint="eastAsia" w:ascii="宋体" w:hAnsi="宋体" w:cs="宋体"/>
                <w:color w:val="auto"/>
                <w:sz w:val="18"/>
                <w:szCs w:val="18"/>
              </w:rPr>
              <w:t>现场检查</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1DA2CC69">
            <w:pPr>
              <w:rPr>
                <w:rFonts w:ascii="宋体" w:hAnsi="宋体" w:cs="宋体"/>
                <w:color w:val="auto"/>
                <w:sz w:val="18"/>
                <w:szCs w:val="18"/>
              </w:rPr>
            </w:pPr>
            <w:r>
              <w:rPr>
                <w:rFonts w:hint="eastAsia" w:ascii="宋体" w:hAnsi="宋体" w:cs="宋体"/>
                <w:color w:val="auto"/>
                <w:sz w:val="18"/>
                <w:szCs w:val="18"/>
              </w:rPr>
              <w:t>无证经营或证件无效除由经营者支付相关主管部门的罚款外，学校将按</w:t>
            </w:r>
            <w:r>
              <w:rPr>
                <w:rFonts w:ascii="宋体" w:hAnsi="宋体" w:cs="宋体"/>
                <w:color w:val="auto"/>
                <w:sz w:val="18"/>
                <w:szCs w:val="18"/>
              </w:rPr>
              <w:t>5000—50000元进行处罚并有权解除经营管理合同</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0E674375">
            <w:pPr>
              <w:rPr>
                <w:rFonts w:ascii="宋体" w:hAnsi="宋体" w:cs="宋体"/>
                <w:color w:val="auto"/>
                <w:sz w:val="18"/>
                <w:szCs w:val="18"/>
              </w:rPr>
            </w:pPr>
            <w:r>
              <w:rPr>
                <w:rFonts w:hint="eastAsia" w:ascii="宋体" w:hAnsi="宋体" w:cs="宋体"/>
                <w:color w:val="auto"/>
                <w:sz w:val="18"/>
                <w:szCs w:val="18"/>
              </w:rPr>
              <w:t>无证经营或证件无效扣</w:t>
            </w:r>
            <w:r>
              <w:rPr>
                <w:rFonts w:ascii="宋体" w:hAnsi="宋体" w:cs="宋体"/>
                <w:color w:val="auto"/>
                <w:sz w:val="18"/>
                <w:szCs w:val="18"/>
              </w:rPr>
              <w:t>5分</w:t>
            </w:r>
          </w:p>
        </w:tc>
      </w:tr>
      <w:tr w14:paraId="4E81770D">
        <w:tblPrEx>
          <w:tblCellMar>
            <w:top w:w="0" w:type="dxa"/>
            <w:left w:w="108" w:type="dxa"/>
            <w:bottom w:w="0" w:type="dxa"/>
            <w:right w:w="108" w:type="dxa"/>
          </w:tblCellMar>
        </w:tblPrEx>
        <w:trPr>
          <w:trHeight w:val="480" w:hRule="atLeast"/>
          <w:jc w:val="center"/>
        </w:trPr>
        <w:tc>
          <w:tcPr>
            <w:tcW w:w="499" w:type="dxa"/>
            <w:vMerge w:val="continue"/>
            <w:tcBorders>
              <w:top w:val="single" w:color="auto" w:sz="4" w:space="0"/>
              <w:left w:val="single" w:color="auto" w:sz="4" w:space="0"/>
              <w:bottom w:val="single" w:color="auto" w:sz="4" w:space="0"/>
              <w:right w:val="single" w:color="auto" w:sz="4" w:space="0"/>
            </w:tcBorders>
            <w:noWrap w:val="0"/>
            <w:vAlign w:val="center"/>
          </w:tcPr>
          <w:p w14:paraId="1C2A4C89">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740D53CC">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noWrap w:val="0"/>
            <w:vAlign w:val="center"/>
          </w:tcPr>
          <w:p w14:paraId="2FCE2839">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noWrap w:val="0"/>
            <w:vAlign w:val="center"/>
          </w:tcPr>
          <w:p w14:paraId="74030924">
            <w:pPr>
              <w:rPr>
                <w:rFonts w:ascii="宋体" w:hAnsi="宋体" w:cs="宋体"/>
                <w:color w:val="auto"/>
                <w:sz w:val="18"/>
                <w:szCs w:val="18"/>
              </w:rPr>
            </w:pPr>
            <w:r>
              <w:rPr>
                <w:rFonts w:ascii="宋体" w:hAnsi="宋体" w:cs="宋体"/>
                <w:color w:val="auto"/>
                <w:sz w:val="18"/>
                <w:szCs w:val="18"/>
              </w:rPr>
              <w:t>4．建立并执行从业人员资格审查和健康管理制度。从业人员入职时应提供真实有效的无犯罪记录证明、心理健康测试报告和健康证。入职后，按要求开展资格审查和健康管理。</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1603DF9">
            <w:pPr>
              <w:rPr>
                <w:rFonts w:ascii="宋体" w:hAnsi="宋体" w:cs="宋体"/>
                <w:color w:val="auto"/>
                <w:sz w:val="18"/>
                <w:szCs w:val="18"/>
              </w:rPr>
            </w:pPr>
            <w:r>
              <w:rPr>
                <w:rFonts w:hint="eastAsia" w:ascii="宋体" w:hAnsi="宋体" w:cs="宋体"/>
                <w:color w:val="auto"/>
                <w:sz w:val="18"/>
                <w:szCs w:val="18"/>
              </w:rPr>
              <w:t>现场</w:t>
            </w:r>
          </w:p>
          <w:p w14:paraId="5BB583D3">
            <w:pPr>
              <w:rPr>
                <w:rFonts w:ascii="宋体" w:hAnsi="宋体" w:cs="宋体"/>
                <w:color w:val="auto"/>
                <w:sz w:val="18"/>
                <w:szCs w:val="18"/>
              </w:rPr>
            </w:pPr>
            <w:r>
              <w:rPr>
                <w:rFonts w:hint="eastAsia" w:ascii="宋体" w:hAnsi="宋体" w:cs="宋体"/>
                <w:color w:val="auto"/>
                <w:sz w:val="18"/>
                <w:szCs w:val="18"/>
              </w:rPr>
              <w:t>检查</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2E842D91">
            <w:pPr>
              <w:rPr>
                <w:rFonts w:ascii="宋体" w:hAnsi="宋体" w:cs="宋体"/>
                <w:color w:val="auto"/>
                <w:sz w:val="18"/>
                <w:szCs w:val="18"/>
              </w:rPr>
            </w:pPr>
            <w:r>
              <w:rPr>
                <w:rFonts w:hint="eastAsia" w:ascii="宋体" w:hAnsi="宋体" w:cs="宋体"/>
                <w:color w:val="auto"/>
                <w:sz w:val="18"/>
                <w:szCs w:val="18"/>
              </w:rPr>
              <w:t>缺制度的支付违约金</w:t>
            </w:r>
            <w:r>
              <w:rPr>
                <w:rFonts w:ascii="宋体" w:hAnsi="宋体" w:cs="宋体"/>
                <w:color w:val="auto"/>
                <w:sz w:val="18"/>
                <w:szCs w:val="18"/>
              </w:rPr>
              <w:t>1000元/项/次，制度未落实到位支付违约金2000元/人次</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446E468D">
            <w:pPr>
              <w:rPr>
                <w:rFonts w:ascii="宋体" w:hAnsi="宋体" w:cs="宋体"/>
                <w:color w:val="auto"/>
                <w:sz w:val="18"/>
                <w:szCs w:val="18"/>
              </w:rPr>
            </w:pPr>
            <w:r>
              <w:rPr>
                <w:rFonts w:hint="eastAsia" w:ascii="宋体" w:hAnsi="宋体" w:cs="宋体"/>
                <w:color w:val="auto"/>
                <w:sz w:val="18"/>
                <w:szCs w:val="18"/>
              </w:rPr>
              <w:t>未建有相应制度扣</w:t>
            </w:r>
            <w:r>
              <w:rPr>
                <w:rFonts w:ascii="宋体" w:hAnsi="宋体" w:cs="宋体"/>
                <w:color w:val="auto"/>
                <w:sz w:val="18"/>
                <w:szCs w:val="18"/>
              </w:rPr>
              <w:t>0.5分/次；制度未落实到位的扣1分/次</w:t>
            </w:r>
          </w:p>
        </w:tc>
      </w:tr>
      <w:tr w14:paraId="12149DC0">
        <w:tblPrEx>
          <w:tblCellMar>
            <w:top w:w="0" w:type="dxa"/>
            <w:left w:w="108" w:type="dxa"/>
            <w:bottom w:w="0" w:type="dxa"/>
            <w:right w:w="108" w:type="dxa"/>
          </w:tblCellMar>
        </w:tblPrEx>
        <w:trPr>
          <w:trHeight w:val="720" w:hRule="atLeast"/>
          <w:jc w:val="center"/>
        </w:trPr>
        <w:tc>
          <w:tcPr>
            <w:tcW w:w="499" w:type="dxa"/>
            <w:vMerge w:val="continue"/>
            <w:tcBorders>
              <w:top w:val="single" w:color="auto" w:sz="4" w:space="0"/>
              <w:left w:val="single" w:color="auto" w:sz="4" w:space="0"/>
              <w:bottom w:val="single" w:color="auto" w:sz="4" w:space="0"/>
              <w:right w:val="single" w:color="auto" w:sz="4" w:space="0"/>
            </w:tcBorders>
            <w:noWrap w:val="0"/>
            <w:vAlign w:val="center"/>
          </w:tcPr>
          <w:p w14:paraId="48361B5C">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0BE5BB0B">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noWrap w:val="0"/>
            <w:vAlign w:val="center"/>
          </w:tcPr>
          <w:p w14:paraId="7CBA9BF5">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noWrap w:val="0"/>
            <w:vAlign w:val="center"/>
          </w:tcPr>
          <w:p w14:paraId="69474EBE">
            <w:pPr>
              <w:rPr>
                <w:rFonts w:ascii="宋体" w:hAnsi="宋体" w:cs="宋体"/>
                <w:color w:val="auto"/>
                <w:sz w:val="18"/>
                <w:szCs w:val="18"/>
              </w:rPr>
            </w:pPr>
            <w:r>
              <w:rPr>
                <w:rFonts w:ascii="宋体" w:hAnsi="宋体" w:cs="宋体"/>
                <w:color w:val="auto"/>
                <w:sz w:val="18"/>
                <w:szCs w:val="18"/>
              </w:rPr>
              <w:t>5.应严格执行食品卫生法律、法规，无投毒或食物中毒事故或肠道传染病发生</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3A93782">
            <w:pPr>
              <w:rPr>
                <w:rFonts w:ascii="宋体" w:hAnsi="宋体" w:cs="宋体"/>
                <w:color w:val="auto"/>
                <w:sz w:val="18"/>
                <w:szCs w:val="18"/>
              </w:rPr>
            </w:pPr>
            <w:r>
              <w:rPr>
                <w:rFonts w:hint="eastAsia" w:ascii="宋体" w:hAnsi="宋体" w:cs="宋体"/>
                <w:color w:val="auto"/>
                <w:sz w:val="18"/>
                <w:szCs w:val="18"/>
              </w:rPr>
              <w:t>现场检查</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6BB3DE8D">
            <w:pPr>
              <w:rPr>
                <w:rFonts w:ascii="宋体" w:hAnsi="宋体" w:cs="宋体"/>
                <w:color w:val="auto"/>
                <w:sz w:val="18"/>
                <w:szCs w:val="18"/>
              </w:rPr>
            </w:pPr>
            <w:r>
              <w:rPr>
                <w:rFonts w:hint="eastAsia" w:ascii="宋体" w:hAnsi="宋体" w:cs="宋体"/>
                <w:color w:val="auto"/>
                <w:sz w:val="18"/>
                <w:szCs w:val="18"/>
              </w:rPr>
              <w:t>发生投毒或食物中毒或肠道传染病事件，情节严重者，</w:t>
            </w:r>
            <w:r>
              <w:rPr>
                <w:rFonts w:hint="eastAsia" w:ascii="宋体" w:hAnsi="宋体" w:cs="宋体"/>
                <w:color w:val="auto"/>
                <w:sz w:val="18"/>
                <w:szCs w:val="18"/>
                <w:lang w:eastAsia="zh-CN"/>
              </w:rPr>
              <w:t>甲方</w:t>
            </w:r>
            <w:r>
              <w:rPr>
                <w:rFonts w:hint="eastAsia" w:ascii="宋体" w:hAnsi="宋体" w:cs="宋体"/>
                <w:color w:val="auto"/>
                <w:sz w:val="18"/>
                <w:szCs w:val="18"/>
              </w:rPr>
              <w:t>除不退还履约保证金外，还应承担</w:t>
            </w:r>
            <w:r>
              <w:rPr>
                <w:rFonts w:ascii="宋体" w:hAnsi="宋体" w:cs="宋体"/>
                <w:color w:val="auto"/>
                <w:sz w:val="18"/>
                <w:szCs w:val="18"/>
              </w:rPr>
              <w:t>50000元/次的合同违约金，由此造成的所有责任</w:t>
            </w:r>
            <w:r>
              <w:rPr>
                <w:rFonts w:hint="eastAsia" w:ascii="宋体" w:hAnsi="宋体" w:cs="宋体"/>
                <w:color w:val="auto"/>
                <w:sz w:val="18"/>
                <w:szCs w:val="18"/>
              </w:rPr>
              <w:t>由</w:t>
            </w:r>
            <w:r>
              <w:rPr>
                <w:rFonts w:hint="eastAsia" w:ascii="宋体" w:hAnsi="宋体" w:cs="宋体"/>
                <w:color w:val="auto"/>
                <w:sz w:val="18"/>
                <w:szCs w:val="18"/>
                <w:lang w:eastAsia="zh-CN"/>
              </w:rPr>
              <w:t>乙方</w:t>
            </w:r>
            <w:r>
              <w:rPr>
                <w:rFonts w:hint="eastAsia" w:ascii="宋体" w:hAnsi="宋体" w:cs="宋体"/>
                <w:color w:val="auto"/>
                <w:sz w:val="18"/>
                <w:szCs w:val="18"/>
              </w:rPr>
              <w:t>承担（包括对</w:t>
            </w:r>
            <w:r>
              <w:rPr>
                <w:rFonts w:hint="eastAsia" w:ascii="宋体" w:hAnsi="宋体" w:cs="宋体"/>
                <w:color w:val="auto"/>
                <w:sz w:val="18"/>
                <w:szCs w:val="18"/>
                <w:lang w:eastAsia="zh-CN"/>
              </w:rPr>
              <w:t>甲方</w:t>
            </w:r>
            <w:r>
              <w:rPr>
                <w:rFonts w:hint="eastAsia" w:ascii="宋体" w:hAnsi="宋体" w:cs="宋体"/>
                <w:color w:val="auto"/>
                <w:sz w:val="18"/>
                <w:szCs w:val="18"/>
              </w:rPr>
              <w:t>相关管理人员的经济处罚），且</w:t>
            </w:r>
            <w:r>
              <w:rPr>
                <w:rFonts w:hint="eastAsia" w:ascii="宋体" w:hAnsi="宋体" w:cs="宋体"/>
                <w:color w:val="auto"/>
                <w:sz w:val="18"/>
                <w:szCs w:val="18"/>
                <w:lang w:eastAsia="zh-CN"/>
              </w:rPr>
              <w:t>甲方</w:t>
            </w:r>
            <w:r>
              <w:rPr>
                <w:rFonts w:hint="eastAsia" w:ascii="宋体" w:hAnsi="宋体" w:cs="宋体"/>
                <w:color w:val="auto"/>
                <w:sz w:val="18"/>
                <w:szCs w:val="18"/>
              </w:rPr>
              <w:t>有权解除合同</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28BB6091">
            <w:pPr>
              <w:rPr>
                <w:rFonts w:ascii="宋体" w:hAnsi="宋体" w:cs="宋体"/>
                <w:color w:val="auto"/>
                <w:sz w:val="18"/>
                <w:szCs w:val="18"/>
              </w:rPr>
            </w:pPr>
            <w:r>
              <w:rPr>
                <w:rFonts w:hint="eastAsia" w:ascii="宋体" w:hAnsi="宋体" w:cs="宋体"/>
                <w:color w:val="auto"/>
                <w:sz w:val="18"/>
                <w:szCs w:val="18"/>
              </w:rPr>
              <w:t>发生投毒或食物中毒或肠道传染病事件，涉事当学期考核直接为不合格</w:t>
            </w:r>
          </w:p>
        </w:tc>
      </w:tr>
      <w:tr w14:paraId="6EEFA360">
        <w:tblPrEx>
          <w:tblCellMar>
            <w:top w:w="0" w:type="dxa"/>
            <w:left w:w="108" w:type="dxa"/>
            <w:bottom w:w="0" w:type="dxa"/>
            <w:right w:w="108" w:type="dxa"/>
          </w:tblCellMar>
        </w:tblPrEx>
        <w:trPr>
          <w:trHeight w:val="480" w:hRule="atLeast"/>
          <w:jc w:val="center"/>
        </w:trPr>
        <w:tc>
          <w:tcPr>
            <w:tcW w:w="499" w:type="dxa"/>
            <w:vMerge w:val="continue"/>
            <w:tcBorders>
              <w:top w:val="single" w:color="auto" w:sz="4" w:space="0"/>
              <w:left w:val="single" w:color="auto" w:sz="4" w:space="0"/>
              <w:bottom w:val="single" w:color="auto" w:sz="4" w:space="0"/>
              <w:right w:val="single" w:color="auto" w:sz="4" w:space="0"/>
            </w:tcBorders>
            <w:noWrap w:val="0"/>
            <w:vAlign w:val="center"/>
          </w:tcPr>
          <w:p w14:paraId="31F6C0C2">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2FF9626B">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noWrap w:val="0"/>
            <w:vAlign w:val="center"/>
          </w:tcPr>
          <w:p w14:paraId="58EC7F93">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noWrap w:val="0"/>
            <w:vAlign w:val="center"/>
          </w:tcPr>
          <w:p w14:paraId="3525C989">
            <w:pPr>
              <w:rPr>
                <w:rFonts w:ascii="宋体" w:hAnsi="宋体" w:cs="宋体"/>
                <w:color w:val="auto"/>
                <w:sz w:val="18"/>
                <w:szCs w:val="18"/>
              </w:rPr>
            </w:pPr>
            <w:r>
              <w:rPr>
                <w:rFonts w:ascii="宋体" w:hAnsi="宋体" w:cs="宋体"/>
                <w:color w:val="auto"/>
                <w:sz w:val="18"/>
                <w:szCs w:val="18"/>
              </w:rPr>
              <w:t>6.应坚持《食品及食品原辅材料进货检查验收制度》，建立出入库电子与纸质双台账，如实准确记录名称、规格、数量、生产日期或者生产批号、保质期、进货日期以及供货者名称、地址、联系方式等内容，并保留载有上述信息的相关凭证。</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82EB7AC">
            <w:pPr>
              <w:rPr>
                <w:rFonts w:ascii="宋体" w:hAnsi="宋体" w:cs="宋体"/>
                <w:color w:val="auto"/>
                <w:sz w:val="18"/>
                <w:szCs w:val="18"/>
              </w:rPr>
            </w:pPr>
            <w:r>
              <w:rPr>
                <w:rFonts w:hint="eastAsia" w:ascii="宋体" w:hAnsi="宋体" w:cs="宋体"/>
                <w:color w:val="auto"/>
                <w:sz w:val="18"/>
                <w:szCs w:val="18"/>
              </w:rPr>
              <w:t>现场检查</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1BA9D003">
            <w:pPr>
              <w:rPr>
                <w:rFonts w:ascii="宋体" w:hAnsi="宋体" w:cs="宋体"/>
                <w:color w:val="auto"/>
                <w:sz w:val="18"/>
                <w:szCs w:val="18"/>
              </w:rPr>
            </w:pPr>
            <w:r>
              <w:rPr>
                <w:rFonts w:hint="eastAsia" w:ascii="宋体" w:hAnsi="宋体" w:cs="宋体"/>
                <w:color w:val="auto"/>
                <w:sz w:val="18"/>
                <w:szCs w:val="18"/>
              </w:rPr>
              <w:t>进货未查验每次支付违约金</w:t>
            </w:r>
            <w:r>
              <w:rPr>
                <w:rFonts w:ascii="宋体" w:hAnsi="宋体" w:cs="宋体"/>
                <w:color w:val="auto"/>
                <w:sz w:val="18"/>
                <w:szCs w:val="18"/>
              </w:rPr>
              <w:t>1000元，无台账或台账不全每次支付违约金10000元</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5B33C926">
            <w:pPr>
              <w:rPr>
                <w:rFonts w:ascii="宋体" w:hAnsi="宋体" w:cs="宋体"/>
                <w:color w:val="auto"/>
                <w:sz w:val="18"/>
                <w:szCs w:val="18"/>
              </w:rPr>
            </w:pPr>
            <w:r>
              <w:rPr>
                <w:rFonts w:hint="eastAsia" w:ascii="宋体" w:hAnsi="宋体" w:cs="宋体"/>
                <w:color w:val="auto"/>
                <w:sz w:val="18"/>
                <w:szCs w:val="18"/>
              </w:rPr>
              <w:t>未查验每次扣</w:t>
            </w:r>
            <w:r>
              <w:rPr>
                <w:rFonts w:ascii="宋体" w:hAnsi="宋体" w:cs="宋体"/>
                <w:color w:val="auto"/>
                <w:sz w:val="18"/>
                <w:szCs w:val="18"/>
              </w:rPr>
              <w:t>1分，无台账或台帐不全每次扣1分</w:t>
            </w:r>
          </w:p>
        </w:tc>
      </w:tr>
      <w:tr w14:paraId="13C27BF6">
        <w:tblPrEx>
          <w:tblCellMar>
            <w:top w:w="0" w:type="dxa"/>
            <w:left w:w="108" w:type="dxa"/>
            <w:bottom w:w="0" w:type="dxa"/>
            <w:right w:w="108" w:type="dxa"/>
          </w:tblCellMar>
        </w:tblPrEx>
        <w:trPr>
          <w:trHeight w:val="480" w:hRule="atLeast"/>
          <w:jc w:val="center"/>
        </w:trPr>
        <w:tc>
          <w:tcPr>
            <w:tcW w:w="499" w:type="dxa"/>
            <w:vMerge w:val="continue"/>
            <w:tcBorders>
              <w:top w:val="single" w:color="auto" w:sz="4" w:space="0"/>
              <w:left w:val="single" w:color="auto" w:sz="4" w:space="0"/>
              <w:bottom w:val="single" w:color="auto" w:sz="4" w:space="0"/>
              <w:right w:val="single" w:color="auto" w:sz="4" w:space="0"/>
            </w:tcBorders>
            <w:noWrap w:val="0"/>
            <w:vAlign w:val="center"/>
          </w:tcPr>
          <w:p w14:paraId="11EFCF9E">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42877A6E">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noWrap w:val="0"/>
            <w:vAlign w:val="center"/>
          </w:tcPr>
          <w:p w14:paraId="00FD8C80">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noWrap w:val="0"/>
            <w:vAlign w:val="center"/>
          </w:tcPr>
          <w:p w14:paraId="627063E6">
            <w:pPr>
              <w:rPr>
                <w:rFonts w:ascii="宋体" w:hAnsi="宋体" w:cs="宋体"/>
                <w:color w:val="auto"/>
                <w:sz w:val="18"/>
                <w:szCs w:val="18"/>
              </w:rPr>
            </w:pPr>
            <w:r>
              <w:rPr>
                <w:rFonts w:ascii="宋体" w:hAnsi="宋体" w:cs="宋体"/>
                <w:color w:val="auto"/>
                <w:sz w:val="18"/>
                <w:szCs w:val="18"/>
              </w:rPr>
              <w:t>7.建立食品安全自查制度，定期对食品安全状况进行检查评价。</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3B8AE58">
            <w:pPr>
              <w:rPr>
                <w:rFonts w:ascii="宋体" w:hAnsi="宋体" w:cs="宋体"/>
                <w:color w:val="auto"/>
                <w:sz w:val="18"/>
                <w:szCs w:val="18"/>
              </w:rPr>
            </w:pPr>
            <w:r>
              <w:rPr>
                <w:rFonts w:hint="eastAsia" w:ascii="宋体" w:hAnsi="宋体" w:cs="宋体"/>
                <w:color w:val="auto"/>
                <w:sz w:val="18"/>
                <w:szCs w:val="18"/>
              </w:rPr>
              <w:t>现场</w:t>
            </w:r>
          </w:p>
          <w:p w14:paraId="290369EA">
            <w:pPr>
              <w:rPr>
                <w:rFonts w:ascii="宋体" w:hAnsi="宋体" w:cs="宋体"/>
                <w:color w:val="auto"/>
                <w:sz w:val="18"/>
                <w:szCs w:val="18"/>
              </w:rPr>
            </w:pPr>
            <w:r>
              <w:rPr>
                <w:rFonts w:hint="eastAsia" w:ascii="宋体" w:hAnsi="宋体" w:cs="宋体"/>
                <w:color w:val="auto"/>
                <w:sz w:val="18"/>
                <w:szCs w:val="18"/>
              </w:rPr>
              <w:t>检查</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0220BE73">
            <w:pPr>
              <w:rPr>
                <w:rFonts w:ascii="宋体" w:hAnsi="宋体" w:cs="宋体"/>
                <w:color w:val="auto"/>
                <w:sz w:val="18"/>
                <w:szCs w:val="18"/>
              </w:rPr>
            </w:pPr>
            <w:r>
              <w:rPr>
                <w:rFonts w:hint="eastAsia" w:ascii="宋体" w:hAnsi="宋体" w:cs="宋体"/>
                <w:color w:val="auto"/>
                <w:sz w:val="18"/>
                <w:szCs w:val="18"/>
              </w:rPr>
              <w:t>缺制度的支付违约金</w:t>
            </w:r>
            <w:r>
              <w:rPr>
                <w:rFonts w:ascii="宋体" w:hAnsi="宋体" w:cs="宋体"/>
                <w:color w:val="auto"/>
                <w:sz w:val="18"/>
                <w:szCs w:val="18"/>
              </w:rPr>
              <w:t>1000元/次，制度未落实到位支付违约金2000元/次</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567330CC">
            <w:pPr>
              <w:rPr>
                <w:rFonts w:ascii="宋体" w:hAnsi="宋体" w:cs="宋体"/>
                <w:color w:val="auto"/>
                <w:sz w:val="18"/>
                <w:szCs w:val="18"/>
              </w:rPr>
            </w:pPr>
            <w:r>
              <w:rPr>
                <w:rFonts w:hint="eastAsia" w:ascii="宋体" w:hAnsi="宋体" w:cs="宋体"/>
                <w:color w:val="auto"/>
                <w:sz w:val="18"/>
                <w:szCs w:val="18"/>
              </w:rPr>
              <w:t>未建有相应制度扣</w:t>
            </w:r>
            <w:r>
              <w:rPr>
                <w:rFonts w:ascii="宋体" w:hAnsi="宋体" w:cs="宋体"/>
                <w:color w:val="auto"/>
                <w:sz w:val="18"/>
                <w:szCs w:val="18"/>
              </w:rPr>
              <w:t>1分/次；制度未落实到位的扣1分/次</w:t>
            </w:r>
          </w:p>
        </w:tc>
      </w:tr>
      <w:tr w14:paraId="2D3949B3">
        <w:tblPrEx>
          <w:tblCellMar>
            <w:top w:w="0" w:type="dxa"/>
            <w:left w:w="108" w:type="dxa"/>
            <w:bottom w:w="0" w:type="dxa"/>
            <w:right w:w="108" w:type="dxa"/>
          </w:tblCellMar>
        </w:tblPrEx>
        <w:trPr>
          <w:trHeight w:val="480" w:hRule="atLeast"/>
          <w:jc w:val="center"/>
        </w:trPr>
        <w:tc>
          <w:tcPr>
            <w:tcW w:w="499" w:type="dxa"/>
            <w:vMerge w:val="continue"/>
            <w:tcBorders>
              <w:top w:val="single" w:color="auto" w:sz="4" w:space="0"/>
              <w:left w:val="single" w:color="auto" w:sz="4" w:space="0"/>
              <w:bottom w:val="single" w:color="auto" w:sz="4" w:space="0"/>
              <w:right w:val="single" w:color="auto" w:sz="4" w:space="0"/>
            </w:tcBorders>
            <w:noWrap w:val="0"/>
            <w:vAlign w:val="center"/>
          </w:tcPr>
          <w:p w14:paraId="2E756D22">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5BB839C5">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noWrap w:val="0"/>
            <w:vAlign w:val="center"/>
          </w:tcPr>
          <w:p w14:paraId="30A27FC7">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noWrap w:val="0"/>
            <w:vAlign w:val="center"/>
          </w:tcPr>
          <w:p w14:paraId="7C9BC6AB">
            <w:pPr>
              <w:rPr>
                <w:rFonts w:ascii="宋体" w:hAnsi="宋体" w:cs="宋体"/>
                <w:color w:val="auto"/>
                <w:sz w:val="18"/>
                <w:szCs w:val="18"/>
              </w:rPr>
            </w:pPr>
            <w:r>
              <w:rPr>
                <w:rFonts w:ascii="宋体" w:hAnsi="宋体" w:cs="宋体"/>
                <w:color w:val="auto"/>
                <w:sz w:val="18"/>
                <w:szCs w:val="18"/>
              </w:rPr>
              <w:t>8.建立健全食品安全管理制度，依法从事生产经营活动。应配备食品安全总监和食品安全员，经考核不具备食品安全管理能力的，不得上岗。实施危害分析与关键控制点体系，提高食品安全管理水平。</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46C7B90">
            <w:pPr>
              <w:rPr>
                <w:rFonts w:ascii="宋体" w:hAnsi="宋体" w:cs="宋体"/>
                <w:color w:val="auto"/>
                <w:sz w:val="18"/>
                <w:szCs w:val="18"/>
              </w:rPr>
            </w:pPr>
            <w:r>
              <w:rPr>
                <w:rFonts w:ascii="宋体" w:hAnsi="宋体" w:cs="宋体"/>
                <w:color w:val="auto"/>
                <w:sz w:val="18"/>
                <w:szCs w:val="18"/>
              </w:rPr>
              <w:t>现场</w:t>
            </w:r>
          </w:p>
          <w:p w14:paraId="11BD4476">
            <w:pPr>
              <w:rPr>
                <w:rFonts w:ascii="宋体" w:hAnsi="宋体" w:cs="宋体"/>
                <w:color w:val="auto"/>
                <w:sz w:val="18"/>
                <w:szCs w:val="18"/>
              </w:rPr>
            </w:pPr>
            <w:r>
              <w:rPr>
                <w:rFonts w:ascii="宋体" w:hAnsi="宋体" w:cs="宋体"/>
                <w:color w:val="auto"/>
                <w:sz w:val="18"/>
                <w:szCs w:val="18"/>
              </w:rPr>
              <w:t>检查</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5253890B">
            <w:pPr>
              <w:rPr>
                <w:rFonts w:ascii="宋体" w:hAnsi="宋体" w:cs="宋体"/>
                <w:color w:val="auto"/>
                <w:sz w:val="18"/>
                <w:szCs w:val="18"/>
              </w:rPr>
            </w:pPr>
            <w:r>
              <w:rPr>
                <w:rFonts w:ascii="宋体" w:hAnsi="宋体" w:cs="宋体"/>
                <w:color w:val="auto"/>
                <w:sz w:val="18"/>
                <w:szCs w:val="18"/>
              </w:rPr>
              <w:t>未建有相应制度</w:t>
            </w:r>
            <w:r>
              <w:rPr>
                <w:rFonts w:hint="eastAsia" w:ascii="宋体" w:hAnsi="宋体" w:cs="宋体"/>
                <w:color w:val="auto"/>
                <w:sz w:val="18"/>
                <w:szCs w:val="18"/>
              </w:rPr>
              <w:t>或制度建立不全</w:t>
            </w:r>
            <w:r>
              <w:rPr>
                <w:rFonts w:ascii="宋体" w:hAnsi="宋体" w:cs="宋体"/>
                <w:color w:val="auto"/>
                <w:sz w:val="18"/>
                <w:szCs w:val="18"/>
              </w:rPr>
              <w:t>的</w:t>
            </w:r>
            <w:r>
              <w:rPr>
                <w:rFonts w:hint="eastAsia" w:ascii="宋体" w:hAnsi="宋体" w:cs="宋体"/>
                <w:color w:val="auto"/>
                <w:sz w:val="18"/>
                <w:szCs w:val="18"/>
              </w:rPr>
              <w:t>支付违约金</w:t>
            </w:r>
            <w:r>
              <w:rPr>
                <w:rFonts w:ascii="宋体" w:hAnsi="宋体" w:cs="宋体"/>
                <w:color w:val="auto"/>
                <w:sz w:val="18"/>
                <w:szCs w:val="18"/>
              </w:rPr>
              <w:t>2000元/次，制度未落实到位</w:t>
            </w:r>
            <w:r>
              <w:rPr>
                <w:rFonts w:hint="eastAsia" w:ascii="宋体" w:hAnsi="宋体" w:cs="宋体"/>
                <w:color w:val="auto"/>
                <w:sz w:val="18"/>
                <w:szCs w:val="18"/>
              </w:rPr>
              <w:t>支付违约金</w:t>
            </w:r>
            <w:r>
              <w:rPr>
                <w:rFonts w:ascii="宋体" w:hAnsi="宋体" w:cs="宋体"/>
                <w:color w:val="auto"/>
                <w:sz w:val="18"/>
                <w:szCs w:val="18"/>
              </w:rPr>
              <w:t>1000元/次</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06BD1A7C">
            <w:pPr>
              <w:rPr>
                <w:rFonts w:ascii="宋体" w:hAnsi="宋体" w:cs="宋体"/>
                <w:color w:val="auto"/>
                <w:sz w:val="18"/>
                <w:szCs w:val="18"/>
              </w:rPr>
            </w:pPr>
            <w:r>
              <w:rPr>
                <w:rFonts w:ascii="宋体" w:hAnsi="宋体" w:cs="宋体"/>
                <w:color w:val="auto"/>
                <w:sz w:val="18"/>
                <w:szCs w:val="18"/>
              </w:rPr>
              <w:t>未建有相应制度</w:t>
            </w:r>
            <w:r>
              <w:rPr>
                <w:rFonts w:hint="eastAsia" w:ascii="宋体" w:hAnsi="宋体" w:cs="宋体"/>
                <w:color w:val="auto"/>
                <w:sz w:val="18"/>
                <w:szCs w:val="18"/>
              </w:rPr>
              <w:t>或制度建立不全</w:t>
            </w:r>
            <w:r>
              <w:rPr>
                <w:rFonts w:ascii="宋体" w:hAnsi="宋体" w:cs="宋体"/>
                <w:color w:val="auto"/>
                <w:sz w:val="18"/>
                <w:szCs w:val="18"/>
              </w:rPr>
              <w:t>扣2分/次；制度未落实到位的扣1分/次</w:t>
            </w:r>
          </w:p>
        </w:tc>
      </w:tr>
      <w:tr w14:paraId="172BC132">
        <w:tblPrEx>
          <w:tblCellMar>
            <w:top w:w="0" w:type="dxa"/>
            <w:left w:w="108" w:type="dxa"/>
            <w:bottom w:w="0" w:type="dxa"/>
            <w:right w:w="108" w:type="dxa"/>
          </w:tblCellMar>
        </w:tblPrEx>
        <w:trPr>
          <w:trHeight w:val="480" w:hRule="atLeast"/>
          <w:jc w:val="center"/>
        </w:trPr>
        <w:tc>
          <w:tcPr>
            <w:tcW w:w="499" w:type="dxa"/>
            <w:vMerge w:val="continue"/>
            <w:tcBorders>
              <w:top w:val="single" w:color="auto" w:sz="4" w:space="0"/>
              <w:left w:val="single" w:color="auto" w:sz="4" w:space="0"/>
              <w:bottom w:val="single" w:color="auto" w:sz="4" w:space="0"/>
              <w:right w:val="single" w:color="auto" w:sz="4" w:space="0"/>
            </w:tcBorders>
            <w:noWrap w:val="0"/>
            <w:vAlign w:val="center"/>
          </w:tcPr>
          <w:p w14:paraId="6C3916C7">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57A0895F">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noWrap w:val="0"/>
            <w:vAlign w:val="center"/>
          </w:tcPr>
          <w:p w14:paraId="216F3051">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noWrap w:val="0"/>
            <w:vAlign w:val="center"/>
          </w:tcPr>
          <w:p w14:paraId="45916CD1">
            <w:pPr>
              <w:rPr>
                <w:rFonts w:ascii="宋体" w:hAnsi="宋体" w:cs="宋体"/>
                <w:color w:val="auto"/>
                <w:sz w:val="18"/>
                <w:szCs w:val="18"/>
              </w:rPr>
            </w:pPr>
            <w:r>
              <w:rPr>
                <w:rFonts w:ascii="宋体" w:hAnsi="宋体" w:cs="宋体"/>
                <w:color w:val="auto"/>
                <w:sz w:val="18"/>
                <w:szCs w:val="18"/>
              </w:rPr>
              <w:t>9.项目管理班子成员配置齐全，并明确职责。</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B9A1FBE">
            <w:pPr>
              <w:rPr>
                <w:rFonts w:ascii="宋体" w:hAnsi="宋体" w:cs="宋体"/>
                <w:color w:val="auto"/>
                <w:sz w:val="18"/>
                <w:szCs w:val="18"/>
              </w:rPr>
            </w:pPr>
            <w:r>
              <w:rPr>
                <w:rFonts w:hint="eastAsia" w:ascii="宋体" w:hAnsi="宋体" w:cs="宋体"/>
                <w:color w:val="auto"/>
                <w:sz w:val="18"/>
                <w:szCs w:val="18"/>
              </w:rPr>
              <w:t>现场检查</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75109D08">
            <w:pPr>
              <w:rPr>
                <w:rFonts w:ascii="宋体" w:hAnsi="宋体" w:cs="宋体"/>
                <w:color w:val="auto"/>
                <w:sz w:val="18"/>
                <w:szCs w:val="18"/>
              </w:rPr>
            </w:pPr>
            <w:r>
              <w:rPr>
                <w:rFonts w:hint="eastAsia" w:ascii="宋体" w:hAnsi="宋体" w:cs="宋体"/>
                <w:color w:val="auto"/>
                <w:sz w:val="18"/>
                <w:szCs w:val="18"/>
              </w:rPr>
              <w:t>未配置齐全或擅自更换项目管理班子成员每次支付违约金</w:t>
            </w:r>
            <w:r>
              <w:rPr>
                <w:rFonts w:ascii="宋体" w:hAnsi="宋体" w:cs="宋体"/>
                <w:color w:val="auto"/>
                <w:sz w:val="18"/>
                <w:szCs w:val="18"/>
              </w:rPr>
              <w:t>50000元/人</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1462E969">
            <w:pPr>
              <w:rPr>
                <w:rFonts w:ascii="宋体" w:hAnsi="宋体" w:cs="宋体"/>
                <w:color w:val="auto"/>
                <w:sz w:val="18"/>
                <w:szCs w:val="18"/>
              </w:rPr>
            </w:pPr>
            <w:r>
              <w:rPr>
                <w:rFonts w:hint="eastAsia" w:ascii="宋体" w:hAnsi="宋体" w:cs="宋体"/>
                <w:color w:val="auto"/>
                <w:sz w:val="18"/>
                <w:szCs w:val="18"/>
              </w:rPr>
              <w:t>未配置齐全或擅自更换项目管理班子成员每次扣</w:t>
            </w:r>
            <w:r>
              <w:rPr>
                <w:rFonts w:ascii="宋体" w:hAnsi="宋体" w:cs="宋体"/>
                <w:color w:val="auto"/>
                <w:sz w:val="18"/>
                <w:szCs w:val="18"/>
              </w:rPr>
              <w:t>5分/人</w:t>
            </w:r>
          </w:p>
        </w:tc>
      </w:tr>
      <w:tr w14:paraId="6DB53D76">
        <w:tblPrEx>
          <w:tblCellMar>
            <w:top w:w="0" w:type="dxa"/>
            <w:left w:w="108" w:type="dxa"/>
            <w:bottom w:w="0" w:type="dxa"/>
            <w:right w:w="108" w:type="dxa"/>
          </w:tblCellMar>
        </w:tblPrEx>
        <w:trPr>
          <w:trHeight w:val="480" w:hRule="atLeast"/>
          <w:jc w:val="center"/>
        </w:trPr>
        <w:tc>
          <w:tcPr>
            <w:tcW w:w="499" w:type="dxa"/>
            <w:vMerge w:val="continue"/>
            <w:tcBorders>
              <w:top w:val="single" w:color="auto" w:sz="4" w:space="0"/>
              <w:left w:val="single" w:color="auto" w:sz="4" w:space="0"/>
              <w:bottom w:val="single" w:color="auto" w:sz="4" w:space="0"/>
              <w:right w:val="single" w:color="auto" w:sz="4" w:space="0"/>
            </w:tcBorders>
            <w:noWrap w:val="0"/>
            <w:vAlign w:val="center"/>
          </w:tcPr>
          <w:p w14:paraId="24F3D5E2">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259B041E">
            <w:pPr>
              <w:rPr>
                <w:rFonts w:ascii="宋体" w:hAnsi="宋体" w:cs="宋体"/>
                <w:color w:val="auto"/>
                <w:sz w:val="18"/>
                <w:szCs w:val="18"/>
              </w:rPr>
            </w:pPr>
          </w:p>
        </w:tc>
        <w:tc>
          <w:tcPr>
            <w:tcW w:w="477" w:type="dxa"/>
            <w:vMerge w:val="restart"/>
            <w:tcBorders>
              <w:top w:val="single" w:color="auto" w:sz="4" w:space="0"/>
              <w:left w:val="single" w:color="auto" w:sz="4" w:space="0"/>
              <w:bottom w:val="single" w:color="auto" w:sz="4" w:space="0"/>
              <w:right w:val="single" w:color="auto" w:sz="4" w:space="0"/>
            </w:tcBorders>
            <w:noWrap w:val="0"/>
            <w:vAlign w:val="center"/>
          </w:tcPr>
          <w:p w14:paraId="0DADFD65">
            <w:pPr>
              <w:rPr>
                <w:rFonts w:ascii="宋体" w:hAnsi="宋体" w:cs="宋体"/>
                <w:color w:val="auto"/>
                <w:sz w:val="18"/>
                <w:szCs w:val="18"/>
              </w:rPr>
            </w:pPr>
            <w:r>
              <w:rPr>
                <w:rFonts w:hint="eastAsia" w:ascii="宋体" w:hAnsi="宋体" w:cs="宋体"/>
                <w:color w:val="auto"/>
                <w:sz w:val="18"/>
                <w:szCs w:val="18"/>
              </w:rPr>
              <w:t>消防安全</w:t>
            </w:r>
          </w:p>
        </w:tc>
        <w:tc>
          <w:tcPr>
            <w:tcW w:w="3350" w:type="dxa"/>
            <w:tcBorders>
              <w:top w:val="single" w:color="auto" w:sz="4" w:space="0"/>
              <w:left w:val="single" w:color="auto" w:sz="4" w:space="0"/>
              <w:bottom w:val="single" w:color="auto" w:sz="4" w:space="0"/>
              <w:right w:val="single" w:color="auto" w:sz="4" w:space="0"/>
            </w:tcBorders>
            <w:noWrap w:val="0"/>
            <w:vAlign w:val="center"/>
          </w:tcPr>
          <w:p w14:paraId="74265356">
            <w:pPr>
              <w:rPr>
                <w:rFonts w:ascii="宋体" w:hAnsi="宋体" w:cs="宋体"/>
                <w:color w:val="auto"/>
                <w:sz w:val="18"/>
                <w:szCs w:val="18"/>
              </w:rPr>
            </w:pPr>
            <w:r>
              <w:rPr>
                <w:rFonts w:ascii="宋体" w:hAnsi="宋体" w:cs="宋体"/>
                <w:color w:val="auto"/>
                <w:sz w:val="18"/>
                <w:szCs w:val="18"/>
              </w:rPr>
              <w:t>10.应保障食堂各项消防设施齐全、完好，每天进行检查并作好检查记录。</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487E531">
            <w:pPr>
              <w:rPr>
                <w:rFonts w:ascii="宋体" w:hAnsi="宋体" w:cs="宋体"/>
                <w:color w:val="auto"/>
                <w:sz w:val="18"/>
                <w:szCs w:val="18"/>
              </w:rPr>
            </w:pPr>
            <w:r>
              <w:rPr>
                <w:rFonts w:hint="eastAsia" w:ascii="宋体" w:hAnsi="宋体" w:cs="宋体"/>
                <w:color w:val="auto"/>
                <w:sz w:val="18"/>
                <w:szCs w:val="18"/>
              </w:rPr>
              <w:t>现场检查</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31393330">
            <w:pPr>
              <w:rPr>
                <w:rFonts w:ascii="宋体" w:hAnsi="宋体" w:cs="宋体"/>
                <w:color w:val="auto"/>
                <w:sz w:val="18"/>
                <w:szCs w:val="18"/>
              </w:rPr>
            </w:pPr>
            <w:r>
              <w:rPr>
                <w:rFonts w:hint="eastAsia" w:ascii="宋体" w:hAnsi="宋体" w:cs="宋体"/>
                <w:color w:val="auto"/>
                <w:sz w:val="18"/>
                <w:szCs w:val="18"/>
              </w:rPr>
              <w:t>设施损坏或无检查记录或记录不全支付违约金</w:t>
            </w:r>
            <w:r>
              <w:rPr>
                <w:rFonts w:ascii="宋体" w:hAnsi="宋体" w:cs="宋体"/>
                <w:color w:val="auto"/>
                <w:sz w:val="18"/>
                <w:szCs w:val="18"/>
              </w:rPr>
              <w:t>1000元/次</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7D27738B">
            <w:pPr>
              <w:rPr>
                <w:rFonts w:ascii="宋体" w:hAnsi="宋体" w:cs="宋体"/>
                <w:color w:val="auto"/>
                <w:sz w:val="18"/>
                <w:szCs w:val="18"/>
              </w:rPr>
            </w:pPr>
            <w:r>
              <w:rPr>
                <w:rFonts w:hint="eastAsia" w:ascii="宋体" w:hAnsi="宋体" w:cs="宋体"/>
                <w:color w:val="auto"/>
                <w:sz w:val="18"/>
                <w:szCs w:val="18"/>
              </w:rPr>
              <w:t>设施损坏或无检查记录或记录不全扣</w:t>
            </w:r>
            <w:r>
              <w:rPr>
                <w:rFonts w:ascii="宋体" w:hAnsi="宋体" w:cs="宋体"/>
                <w:color w:val="auto"/>
                <w:sz w:val="18"/>
                <w:szCs w:val="18"/>
              </w:rPr>
              <w:t>1分/次</w:t>
            </w:r>
          </w:p>
        </w:tc>
      </w:tr>
      <w:tr w14:paraId="61B2A5D2">
        <w:tblPrEx>
          <w:tblCellMar>
            <w:top w:w="0" w:type="dxa"/>
            <w:left w:w="108" w:type="dxa"/>
            <w:bottom w:w="0" w:type="dxa"/>
            <w:right w:w="108" w:type="dxa"/>
          </w:tblCellMar>
        </w:tblPrEx>
        <w:trPr>
          <w:trHeight w:val="480" w:hRule="atLeast"/>
          <w:jc w:val="center"/>
        </w:trPr>
        <w:tc>
          <w:tcPr>
            <w:tcW w:w="499" w:type="dxa"/>
            <w:vMerge w:val="continue"/>
            <w:tcBorders>
              <w:top w:val="single" w:color="auto" w:sz="4" w:space="0"/>
              <w:left w:val="single" w:color="auto" w:sz="4" w:space="0"/>
              <w:bottom w:val="single" w:color="auto" w:sz="4" w:space="0"/>
              <w:right w:val="single" w:color="auto" w:sz="4" w:space="0"/>
            </w:tcBorders>
            <w:noWrap w:val="0"/>
            <w:vAlign w:val="center"/>
          </w:tcPr>
          <w:p w14:paraId="50498B39">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5E7B4F17">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noWrap w:val="0"/>
            <w:vAlign w:val="center"/>
          </w:tcPr>
          <w:p w14:paraId="4BA22C22">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noWrap w:val="0"/>
            <w:vAlign w:val="center"/>
          </w:tcPr>
          <w:p w14:paraId="624969E7">
            <w:pPr>
              <w:rPr>
                <w:rFonts w:ascii="宋体" w:hAnsi="宋体" w:cs="宋体"/>
                <w:color w:val="auto"/>
                <w:sz w:val="18"/>
                <w:szCs w:val="18"/>
              </w:rPr>
            </w:pPr>
            <w:r>
              <w:rPr>
                <w:rFonts w:ascii="宋体" w:hAnsi="宋体" w:cs="宋体"/>
                <w:color w:val="auto"/>
                <w:sz w:val="18"/>
                <w:szCs w:val="18"/>
              </w:rPr>
              <w:t>11.应规范、安全用电，严禁私拉电线</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EA55C5E">
            <w:pPr>
              <w:rPr>
                <w:rFonts w:ascii="宋体" w:hAnsi="宋体" w:cs="宋体"/>
                <w:color w:val="auto"/>
                <w:sz w:val="18"/>
                <w:szCs w:val="18"/>
              </w:rPr>
            </w:pPr>
            <w:r>
              <w:rPr>
                <w:rFonts w:hint="eastAsia" w:ascii="宋体" w:hAnsi="宋体" w:cs="宋体"/>
                <w:color w:val="auto"/>
                <w:sz w:val="18"/>
                <w:szCs w:val="18"/>
              </w:rPr>
              <w:t>现场检查</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3F87A042">
            <w:pPr>
              <w:rPr>
                <w:rFonts w:ascii="宋体" w:hAnsi="宋体" w:cs="宋体"/>
                <w:color w:val="auto"/>
                <w:sz w:val="18"/>
                <w:szCs w:val="18"/>
              </w:rPr>
            </w:pPr>
            <w:r>
              <w:rPr>
                <w:rFonts w:hint="eastAsia" w:ascii="宋体" w:hAnsi="宋体" w:cs="宋体"/>
                <w:color w:val="auto"/>
                <w:sz w:val="18"/>
                <w:szCs w:val="18"/>
              </w:rPr>
              <w:t>私拉电线每次支付违约金</w:t>
            </w:r>
            <w:r>
              <w:rPr>
                <w:rFonts w:ascii="宋体" w:hAnsi="宋体" w:cs="宋体"/>
                <w:color w:val="auto"/>
                <w:sz w:val="18"/>
                <w:szCs w:val="18"/>
              </w:rPr>
              <w:t>1000元/处</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35FA7FFC">
            <w:pPr>
              <w:rPr>
                <w:rFonts w:ascii="宋体" w:hAnsi="宋体" w:cs="宋体"/>
                <w:color w:val="auto"/>
                <w:sz w:val="18"/>
                <w:szCs w:val="18"/>
              </w:rPr>
            </w:pPr>
            <w:r>
              <w:rPr>
                <w:rFonts w:hint="eastAsia" w:ascii="宋体" w:hAnsi="宋体" w:cs="宋体"/>
                <w:color w:val="auto"/>
                <w:sz w:val="18"/>
                <w:szCs w:val="18"/>
              </w:rPr>
              <w:t>私拉电线每次扣</w:t>
            </w:r>
            <w:r>
              <w:rPr>
                <w:rFonts w:ascii="宋体" w:hAnsi="宋体" w:cs="宋体"/>
                <w:color w:val="auto"/>
                <w:sz w:val="18"/>
                <w:szCs w:val="18"/>
              </w:rPr>
              <w:t>1分/处</w:t>
            </w:r>
          </w:p>
        </w:tc>
      </w:tr>
      <w:tr w14:paraId="0607FB46">
        <w:tblPrEx>
          <w:tblCellMar>
            <w:top w:w="0" w:type="dxa"/>
            <w:left w:w="108" w:type="dxa"/>
            <w:bottom w:w="0" w:type="dxa"/>
            <w:right w:w="108" w:type="dxa"/>
          </w:tblCellMar>
        </w:tblPrEx>
        <w:trPr>
          <w:trHeight w:val="480" w:hRule="atLeast"/>
          <w:jc w:val="center"/>
        </w:trPr>
        <w:tc>
          <w:tcPr>
            <w:tcW w:w="499" w:type="dxa"/>
            <w:vMerge w:val="continue"/>
            <w:tcBorders>
              <w:top w:val="single" w:color="auto" w:sz="4" w:space="0"/>
              <w:left w:val="single" w:color="auto" w:sz="4" w:space="0"/>
              <w:bottom w:val="single" w:color="auto" w:sz="4" w:space="0"/>
              <w:right w:val="single" w:color="auto" w:sz="4" w:space="0"/>
            </w:tcBorders>
            <w:noWrap w:val="0"/>
            <w:vAlign w:val="center"/>
          </w:tcPr>
          <w:p w14:paraId="056FF507">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6964D4F9">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noWrap w:val="0"/>
            <w:vAlign w:val="center"/>
          </w:tcPr>
          <w:p w14:paraId="10BBB5E9">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noWrap w:val="0"/>
            <w:vAlign w:val="center"/>
          </w:tcPr>
          <w:p w14:paraId="1E41F35D">
            <w:pPr>
              <w:rPr>
                <w:rFonts w:ascii="宋体" w:hAnsi="宋体" w:cs="宋体"/>
                <w:color w:val="auto"/>
                <w:sz w:val="18"/>
                <w:szCs w:val="18"/>
              </w:rPr>
            </w:pPr>
            <w:r>
              <w:rPr>
                <w:rFonts w:ascii="宋体" w:hAnsi="宋体" w:cs="宋体"/>
                <w:color w:val="auto"/>
                <w:sz w:val="18"/>
                <w:szCs w:val="18"/>
              </w:rPr>
              <w:t>12.应培训员工掌握正确使用天然气的方法，注意防漏、防爆、防火，使用后关好气阀，确保安全</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627DA9D">
            <w:pPr>
              <w:rPr>
                <w:rFonts w:ascii="宋体" w:hAnsi="宋体" w:cs="宋体"/>
                <w:color w:val="auto"/>
                <w:sz w:val="18"/>
                <w:szCs w:val="18"/>
              </w:rPr>
            </w:pPr>
            <w:r>
              <w:rPr>
                <w:rFonts w:hint="eastAsia" w:ascii="宋体" w:hAnsi="宋体" w:cs="宋体"/>
                <w:color w:val="auto"/>
                <w:sz w:val="18"/>
                <w:szCs w:val="18"/>
              </w:rPr>
              <w:t>现场检查</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5805B696">
            <w:pPr>
              <w:rPr>
                <w:rFonts w:ascii="宋体" w:hAnsi="宋体" w:cs="宋体"/>
                <w:color w:val="auto"/>
                <w:sz w:val="18"/>
                <w:szCs w:val="18"/>
              </w:rPr>
            </w:pPr>
            <w:r>
              <w:rPr>
                <w:rFonts w:hint="eastAsia" w:ascii="宋体" w:hAnsi="宋体" w:cs="宋体"/>
                <w:color w:val="auto"/>
                <w:sz w:val="18"/>
                <w:szCs w:val="18"/>
              </w:rPr>
              <w:t>食堂出现用气安全事故一次支付违约金不低于</w:t>
            </w:r>
            <w:r>
              <w:rPr>
                <w:rFonts w:ascii="宋体" w:hAnsi="宋体" w:cs="宋体"/>
                <w:color w:val="auto"/>
                <w:sz w:val="18"/>
                <w:szCs w:val="18"/>
              </w:rPr>
              <w:t>10000元，食堂出现一般起火一次支付违约金10000元。出现较大消防安全事故的，</w:t>
            </w:r>
            <w:r>
              <w:rPr>
                <w:rFonts w:hint="eastAsia" w:ascii="宋体" w:hAnsi="宋体" w:cs="宋体"/>
                <w:color w:val="auto"/>
                <w:sz w:val="18"/>
                <w:szCs w:val="18"/>
                <w:lang w:eastAsia="zh-CN"/>
              </w:rPr>
              <w:t>乙方</w:t>
            </w:r>
            <w:r>
              <w:rPr>
                <w:rFonts w:hint="eastAsia" w:ascii="宋体" w:hAnsi="宋体" w:cs="宋体"/>
                <w:color w:val="auto"/>
                <w:sz w:val="18"/>
                <w:szCs w:val="18"/>
              </w:rPr>
              <w:t>受到政府职能部门行政处罚的，应向</w:t>
            </w:r>
            <w:r>
              <w:rPr>
                <w:rFonts w:hint="eastAsia" w:ascii="宋体" w:hAnsi="宋体" w:cs="宋体"/>
                <w:color w:val="auto"/>
                <w:sz w:val="18"/>
                <w:szCs w:val="18"/>
                <w:lang w:eastAsia="zh-CN"/>
              </w:rPr>
              <w:t>甲方</w:t>
            </w:r>
            <w:r>
              <w:rPr>
                <w:rFonts w:hint="eastAsia" w:ascii="宋体" w:hAnsi="宋体" w:cs="宋体"/>
                <w:color w:val="auto"/>
                <w:sz w:val="18"/>
                <w:szCs w:val="18"/>
              </w:rPr>
              <w:t>支付</w:t>
            </w:r>
            <w:r>
              <w:rPr>
                <w:rFonts w:ascii="宋体" w:hAnsi="宋体" w:cs="宋体"/>
                <w:color w:val="auto"/>
                <w:sz w:val="18"/>
                <w:szCs w:val="18"/>
              </w:rPr>
              <w:t>10000元/次的合同违约金；若同时受到经济处罚的，应向</w:t>
            </w:r>
            <w:r>
              <w:rPr>
                <w:rFonts w:hint="eastAsia" w:ascii="宋体" w:hAnsi="宋体" w:cs="宋体"/>
                <w:color w:val="auto"/>
                <w:sz w:val="18"/>
                <w:szCs w:val="18"/>
                <w:lang w:eastAsia="zh-CN"/>
              </w:rPr>
              <w:t>甲方</w:t>
            </w:r>
            <w:r>
              <w:rPr>
                <w:rFonts w:ascii="宋体" w:hAnsi="宋体" w:cs="宋体"/>
                <w:color w:val="auto"/>
                <w:sz w:val="18"/>
                <w:szCs w:val="18"/>
              </w:rPr>
              <w:t>支付同等金额的合同违约金。还应再承担违约金20000元/次，</w:t>
            </w:r>
            <w:r>
              <w:rPr>
                <w:rFonts w:hint="eastAsia" w:ascii="宋体" w:hAnsi="宋体" w:cs="宋体"/>
                <w:color w:val="auto"/>
                <w:sz w:val="18"/>
                <w:szCs w:val="18"/>
                <w:lang w:eastAsia="zh-CN"/>
              </w:rPr>
              <w:t>甲方</w:t>
            </w:r>
            <w:r>
              <w:rPr>
                <w:rFonts w:ascii="宋体" w:hAnsi="宋体" w:cs="宋体"/>
                <w:color w:val="auto"/>
                <w:sz w:val="18"/>
                <w:szCs w:val="18"/>
              </w:rPr>
              <w:t>有权追究相关责任人经济和法律责任。</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69ACBF62">
            <w:pPr>
              <w:rPr>
                <w:rFonts w:ascii="宋体" w:hAnsi="宋体" w:cs="宋体"/>
                <w:color w:val="auto"/>
                <w:sz w:val="18"/>
                <w:szCs w:val="18"/>
              </w:rPr>
            </w:pPr>
            <w:r>
              <w:rPr>
                <w:rFonts w:hint="eastAsia" w:ascii="宋体" w:hAnsi="宋体" w:cs="宋体"/>
                <w:color w:val="auto"/>
                <w:sz w:val="18"/>
                <w:szCs w:val="18"/>
              </w:rPr>
              <w:t>一般起火：未造成损失且未出动消防部门每次扣</w:t>
            </w:r>
            <w:r>
              <w:rPr>
                <w:rFonts w:ascii="宋体" w:hAnsi="宋体" w:cs="宋体"/>
                <w:color w:val="auto"/>
                <w:sz w:val="18"/>
                <w:szCs w:val="18"/>
              </w:rPr>
              <w:t>5分。</w:t>
            </w:r>
          </w:p>
          <w:p w14:paraId="67CAE0A9">
            <w:pPr>
              <w:rPr>
                <w:rFonts w:ascii="宋体" w:hAnsi="宋体" w:cs="宋体"/>
                <w:color w:val="auto"/>
                <w:sz w:val="18"/>
                <w:szCs w:val="18"/>
              </w:rPr>
            </w:pPr>
            <w:r>
              <w:rPr>
                <w:rFonts w:hint="eastAsia" w:ascii="宋体" w:hAnsi="宋体" w:cs="宋体"/>
                <w:color w:val="auto"/>
                <w:sz w:val="18"/>
                <w:szCs w:val="18"/>
              </w:rPr>
              <w:t>较大消防安全事故：造成损失或出动消防部门，涉事当学期考核直接为不合格。</w:t>
            </w:r>
          </w:p>
        </w:tc>
      </w:tr>
      <w:tr w14:paraId="34F93616">
        <w:tblPrEx>
          <w:tblCellMar>
            <w:top w:w="0" w:type="dxa"/>
            <w:left w:w="108" w:type="dxa"/>
            <w:bottom w:w="0" w:type="dxa"/>
            <w:right w:w="108" w:type="dxa"/>
          </w:tblCellMar>
        </w:tblPrEx>
        <w:trPr>
          <w:trHeight w:val="480" w:hRule="atLeast"/>
          <w:jc w:val="center"/>
        </w:trPr>
        <w:tc>
          <w:tcPr>
            <w:tcW w:w="499" w:type="dxa"/>
            <w:vMerge w:val="continue"/>
            <w:tcBorders>
              <w:top w:val="single" w:color="auto" w:sz="4" w:space="0"/>
              <w:left w:val="single" w:color="auto" w:sz="4" w:space="0"/>
              <w:bottom w:val="single" w:color="auto" w:sz="4" w:space="0"/>
              <w:right w:val="single" w:color="auto" w:sz="4" w:space="0"/>
            </w:tcBorders>
            <w:noWrap w:val="0"/>
            <w:vAlign w:val="center"/>
          </w:tcPr>
          <w:p w14:paraId="59BFE7AA">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59160136">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noWrap w:val="0"/>
            <w:vAlign w:val="center"/>
          </w:tcPr>
          <w:p w14:paraId="4E79AB28">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noWrap w:val="0"/>
            <w:vAlign w:val="center"/>
          </w:tcPr>
          <w:p w14:paraId="5CDE8C12">
            <w:pPr>
              <w:rPr>
                <w:rFonts w:ascii="宋体" w:hAnsi="宋体" w:cs="宋体"/>
                <w:color w:val="auto"/>
                <w:sz w:val="18"/>
                <w:szCs w:val="18"/>
              </w:rPr>
            </w:pPr>
            <w:r>
              <w:rPr>
                <w:rFonts w:ascii="宋体" w:hAnsi="宋体" w:cs="宋体"/>
                <w:color w:val="auto"/>
                <w:sz w:val="18"/>
                <w:szCs w:val="18"/>
              </w:rPr>
              <w:t>13、应组织员工培训消防自防自救常识和安全逃生技能，不断提升员工消防应</w:t>
            </w:r>
            <w:r>
              <w:rPr>
                <w:rFonts w:hint="eastAsia" w:ascii="宋体" w:hAnsi="宋体" w:cs="宋体"/>
                <w:color w:val="auto"/>
                <w:sz w:val="18"/>
                <w:szCs w:val="18"/>
              </w:rPr>
              <w:t>急处置能力，每学期应至少组织一次消防实战演练和考核。</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1B5AECA">
            <w:pPr>
              <w:rPr>
                <w:rFonts w:ascii="宋体" w:hAnsi="宋体" w:cs="宋体"/>
                <w:color w:val="auto"/>
                <w:sz w:val="18"/>
                <w:szCs w:val="18"/>
              </w:rPr>
            </w:pPr>
            <w:r>
              <w:rPr>
                <w:rFonts w:hint="eastAsia" w:ascii="宋体" w:hAnsi="宋体" w:cs="宋体"/>
                <w:color w:val="auto"/>
                <w:sz w:val="18"/>
                <w:szCs w:val="18"/>
              </w:rPr>
              <w:t>查看记录</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7036E098">
            <w:pPr>
              <w:rPr>
                <w:rFonts w:ascii="宋体" w:hAnsi="宋体" w:cs="宋体"/>
                <w:color w:val="auto"/>
                <w:sz w:val="18"/>
                <w:szCs w:val="18"/>
              </w:rPr>
            </w:pPr>
            <w:r>
              <w:rPr>
                <w:rFonts w:hint="eastAsia" w:ascii="宋体" w:hAnsi="宋体" w:cs="宋体"/>
                <w:color w:val="auto"/>
                <w:sz w:val="18"/>
                <w:szCs w:val="18"/>
              </w:rPr>
              <w:t>无培训记录的支付违约金</w:t>
            </w:r>
            <w:r>
              <w:rPr>
                <w:rFonts w:ascii="宋体" w:hAnsi="宋体" w:cs="宋体"/>
                <w:color w:val="auto"/>
                <w:sz w:val="18"/>
                <w:szCs w:val="18"/>
              </w:rPr>
              <w:t>1000元，无消防演练材料支付违约金5000元</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38111E2D">
            <w:pPr>
              <w:rPr>
                <w:rFonts w:ascii="宋体" w:hAnsi="宋体" w:cs="宋体"/>
                <w:color w:val="auto"/>
                <w:sz w:val="18"/>
                <w:szCs w:val="18"/>
              </w:rPr>
            </w:pPr>
            <w:r>
              <w:rPr>
                <w:rFonts w:hint="eastAsia" w:ascii="宋体" w:hAnsi="宋体" w:cs="宋体"/>
                <w:color w:val="auto"/>
                <w:sz w:val="18"/>
                <w:szCs w:val="18"/>
              </w:rPr>
              <w:t>无培训记录或记录不全每次扣</w:t>
            </w:r>
            <w:r>
              <w:rPr>
                <w:rFonts w:ascii="宋体" w:hAnsi="宋体" w:cs="宋体"/>
                <w:color w:val="auto"/>
                <w:sz w:val="18"/>
                <w:szCs w:val="18"/>
              </w:rPr>
              <w:t>1</w:t>
            </w:r>
            <w:r>
              <w:rPr>
                <w:rFonts w:hint="eastAsia" w:ascii="宋体" w:hAnsi="宋体" w:cs="宋体"/>
                <w:color w:val="auto"/>
                <w:sz w:val="18"/>
                <w:szCs w:val="18"/>
              </w:rPr>
              <w:t>分，无消防演练材料或消防演练材料不全每次扣</w:t>
            </w:r>
            <w:r>
              <w:rPr>
                <w:rFonts w:ascii="宋体" w:hAnsi="宋体" w:cs="宋体"/>
                <w:color w:val="auto"/>
                <w:sz w:val="18"/>
                <w:szCs w:val="18"/>
              </w:rPr>
              <w:t>5分</w:t>
            </w:r>
          </w:p>
        </w:tc>
      </w:tr>
      <w:tr w14:paraId="4137AC01">
        <w:tblPrEx>
          <w:tblCellMar>
            <w:top w:w="0" w:type="dxa"/>
            <w:left w:w="108" w:type="dxa"/>
            <w:bottom w:w="0" w:type="dxa"/>
            <w:right w:w="108" w:type="dxa"/>
          </w:tblCellMar>
        </w:tblPrEx>
        <w:trPr>
          <w:trHeight w:val="960" w:hRule="atLeast"/>
          <w:jc w:val="center"/>
        </w:trPr>
        <w:tc>
          <w:tcPr>
            <w:tcW w:w="499" w:type="dxa"/>
            <w:vMerge w:val="continue"/>
            <w:tcBorders>
              <w:top w:val="single" w:color="auto" w:sz="4" w:space="0"/>
              <w:left w:val="single" w:color="auto" w:sz="4" w:space="0"/>
              <w:bottom w:val="single" w:color="auto" w:sz="4" w:space="0"/>
              <w:right w:val="single" w:color="auto" w:sz="4" w:space="0"/>
            </w:tcBorders>
            <w:noWrap w:val="0"/>
            <w:vAlign w:val="center"/>
          </w:tcPr>
          <w:p w14:paraId="4A6E0627">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03A76174">
            <w:pPr>
              <w:rPr>
                <w:rFonts w:ascii="宋体" w:hAnsi="宋体" w:cs="宋体"/>
                <w:color w:val="auto"/>
                <w:sz w:val="18"/>
                <w:szCs w:val="18"/>
              </w:rPr>
            </w:pPr>
          </w:p>
        </w:tc>
        <w:tc>
          <w:tcPr>
            <w:tcW w:w="477" w:type="dxa"/>
            <w:tcBorders>
              <w:top w:val="single" w:color="auto" w:sz="4" w:space="0"/>
              <w:left w:val="single" w:color="auto" w:sz="4" w:space="0"/>
              <w:bottom w:val="single" w:color="auto" w:sz="4" w:space="0"/>
              <w:right w:val="single" w:color="auto" w:sz="4" w:space="0"/>
            </w:tcBorders>
            <w:noWrap w:val="0"/>
            <w:vAlign w:val="center"/>
          </w:tcPr>
          <w:p w14:paraId="339F10CE">
            <w:pPr>
              <w:rPr>
                <w:rFonts w:ascii="宋体" w:hAnsi="宋体" w:cs="宋体"/>
                <w:color w:val="auto"/>
                <w:sz w:val="18"/>
                <w:szCs w:val="18"/>
              </w:rPr>
            </w:pPr>
            <w:r>
              <w:rPr>
                <w:rFonts w:hint="eastAsia" w:ascii="宋体" w:hAnsi="宋体" w:cs="宋体"/>
                <w:color w:val="auto"/>
                <w:sz w:val="18"/>
                <w:szCs w:val="18"/>
              </w:rPr>
              <w:t>其他安全</w:t>
            </w:r>
          </w:p>
        </w:tc>
        <w:tc>
          <w:tcPr>
            <w:tcW w:w="3350" w:type="dxa"/>
            <w:tcBorders>
              <w:top w:val="single" w:color="auto" w:sz="4" w:space="0"/>
              <w:left w:val="single" w:color="auto" w:sz="4" w:space="0"/>
              <w:bottom w:val="single" w:color="auto" w:sz="4" w:space="0"/>
              <w:right w:val="single" w:color="auto" w:sz="4" w:space="0"/>
            </w:tcBorders>
            <w:noWrap w:val="0"/>
            <w:vAlign w:val="center"/>
          </w:tcPr>
          <w:p w14:paraId="07628D77">
            <w:pPr>
              <w:rPr>
                <w:rFonts w:ascii="宋体" w:hAnsi="宋体" w:cs="宋体"/>
                <w:color w:val="auto"/>
                <w:sz w:val="18"/>
                <w:szCs w:val="18"/>
              </w:rPr>
            </w:pPr>
            <w:r>
              <w:rPr>
                <w:rFonts w:ascii="宋体" w:hAnsi="宋体" w:cs="宋体"/>
                <w:color w:val="auto"/>
                <w:sz w:val="18"/>
                <w:szCs w:val="18"/>
              </w:rPr>
              <w:t>14.应安排专人管理和保护好学校固定资产的安全</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C6B6DA6">
            <w:pPr>
              <w:rPr>
                <w:rFonts w:ascii="宋体" w:hAnsi="宋体" w:cs="宋体"/>
                <w:color w:val="auto"/>
                <w:sz w:val="18"/>
                <w:szCs w:val="18"/>
              </w:rPr>
            </w:pPr>
            <w:r>
              <w:rPr>
                <w:rFonts w:hint="eastAsia" w:ascii="宋体" w:hAnsi="宋体" w:cs="宋体"/>
                <w:color w:val="auto"/>
                <w:sz w:val="18"/>
                <w:szCs w:val="18"/>
              </w:rPr>
              <w:t>现场检查</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4460A35B">
            <w:pPr>
              <w:rPr>
                <w:rFonts w:ascii="宋体" w:hAnsi="宋体" w:cs="宋体"/>
                <w:color w:val="auto"/>
                <w:sz w:val="18"/>
                <w:szCs w:val="18"/>
              </w:rPr>
            </w:pPr>
            <w:r>
              <w:rPr>
                <w:rFonts w:hint="eastAsia" w:ascii="宋体" w:hAnsi="宋体" w:cs="宋体"/>
                <w:color w:val="auto"/>
                <w:sz w:val="18"/>
                <w:szCs w:val="18"/>
              </w:rPr>
              <w:t>资产损坏未及时修复的支付违约金</w:t>
            </w:r>
            <w:r>
              <w:rPr>
                <w:rFonts w:ascii="宋体" w:hAnsi="宋体" w:cs="宋体"/>
                <w:color w:val="auto"/>
                <w:sz w:val="18"/>
                <w:szCs w:val="18"/>
              </w:rPr>
              <w:t>1000元/件</w:t>
            </w:r>
          </w:p>
          <w:p w14:paraId="5ADDAB0C">
            <w:pPr>
              <w:rPr>
                <w:rFonts w:ascii="宋体" w:hAnsi="宋体" w:cs="宋体"/>
                <w:color w:val="auto"/>
                <w:sz w:val="18"/>
                <w:szCs w:val="18"/>
              </w:rPr>
            </w:pPr>
            <w:r>
              <w:rPr>
                <w:rFonts w:hint="eastAsia" w:ascii="宋体" w:hAnsi="宋体" w:cs="宋体"/>
                <w:color w:val="auto"/>
                <w:sz w:val="18"/>
                <w:szCs w:val="18"/>
              </w:rPr>
              <w:t>按照学校有关固定资产的相关规定除赔偿损失外，另支付违约金</w:t>
            </w:r>
            <w:r>
              <w:rPr>
                <w:rFonts w:ascii="宋体" w:hAnsi="宋体" w:cs="宋体"/>
                <w:color w:val="auto"/>
                <w:sz w:val="18"/>
                <w:szCs w:val="18"/>
              </w:rPr>
              <w:t>2000元/件</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2F27209E">
            <w:pPr>
              <w:rPr>
                <w:rFonts w:ascii="宋体" w:hAnsi="宋体" w:cs="宋体"/>
                <w:color w:val="auto"/>
                <w:sz w:val="18"/>
                <w:szCs w:val="18"/>
              </w:rPr>
            </w:pPr>
            <w:r>
              <w:rPr>
                <w:rFonts w:hint="eastAsia" w:ascii="宋体" w:hAnsi="宋体" w:cs="宋体"/>
                <w:color w:val="auto"/>
                <w:sz w:val="18"/>
                <w:szCs w:val="18"/>
              </w:rPr>
              <w:t>资产损坏未及时修复的扣</w:t>
            </w:r>
            <w:r>
              <w:rPr>
                <w:rFonts w:ascii="宋体" w:hAnsi="宋体" w:cs="宋体"/>
                <w:color w:val="auto"/>
                <w:sz w:val="18"/>
                <w:szCs w:val="18"/>
              </w:rPr>
              <w:t xml:space="preserve">1分/件，资产遗失的扣2分/件 </w:t>
            </w:r>
          </w:p>
        </w:tc>
      </w:tr>
      <w:tr w14:paraId="53C9091F">
        <w:tblPrEx>
          <w:tblCellMar>
            <w:top w:w="0" w:type="dxa"/>
            <w:left w:w="108" w:type="dxa"/>
            <w:bottom w:w="0" w:type="dxa"/>
            <w:right w:w="108" w:type="dxa"/>
          </w:tblCellMar>
        </w:tblPrEx>
        <w:trPr>
          <w:trHeight w:val="480" w:hRule="atLeast"/>
          <w:jc w:val="center"/>
        </w:trPr>
        <w:tc>
          <w:tcPr>
            <w:tcW w:w="499" w:type="dxa"/>
            <w:vMerge w:val="continue"/>
            <w:tcBorders>
              <w:top w:val="single" w:color="auto" w:sz="4" w:space="0"/>
              <w:left w:val="single" w:color="auto" w:sz="4" w:space="0"/>
              <w:bottom w:val="single" w:color="auto" w:sz="4" w:space="0"/>
              <w:right w:val="single" w:color="auto" w:sz="4" w:space="0"/>
            </w:tcBorders>
            <w:noWrap w:val="0"/>
            <w:vAlign w:val="center"/>
          </w:tcPr>
          <w:p w14:paraId="36B0DFE2">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4A16D84C">
            <w:pPr>
              <w:rPr>
                <w:rFonts w:ascii="宋体" w:hAnsi="宋体" w:cs="宋体"/>
                <w:color w:val="auto"/>
                <w:sz w:val="18"/>
                <w:szCs w:val="18"/>
              </w:rPr>
            </w:pPr>
          </w:p>
        </w:tc>
        <w:tc>
          <w:tcPr>
            <w:tcW w:w="477" w:type="dxa"/>
            <w:vMerge w:val="restart"/>
            <w:tcBorders>
              <w:top w:val="single" w:color="auto" w:sz="4" w:space="0"/>
              <w:left w:val="single" w:color="auto" w:sz="4" w:space="0"/>
              <w:bottom w:val="single" w:color="auto" w:sz="4" w:space="0"/>
              <w:right w:val="single" w:color="auto" w:sz="4" w:space="0"/>
            </w:tcBorders>
            <w:noWrap w:val="0"/>
            <w:vAlign w:val="center"/>
          </w:tcPr>
          <w:p w14:paraId="31746CD7">
            <w:pPr>
              <w:rPr>
                <w:rFonts w:ascii="宋体" w:hAnsi="宋体" w:cs="宋体"/>
                <w:color w:val="auto"/>
                <w:sz w:val="18"/>
                <w:szCs w:val="18"/>
              </w:rPr>
            </w:pPr>
            <w:r>
              <w:rPr>
                <w:rFonts w:hint="eastAsia" w:ascii="宋体" w:hAnsi="宋体" w:cs="宋体"/>
                <w:color w:val="auto"/>
                <w:sz w:val="18"/>
                <w:szCs w:val="18"/>
              </w:rPr>
              <w:t>事故预防制度</w:t>
            </w:r>
          </w:p>
        </w:tc>
        <w:tc>
          <w:tcPr>
            <w:tcW w:w="3350" w:type="dxa"/>
            <w:tcBorders>
              <w:top w:val="single" w:color="auto" w:sz="4" w:space="0"/>
              <w:left w:val="single" w:color="auto" w:sz="4" w:space="0"/>
              <w:bottom w:val="single" w:color="auto" w:sz="4" w:space="0"/>
              <w:right w:val="single" w:color="auto" w:sz="4" w:space="0"/>
            </w:tcBorders>
            <w:noWrap w:val="0"/>
            <w:vAlign w:val="center"/>
          </w:tcPr>
          <w:p w14:paraId="6EE55AF2">
            <w:pPr>
              <w:rPr>
                <w:rFonts w:ascii="宋体" w:hAnsi="宋体" w:cs="宋体"/>
                <w:color w:val="auto"/>
                <w:sz w:val="18"/>
                <w:szCs w:val="18"/>
              </w:rPr>
            </w:pPr>
            <w:r>
              <w:rPr>
                <w:rFonts w:ascii="宋体" w:hAnsi="宋体" w:cs="宋体"/>
                <w:color w:val="auto"/>
                <w:sz w:val="18"/>
                <w:szCs w:val="18"/>
              </w:rPr>
              <w:t>15.应对从业人员进行卫生安全知识培训，建有预防食物中毒事故预案及突发安全事件预案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F210805">
            <w:pPr>
              <w:rPr>
                <w:rFonts w:ascii="宋体" w:hAnsi="宋体" w:cs="宋体"/>
                <w:color w:val="auto"/>
                <w:sz w:val="18"/>
                <w:szCs w:val="18"/>
              </w:rPr>
            </w:pPr>
            <w:r>
              <w:rPr>
                <w:rFonts w:hint="eastAsia" w:ascii="宋体" w:hAnsi="宋体" w:cs="宋体"/>
                <w:color w:val="auto"/>
                <w:sz w:val="18"/>
                <w:szCs w:val="18"/>
              </w:rPr>
              <w:t>查看制度</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27FDBBCE">
            <w:pPr>
              <w:rPr>
                <w:rFonts w:ascii="宋体" w:hAnsi="宋体" w:cs="宋体"/>
                <w:color w:val="auto"/>
                <w:sz w:val="18"/>
                <w:szCs w:val="18"/>
              </w:rPr>
            </w:pPr>
            <w:r>
              <w:rPr>
                <w:rFonts w:hint="eastAsia" w:ascii="宋体" w:hAnsi="宋体" w:cs="宋体"/>
                <w:color w:val="auto"/>
                <w:sz w:val="18"/>
                <w:szCs w:val="18"/>
              </w:rPr>
              <w:t>缺预案、未按要求开展培训和培训不到位的支付违约金</w:t>
            </w:r>
            <w:r>
              <w:rPr>
                <w:rFonts w:ascii="宋体" w:hAnsi="宋体" w:cs="宋体"/>
                <w:color w:val="auto"/>
                <w:sz w:val="18"/>
                <w:szCs w:val="18"/>
              </w:rPr>
              <w:t>1000元/次</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1489C934">
            <w:pPr>
              <w:rPr>
                <w:rFonts w:ascii="宋体" w:hAnsi="宋体" w:cs="宋体"/>
                <w:color w:val="auto"/>
                <w:sz w:val="18"/>
                <w:szCs w:val="18"/>
              </w:rPr>
            </w:pPr>
            <w:r>
              <w:rPr>
                <w:rFonts w:hint="eastAsia" w:ascii="宋体" w:hAnsi="宋体" w:cs="宋体"/>
                <w:color w:val="auto"/>
                <w:sz w:val="18"/>
                <w:szCs w:val="18"/>
              </w:rPr>
              <w:t>缺预案、未按要求开展培训和培训不到位扣</w:t>
            </w:r>
            <w:r>
              <w:rPr>
                <w:rFonts w:ascii="宋体" w:hAnsi="宋体" w:cs="宋体"/>
                <w:color w:val="auto"/>
                <w:sz w:val="18"/>
                <w:szCs w:val="18"/>
              </w:rPr>
              <w:t>1分/次</w:t>
            </w:r>
          </w:p>
        </w:tc>
      </w:tr>
      <w:tr w14:paraId="04D5C313">
        <w:tblPrEx>
          <w:tblCellMar>
            <w:top w:w="0" w:type="dxa"/>
            <w:left w:w="108" w:type="dxa"/>
            <w:bottom w:w="0" w:type="dxa"/>
            <w:right w:w="108" w:type="dxa"/>
          </w:tblCellMar>
        </w:tblPrEx>
        <w:trPr>
          <w:trHeight w:val="720" w:hRule="atLeast"/>
          <w:jc w:val="center"/>
        </w:trPr>
        <w:tc>
          <w:tcPr>
            <w:tcW w:w="499" w:type="dxa"/>
            <w:vMerge w:val="continue"/>
            <w:tcBorders>
              <w:top w:val="single" w:color="auto" w:sz="4" w:space="0"/>
              <w:left w:val="single" w:color="auto" w:sz="4" w:space="0"/>
              <w:bottom w:val="single" w:color="auto" w:sz="4" w:space="0"/>
              <w:right w:val="single" w:color="auto" w:sz="4" w:space="0"/>
            </w:tcBorders>
            <w:noWrap w:val="0"/>
            <w:vAlign w:val="center"/>
          </w:tcPr>
          <w:p w14:paraId="4EA0479E">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77B66751">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noWrap w:val="0"/>
            <w:vAlign w:val="center"/>
          </w:tcPr>
          <w:p w14:paraId="45802901">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noWrap w:val="0"/>
            <w:vAlign w:val="center"/>
          </w:tcPr>
          <w:p w14:paraId="266D4725">
            <w:pPr>
              <w:rPr>
                <w:rFonts w:ascii="宋体" w:hAnsi="宋体" w:cs="宋体"/>
                <w:color w:val="auto"/>
                <w:sz w:val="18"/>
                <w:szCs w:val="18"/>
              </w:rPr>
            </w:pPr>
            <w:r>
              <w:rPr>
                <w:rFonts w:ascii="宋体" w:hAnsi="宋体" w:cs="宋体"/>
                <w:color w:val="auto"/>
                <w:sz w:val="18"/>
                <w:szCs w:val="18"/>
              </w:rPr>
              <w:t>16.应对从业人员进行消防安全知识培训，建有因电气、燃气、油锅着火应急处理机制及预案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3979B54">
            <w:pPr>
              <w:rPr>
                <w:rFonts w:ascii="宋体" w:hAnsi="宋体" w:cs="宋体"/>
                <w:color w:val="auto"/>
                <w:sz w:val="18"/>
                <w:szCs w:val="18"/>
              </w:rPr>
            </w:pPr>
            <w:r>
              <w:rPr>
                <w:rFonts w:hint="eastAsia" w:ascii="宋体" w:hAnsi="宋体" w:cs="宋体"/>
                <w:color w:val="auto"/>
                <w:sz w:val="18"/>
                <w:szCs w:val="18"/>
              </w:rPr>
              <w:t>查看制度</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4EE05A8C">
            <w:pPr>
              <w:rPr>
                <w:rFonts w:ascii="宋体" w:hAnsi="宋体" w:cs="宋体"/>
                <w:color w:val="auto"/>
                <w:sz w:val="18"/>
                <w:szCs w:val="18"/>
              </w:rPr>
            </w:pPr>
            <w:r>
              <w:rPr>
                <w:rFonts w:hint="eastAsia" w:ascii="宋体" w:hAnsi="宋体" w:cs="宋体"/>
                <w:color w:val="auto"/>
                <w:sz w:val="18"/>
                <w:szCs w:val="18"/>
              </w:rPr>
              <w:t>缺一项预案支付违约金</w:t>
            </w:r>
            <w:r>
              <w:rPr>
                <w:rFonts w:ascii="宋体" w:hAnsi="宋体" w:cs="宋体"/>
                <w:color w:val="auto"/>
                <w:sz w:val="18"/>
                <w:szCs w:val="18"/>
              </w:rPr>
              <w:t>1000元/次</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3ECF0120">
            <w:pPr>
              <w:rPr>
                <w:rFonts w:ascii="宋体" w:hAnsi="宋体" w:cs="宋体"/>
                <w:color w:val="auto"/>
                <w:sz w:val="18"/>
                <w:szCs w:val="18"/>
              </w:rPr>
            </w:pPr>
            <w:r>
              <w:rPr>
                <w:rFonts w:hint="eastAsia" w:ascii="宋体" w:hAnsi="宋体" w:cs="宋体"/>
                <w:color w:val="auto"/>
                <w:sz w:val="18"/>
                <w:szCs w:val="18"/>
              </w:rPr>
              <w:t>缺一项预案扣</w:t>
            </w:r>
            <w:r>
              <w:rPr>
                <w:rFonts w:ascii="宋体" w:hAnsi="宋体" w:cs="宋体"/>
                <w:color w:val="auto"/>
                <w:sz w:val="18"/>
                <w:szCs w:val="18"/>
              </w:rPr>
              <w:t>1分/次</w:t>
            </w:r>
          </w:p>
        </w:tc>
      </w:tr>
      <w:tr w14:paraId="0298D916">
        <w:tblPrEx>
          <w:tblCellMar>
            <w:top w:w="0" w:type="dxa"/>
            <w:left w:w="108" w:type="dxa"/>
            <w:bottom w:w="0" w:type="dxa"/>
            <w:right w:w="108" w:type="dxa"/>
          </w:tblCellMar>
        </w:tblPrEx>
        <w:trPr>
          <w:trHeight w:val="720" w:hRule="atLeast"/>
          <w:jc w:val="center"/>
        </w:trPr>
        <w:tc>
          <w:tcPr>
            <w:tcW w:w="499" w:type="dxa"/>
            <w:vMerge w:val="continue"/>
            <w:tcBorders>
              <w:top w:val="single" w:color="auto" w:sz="4" w:space="0"/>
              <w:left w:val="single" w:color="auto" w:sz="4" w:space="0"/>
              <w:bottom w:val="single" w:color="auto" w:sz="4" w:space="0"/>
              <w:right w:val="single" w:color="auto" w:sz="4" w:space="0"/>
            </w:tcBorders>
            <w:noWrap w:val="0"/>
            <w:vAlign w:val="center"/>
          </w:tcPr>
          <w:p w14:paraId="1C3307E7">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3F105503">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noWrap w:val="0"/>
            <w:vAlign w:val="center"/>
          </w:tcPr>
          <w:p w14:paraId="65A0EC34">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noWrap w:val="0"/>
            <w:vAlign w:val="center"/>
          </w:tcPr>
          <w:p w14:paraId="3ED68B6E">
            <w:pPr>
              <w:rPr>
                <w:rFonts w:ascii="宋体" w:hAnsi="宋体" w:cs="宋体"/>
                <w:color w:val="auto"/>
                <w:sz w:val="18"/>
                <w:szCs w:val="18"/>
              </w:rPr>
            </w:pPr>
            <w:r>
              <w:rPr>
                <w:rFonts w:ascii="宋体" w:hAnsi="宋体" w:cs="宋体"/>
                <w:color w:val="auto"/>
                <w:sz w:val="18"/>
                <w:szCs w:val="18"/>
              </w:rPr>
              <w:t>17.应对从业人员进行设备使用培训，建有机械设备、用电、用气(汽)安全操作规程</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22D7DFA">
            <w:pPr>
              <w:rPr>
                <w:rFonts w:ascii="宋体" w:hAnsi="宋体" w:cs="宋体"/>
                <w:color w:val="auto"/>
                <w:sz w:val="18"/>
                <w:szCs w:val="18"/>
              </w:rPr>
            </w:pPr>
            <w:r>
              <w:rPr>
                <w:rFonts w:hint="eastAsia" w:ascii="宋体" w:hAnsi="宋体" w:cs="宋体"/>
                <w:color w:val="auto"/>
                <w:sz w:val="18"/>
                <w:szCs w:val="18"/>
              </w:rPr>
              <w:t>现场检查</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4F31D8EA">
            <w:pPr>
              <w:rPr>
                <w:rFonts w:ascii="宋体" w:hAnsi="宋体" w:cs="宋体"/>
                <w:color w:val="auto"/>
                <w:sz w:val="18"/>
                <w:szCs w:val="18"/>
              </w:rPr>
            </w:pPr>
            <w:r>
              <w:rPr>
                <w:rFonts w:hint="eastAsia" w:ascii="宋体" w:hAnsi="宋体" w:cs="宋体"/>
                <w:color w:val="auto"/>
                <w:sz w:val="18"/>
                <w:szCs w:val="18"/>
              </w:rPr>
              <w:t>缺一项操作规程支付违约金</w:t>
            </w:r>
            <w:r>
              <w:rPr>
                <w:rFonts w:ascii="宋体" w:hAnsi="宋体" w:cs="宋体"/>
                <w:color w:val="auto"/>
                <w:sz w:val="18"/>
                <w:szCs w:val="18"/>
              </w:rPr>
              <w:t>1000元/次</w:t>
            </w:r>
          </w:p>
          <w:p w14:paraId="1DA4DE17">
            <w:pPr>
              <w:rPr>
                <w:rFonts w:ascii="宋体" w:hAnsi="宋体" w:cs="宋体"/>
                <w:color w:val="auto"/>
                <w:sz w:val="18"/>
                <w:szCs w:val="18"/>
              </w:rPr>
            </w:pPr>
            <w:r>
              <w:rPr>
                <w:rFonts w:hint="eastAsia" w:ascii="宋体" w:hAnsi="宋体" w:cs="宋体"/>
                <w:color w:val="auto"/>
                <w:sz w:val="18"/>
                <w:szCs w:val="18"/>
              </w:rPr>
              <w:t>违规操作支付违约金</w:t>
            </w:r>
            <w:r>
              <w:rPr>
                <w:rFonts w:ascii="宋体" w:hAnsi="宋体" w:cs="宋体"/>
                <w:color w:val="auto"/>
                <w:sz w:val="18"/>
                <w:szCs w:val="18"/>
              </w:rPr>
              <w:t>5000元/次</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6BD92E1B">
            <w:pPr>
              <w:rPr>
                <w:rFonts w:ascii="宋体" w:hAnsi="宋体" w:cs="宋体"/>
                <w:color w:val="auto"/>
                <w:sz w:val="18"/>
                <w:szCs w:val="18"/>
              </w:rPr>
            </w:pPr>
            <w:r>
              <w:rPr>
                <w:rFonts w:hint="eastAsia" w:ascii="宋体" w:hAnsi="宋体" w:cs="宋体"/>
                <w:color w:val="auto"/>
                <w:sz w:val="18"/>
                <w:szCs w:val="18"/>
              </w:rPr>
              <w:t>缺一项操作规程扣</w:t>
            </w:r>
            <w:r>
              <w:rPr>
                <w:rFonts w:ascii="宋体" w:hAnsi="宋体" w:cs="宋体"/>
                <w:color w:val="auto"/>
                <w:sz w:val="18"/>
                <w:szCs w:val="18"/>
              </w:rPr>
              <w:t>1分/次</w:t>
            </w:r>
          </w:p>
          <w:p w14:paraId="5EFA3BF7">
            <w:pPr>
              <w:rPr>
                <w:rFonts w:ascii="宋体" w:hAnsi="宋体" w:cs="宋体"/>
                <w:color w:val="auto"/>
                <w:sz w:val="18"/>
                <w:szCs w:val="18"/>
              </w:rPr>
            </w:pPr>
            <w:r>
              <w:rPr>
                <w:rFonts w:hint="eastAsia" w:ascii="宋体" w:hAnsi="宋体" w:cs="宋体"/>
                <w:color w:val="auto"/>
                <w:sz w:val="18"/>
                <w:szCs w:val="18"/>
              </w:rPr>
              <w:t>违规操作扣</w:t>
            </w:r>
            <w:r>
              <w:rPr>
                <w:rFonts w:ascii="宋体" w:hAnsi="宋体" w:cs="宋体"/>
                <w:color w:val="auto"/>
                <w:sz w:val="18"/>
                <w:szCs w:val="18"/>
              </w:rPr>
              <w:t>2分/次</w:t>
            </w:r>
          </w:p>
        </w:tc>
      </w:tr>
      <w:tr w14:paraId="4AC1604F">
        <w:tblPrEx>
          <w:tblCellMar>
            <w:top w:w="0" w:type="dxa"/>
            <w:left w:w="108" w:type="dxa"/>
            <w:bottom w:w="0" w:type="dxa"/>
            <w:right w:w="108" w:type="dxa"/>
          </w:tblCellMar>
        </w:tblPrEx>
        <w:trPr>
          <w:trHeight w:val="960" w:hRule="atLeast"/>
          <w:jc w:val="center"/>
        </w:trPr>
        <w:tc>
          <w:tcPr>
            <w:tcW w:w="499" w:type="dxa"/>
            <w:vMerge w:val="restart"/>
            <w:tcBorders>
              <w:top w:val="single" w:color="auto" w:sz="4" w:space="0"/>
              <w:left w:val="single" w:color="auto" w:sz="4" w:space="0"/>
              <w:bottom w:val="single" w:color="auto" w:sz="4" w:space="0"/>
              <w:right w:val="single" w:color="auto" w:sz="4" w:space="0"/>
            </w:tcBorders>
            <w:noWrap w:val="0"/>
            <w:vAlign w:val="center"/>
          </w:tcPr>
          <w:p w14:paraId="73785027">
            <w:pPr>
              <w:rPr>
                <w:rFonts w:ascii="宋体" w:hAnsi="宋体" w:cs="宋体"/>
                <w:color w:val="auto"/>
                <w:sz w:val="18"/>
                <w:szCs w:val="18"/>
              </w:rPr>
            </w:pPr>
            <w:r>
              <w:rPr>
                <w:rFonts w:hint="eastAsia" w:ascii="宋体" w:hAnsi="宋体" w:cs="宋体"/>
                <w:color w:val="auto"/>
                <w:sz w:val="18"/>
                <w:szCs w:val="18"/>
              </w:rPr>
              <w:t>二</w:t>
            </w:r>
          </w:p>
        </w:tc>
        <w:tc>
          <w:tcPr>
            <w:tcW w:w="636" w:type="dxa"/>
            <w:vMerge w:val="restart"/>
            <w:tcBorders>
              <w:top w:val="single" w:color="auto" w:sz="4" w:space="0"/>
              <w:left w:val="single" w:color="auto" w:sz="4" w:space="0"/>
              <w:bottom w:val="single" w:color="auto" w:sz="4" w:space="0"/>
              <w:right w:val="single" w:color="auto" w:sz="4" w:space="0"/>
            </w:tcBorders>
            <w:noWrap w:val="0"/>
            <w:textDirection w:val="tbRlV"/>
            <w:vAlign w:val="center"/>
          </w:tcPr>
          <w:p w14:paraId="20426D76">
            <w:pPr>
              <w:rPr>
                <w:rFonts w:ascii="宋体" w:hAnsi="宋体" w:cs="宋体"/>
                <w:color w:val="auto"/>
                <w:sz w:val="18"/>
                <w:szCs w:val="18"/>
              </w:rPr>
            </w:pPr>
            <w:r>
              <w:rPr>
                <w:rFonts w:hint="eastAsia" w:ascii="宋体" w:hAnsi="宋体" w:cs="宋体"/>
                <w:color w:val="auto"/>
                <w:sz w:val="18"/>
                <w:szCs w:val="18"/>
              </w:rPr>
              <w:t>食品管理</w:t>
            </w:r>
          </w:p>
        </w:tc>
        <w:tc>
          <w:tcPr>
            <w:tcW w:w="477" w:type="dxa"/>
            <w:vMerge w:val="restart"/>
            <w:tcBorders>
              <w:top w:val="single" w:color="auto" w:sz="4" w:space="0"/>
              <w:left w:val="single" w:color="auto" w:sz="4" w:space="0"/>
              <w:bottom w:val="single" w:color="auto" w:sz="4" w:space="0"/>
              <w:right w:val="single" w:color="auto" w:sz="4" w:space="0"/>
            </w:tcBorders>
            <w:noWrap w:val="0"/>
            <w:textDirection w:val="tbRlV"/>
            <w:vAlign w:val="center"/>
          </w:tcPr>
          <w:p w14:paraId="6A74C5C2">
            <w:pPr>
              <w:jc w:val="center"/>
              <w:rPr>
                <w:rFonts w:ascii="宋体" w:hAnsi="宋体" w:cs="宋体"/>
                <w:color w:val="auto"/>
                <w:sz w:val="18"/>
                <w:szCs w:val="18"/>
              </w:rPr>
            </w:pPr>
            <w:r>
              <w:rPr>
                <w:rFonts w:hint="eastAsia" w:ascii="宋体" w:hAnsi="宋体" w:cs="宋体"/>
                <w:color w:val="auto"/>
                <w:sz w:val="18"/>
                <w:szCs w:val="18"/>
              </w:rPr>
              <w:t>采购</w:t>
            </w:r>
          </w:p>
        </w:tc>
        <w:tc>
          <w:tcPr>
            <w:tcW w:w="3350" w:type="dxa"/>
            <w:tcBorders>
              <w:top w:val="single" w:color="auto" w:sz="4" w:space="0"/>
              <w:left w:val="single" w:color="auto" w:sz="4" w:space="0"/>
              <w:bottom w:val="single" w:color="auto" w:sz="4" w:space="0"/>
              <w:right w:val="single" w:color="auto" w:sz="4" w:space="0"/>
            </w:tcBorders>
            <w:noWrap w:val="0"/>
            <w:vAlign w:val="center"/>
          </w:tcPr>
          <w:p w14:paraId="35B02F49">
            <w:pPr>
              <w:rPr>
                <w:rFonts w:ascii="宋体" w:hAnsi="宋体" w:cs="宋体"/>
                <w:color w:val="auto"/>
                <w:sz w:val="18"/>
                <w:szCs w:val="18"/>
              </w:rPr>
            </w:pPr>
            <w:r>
              <w:rPr>
                <w:rFonts w:ascii="宋体" w:hAnsi="宋体" w:cs="宋体"/>
                <w:color w:val="auto"/>
                <w:sz w:val="18"/>
                <w:szCs w:val="18"/>
              </w:rPr>
              <w:t>18.建立食品安全追溯体系，保证食品可追溯。必须落实原材料公司统一、集中定点采购制度，食品原材料采购应符合国家有关规定以及学校要求，不得采购临期和过期食品。</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A2AA196">
            <w:pPr>
              <w:rPr>
                <w:rFonts w:ascii="宋体" w:hAnsi="宋体" w:cs="宋体"/>
                <w:color w:val="auto"/>
                <w:sz w:val="18"/>
                <w:szCs w:val="18"/>
              </w:rPr>
            </w:pPr>
            <w:r>
              <w:rPr>
                <w:rFonts w:hint="eastAsia" w:ascii="宋体" w:hAnsi="宋体" w:cs="宋体"/>
                <w:color w:val="auto"/>
                <w:sz w:val="18"/>
                <w:szCs w:val="18"/>
              </w:rPr>
              <w:t>现场</w:t>
            </w:r>
          </w:p>
          <w:p w14:paraId="70819AEA">
            <w:pPr>
              <w:rPr>
                <w:rFonts w:ascii="宋体" w:hAnsi="宋体" w:cs="宋体"/>
                <w:color w:val="auto"/>
                <w:sz w:val="18"/>
                <w:szCs w:val="18"/>
              </w:rPr>
            </w:pPr>
            <w:r>
              <w:rPr>
                <w:rFonts w:hint="eastAsia" w:ascii="宋体" w:hAnsi="宋体" w:cs="宋体"/>
                <w:color w:val="auto"/>
                <w:sz w:val="18"/>
                <w:szCs w:val="18"/>
              </w:rPr>
              <w:t>检查</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606ECC40">
            <w:pPr>
              <w:rPr>
                <w:rFonts w:ascii="宋体" w:hAnsi="宋体" w:cs="宋体"/>
                <w:color w:val="auto"/>
                <w:sz w:val="18"/>
                <w:szCs w:val="18"/>
              </w:rPr>
            </w:pPr>
            <w:r>
              <w:rPr>
                <w:rFonts w:hint="eastAsia" w:ascii="宋体" w:hAnsi="宋体" w:cs="宋体"/>
                <w:color w:val="auto"/>
                <w:sz w:val="18"/>
                <w:szCs w:val="18"/>
              </w:rPr>
              <w:t>违规采购的支付违约金</w:t>
            </w:r>
            <w:r>
              <w:rPr>
                <w:rFonts w:ascii="宋体" w:hAnsi="宋体" w:cs="宋体"/>
                <w:color w:val="auto"/>
                <w:sz w:val="18"/>
                <w:szCs w:val="18"/>
              </w:rPr>
              <w:t>10000元/次</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79CF62F6">
            <w:pPr>
              <w:rPr>
                <w:rFonts w:ascii="宋体" w:hAnsi="宋体" w:cs="宋体"/>
                <w:color w:val="auto"/>
                <w:sz w:val="18"/>
                <w:szCs w:val="18"/>
              </w:rPr>
            </w:pPr>
            <w:r>
              <w:rPr>
                <w:rFonts w:hint="eastAsia" w:ascii="宋体" w:hAnsi="宋体" w:cs="宋体"/>
                <w:color w:val="auto"/>
                <w:sz w:val="18"/>
                <w:szCs w:val="18"/>
              </w:rPr>
              <w:t>违规采购的扣</w:t>
            </w:r>
            <w:r>
              <w:rPr>
                <w:rFonts w:ascii="宋体" w:hAnsi="宋体" w:cs="宋体"/>
                <w:color w:val="auto"/>
                <w:sz w:val="18"/>
                <w:szCs w:val="18"/>
              </w:rPr>
              <w:t>5分/次</w:t>
            </w:r>
          </w:p>
        </w:tc>
      </w:tr>
      <w:tr w14:paraId="077D7538">
        <w:tblPrEx>
          <w:tblCellMar>
            <w:top w:w="0" w:type="dxa"/>
            <w:left w:w="108" w:type="dxa"/>
            <w:bottom w:w="0" w:type="dxa"/>
            <w:right w:w="108" w:type="dxa"/>
          </w:tblCellMar>
        </w:tblPrEx>
        <w:trPr>
          <w:trHeight w:val="960" w:hRule="atLeast"/>
          <w:jc w:val="center"/>
        </w:trPr>
        <w:tc>
          <w:tcPr>
            <w:tcW w:w="499" w:type="dxa"/>
            <w:vMerge w:val="continue"/>
            <w:tcBorders>
              <w:top w:val="single" w:color="auto" w:sz="4" w:space="0"/>
              <w:left w:val="single" w:color="auto" w:sz="4" w:space="0"/>
              <w:bottom w:val="single" w:color="auto" w:sz="4" w:space="0"/>
              <w:right w:val="single" w:color="auto" w:sz="4" w:space="0"/>
            </w:tcBorders>
            <w:noWrap w:val="0"/>
            <w:vAlign w:val="center"/>
          </w:tcPr>
          <w:p w14:paraId="75DF8750">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noWrap w:val="0"/>
            <w:textDirection w:val="tbRlV"/>
            <w:vAlign w:val="center"/>
          </w:tcPr>
          <w:p w14:paraId="5F865EDB">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noWrap w:val="0"/>
            <w:textDirection w:val="tbRlV"/>
            <w:vAlign w:val="center"/>
          </w:tcPr>
          <w:p w14:paraId="37EE72AD">
            <w:pPr>
              <w:jc w:val="cente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noWrap w:val="0"/>
            <w:vAlign w:val="center"/>
          </w:tcPr>
          <w:p w14:paraId="50762C70">
            <w:pPr>
              <w:rPr>
                <w:rFonts w:ascii="宋体" w:hAnsi="宋体" w:cs="宋体"/>
                <w:color w:val="auto"/>
                <w:sz w:val="18"/>
                <w:szCs w:val="18"/>
              </w:rPr>
            </w:pPr>
            <w:r>
              <w:rPr>
                <w:rFonts w:ascii="宋体" w:hAnsi="宋体" w:cs="宋体"/>
                <w:color w:val="auto"/>
                <w:sz w:val="18"/>
                <w:szCs w:val="18"/>
              </w:rPr>
              <w:t>19.主要原材料应建立定点供货单位及采购品种备案制度，供货单位必须持有营业执照、卫生许可证、动植物检疫合格证等相关证件并建立台帐。</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DD7E609">
            <w:pPr>
              <w:rPr>
                <w:rFonts w:ascii="宋体" w:hAnsi="宋体" w:cs="宋体"/>
                <w:color w:val="auto"/>
                <w:sz w:val="18"/>
                <w:szCs w:val="18"/>
              </w:rPr>
            </w:pPr>
            <w:r>
              <w:rPr>
                <w:rFonts w:hint="eastAsia" w:ascii="宋体" w:hAnsi="宋体" w:cs="宋体"/>
                <w:color w:val="auto"/>
                <w:sz w:val="18"/>
                <w:szCs w:val="18"/>
              </w:rPr>
              <w:t>查看证件</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7EBBB9B5">
            <w:pPr>
              <w:rPr>
                <w:rFonts w:ascii="宋体" w:hAnsi="宋体" w:cs="宋体"/>
                <w:color w:val="auto"/>
                <w:sz w:val="18"/>
                <w:szCs w:val="18"/>
              </w:rPr>
            </w:pPr>
            <w:r>
              <w:rPr>
                <w:rFonts w:hint="eastAsia" w:ascii="宋体" w:hAnsi="宋体" w:cs="宋体"/>
                <w:color w:val="auto"/>
                <w:sz w:val="18"/>
                <w:szCs w:val="18"/>
              </w:rPr>
              <w:t>无采购合同备案及相关证件的每缺一项支付违约金</w:t>
            </w:r>
            <w:r>
              <w:rPr>
                <w:rFonts w:ascii="宋体" w:hAnsi="宋体" w:cs="宋体"/>
                <w:color w:val="auto"/>
                <w:sz w:val="18"/>
                <w:szCs w:val="18"/>
              </w:rPr>
              <w:t>10000元/次</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589F21FF">
            <w:pPr>
              <w:rPr>
                <w:rFonts w:ascii="宋体" w:hAnsi="宋体" w:cs="宋体"/>
                <w:color w:val="auto"/>
                <w:sz w:val="18"/>
                <w:szCs w:val="18"/>
              </w:rPr>
            </w:pPr>
            <w:r>
              <w:rPr>
                <w:rFonts w:hint="eastAsia" w:ascii="宋体" w:hAnsi="宋体" w:cs="宋体"/>
                <w:color w:val="auto"/>
                <w:sz w:val="18"/>
                <w:szCs w:val="18"/>
              </w:rPr>
              <w:t>无采购合同备案及相关证件的每缺一项扣</w:t>
            </w:r>
            <w:r>
              <w:rPr>
                <w:rFonts w:ascii="宋体" w:hAnsi="宋体" w:cs="宋体"/>
                <w:color w:val="auto"/>
                <w:sz w:val="18"/>
                <w:szCs w:val="18"/>
              </w:rPr>
              <w:t>5分</w:t>
            </w:r>
          </w:p>
        </w:tc>
      </w:tr>
      <w:tr w14:paraId="7EBAB5E5">
        <w:tblPrEx>
          <w:tblCellMar>
            <w:top w:w="0" w:type="dxa"/>
            <w:left w:w="108" w:type="dxa"/>
            <w:bottom w:w="0" w:type="dxa"/>
            <w:right w:w="108" w:type="dxa"/>
          </w:tblCellMar>
        </w:tblPrEx>
        <w:trPr>
          <w:trHeight w:val="960" w:hRule="atLeast"/>
          <w:jc w:val="center"/>
        </w:trPr>
        <w:tc>
          <w:tcPr>
            <w:tcW w:w="499" w:type="dxa"/>
            <w:vMerge w:val="continue"/>
            <w:tcBorders>
              <w:top w:val="single" w:color="auto" w:sz="4" w:space="0"/>
              <w:left w:val="single" w:color="auto" w:sz="4" w:space="0"/>
              <w:bottom w:val="single" w:color="auto" w:sz="4" w:space="0"/>
              <w:right w:val="single" w:color="auto" w:sz="4" w:space="0"/>
            </w:tcBorders>
            <w:noWrap w:val="0"/>
            <w:vAlign w:val="center"/>
          </w:tcPr>
          <w:p w14:paraId="05E64362">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416C3D70">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noWrap w:val="0"/>
            <w:vAlign w:val="center"/>
          </w:tcPr>
          <w:p w14:paraId="01D46604">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noWrap w:val="0"/>
            <w:vAlign w:val="center"/>
          </w:tcPr>
          <w:p w14:paraId="30FE6396">
            <w:pPr>
              <w:rPr>
                <w:rFonts w:ascii="宋体" w:hAnsi="宋体" w:cs="宋体"/>
                <w:color w:val="auto"/>
                <w:sz w:val="18"/>
                <w:szCs w:val="18"/>
              </w:rPr>
            </w:pPr>
            <w:r>
              <w:rPr>
                <w:rFonts w:ascii="宋体" w:hAnsi="宋体" w:cs="宋体"/>
                <w:color w:val="auto"/>
                <w:sz w:val="18"/>
                <w:szCs w:val="18"/>
              </w:rPr>
              <w:t>20.建立落实采购登记台账制度（电子与纸质）和食品原材料索证（肉类品质检验合格证、动植物检疫合格证等）、索票制度，每批次物品应有生产厂家、产地、生产日期、保质期及QS认证等标识。</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B791C14">
            <w:pPr>
              <w:rPr>
                <w:rFonts w:ascii="宋体" w:hAnsi="宋体" w:cs="宋体"/>
                <w:color w:val="auto"/>
                <w:sz w:val="18"/>
                <w:szCs w:val="18"/>
              </w:rPr>
            </w:pPr>
            <w:r>
              <w:rPr>
                <w:rFonts w:hint="eastAsia" w:ascii="宋体" w:hAnsi="宋体" w:cs="宋体"/>
                <w:color w:val="auto"/>
                <w:sz w:val="18"/>
                <w:szCs w:val="18"/>
              </w:rPr>
              <w:t>现场检查</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48CC92F9">
            <w:pPr>
              <w:rPr>
                <w:rFonts w:ascii="宋体" w:hAnsi="宋体" w:cs="宋体"/>
                <w:color w:val="auto"/>
                <w:sz w:val="18"/>
                <w:szCs w:val="18"/>
              </w:rPr>
            </w:pPr>
            <w:r>
              <w:rPr>
                <w:rFonts w:hint="eastAsia" w:ascii="宋体" w:hAnsi="宋体" w:cs="宋体"/>
                <w:color w:val="auto"/>
                <w:sz w:val="18"/>
                <w:szCs w:val="18"/>
              </w:rPr>
              <w:t>每缺一项支付违约金</w:t>
            </w:r>
            <w:r>
              <w:rPr>
                <w:rFonts w:ascii="宋体" w:hAnsi="宋体" w:cs="宋体"/>
                <w:color w:val="auto"/>
                <w:sz w:val="18"/>
                <w:szCs w:val="18"/>
              </w:rPr>
              <w:t>1000元/次</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7A3B91A9">
            <w:pPr>
              <w:rPr>
                <w:rFonts w:ascii="宋体" w:hAnsi="宋体" w:cs="宋体"/>
                <w:color w:val="auto"/>
                <w:sz w:val="18"/>
                <w:szCs w:val="18"/>
              </w:rPr>
            </w:pPr>
            <w:r>
              <w:rPr>
                <w:rFonts w:hint="eastAsia" w:ascii="宋体" w:hAnsi="宋体" w:cs="宋体"/>
                <w:color w:val="auto"/>
                <w:sz w:val="18"/>
                <w:szCs w:val="18"/>
              </w:rPr>
              <w:t>缺项的扣</w:t>
            </w:r>
            <w:r>
              <w:rPr>
                <w:rFonts w:ascii="宋体" w:hAnsi="宋体" w:cs="宋体"/>
                <w:color w:val="auto"/>
                <w:sz w:val="18"/>
                <w:szCs w:val="18"/>
              </w:rPr>
              <w:t>1分/项/次</w:t>
            </w:r>
          </w:p>
        </w:tc>
      </w:tr>
      <w:tr w14:paraId="4360F6A5">
        <w:tblPrEx>
          <w:tblCellMar>
            <w:top w:w="0" w:type="dxa"/>
            <w:left w:w="108" w:type="dxa"/>
            <w:bottom w:w="0" w:type="dxa"/>
            <w:right w:w="108" w:type="dxa"/>
          </w:tblCellMar>
        </w:tblPrEx>
        <w:trPr>
          <w:trHeight w:val="480" w:hRule="atLeast"/>
          <w:jc w:val="center"/>
        </w:trPr>
        <w:tc>
          <w:tcPr>
            <w:tcW w:w="499" w:type="dxa"/>
            <w:vMerge w:val="continue"/>
            <w:tcBorders>
              <w:top w:val="single" w:color="auto" w:sz="4" w:space="0"/>
              <w:left w:val="single" w:color="auto" w:sz="4" w:space="0"/>
              <w:bottom w:val="single" w:color="auto" w:sz="4" w:space="0"/>
              <w:right w:val="single" w:color="auto" w:sz="4" w:space="0"/>
            </w:tcBorders>
            <w:noWrap w:val="0"/>
            <w:vAlign w:val="center"/>
          </w:tcPr>
          <w:p w14:paraId="2346666F">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050C048B">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noWrap w:val="0"/>
            <w:vAlign w:val="center"/>
          </w:tcPr>
          <w:p w14:paraId="3B18E90A">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noWrap w:val="0"/>
            <w:vAlign w:val="center"/>
          </w:tcPr>
          <w:p w14:paraId="0D300E78">
            <w:pPr>
              <w:rPr>
                <w:rFonts w:ascii="宋体" w:hAnsi="宋体" w:cs="宋体"/>
                <w:color w:val="auto"/>
                <w:sz w:val="18"/>
                <w:szCs w:val="18"/>
              </w:rPr>
            </w:pPr>
            <w:r>
              <w:rPr>
                <w:rFonts w:ascii="宋体" w:hAnsi="宋体" w:cs="宋体"/>
                <w:color w:val="auto"/>
                <w:sz w:val="18"/>
                <w:szCs w:val="18"/>
              </w:rPr>
              <w:t>21.采购的原材料应符合国家有关标准和本合同规定</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78AB01C">
            <w:pPr>
              <w:rPr>
                <w:rFonts w:ascii="宋体" w:hAnsi="宋体" w:cs="宋体"/>
                <w:color w:val="auto"/>
                <w:sz w:val="18"/>
                <w:szCs w:val="18"/>
              </w:rPr>
            </w:pPr>
            <w:r>
              <w:rPr>
                <w:rFonts w:hint="eastAsia" w:ascii="宋体" w:hAnsi="宋体" w:cs="宋体"/>
                <w:color w:val="auto"/>
                <w:sz w:val="18"/>
                <w:szCs w:val="18"/>
              </w:rPr>
              <w:t>现场检查</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377D3A9E">
            <w:pPr>
              <w:rPr>
                <w:rFonts w:ascii="宋体" w:hAnsi="宋体" w:cs="宋体"/>
                <w:color w:val="auto"/>
                <w:sz w:val="18"/>
                <w:szCs w:val="18"/>
              </w:rPr>
            </w:pPr>
            <w:r>
              <w:rPr>
                <w:rFonts w:hint="eastAsia" w:ascii="宋体" w:hAnsi="宋体" w:cs="宋体"/>
                <w:color w:val="auto"/>
                <w:sz w:val="18"/>
                <w:szCs w:val="18"/>
              </w:rPr>
              <w:t>每违规采购一次支付违约金</w:t>
            </w:r>
            <w:r>
              <w:rPr>
                <w:rFonts w:ascii="宋体" w:hAnsi="宋体" w:cs="宋体"/>
                <w:color w:val="auto"/>
                <w:sz w:val="18"/>
                <w:szCs w:val="18"/>
              </w:rPr>
              <w:t>10000元</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66CAD67F">
            <w:pPr>
              <w:rPr>
                <w:rFonts w:ascii="宋体" w:hAnsi="宋体" w:cs="宋体"/>
                <w:color w:val="auto"/>
                <w:sz w:val="18"/>
                <w:szCs w:val="18"/>
              </w:rPr>
            </w:pPr>
            <w:r>
              <w:rPr>
                <w:rFonts w:hint="eastAsia" w:ascii="宋体" w:hAnsi="宋体" w:cs="宋体"/>
                <w:color w:val="auto"/>
                <w:sz w:val="18"/>
                <w:szCs w:val="18"/>
              </w:rPr>
              <w:t>违规采购扣</w:t>
            </w:r>
            <w:r>
              <w:rPr>
                <w:rFonts w:ascii="宋体" w:hAnsi="宋体" w:cs="宋体"/>
                <w:color w:val="auto"/>
                <w:sz w:val="18"/>
                <w:szCs w:val="18"/>
              </w:rPr>
              <w:t>5分/次</w:t>
            </w:r>
          </w:p>
        </w:tc>
      </w:tr>
      <w:tr w14:paraId="737CB309">
        <w:tblPrEx>
          <w:tblCellMar>
            <w:top w:w="0" w:type="dxa"/>
            <w:left w:w="108" w:type="dxa"/>
            <w:bottom w:w="0" w:type="dxa"/>
            <w:right w:w="108" w:type="dxa"/>
          </w:tblCellMar>
        </w:tblPrEx>
        <w:trPr>
          <w:trHeight w:val="960" w:hRule="atLeast"/>
          <w:jc w:val="center"/>
        </w:trPr>
        <w:tc>
          <w:tcPr>
            <w:tcW w:w="499" w:type="dxa"/>
            <w:vMerge w:val="continue"/>
            <w:tcBorders>
              <w:top w:val="single" w:color="auto" w:sz="4" w:space="0"/>
              <w:left w:val="single" w:color="auto" w:sz="4" w:space="0"/>
              <w:bottom w:val="single" w:color="auto" w:sz="4" w:space="0"/>
              <w:right w:val="single" w:color="auto" w:sz="4" w:space="0"/>
            </w:tcBorders>
            <w:noWrap w:val="0"/>
            <w:vAlign w:val="center"/>
          </w:tcPr>
          <w:p w14:paraId="1F5F5D74">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2605D9A1">
            <w:pPr>
              <w:rPr>
                <w:rFonts w:ascii="宋体" w:hAnsi="宋体" w:cs="宋体"/>
                <w:color w:val="auto"/>
                <w:sz w:val="18"/>
                <w:szCs w:val="18"/>
              </w:rPr>
            </w:pPr>
          </w:p>
        </w:tc>
        <w:tc>
          <w:tcPr>
            <w:tcW w:w="477" w:type="dxa"/>
            <w:vMerge w:val="restart"/>
            <w:tcBorders>
              <w:top w:val="single" w:color="auto" w:sz="4" w:space="0"/>
              <w:left w:val="single" w:color="auto" w:sz="4" w:space="0"/>
              <w:bottom w:val="single" w:color="auto" w:sz="4" w:space="0"/>
              <w:right w:val="single" w:color="auto" w:sz="4" w:space="0"/>
            </w:tcBorders>
            <w:noWrap w:val="0"/>
            <w:textDirection w:val="tbRlV"/>
            <w:vAlign w:val="center"/>
          </w:tcPr>
          <w:p w14:paraId="009DB29F">
            <w:pPr>
              <w:jc w:val="center"/>
              <w:rPr>
                <w:rFonts w:ascii="宋体" w:hAnsi="宋体" w:cs="宋体"/>
                <w:color w:val="auto"/>
                <w:sz w:val="18"/>
                <w:szCs w:val="18"/>
              </w:rPr>
            </w:pPr>
            <w:r>
              <w:rPr>
                <w:rFonts w:hint="eastAsia" w:ascii="宋体" w:hAnsi="宋体" w:cs="宋体"/>
                <w:color w:val="auto"/>
                <w:sz w:val="18"/>
                <w:szCs w:val="18"/>
              </w:rPr>
              <w:t>存储</w:t>
            </w:r>
          </w:p>
        </w:tc>
        <w:tc>
          <w:tcPr>
            <w:tcW w:w="3350" w:type="dxa"/>
            <w:tcBorders>
              <w:top w:val="single" w:color="auto" w:sz="4" w:space="0"/>
              <w:left w:val="single" w:color="auto" w:sz="4" w:space="0"/>
              <w:bottom w:val="single" w:color="auto" w:sz="4" w:space="0"/>
              <w:right w:val="single" w:color="auto" w:sz="4" w:space="0"/>
            </w:tcBorders>
            <w:noWrap w:val="0"/>
            <w:vAlign w:val="center"/>
          </w:tcPr>
          <w:p w14:paraId="4B6CDBB6">
            <w:pPr>
              <w:rPr>
                <w:rFonts w:ascii="宋体" w:hAnsi="宋体" w:cs="宋体"/>
                <w:color w:val="auto"/>
                <w:sz w:val="18"/>
                <w:szCs w:val="18"/>
              </w:rPr>
            </w:pPr>
            <w:r>
              <w:rPr>
                <w:rFonts w:ascii="宋体" w:hAnsi="宋体" w:cs="宋体"/>
                <w:color w:val="auto"/>
                <w:sz w:val="18"/>
                <w:szCs w:val="18"/>
              </w:rPr>
              <w:t>22.仓库管理规范，物资分类存放，食品贮藏应做到原料、半成品、成品严格分开，做到生、熟分开，植物性食品、动物性食品和水产品分类摆放，冷藏柜(库)存放食品有标志。散装食品应标</w:t>
            </w:r>
            <w:r>
              <w:rPr>
                <w:rFonts w:hint="eastAsia" w:ascii="宋体" w:hAnsi="宋体" w:cs="宋体"/>
                <w:color w:val="auto"/>
                <w:sz w:val="18"/>
                <w:szCs w:val="18"/>
              </w:rPr>
              <w:t>明食品的名称、生产日期或生产批号、使用期限等内容，装入密闭容器或使用保鲜膜等无污染覆盖贮存。</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143FCC6">
            <w:pPr>
              <w:rPr>
                <w:rFonts w:ascii="宋体" w:hAnsi="宋体" w:cs="宋体"/>
                <w:color w:val="auto"/>
                <w:sz w:val="18"/>
                <w:szCs w:val="18"/>
              </w:rPr>
            </w:pPr>
            <w:r>
              <w:rPr>
                <w:rFonts w:hint="eastAsia" w:ascii="宋体" w:hAnsi="宋体" w:cs="宋体"/>
                <w:color w:val="auto"/>
                <w:sz w:val="18"/>
                <w:szCs w:val="18"/>
              </w:rPr>
              <w:t>现场检查</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3D304870">
            <w:pPr>
              <w:rPr>
                <w:rFonts w:ascii="宋体" w:hAnsi="宋体" w:cs="宋体"/>
                <w:color w:val="auto"/>
                <w:sz w:val="18"/>
                <w:szCs w:val="18"/>
              </w:rPr>
            </w:pPr>
            <w:r>
              <w:rPr>
                <w:rFonts w:hint="eastAsia" w:ascii="宋体" w:hAnsi="宋体" w:cs="宋体"/>
                <w:color w:val="auto"/>
                <w:sz w:val="18"/>
                <w:szCs w:val="18"/>
              </w:rPr>
              <w:t>不符合要求每次支付违约金</w:t>
            </w:r>
            <w:r>
              <w:rPr>
                <w:rFonts w:ascii="宋体" w:hAnsi="宋体" w:cs="宋体"/>
                <w:color w:val="auto"/>
                <w:sz w:val="18"/>
                <w:szCs w:val="18"/>
              </w:rPr>
              <w:t>2000元</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380B066F">
            <w:pPr>
              <w:rPr>
                <w:rFonts w:ascii="宋体" w:hAnsi="宋体" w:cs="宋体"/>
                <w:color w:val="auto"/>
                <w:sz w:val="18"/>
                <w:szCs w:val="18"/>
              </w:rPr>
            </w:pPr>
            <w:r>
              <w:rPr>
                <w:rFonts w:hint="eastAsia" w:ascii="宋体" w:hAnsi="宋体" w:cs="宋体"/>
                <w:color w:val="auto"/>
                <w:sz w:val="18"/>
                <w:szCs w:val="18"/>
              </w:rPr>
              <w:t>不符合要求的扣</w:t>
            </w:r>
            <w:r>
              <w:rPr>
                <w:rFonts w:ascii="宋体" w:hAnsi="宋体" w:cs="宋体"/>
                <w:color w:val="auto"/>
                <w:sz w:val="18"/>
                <w:szCs w:val="18"/>
              </w:rPr>
              <w:t>2分/次；</w:t>
            </w:r>
          </w:p>
        </w:tc>
      </w:tr>
      <w:tr w14:paraId="3AC2F8E9">
        <w:tblPrEx>
          <w:tblCellMar>
            <w:top w:w="0" w:type="dxa"/>
            <w:left w:w="108" w:type="dxa"/>
            <w:bottom w:w="0" w:type="dxa"/>
            <w:right w:w="108" w:type="dxa"/>
          </w:tblCellMar>
        </w:tblPrEx>
        <w:trPr>
          <w:trHeight w:val="480" w:hRule="atLeast"/>
          <w:jc w:val="center"/>
        </w:trPr>
        <w:tc>
          <w:tcPr>
            <w:tcW w:w="499" w:type="dxa"/>
            <w:vMerge w:val="continue"/>
            <w:tcBorders>
              <w:top w:val="single" w:color="auto" w:sz="4" w:space="0"/>
              <w:left w:val="single" w:color="auto" w:sz="4" w:space="0"/>
              <w:bottom w:val="single" w:color="auto" w:sz="4" w:space="0"/>
              <w:right w:val="single" w:color="auto" w:sz="4" w:space="0"/>
            </w:tcBorders>
            <w:noWrap w:val="0"/>
            <w:vAlign w:val="center"/>
          </w:tcPr>
          <w:p w14:paraId="699153CE">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7029B588">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noWrap w:val="0"/>
            <w:vAlign w:val="center"/>
          </w:tcPr>
          <w:p w14:paraId="7CC98F13">
            <w:pPr>
              <w:jc w:val="cente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noWrap w:val="0"/>
            <w:vAlign w:val="center"/>
          </w:tcPr>
          <w:p w14:paraId="6C8048D1">
            <w:pPr>
              <w:rPr>
                <w:rFonts w:ascii="宋体" w:hAnsi="宋体" w:cs="宋体"/>
                <w:color w:val="auto"/>
                <w:sz w:val="18"/>
                <w:szCs w:val="18"/>
              </w:rPr>
            </w:pPr>
            <w:r>
              <w:rPr>
                <w:rFonts w:ascii="宋体" w:hAnsi="宋体" w:cs="宋体"/>
                <w:color w:val="auto"/>
                <w:sz w:val="18"/>
                <w:szCs w:val="18"/>
              </w:rPr>
              <w:t>23.建立严格记录制度，定期清理腐败变质等感官性状异常食品、超过保质期等的相关产品。食品库无过期、变质及非食品物资</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DF0FFCF">
            <w:pPr>
              <w:rPr>
                <w:rFonts w:ascii="宋体" w:hAnsi="宋体" w:cs="宋体"/>
                <w:color w:val="auto"/>
                <w:sz w:val="18"/>
                <w:szCs w:val="18"/>
              </w:rPr>
            </w:pPr>
            <w:r>
              <w:rPr>
                <w:rFonts w:hint="eastAsia" w:ascii="宋体" w:hAnsi="宋体" w:cs="宋体"/>
                <w:color w:val="auto"/>
                <w:sz w:val="18"/>
                <w:szCs w:val="18"/>
              </w:rPr>
              <w:t>现场检查</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5ED78588">
            <w:pPr>
              <w:rPr>
                <w:rFonts w:ascii="宋体" w:hAnsi="宋体" w:cs="宋体"/>
                <w:color w:val="auto"/>
                <w:sz w:val="18"/>
                <w:szCs w:val="18"/>
              </w:rPr>
            </w:pPr>
            <w:r>
              <w:rPr>
                <w:rFonts w:hint="eastAsia" w:ascii="宋体" w:hAnsi="宋体" w:cs="宋体"/>
                <w:color w:val="auto"/>
                <w:sz w:val="18"/>
                <w:szCs w:val="18"/>
              </w:rPr>
              <w:t>发现感官性状异常食品的支付违约金</w:t>
            </w:r>
            <w:r>
              <w:rPr>
                <w:rFonts w:ascii="宋体" w:hAnsi="宋体" w:cs="宋体"/>
                <w:color w:val="auto"/>
                <w:sz w:val="18"/>
                <w:szCs w:val="18"/>
              </w:rPr>
              <w:t>5000元/次，发现腐败变质或超过保质期的相关产品的支付违约金10000元/次</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2D547A34">
            <w:pPr>
              <w:rPr>
                <w:rFonts w:ascii="宋体" w:hAnsi="宋体" w:cs="宋体"/>
                <w:color w:val="auto"/>
                <w:sz w:val="18"/>
                <w:szCs w:val="18"/>
              </w:rPr>
            </w:pPr>
            <w:r>
              <w:rPr>
                <w:rFonts w:hint="eastAsia" w:ascii="宋体" w:hAnsi="宋体" w:cs="宋体"/>
                <w:color w:val="auto"/>
                <w:sz w:val="18"/>
                <w:szCs w:val="18"/>
              </w:rPr>
              <w:t>发现感官性状异常或腐败变质或超过保质期的相关产品的，涉事当学期考核直接为不合格</w:t>
            </w:r>
          </w:p>
        </w:tc>
      </w:tr>
      <w:tr w14:paraId="6D9EFF9A">
        <w:tblPrEx>
          <w:tblCellMar>
            <w:top w:w="0" w:type="dxa"/>
            <w:left w:w="108" w:type="dxa"/>
            <w:bottom w:w="0" w:type="dxa"/>
            <w:right w:w="108" w:type="dxa"/>
          </w:tblCellMar>
        </w:tblPrEx>
        <w:trPr>
          <w:trHeight w:val="469" w:hRule="atLeast"/>
          <w:jc w:val="center"/>
        </w:trPr>
        <w:tc>
          <w:tcPr>
            <w:tcW w:w="499" w:type="dxa"/>
            <w:vMerge w:val="continue"/>
            <w:tcBorders>
              <w:top w:val="single" w:color="auto" w:sz="4" w:space="0"/>
              <w:left w:val="single" w:color="auto" w:sz="4" w:space="0"/>
              <w:bottom w:val="single" w:color="auto" w:sz="4" w:space="0"/>
              <w:right w:val="single" w:color="auto" w:sz="4" w:space="0"/>
            </w:tcBorders>
            <w:noWrap w:val="0"/>
            <w:vAlign w:val="center"/>
          </w:tcPr>
          <w:p w14:paraId="176B6825">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0CC6D018">
            <w:pPr>
              <w:rPr>
                <w:rFonts w:ascii="宋体" w:hAnsi="宋体" w:cs="宋体"/>
                <w:color w:val="auto"/>
                <w:sz w:val="18"/>
                <w:szCs w:val="18"/>
              </w:rPr>
            </w:pPr>
          </w:p>
        </w:tc>
        <w:tc>
          <w:tcPr>
            <w:tcW w:w="477" w:type="dxa"/>
            <w:tcBorders>
              <w:top w:val="single" w:color="auto" w:sz="4" w:space="0"/>
              <w:left w:val="single" w:color="auto" w:sz="4" w:space="0"/>
              <w:bottom w:val="single" w:color="auto" w:sz="4" w:space="0"/>
              <w:right w:val="single" w:color="auto" w:sz="4" w:space="0"/>
            </w:tcBorders>
            <w:noWrap w:val="0"/>
            <w:vAlign w:val="center"/>
          </w:tcPr>
          <w:p w14:paraId="02DD3AB9">
            <w:pPr>
              <w:rPr>
                <w:rFonts w:ascii="宋体" w:hAnsi="宋体" w:cs="宋体"/>
                <w:color w:val="auto"/>
                <w:sz w:val="18"/>
                <w:szCs w:val="18"/>
              </w:rPr>
            </w:pPr>
            <w:r>
              <w:rPr>
                <w:rFonts w:hint="eastAsia" w:ascii="宋体" w:hAnsi="宋体" w:cs="宋体"/>
                <w:color w:val="auto"/>
                <w:sz w:val="18"/>
                <w:szCs w:val="18"/>
              </w:rPr>
              <w:t>包装</w:t>
            </w:r>
          </w:p>
        </w:tc>
        <w:tc>
          <w:tcPr>
            <w:tcW w:w="3350" w:type="dxa"/>
            <w:tcBorders>
              <w:top w:val="single" w:color="auto" w:sz="4" w:space="0"/>
              <w:left w:val="single" w:color="auto" w:sz="4" w:space="0"/>
              <w:bottom w:val="single" w:color="auto" w:sz="4" w:space="0"/>
              <w:right w:val="single" w:color="auto" w:sz="4" w:space="0"/>
            </w:tcBorders>
            <w:noWrap w:val="0"/>
            <w:vAlign w:val="center"/>
          </w:tcPr>
          <w:p w14:paraId="7CF0B79A">
            <w:pPr>
              <w:rPr>
                <w:rFonts w:ascii="宋体" w:hAnsi="宋体" w:cs="宋体"/>
                <w:color w:val="auto"/>
                <w:sz w:val="18"/>
                <w:szCs w:val="18"/>
              </w:rPr>
            </w:pPr>
            <w:r>
              <w:rPr>
                <w:rFonts w:ascii="宋体" w:hAnsi="宋体" w:cs="宋体"/>
                <w:color w:val="auto"/>
                <w:sz w:val="18"/>
                <w:szCs w:val="18"/>
              </w:rPr>
              <w:t>24.盛放食品（含半成品和成品）的容器、包装材料应符合食品安全相关规定。</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716D533">
            <w:pPr>
              <w:rPr>
                <w:rFonts w:ascii="宋体" w:hAnsi="宋体" w:cs="宋体"/>
                <w:color w:val="auto"/>
                <w:sz w:val="18"/>
                <w:szCs w:val="18"/>
              </w:rPr>
            </w:pPr>
            <w:r>
              <w:rPr>
                <w:rFonts w:hint="eastAsia" w:ascii="宋体" w:hAnsi="宋体" w:cs="宋体"/>
                <w:color w:val="auto"/>
                <w:sz w:val="18"/>
                <w:szCs w:val="18"/>
              </w:rPr>
              <w:t>现场</w:t>
            </w:r>
          </w:p>
          <w:p w14:paraId="5E51BED2">
            <w:pPr>
              <w:rPr>
                <w:rFonts w:ascii="宋体" w:hAnsi="宋体" w:cs="宋体"/>
                <w:color w:val="auto"/>
                <w:sz w:val="18"/>
                <w:szCs w:val="18"/>
              </w:rPr>
            </w:pPr>
            <w:r>
              <w:rPr>
                <w:rFonts w:hint="eastAsia" w:ascii="宋体" w:hAnsi="宋体" w:cs="宋体"/>
                <w:color w:val="auto"/>
                <w:sz w:val="18"/>
                <w:szCs w:val="18"/>
              </w:rPr>
              <w:t>检查</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7272C2BD">
            <w:pPr>
              <w:rPr>
                <w:rFonts w:ascii="宋体" w:hAnsi="宋体" w:cs="宋体"/>
                <w:color w:val="auto"/>
                <w:sz w:val="18"/>
                <w:szCs w:val="18"/>
              </w:rPr>
            </w:pPr>
            <w:r>
              <w:rPr>
                <w:rFonts w:hint="eastAsia" w:ascii="宋体" w:hAnsi="宋体" w:cs="宋体"/>
                <w:color w:val="auto"/>
                <w:sz w:val="18"/>
                <w:szCs w:val="18"/>
              </w:rPr>
              <w:t>不符合要求的支付违约金</w:t>
            </w:r>
            <w:r>
              <w:rPr>
                <w:rFonts w:ascii="宋体" w:hAnsi="宋体" w:cs="宋体"/>
                <w:color w:val="auto"/>
                <w:sz w:val="18"/>
                <w:szCs w:val="18"/>
              </w:rPr>
              <w:t>1000元/次</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6E21840A">
            <w:pPr>
              <w:rPr>
                <w:rFonts w:ascii="宋体" w:hAnsi="宋体" w:cs="宋体"/>
                <w:color w:val="auto"/>
                <w:sz w:val="18"/>
                <w:szCs w:val="18"/>
              </w:rPr>
            </w:pPr>
            <w:r>
              <w:rPr>
                <w:rFonts w:hint="eastAsia" w:ascii="宋体" w:hAnsi="宋体" w:cs="宋体"/>
                <w:color w:val="auto"/>
                <w:sz w:val="18"/>
                <w:szCs w:val="18"/>
              </w:rPr>
              <w:t>不符合要求的扣</w:t>
            </w:r>
            <w:r>
              <w:rPr>
                <w:rFonts w:ascii="宋体" w:hAnsi="宋体" w:cs="宋体"/>
                <w:color w:val="auto"/>
                <w:sz w:val="18"/>
                <w:szCs w:val="18"/>
              </w:rPr>
              <w:t>1分/次</w:t>
            </w:r>
          </w:p>
        </w:tc>
      </w:tr>
      <w:tr w14:paraId="11171CE8">
        <w:tblPrEx>
          <w:tblCellMar>
            <w:top w:w="0" w:type="dxa"/>
            <w:left w:w="108" w:type="dxa"/>
            <w:bottom w:w="0" w:type="dxa"/>
            <w:right w:w="108" w:type="dxa"/>
          </w:tblCellMar>
        </w:tblPrEx>
        <w:trPr>
          <w:trHeight w:val="480" w:hRule="atLeast"/>
          <w:jc w:val="center"/>
        </w:trPr>
        <w:tc>
          <w:tcPr>
            <w:tcW w:w="499" w:type="dxa"/>
            <w:vMerge w:val="continue"/>
            <w:tcBorders>
              <w:top w:val="single" w:color="auto" w:sz="4" w:space="0"/>
              <w:left w:val="single" w:color="auto" w:sz="4" w:space="0"/>
              <w:bottom w:val="single" w:color="auto" w:sz="4" w:space="0"/>
              <w:right w:val="single" w:color="auto" w:sz="4" w:space="0"/>
            </w:tcBorders>
            <w:noWrap w:val="0"/>
            <w:vAlign w:val="center"/>
          </w:tcPr>
          <w:p w14:paraId="6AA6BC52">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2E800C79">
            <w:pPr>
              <w:rPr>
                <w:rFonts w:ascii="宋体" w:hAnsi="宋体" w:cs="宋体"/>
                <w:color w:val="auto"/>
                <w:sz w:val="18"/>
                <w:szCs w:val="18"/>
              </w:rPr>
            </w:pPr>
          </w:p>
        </w:tc>
        <w:tc>
          <w:tcPr>
            <w:tcW w:w="477" w:type="dxa"/>
            <w:vMerge w:val="restart"/>
            <w:tcBorders>
              <w:top w:val="single" w:color="auto" w:sz="4" w:space="0"/>
              <w:left w:val="single" w:color="auto" w:sz="4" w:space="0"/>
              <w:bottom w:val="single" w:color="auto" w:sz="4" w:space="0"/>
              <w:right w:val="single" w:color="auto" w:sz="4" w:space="0"/>
            </w:tcBorders>
            <w:noWrap w:val="0"/>
            <w:textDirection w:val="tbRlV"/>
            <w:vAlign w:val="center"/>
          </w:tcPr>
          <w:p w14:paraId="3B4A0113">
            <w:pPr>
              <w:jc w:val="center"/>
              <w:rPr>
                <w:rFonts w:ascii="宋体" w:hAnsi="宋体" w:cs="宋体"/>
                <w:color w:val="auto"/>
                <w:sz w:val="18"/>
                <w:szCs w:val="18"/>
              </w:rPr>
            </w:pPr>
            <w:r>
              <w:rPr>
                <w:rFonts w:hint="eastAsia" w:ascii="宋体" w:hAnsi="宋体" w:cs="宋体"/>
                <w:color w:val="auto"/>
                <w:sz w:val="18"/>
                <w:szCs w:val="18"/>
              </w:rPr>
              <w:t>加工</w:t>
            </w:r>
          </w:p>
        </w:tc>
        <w:tc>
          <w:tcPr>
            <w:tcW w:w="3350" w:type="dxa"/>
            <w:tcBorders>
              <w:top w:val="single" w:color="auto" w:sz="4" w:space="0"/>
              <w:left w:val="single" w:color="auto" w:sz="4" w:space="0"/>
              <w:bottom w:val="single" w:color="auto" w:sz="4" w:space="0"/>
              <w:right w:val="single" w:color="auto" w:sz="4" w:space="0"/>
            </w:tcBorders>
            <w:noWrap w:val="0"/>
            <w:vAlign w:val="center"/>
          </w:tcPr>
          <w:p w14:paraId="7286CE02">
            <w:pPr>
              <w:rPr>
                <w:rFonts w:ascii="宋体" w:hAnsi="宋体" w:cs="宋体"/>
                <w:color w:val="auto"/>
                <w:sz w:val="18"/>
                <w:szCs w:val="18"/>
              </w:rPr>
            </w:pPr>
            <w:r>
              <w:rPr>
                <w:rFonts w:ascii="宋体" w:hAnsi="宋体" w:cs="宋体"/>
                <w:color w:val="auto"/>
                <w:sz w:val="18"/>
                <w:szCs w:val="18"/>
              </w:rPr>
              <w:t>25.食品加工应做到流程合理，操作规范。食品加工、存放、陈列、转运等设施设备应当定期维护、清洗、消毒；保温、冷藏和冷冻设施应当定期清洗、校验。食堂应当设置专用操作区，制定并在显著位置公示加工制作操作规范；备餐操作时应当避免食品受到污染。</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22DB8D4">
            <w:pPr>
              <w:rPr>
                <w:rFonts w:ascii="宋体" w:hAnsi="宋体" w:cs="宋体"/>
                <w:color w:val="auto"/>
                <w:sz w:val="18"/>
                <w:szCs w:val="18"/>
              </w:rPr>
            </w:pPr>
            <w:r>
              <w:rPr>
                <w:rFonts w:hint="eastAsia" w:ascii="宋体" w:hAnsi="宋体" w:cs="宋体"/>
                <w:color w:val="auto"/>
                <w:sz w:val="18"/>
                <w:szCs w:val="18"/>
              </w:rPr>
              <w:t>现场查看</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164304EB">
            <w:pPr>
              <w:rPr>
                <w:rFonts w:ascii="宋体" w:hAnsi="宋体" w:cs="宋体"/>
                <w:color w:val="auto"/>
                <w:sz w:val="18"/>
                <w:szCs w:val="18"/>
              </w:rPr>
            </w:pPr>
            <w:r>
              <w:rPr>
                <w:rFonts w:hint="eastAsia" w:ascii="宋体" w:hAnsi="宋体" w:cs="宋体"/>
                <w:color w:val="auto"/>
                <w:sz w:val="18"/>
                <w:szCs w:val="18"/>
              </w:rPr>
              <w:t>不符合要求的每次支付违约金</w:t>
            </w:r>
            <w:r>
              <w:rPr>
                <w:rFonts w:ascii="宋体" w:hAnsi="宋体" w:cs="宋体"/>
                <w:color w:val="auto"/>
                <w:sz w:val="18"/>
                <w:szCs w:val="18"/>
              </w:rPr>
              <w:t>1000元</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00E8CCB7">
            <w:pPr>
              <w:rPr>
                <w:rFonts w:ascii="宋体" w:hAnsi="宋体" w:cs="宋体"/>
                <w:color w:val="auto"/>
                <w:sz w:val="18"/>
                <w:szCs w:val="18"/>
              </w:rPr>
            </w:pPr>
            <w:r>
              <w:rPr>
                <w:rFonts w:hint="eastAsia" w:ascii="宋体" w:hAnsi="宋体" w:cs="宋体"/>
                <w:color w:val="auto"/>
                <w:sz w:val="18"/>
                <w:szCs w:val="18"/>
              </w:rPr>
              <w:t>不符合要求的扣</w:t>
            </w:r>
            <w:r>
              <w:rPr>
                <w:rFonts w:ascii="宋体" w:hAnsi="宋体" w:cs="宋体"/>
                <w:color w:val="auto"/>
                <w:sz w:val="18"/>
                <w:szCs w:val="18"/>
              </w:rPr>
              <w:t>1分/次</w:t>
            </w:r>
          </w:p>
        </w:tc>
      </w:tr>
      <w:tr w14:paraId="2B034FBA">
        <w:tblPrEx>
          <w:tblCellMar>
            <w:top w:w="0" w:type="dxa"/>
            <w:left w:w="108" w:type="dxa"/>
            <w:bottom w:w="0" w:type="dxa"/>
            <w:right w:w="108" w:type="dxa"/>
          </w:tblCellMar>
        </w:tblPrEx>
        <w:trPr>
          <w:trHeight w:val="720" w:hRule="atLeast"/>
          <w:jc w:val="center"/>
        </w:trPr>
        <w:tc>
          <w:tcPr>
            <w:tcW w:w="499" w:type="dxa"/>
            <w:vMerge w:val="continue"/>
            <w:tcBorders>
              <w:top w:val="single" w:color="auto" w:sz="4" w:space="0"/>
              <w:left w:val="single" w:color="auto" w:sz="4" w:space="0"/>
              <w:bottom w:val="single" w:color="auto" w:sz="4" w:space="0"/>
              <w:right w:val="single" w:color="auto" w:sz="4" w:space="0"/>
            </w:tcBorders>
            <w:noWrap w:val="0"/>
            <w:vAlign w:val="center"/>
          </w:tcPr>
          <w:p w14:paraId="077E639D">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24AB6BAF">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noWrap w:val="0"/>
            <w:vAlign w:val="center"/>
          </w:tcPr>
          <w:p w14:paraId="102DC938">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noWrap w:val="0"/>
            <w:vAlign w:val="center"/>
          </w:tcPr>
          <w:p w14:paraId="61BB8339">
            <w:pPr>
              <w:rPr>
                <w:rFonts w:ascii="宋体" w:hAnsi="宋体" w:cs="宋体"/>
                <w:color w:val="auto"/>
                <w:sz w:val="18"/>
                <w:szCs w:val="18"/>
              </w:rPr>
            </w:pPr>
            <w:r>
              <w:rPr>
                <w:rFonts w:ascii="宋体" w:hAnsi="宋体" w:cs="宋体"/>
                <w:color w:val="auto"/>
                <w:sz w:val="18"/>
                <w:szCs w:val="18"/>
              </w:rPr>
              <w:t>26.</w:t>
            </w:r>
            <w:r>
              <w:rPr>
                <w:rFonts w:hint="eastAsia" w:ascii="宋体" w:hAnsi="宋体" w:cs="宋体"/>
                <w:color w:val="auto"/>
                <w:sz w:val="18"/>
                <w:szCs w:val="18"/>
              </w:rPr>
              <w:t>各类主副食应按照规范的配比标准加工（具体配比标准按照学校相关要求执行），菜品主辅料用量应符合学校相关要求或食堂报备标准。</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65283D0">
            <w:pPr>
              <w:rPr>
                <w:rFonts w:ascii="宋体" w:hAnsi="宋体" w:cs="宋体"/>
                <w:color w:val="auto"/>
                <w:sz w:val="18"/>
                <w:szCs w:val="18"/>
              </w:rPr>
            </w:pPr>
            <w:r>
              <w:rPr>
                <w:rFonts w:hint="eastAsia" w:ascii="宋体" w:hAnsi="宋体" w:cs="宋体"/>
                <w:color w:val="auto"/>
                <w:sz w:val="18"/>
                <w:szCs w:val="18"/>
              </w:rPr>
              <w:t>现场抽检</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3447A10F">
            <w:pPr>
              <w:rPr>
                <w:rFonts w:ascii="宋体" w:hAnsi="宋体" w:cs="宋体"/>
                <w:color w:val="auto"/>
                <w:sz w:val="18"/>
                <w:szCs w:val="18"/>
              </w:rPr>
            </w:pPr>
            <w:r>
              <w:rPr>
                <w:rFonts w:hint="eastAsia" w:ascii="宋体" w:hAnsi="宋体" w:cs="宋体"/>
                <w:color w:val="auto"/>
                <w:sz w:val="18"/>
                <w:szCs w:val="18"/>
              </w:rPr>
              <w:t>不符合要求的每一品种支付违约金</w:t>
            </w:r>
            <w:r>
              <w:rPr>
                <w:rFonts w:ascii="宋体" w:hAnsi="宋体" w:cs="宋体"/>
                <w:color w:val="auto"/>
                <w:sz w:val="18"/>
                <w:szCs w:val="18"/>
              </w:rPr>
              <w:t>1000元</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7D4C1077">
            <w:pPr>
              <w:rPr>
                <w:rFonts w:ascii="宋体" w:hAnsi="宋体" w:cs="宋体"/>
                <w:color w:val="auto"/>
                <w:sz w:val="18"/>
                <w:szCs w:val="18"/>
              </w:rPr>
            </w:pPr>
            <w:r>
              <w:rPr>
                <w:rFonts w:hint="eastAsia" w:ascii="宋体" w:hAnsi="宋体" w:cs="宋体"/>
                <w:color w:val="auto"/>
                <w:sz w:val="18"/>
                <w:szCs w:val="18"/>
              </w:rPr>
              <w:t>不符合要求的扣</w:t>
            </w:r>
            <w:r>
              <w:rPr>
                <w:rFonts w:ascii="宋体" w:hAnsi="宋体" w:cs="宋体"/>
                <w:color w:val="auto"/>
                <w:sz w:val="18"/>
                <w:szCs w:val="18"/>
              </w:rPr>
              <w:t>1分/次</w:t>
            </w:r>
          </w:p>
        </w:tc>
      </w:tr>
      <w:tr w14:paraId="43CA4576">
        <w:tblPrEx>
          <w:tblCellMar>
            <w:top w:w="0" w:type="dxa"/>
            <w:left w:w="108" w:type="dxa"/>
            <w:bottom w:w="0" w:type="dxa"/>
            <w:right w:w="108" w:type="dxa"/>
          </w:tblCellMar>
        </w:tblPrEx>
        <w:trPr>
          <w:trHeight w:val="780" w:hRule="atLeast"/>
          <w:jc w:val="center"/>
        </w:trPr>
        <w:tc>
          <w:tcPr>
            <w:tcW w:w="499" w:type="dxa"/>
            <w:vMerge w:val="continue"/>
            <w:tcBorders>
              <w:top w:val="single" w:color="auto" w:sz="4" w:space="0"/>
              <w:left w:val="single" w:color="auto" w:sz="4" w:space="0"/>
              <w:bottom w:val="single" w:color="auto" w:sz="4" w:space="0"/>
              <w:right w:val="single" w:color="auto" w:sz="4" w:space="0"/>
            </w:tcBorders>
            <w:noWrap w:val="0"/>
            <w:vAlign w:val="center"/>
          </w:tcPr>
          <w:p w14:paraId="4C5EB44B">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421DAFD0">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noWrap w:val="0"/>
            <w:vAlign w:val="center"/>
          </w:tcPr>
          <w:p w14:paraId="6204E242">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noWrap w:val="0"/>
            <w:vAlign w:val="center"/>
          </w:tcPr>
          <w:p w14:paraId="406DFB21">
            <w:pPr>
              <w:rPr>
                <w:rFonts w:ascii="宋体" w:hAnsi="宋体" w:cs="宋体"/>
                <w:color w:val="auto"/>
                <w:sz w:val="18"/>
                <w:szCs w:val="18"/>
              </w:rPr>
            </w:pPr>
            <w:r>
              <w:rPr>
                <w:rFonts w:ascii="宋体" w:hAnsi="宋体" w:cs="宋体"/>
                <w:color w:val="auto"/>
                <w:sz w:val="18"/>
                <w:szCs w:val="18"/>
              </w:rPr>
              <w:t>27.制售冷食类食品、生食类食品、裱花蛋糕、现</w:t>
            </w:r>
            <w:r>
              <w:rPr>
                <w:rFonts w:hint="eastAsia" w:ascii="宋体" w:hAnsi="宋体" w:cs="宋体"/>
                <w:color w:val="auto"/>
                <w:sz w:val="18"/>
                <w:szCs w:val="18"/>
              </w:rPr>
              <w:t>榨果蔬汁等，应当按照有关要求设置专间或者专用操作区，专间应当在加工制作前进行消毒，并由专人加工操作；凉菜应由专间、专人和专用设施设备加工，凉菜间应安装空调。</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3B8EC59">
            <w:pPr>
              <w:rPr>
                <w:rFonts w:ascii="宋体" w:hAnsi="宋体" w:cs="宋体"/>
                <w:color w:val="auto"/>
                <w:sz w:val="18"/>
                <w:szCs w:val="18"/>
              </w:rPr>
            </w:pPr>
            <w:r>
              <w:rPr>
                <w:rFonts w:hint="eastAsia" w:ascii="宋体" w:hAnsi="宋体" w:cs="宋体"/>
                <w:color w:val="auto"/>
                <w:sz w:val="18"/>
                <w:szCs w:val="18"/>
              </w:rPr>
              <w:t>现场</w:t>
            </w:r>
          </w:p>
          <w:p w14:paraId="668ACE0E">
            <w:pPr>
              <w:rPr>
                <w:rFonts w:ascii="宋体" w:hAnsi="宋体" w:cs="宋体"/>
                <w:color w:val="auto"/>
                <w:sz w:val="18"/>
                <w:szCs w:val="18"/>
              </w:rPr>
            </w:pPr>
            <w:r>
              <w:rPr>
                <w:rFonts w:hint="eastAsia" w:ascii="宋体" w:hAnsi="宋体" w:cs="宋体"/>
                <w:color w:val="auto"/>
                <w:sz w:val="18"/>
                <w:szCs w:val="18"/>
              </w:rPr>
              <w:t>检查</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36BA5855">
            <w:pPr>
              <w:rPr>
                <w:rFonts w:ascii="宋体" w:hAnsi="宋体" w:cs="宋体"/>
                <w:color w:val="auto"/>
                <w:sz w:val="18"/>
                <w:szCs w:val="18"/>
              </w:rPr>
            </w:pPr>
            <w:r>
              <w:rPr>
                <w:rFonts w:hint="eastAsia" w:ascii="宋体" w:hAnsi="宋体" w:cs="宋体"/>
                <w:color w:val="auto"/>
                <w:sz w:val="18"/>
                <w:szCs w:val="18"/>
              </w:rPr>
              <w:t>不符合要求的支付违约金</w:t>
            </w:r>
            <w:r>
              <w:rPr>
                <w:rFonts w:ascii="宋体" w:hAnsi="宋体" w:cs="宋体"/>
                <w:color w:val="auto"/>
                <w:sz w:val="18"/>
                <w:szCs w:val="18"/>
              </w:rPr>
              <w:t>2000元/项/次</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2404B213">
            <w:pPr>
              <w:rPr>
                <w:rFonts w:ascii="宋体" w:hAnsi="宋体" w:cs="宋体"/>
                <w:color w:val="auto"/>
                <w:sz w:val="18"/>
                <w:szCs w:val="18"/>
              </w:rPr>
            </w:pPr>
            <w:r>
              <w:rPr>
                <w:rFonts w:hint="eastAsia" w:ascii="宋体" w:hAnsi="宋体" w:cs="宋体"/>
                <w:color w:val="auto"/>
                <w:sz w:val="18"/>
                <w:szCs w:val="18"/>
              </w:rPr>
              <w:t>不符合要求的扣</w:t>
            </w:r>
            <w:r>
              <w:rPr>
                <w:rFonts w:ascii="宋体" w:hAnsi="宋体" w:cs="宋体"/>
                <w:color w:val="auto"/>
                <w:sz w:val="18"/>
                <w:szCs w:val="18"/>
              </w:rPr>
              <w:t>2分/项/次</w:t>
            </w:r>
          </w:p>
        </w:tc>
      </w:tr>
      <w:tr w14:paraId="160CC431">
        <w:tblPrEx>
          <w:tblCellMar>
            <w:top w:w="0" w:type="dxa"/>
            <w:left w:w="108" w:type="dxa"/>
            <w:bottom w:w="0" w:type="dxa"/>
            <w:right w:w="108" w:type="dxa"/>
          </w:tblCellMar>
        </w:tblPrEx>
        <w:trPr>
          <w:trHeight w:val="915" w:hRule="atLeast"/>
          <w:jc w:val="center"/>
        </w:trPr>
        <w:tc>
          <w:tcPr>
            <w:tcW w:w="499" w:type="dxa"/>
            <w:vMerge w:val="continue"/>
            <w:tcBorders>
              <w:top w:val="single" w:color="auto" w:sz="4" w:space="0"/>
              <w:left w:val="single" w:color="auto" w:sz="4" w:space="0"/>
              <w:bottom w:val="single" w:color="auto" w:sz="4" w:space="0"/>
              <w:right w:val="single" w:color="auto" w:sz="4" w:space="0"/>
            </w:tcBorders>
            <w:noWrap w:val="0"/>
            <w:vAlign w:val="center"/>
          </w:tcPr>
          <w:p w14:paraId="65BF09F9">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311702C4">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noWrap w:val="0"/>
            <w:vAlign w:val="center"/>
          </w:tcPr>
          <w:p w14:paraId="5A40EFAE">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noWrap w:val="0"/>
            <w:vAlign w:val="center"/>
          </w:tcPr>
          <w:p w14:paraId="3961C45C">
            <w:pPr>
              <w:rPr>
                <w:rFonts w:ascii="宋体" w:hAnsi="宋体" w:cs="宋体"/>
                <w:color w:val="auto"/>
                <w:sz w:val="18"/>
                <w:szCs w:val="18"/>
              </w:rPr>
            </w:pPr>
            <w:r>
              <w:rPr>
                <w:rFonts w:ascii="宋体" w:hAnsi="宋体" w:cs="宋体"/>
                <w:color w:val="auto"/>
                <w:sz w:val="18"/>
                <w:szCs w:val="18"/>
              </w:rPr>
              <w:t>28.加工生、熟、荤、素食品应做到用具分开、整洁、消毒、摆放整齐；用于加工动物性食品原料、植物性食品原料、水产品原料、半成品或者成品等的容器、工具应当从形状、材质、颜色、标识上明显区分，做到分开使用，固定存放，用后洗净并保持清洁。</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8673B49">
            <w:pPr>
              <w:rPr>
                <w:rFonts w:ascii="宋体" w:hAnsi="宋体" w:cs="宋体"/>
                <w:color w:val="auto"/>
                <w:sz w:val="18"/>
                <w:szCs w:val="18"/>
              </w:rPr>
            </w:pPr>
            <w:r>
              <w:rPr>
                <w:rFonts w:hint="eastAsia" w:ascii="宋体" w:hAnsi="宋体" w:cs="宋体"/>
                <w:color w:val="auto"/>
                <w:sz w:val="18"/>
                <w:szCs w:val="18"/>
              </w:rPr>
              <w:t>现场</w:t>
            </w:r>
          </w:p>
          <w:p w14:paraId="7082A706">
            <w:pPr>
              <w:rPr>
                <w:rFonts w:ascii="宋体" w:hAnsi="宋体" w:cs="宋体"/>
                <w:color w:val="auto"/>
                <w:sz w:val="18"/>
                <w:szCs w:val="18"/>
              </w:rPr>
            </w:pPr>
            <w:r>
              <w:rPr>
                <w:rFonts w:hint="eastAsia" w:ascii="宋体" w:hAnsi="宋体" w:cs="宋体"/>
                <w:color w:val="auto"/>
                <w:sz w:val="18"/>
                <w:szCs w:val="18"/>
              </w:rPr>
              <w:t>检查</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7EA5103C">
            <w:pPr>
              <w:rPr>
                <w:rFonts w:ascii="宋体" w:hAnsi="宋体" w:cs="宋体"/>
                <w:color w:val="auto"/>
                <w:sz w:val="18"/>
                <w:szCs w:val="18"/>
              </w:rPr>
            </w:pPr>
            <w:r>
              <w:rPr>
                <w:rFonts w:hint="eastAsia" w:ascii="宋体" w:hAnsi="宋体" w:cs="宋体"/>
                <w:color w:val="auto"/>
                <w:sz w:val="18"/>
                <w:szCs w:val="18"/>
              </w:rPr>
              <w:t>不符合要求的支付违约金</w:t>
            </w:r>
            <w:r>
              <w:rPr>
                <w:rFonts w:ascii="宋体" w:hAnsi="宋体" w:cs="宋体"/>
                <w:color w:val="auto"/>
                <w:sz w:val="18"/>
                <w:szCs w:val="18"/>
              </w:rPr>
              <w:t>2000元/次</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0DA60CCE">
            <w:pPr>
              <w:rPr>
                <w:rFonts w:ascii="宋体" w:hAnsi="宋体" w:cs="宋体"/>
                <w:color w:val="auto"/>
                <w:sz w:val="18"/>
                <w:szCs w:val="18"/>
              </w:rPr>
            </w:pPr>
            <w:r>
              <w:rPr>
                <w:rFonts w:hint="eastAsia" w:ascii="宋体" w:hAnsi="宋体" w:cs="宋体"/>
                <w:color w:val="auto"/>
                <w:sz w:val="18"/>
                <w:szCs w:val="18"/>
              </w:rPr>
              <w:t>不符合要求的扣</w:t>
            </w:r>
            <w:r>
              <w:rPr>
                <w:rFonts w:ascii="宋体" w:hAnsi="宋体" w:cs="宋体"/>
                <w:color w:val="auto"/>
                <w:sz w:val="18"/>
                <w:szCs w:val="18"/>
              </w:rPr>
              <w:t>2分/次</w:t>
            </w:r>
          </w:p>
        </w:tc>
      </w:tr>
      <w:tr w14:paraId="56B3D636">
        <w:tblPrEx>
          <w:tblCellMar>
            <w:top w:w="0" w:type="dxa"/>
            <w:left w:w="108" w:type="dxa"/>
            <w:bottom w:w="0" w:type="dxa"/>
            <w:right w:w="108" w:type="dxa"/>
          </w:tblCellMar>
        </w:tblPrEx>
        <w:trPr>
          <w:trHeight w:val="90" w:hRule="atLeast"/>
          <w:jc w:val="center"/>
        </w:trPr>
        <w:tc>
          <w:tcPr>
            <w:tcW w:w="499" w:type="dxa"/>
            <w:vMerge w:val="continue"/>
            <w:tcBorders>
              <w:top w:val="single" w:color="auto" w:sz="4" w:space="0"/>
              <w:left w:val="single" w:color="auto" w:sz="4" w:space="0"/>
              <w:bottom w:val="single" w:color="auto" w:sz="4" w:space="0"/>
              <w:right w:val="single" w:color="auto" w:sz="4" w:space="0"/>
            </w:tcBorders>
            <w:noWrap w:val="0"/>
            <w:vAlign w:val="center"/>
          </w:tcPr>
          <w:p w14:paraId="402B131C">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296D84D7">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noWrap w:val="0"/>
            <w:vAlign w:val="center"/>
          </w:tcPr>
          <w:p w14:paraId="2A54416C">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noWrap w:val="0"/>
            <w:vAlign w:val="center"/>
          </w:tcPr>
          <w:p w14:paraId="127660A0">
            <w:pPr>
              <w:rPr>
                <w:rFonts w:ascii="宋体" w:hAnsi="宋体" w:cs="宋体"/>
                <w:color w:val="auto"/>
                <w:sz w:val="18"/>
                <w:szCs w:val="18"/>
              </w:rPr>
            </w:pPr>
            <w:r>
              <w:rPr>
                <w:rFonts w:ascii="宋体" w:hAnsi="宋体" w:cs="宋体"/>
                <w:color w:val="auto"/>
                <w:sz w:val="18"/>
                <w:szCs w:val="18"/>
              </w:rPr>
              <w:t>29.严格按照添加剂使用规范执行。不得采购、贮存、使用亚硝酸盐（包括亚硝酸钠、亚硝酸钾）和脱氢乙酸钠，食品添加剂应当专人专柜（位）保管，按照有关规定做到标识清晰、计量使用、专册记录。</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B473A9B">
            <w:pPr>
              <w:rPr>
                <w:rFonts w:ascii="宋体" w:hAnsi="宋体" w:cs="宋体"/>
                <w:color w:val="auto"/>
                <w:sz w:val="18"/>
                <w:szCs w:val="18"/>
              </w:rPr>
            </w:pPr>
            <w:r>
              <w:rPr>
                <w:rFonts w:hint="eastAsia" w:ascii="宋体" w:hAnsi="宋体" w:cs="宋体"/>
                <w:color w:val="auto"/>
                <w:sz w:val="18"/>
                <w:szCs w:val="18"/>
              </w:rPr>
              <w:t>现场</w:t>
            </w:r>
          </w:p>
          <w:p w14:paraId="138010A9">
            <w:pPr>
              <w:rPr>
                <w:rFonts w:ascii="宋体" w:hAnsi="宋体" w:cs="宋体"/>
                <w:color w:val="auto"/>
                <w:sz w:val="18"/>
                <w:szCs w:val="18"/>
              </w:rPr>
            </w:pPr>
            <w:r>
              <w:rPr>
                <w:rFonts w:hint="eastAsia" w:ascii="宋体" w:hAnsi="宋体" w:cs="宋体"/>
                <w:color w:val="auto"/>
                <w:sz w:val="18"/>
                <w:szCs w:val="18"/>
              </w:rPr>
              <w:t>检查</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4130454C">
            <w:pPr>
              <w:rPr>
                <w:rFonts w:ascii="宋体" w:hAnsi="宋体" w:cs="宋体"/>
                <w:color w:val="auto"/>
                <w:sz w:val="18"/>
                <w:szCs w:val="18"/>
              </w:rPr>
            </w:pPr>
            <w:r>
              <w:rPr>
                <w:rFonts w:hint="eastAsia" w:ascii="宋体" w:hAnsi="宋体" w:cs="宋体"/>
                <w:color w:val="auto"/>
                <w:sz w:val="18"/>
                <w:szCs w:val="18"/>
              </w:rPr>
              <w:t>不符合要求的首次支付违约金</w:t>
            </w:r>
            <w:r>
              <w:rPr>
                <w:rFonts w:ascii="宋体" w:hAnsi="宋体" w:cs="宋体"/>
                <w:color w:val="auto"/>
                <w:sz w:val="18"/>
                <w:szCs w:val="18"/>
              </w:rPr>
              <w:t>10000元，第二次及以后支付违约金50000元/次</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595BE08E">
            <w:pPr>
              <w:rPr>
                <w:rFonts w:ascii="宋体" w:hAnsi="宋体" w:cs="宋体"/>
                <w:color w:val="auto"/>
                <w:sz w:val="18"/>
                <w:szCs w:val="18"/>
              </w:rPr>
            </w:pPr>
            <w:r>
              <w:rPr>
                <w:rFonts w:hint="eastAsia" w:ascii="宋体" w:hAnsi="宋体" w:cs="宋体"/>
                <w:color w:val="auto"/>
                <w:sz w:val="18"/>
                <w:szCs w:val="18"/>
              </w:rPr>
              <w:t>首次扣</w:t>
            </w:r>
            <w:r>
              <w:rPr>
                <w:rFonts w:ascii="宋体" w:hAnsi="宋体" w:cs="宋体"/>
                <w:color w:val="auto"/>
                <w:sz w:val="18"/>
                <w:szCs w:val="18"/>
              </w:rPr>
              <w:t>5分元，第二次及以后，涉事当学期考核不合格。</w:t>
            </w:r>
          </w:p>
        </w:tc>
      </w:tr>
      <w:tr w14:paraId="4F2724A3">
        <w:tblPrEx>
          <w:tblCellMar>
            <w:top w:w="0" w:type="dxa"/>
            <w:left w:w="108" w:type="dxa"/>
            <w:bottom w:w="0" w:type="dxa"/>
            <w:right w:w="108" w:type="dxa"/>
          </w:tblCellMar>
        </w:tblPrEx>
        <w:trPr>
          <w:trHeight w:val="480" w:hRule="atLeast"/>
          <w:jc w:val="center"/>
        </w:trPr>
        <w:tc>
          <w:tcPr>
            <w:tcW w:w="499" w:type="dxa"/>
            <w:vMerge w:val="continue"/>
            <w:tcBorders>
              <w:top w:val="single" w:color="auto" w:sz="4" w:space="0"/>
              <w:left w:val="single" w:color="auto" w:sz="4" w:space="0"/>
              <w:bottom w:val="single" w:color="auto" w:sz="4" w:space="0"/>
              <w:right w:val="single" w:color="auto" w:sz="4" w:space="0"/>
            </w:tcBorders>
            <w:noWrap w:val="0"/>
            <w:vAlign w:val="center"/>
          </w:tcPr>
          <w:p w14:paraId="3D189293">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7B3741AD">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noWrap w:val="0"/>
            <w:vAlign w:val="center"/>
          </w:tcPr>
          <w:p w14:paraId="7B47F5F7">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noWrap w:val="0"/>
            <w:vAlign w:val="center"/>
          </w:tcPr>
          <w:p w14:paraId="215B450E">
            <w:pPr>
              <w:rPr>
                <w:rFonts w:ascii="宋体" w:hAnsi="宋体" w:cs="宋体"/>
                <w:color w:val="auto"/>
                <w:sz w:val="18"/>
                <w:szCs w:val="18"/>
              </w:rPr>
            </w:pPr>
            <w:r>
              <w:rPr>
                <w:rFonts w:ascii="宋体" w:hAnsi="宋体" w:cs="宋体"/>
                <w:color w:val="auto"/>
                <w:sz w:val="18"/>
                <w:szCs w:val="18"/>
              </w:rPr>
              <w:t xml:space="preserve">30.餐饮具、盛放或接触直接入口食品的容器和工具使用前应消毒，使用后应及时洗净。 </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3C789E6">
            <w:pPr>
              <w:rPr>
                <w:rFonts w:ascii="宋体" w:hAnsi="宋体" w:cs="宋体"/>
                <w:color w:val="auto"/>
                <w:sz w:val="18"/>
                <w:szCs w:val="18"/>
              </w:rPr>
            </w:pPr>
            <w:r>
              <w:rPr>
                <w:rFonts w:hint="eastAsia" w:ascii="宋体" w:hAnsi="宋体" w:cs="宋体"/>
                <w:color w:val="auto"/>
                <w:sz w:val="18"/>
                <w:szCs w:val="18"/>
              </w:rPr>
              <w:t>现场</w:t>
            </w:r>
          </w:p>
          <w:p w14:paraId="4F690973">
            <w:pPr>
              <w:rPr>
                <w:rFonts w:ascii="宋体" w:hAnsi="宋体" w:cs="宋体"/>
                <w:color w:val="auto"/>
                <w:sz w:val="18"/>
                <w:szCs w:val="18"/>
              </w:rPr>
            </w:pPr>
            <w:r>
              <w:rPr>
                <w:rFonts w:hint="eastAsia" w:ascii="宋体" w:hAnsi="宋体" w:cs="宋体"/>
                <w:color w:val="auto"/>
                <w:sz w:val="18"/>
                <w:szCs w:val="18"/>
              </w:rPr>
              <w:t>检查</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63C5E14D">
            <w:pPr>
              <w:rPr>
                <w:rFonts w:ascii="宋体" w:hAnsi="宋体" w:cs="宋体"/>
                <w:color w:val="auto"/>
                <w:sz w:val="18"/>
                <w:szCs w:val="18"/>
              </w:rPr>
            </w:pPr>
            <w:r>
              <w:rPr>
                <w:rFonts w:hint="eastAsia" w:ascii="宋体" w:hAnsi="宋体" w:cs="宋体"/>
                <w:color w:val="auto"/>
                <w:sz w:val="18"/>
                <w:szCs w:val="18"/>
              </w:rPr>
              <w:t>不符合要求的支付违约金</w:t>
            </w:r>
            <w:r>
              <w:rPr>
                <w:rFonts w:ascii="宋体" w:hAnsi="宋体" w:cs="宋体"/>
                <w:color w:val="auto"/>
                <w:sz w:val="18"/>
                <w:szCs w:val="18"/>
              </w:rPr>
              <w:t>2000元/次</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06D2EC3C">
            <w:pPr>
              <w:rPr>
                <w:rFonts w:ascii="宋体" w:hAnsi="宋体" w:cs="宋体"/>
                <w:color w:val="auto"/>
                <w:sz w:val="18"/>
                <w:szCs w:val="18"/>
              </w:rPr>
            </w:pPr>
            <w:r>
              <w:rPr>
                <w:rFonts w:hint="eastAsia" w:ascii="宋体" w:hAnsi="宋体" w:cs="宋体"/>
                <w:color w:val="auto"/>
                <w:sz w:val="18"/>
                <w:szCs w:val="18"/>
              </w:rPr>
              <w:t>不符合要求的扣</w:t>
            </w:r>
            <w:r>
              <w:rPr>
                <w:rFonts w:ascii="宋体" w:hAnsi="宋体" w:cs="宋体"/>
                <w:color w:val="auto"/>
                <w:sz w:val="18"/>
                <w:szCs w:val="18"/>
              </w:rPr>
              <w:t>2分/次</w:t>
            </w:r>
          </w:p>
        </w:tc>
      </w:tr>
      <w:tr w14:paraId="3D7D20FC">
        <w:tblPrEx>
          <w:tblCellMar>
            <w:top w:w="0" w:type="dxa"/>
            <w:left w:w="108" w:type="dxa"/>
            <w:bottom w:w="0" w:type="dxa"/>
            <w:right w:w="108" w:type="dxa"/>
          </w:tblCellMar>
        </w:tblPrEx>
        <w:trPr>
          <w:trHeight w:val="480" w:hRule="atLeast"/>
          <w:jc w:val="center"/>
        </w:trPr>
        <w:tc>
          <w:tcPr>
            <w:tcW w:w="499" w:type="dxa"/>
            <w:vMerge w:val="continue"/>
            <w:tcBorders>
              <w:top w:val="single" w:color="auto" w:sz="4" w:space="0"/>
              <w:left w:val="single" w:color="auto" w:sz="4" w:space="0"/>
              <w:bottom w:val="single" w:color="auto" w:sz="4" w:space="0"/>
              <w:right w:val="single" w:color="auto" w:sz="4" w:space="0"/>
            </w:tcBorders>
            <w:noWrap w:val="0"/>
            <w:vAlign w:val="center"/>
          </w:tcPr>
          <w:p w14:paraId="009726A8">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23CCAFCC">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noWrap w:val="0"/>
            <w:vAlign w:val="center"/>
          </w:tcPr>
          <w:p w14:paraId="459B8645">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noWrap w:val="0"/>
            <w:vAlign w:val="center"/>
          </w:tcPr>
          <w:p w14:paraId="79A2C521">
            <w:pPr>
              <w:rPr>
                <w:rFonts w:ascii="宋体" w:hAnsi="宋体" w:cs="宋体"/>
                <w:color w:val="auto"/>
                <w:sz w:val="18"/>
                <w:szCs w:val="18"/>
              </w:rPr>
            </w:pPr>
            <w:r>
              <w:rPr>
                <w:rFonts w:ascii="宋体" w:hAnsi="宋体" w:cs="宋体"/>
                <w:color w:val="auto"/>
                <w:sz w:val="18"/>
                <w:szCs w:val="18"/>
              </w:rPr>
              <w:t>31.清洗用水和使用的洗涤剂、消毒剂应当符合相关食品安全国家标准和有关规定。严格按照洗涤剂、消毒剂的使用说明进行操作。</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8B8E07F">
            <w:pPr>
              <w:rPr>
                <w:rFonts w:ascii="宋体" w:hAnsi="宋体" w:cs="宋体"/>
                <w:color w:val="auto"/>
                <w:sz w:val="18"/>
                <w:szCs w:val="18"/>
              </w:rPr>
            </w:pPr>
            <w:r>
              <w:rPr>
                <w:rFonts w:hint="eastAsia" w:ascii="宋体" w:hAnsi="宋体" w:cs="宋体"/>
                <w:color w:val="auto"/>
                <w:sz w:val="18"/>
                <w:szCs w:val="18"/>
              </w:rPr>
              <w:t>现场</w:t>
            </w:r>
          </w:p>
          <w:p w14:paraId="6E5D3711">
            <w:pPr>
              <w:rPr>
                <w:rFonts w:ascii="宋体" w:hAnsi="宋体" w:cs="宋体"/>
                <w:color w:val="auto"/>
                <w:sz w:val="18"/>
                <w:szCs w:val="18"/>
              </w:rPr>
            </w:pPr>
            <w:r>
              <w:rPr>
                <w:rFonts w:hint="eastAsia" w:ascii="宋体" w:hAnsi="宋体" w:cs="宋体"/>
                <w:color w:val="auto"/>
                <w:sz w:val="18"/>
                <w:szCs w:val="18"/>
              </w:rPr>
              <w:t>检查</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3F66FE2A">
            <w:pPr>
              <w:rPr>
                <w:rFonts w:ascii="宋体" w:hAnsi="宋体" w:cs="宋体"/>
                <w:color w:val="auto"/>
                <w:sz w:val="18"/>
                <w:szCs w:val="18"/>
              </w:rPr>
            </w:pPr>
            <w:r>
              <w:rPr>
                <w:rFonts w:hint="eastAsia" w:ascii="宋体" w:hAnsi="宋体" w:cs="宋体"/>
                <w:color w:val="auto"/>
                <w:sz w:val="18"/>
                <w:szCs w:val="18"/>
              </w:rPr>
              <w:t>不符合要求的支付违约金</w:t>
            </w:r>
            <w:r>
              <w:rPr>
                <w:rFonts w:ascii="宋体" w:hAnsi="宋体" w:cs="宋体"/>
                <w:color w:val="auto"/>
                <w:sz w:val="18"/>
                <w:szCs w:val="18"/>
              </w:rPr>
              <w:t>10000元/次</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43C4D051">
            <w:pPr>
              <w:rPr>
                <w:rFonts w:ascii="宋体" w:hAnsi="宋体" w:cs="宋体"/>
                <w:color w:val="auto"/>
                <w:sz w:val="18"/>
                <w:szCs w:val="18"/>
              </w:rPr>
            </w:pPr>
            <w:r>
              <w:rPr>
                <w:rFonts w:hint="eastAsia" w:ascii="宋体" w:hAnsi="宋体" w:cs="宋体"/>
                <w:color w:val="auto"/>
                <w:sz w:val="18"/>
                <w:szCs w:val="18"/>
              </w:rPr>
              <w:t>不符合要求的扣</w:t>
            </w:r>
            <w:r>
              <w:rPr>
                <w:rFonts w:ascii="宋体" w:hAnsi="宋体" w:cs="宋体"/>
                <w:color w:val="auto"/>
                <w:sz w:val="18"/>
                <w:szCs w:val="18"/>
              </w:rPr>
              <w:t>5分/次</w:t>
            </w:r>
          </w:p>
        </w:tc>
      </w:tr>
      <w:tr w14:paraId="30EDB0DB">
        <w:tblPrEx>
          <w:tblCellMar>
            <w:top w:w="0" w:type="dxa"/>
            <w:left w:w="108" w:type="dxa"/>
            <w:bottom w:w="0" w:type="dxa"/>
            <w:right w:w="108" w:type="dxa"/>
          </w:tblCellMar>
        </w:tblPrEx>
        <w:trPr>
          <w:trHeight w:val="480" w:hRule="atLeast"/>
          <w:jc w:val="center"/>
        </w:trPr>
        <w:tc>
          <w:tcPr>
            <w:tcW w:w="499" w:type="dxa"/>
            <w:vMerge w:val="continue"/>
            <w:tcBorders>
              <w:top w:val="single" w:color="auto" w:sz="4" w:space="0"/>
              <w:left w:val="single" w:color="auto" w:sz="4" w:space="0"/>
              <w:bottom w:val="single" w:color="auto" w:sz="4" w:space="0"/>
              <w:right w:val="single" w:color="auto" w:sz="4" w:space="0"/>
            </w:tcBorders>
            <w:noWrap w:val="0"/>
            <w:vAlign w:val="center"/>
          </w:tcPr>
          <w:p w14:paraId="414B80EF">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4F876CD3">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noWrap w:val="0"/>
            <w:vAlign w:val="center"/>
          </w:tcPr>
          <w:p w14:paraId="0D21D18C">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noWrap w:val="0"/>
            <w:vAlign w:val="center"/>
          </w:tcPr>
          <w:p w14:paraId="4CC76EB2">
            <w:pPr>
              <w:rPr>
                <w:rFonts w:ascii="宋体" w:hAnsi="宋体" w:cs="宋体"/>
                <w:color w:val="auto"/>
                <w:sz w:val="18"/>
                <w:szCs w:val="18"/>
              </w:rPr>
            </w:pPr>
            <w:r>
              <w:rPr>
                <w:rFonts w:ascii="宋体" w:hAnsi="宋体" w:cs="宋体"/>
                <w:color w:val="auto"/>
                <w:sz w:val="18"/>
                <w:szCs w:val="18"/>
              </w:rPr>
              <w:t>32.按规定进行菜品留样，由专人管理，做好留样及销毁记录，记录内容包括留样食品名称、留样时间（月、日、时、分）、留样人员、留样重量(不少于125克)、销毁时间、销毁人，在专用冷藏设备中冷藏存放48小时以上。食堂批量加工制售的热食、非即</w:t>
            </w:r>
            <w:r>
              <w:rPr>
                <w:rFonts w:hint="eastAsia" w:ascii="宋体" w:hAnsi="宋体" w:cs="宋体"/>
                <w:color w:val="auto"/>
                <w:sz w:val="18"/>
                <w:szCs w:val="18"/>
              </w:rPr>
              <w:t>做即售的热食、冷食类食品、生食类食品、裱花蛋糕应当按照前款规定留样，其他加工食品根据相关规定留样。</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2060CCD">
            <w:pPr>
              <w:rPr>
                <w:rFonts w:ascii="宋体" w:hAnsi="宋体" w:cs="宋体"/>
                <w:color w:val="auto"/>
                <w:sz w:val="18"/>
                <w:szCs w:val="18"/>
              </w:rPr>
            </w:pPr>
            <w:r>
              <w:rPr>
                <w:rFonts w:hint="eastAsia" w:ascii="宋体" w:hAnsi="宋体" w:cs="宋体"/>
                <w:color w:val="auto"/>
                <w:sz w:val="18"/>
                <w:szCs w:val="18"/>
              </w:rPr>
              <w:t>现场检查</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16E55567">
            <w:pPr>
              <w:rPr>
                <w:rFonts w:ascii="宋体" w:hAnsi="宋体" w:cs="宋体"/>
                <w:color w:val="auto"/>
                <w:sz w:val="18"/>
                <w:szCs w:val="18"/>
              </w:rPr>
            </w:pPr>
            <w:r>
              <w:rPr>
                <w:rFonts w:hint="eastAsia" w:ascii="宋体" w:hAnsi="宋体" w:cs="宋体"/>
                <w:color w:val="auto"/>
                <w:sz w:val="18"/>
                <w:szCs w:val="18"/>
              </w:rPr>
              <w:t>不符合要求的首次支付违约金</w:t>
            </w:r>
            <w:r>
              <w:rPr>
                <w:rFonts w:ascii="宋体" w:hAnsi="宋体" w:cs="宋体"/>
                <w:color w:val="auto"/>
                <w:sz w:val="18"/>
                <w:szCs w:val="18"/>
              </w:rPr>
              <w:t>10000元，第二次及以后支付违约金50000元/次</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135BCD3E">
            <w:pPr>
              <w:rPr>
                <w:rFonts w:ascii="宋体" w:hAnsi="宋体" w:cs="宋体"/>
                <w:color w:val="auto"/>
                <w:sz w:val="18"/>
                <w:szCs w:val="18"/>
              </w:rPr>
            </w:pPr>
            <w:r>
              <w:rPr>
                <w:rFonts w:hint="eastAsia" w:ascii="宋体" w:hAnsi="宋体" w:cs="宋体"/>
                <w:color w:val="auto"/>
                <w:sz w:val="18"/>
                <w:szCs w:val="18"/>
              </w:rPr>
              <w:t>首次扣</w:t>
            </w:r>
            <w:r>
              <w:rPr>
                <w:rFonts w:ascii="宋体" w:hAnsi="宋体" w:cs="宋体"/>
                <w:color w:val="auto"/>
                <w:sz w:val="18"/>
                <w:szCs w:val="18"/>
              </w:rPr>
              <w:t>1分元，第二次及以后扣5分/次</w:t>
            </w:r>
          </w:p>
        </w:tc>
      </w:tr>
      <w:tr w14:paraId="118E6A35">
        <w:tblPrEx>
          <w:tblCellMar>
            <w:top w:w="0" w:type="dxa"/>
            <w:left w:w="108" w:type="dxa"/>
            <w:bottom w:w="0" w:type="dxa"/>
            <w:right w:w="108" w:type="dxa"/>
          </w:tblCellMar>
        </w:tblPrEx>
        <w:trPr>
          <w:trHeight w:val="480" w:hRule="atLeast"/>
          <w:jc w:val="center"/>
        </w:trPr>
        <w:tc>
          <w:tcPr>
            <w:tcW w:w="499" w:type="dxa"/>
            <w:vMerge w:val="continue"/>
            <w:tcBorders>
              <w:top w:val="single" w:color="auto" w:sz="4" w:space="0"/>
              <w:left w:val="single" w:color="auto" w:sz="4" w:space="0"/>
              <w:bottom w:val="single" w:color="auto" w:sz="4" w:space="0"/>
              <w:right w:val="single" w:color="auto" w:sz="4" w:space="0"/>
            </w:tcBorders>
            <w:noWrap w:val="0"/>
            <w:vAlign w:val="center"/>
          </w:tcPr>
          <w:p w14:paraId="02DF1CF4">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158E659C">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noWrap w:val="0"/>
            <w:vAlign w:val="center"/>
          </w:tcPr>
          <w:p w14:paraId="39CAF5E0">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noWrap w:val="0"/>
            <w:vAlign w:val="center"/>
          </w:tcPr>
          <w:p w14:paraId="5F6D48E4">
            <w:pPr>
              <w:rPr>
                <w:rFonts w:ascii="宋体" w:hAnsi="宋体" w:cs="宋体"/>
                <w:color w:val="auto"/>
                <w:sz w:val="18"/>
                <w:szCs w:val="18"/>
              </w:rPr>
            </w:pPr>
            <w:r>
              <w:rPr>
                <w:rFonts w:ascii="宋体" w:hAnsi="宋体" w:cs="宋体"/>
                <w:color w:val="auto"/>
                <w:sz w:val="18"/>
                <w:szCs w:val="18"/>
              </w:rPr>
              <w:t>33.食堂定期做好消毒工作，三防等设施设备能正常使用，并有设施设备维护记录。</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CF1FF93">
            <w:pPr>
              <w:rPr>
                <w:rFonts w:ascii="宋体" w:hAnsi="宋体" w:cs="宋体"/>
                <w:color w:val="auto"/>
                <w:sz w:val="18"/>
                <w:szCs w:val="18"/>
              </w:rPr>
            </w:pPr>
            <w:r>
              <w:rPr>
                <w:rFonts w:hint="eastAsia" w:ascii="宋体" w:hAnsi="宋体" w:cs="宋体"/>
                <w:color w:val="auto"/>
                <w:sz w:val="18"/>
                <w:szCs w:val="18"/>
              </w:rPr>
              <w:t>现场检查</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2A684D58">
            <w:pPr>
              <w:rPr>
                <w:rFonts w:ascii="宋体" w:hAnsi="宋体" w:cs="宋体"/>
                <w:color w:val="auto"/>
                <w:sz w:val="18"/>
                <w:szCs w:val="18"/>
              </w:rPr>
            </w:pPr>
            <w:r>
              <w:rPr>
                <w:rFonts w:hint="eastAsia" w:ascii="宋体" w:hAnsi="宋体" w:cs="宋体"/>
                <w:color w:val="auto"/>
                <w:sz w:val="18"/>
                <w:szCs w:val="18"/>
              </w:rPr>
              <w:t>不符合要求的每次支付违约金</w:t>
            </w:r>
            <w:r>
              <w:rPr>
                <w:rFonts w:ascii="宋体" w:hAnsi="宋体" w:cs="宋体"/>
                <w:color w:val="auto"/>
                <w:sz w:val="18"/>
                <w:szCs w:val="18"/>
              </w:rPr>
              <w:t>2000元</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1BFC824E">
            <w:pPr>
              <w:rPr>
                <w:rFonts w:ascii="宋体" w:hAnsi="宋体" w:cs="宋体"/>
                <w:color w:val="auto"/>
                <w:sz w:val="18"/>
                <w:szCs w:val="18"/>
              </w:rPr>
            </w:pPr>
            <w:r>
              <w:rPr>
                <w:rFonts w:hint="eastAsia" w:ascii="宋体" w:hAnsi="宋体" w:cs="宋体"/>
                <w:color w:val="auto"/>
                <w:sz w:val="18"/>
                <w:szCs w:val="18"/>
              </w:rPr>
              <w:t>不符合要求的扣</w:t>
            </w:r>
            <w:r>
              <w:rPr>
                <w:rFonts w:ascii="宋体" w:hAnsi="宋体" w:cs="宋体"/>
                <w:color w:val="auto"/>
                <w:sz w:val="18"/>
                <w:szCs w:val="18"/>
              </w:rPr>
              <w:t>1分/次</w:t>
            </w:r>
          </w:p>
        </w:tc>
      </w:tr>
      <w:tr w14:paraId="0AAEEF86">
        <w:tblPrEx>
          <w:tblCellMar>
            <w:top w:w="0" w:type="dxa"/>
            <w:left w:w="108" w:type="dxa"/>
            <w:bottom w:w="0" w:type="dxa"/>
            <w:right w:w="108" w:type="dxa"/>
          </w:tblCellMar>
        </w:tblPrEx>
        <w:trPr>
          <w:trHeight w:val="480" w:hRule="atLeast"/>
          <w:jc w:val="center"/>
        </w:trPr>
        <w:tc>
          <w:tcPr>
            <w:tcW w:w="499" w:type="dxa"/>
            <w:vMerge w:val="continue"/>
            <w:tcBorders>
              <w:top w:val="single" w:color="auto" w:sz="4" w:space="0"/>
              <w:left w:val="single" w:color="auto" w:sz="4" w:space="0"/>
              <w:bottom w:val="single" w:color="auto" w:sz="4" w:space="0"/>
              <w:right w:val="single" w:color="auto" w:sz="4" w:space="0"/>
            </w:tcBorders>
            <w:noWrap w:val="0"/>
            <w:vAlign w:val="center"/>
          </w:tcPr>
          <w:p w14:paraId="1FE92FE3">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475CB8E4">
            <w:pPr>
              <w:rPr>
                <w:rFonts w:ascii="宋体" w:hAnsi="宋体" w:cs="宋体"/>
                <w:color w:val="auto"/>
                <w:sz w:val="18"/>
                <w:szCs w:val="18"/>
              </w:rPr>
            </w:pPr>
          </w:p>
        </w:tc>
        <w:tc>
          <w:tcPr>
            <w:tcW w:w="477" w:type="dxa"/>
            <w:vMerge w:val="restart"/>
            <w:tcBorders>
              <w:top w:val="single" w:color="auto" w:sz="4" w:space="0"/>
              <w:left w:val="single" w:color="auto" w:sz="4" w:space="0"/>
              <w:bottom w:val="single" w:color="auto" w:sz="4" w:space="0"/>
              <w:right w:val="single" w:color="auto" w:sz="4" w:space="0"/>
            </w:tcBorders>
            <w:noWrap w:val="0"/>
            <w:textDirection w:val="tbRlV"/>
            <w:vAlign w:val="center"/>
          </w:tcPr>
          <w:p w14:paraId="19B6A09C">
            <w:pPr>
              <w:jc w:val="center"/>
              <w:rPr>
                <w:rFonts w:ascii="宋体" w:hAnsi="宋体" w:cs="宋体"/>
                <w:color w:val="auto"/>
                <w:sz w:val="18"/>
                <w:szCs w:val="18"/>
              </w:rPr>
            </w:pPr>
            <w:r>
              <w:rPr>
                <w:rFonts w:hint="eastAsia" w:ascii="宋体" w:hAnsi="宋体" w:cs="宋体"/>
                <w:color w:val="auto"/>
                <w:sz w:val="18"/>
                <w:szCs w:val="18"/>
              </w:rPr>
              <w:t>出售</w:t>
            </w:r>
          </w:p>
        </w:tc>
        <w:tc>
          <w:tcPr>
            <w:tcW w:w="3350" w:type="dxa"/>
            <w:tcBorders>
              <w:top w:val="single" w:color="auto" w:sz="4" w:space="0"/>
              <w:left w:val="single" w:color="auto" w:sz="4" w:space="0"/>
              <w:bottom w:val="single" w:color="auto" w:sz="4" w:space="0"/>
              <w:right w:val="single" w:color="auto" w:sz="4" w:space="0"/>
            </w:tcBorders>
            <w:noWrap w:val="0"/>
            <w:vAlign w:val="center"/>
          </w:tcPr>
          <w:p w14:paraId="3C954992">
            <w:pPr>
              <w:rPr>
                <w:rFonts w:ascii="宋体" w:hAnsi="宋体" w:cs="宋体"/>
                <w:color w:val="auto"/>
                <w:sz w:val="18"/>
                <w:szCs w:val="18"/>
              </w:rPr>
            </w:pPr>
            <w:r>
              <w:rPr>
                <w:rFonts w:ascii="宋体" w:hAnsi="宋体" w:cs="宋体"/>
                <w:color w:val="auto"/>
                <w:sz w:val="18"/>
                <w:szCs w:val="18"/>
              </w:rPr>
              <w:t>34.在售饭菜应明码实价，价实相符，菜牌齐全</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5EBE218">
            <w:pPr>
              <w:rPr>
                <w:rFonts w:ascii="宋体" w:hAnsi="宋体" w:cs="宋体"/>
                <w:color w:val="auto"/>
                <w:sz w:val="18"/>
                <w:szCs w:val="18"/>
              </w:rPr>
            </w:pPr>
            <w:r>
              <w:rPr>
                <w:rFonts w:hint="eastAsia" w:ascii="宋体" w:hAnsi="宋体" w:cs="宋体"/>
                <w:color w:val="auto"/>
                <w:sz w:val="18"/>
                <w:szCs w:val="18"/>
              </w:rPr>
              <w:t>现场检查</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67AA5EE4">
            <w:pPr>
              <w:rPr>
                <w:rFonts w:ascii="宋体" w:hAnsi="宋体" w:eastAsia="方正仿宋_GBK" w:cs="宋体"/>
                <w:color w:val="auto"/>
                <w:sz w:val="18"/>
                <w:szCs w:val="18"/>
              </w:rPr>
            </w:pPr>
            <w:r>
              <w:rPr>
                <w:rFonts w:hint="eastAsia" w:ascii="宋体" w:hAnsi="宋体" w:cs="宋体"/>
                <w:color w:val="auto"/>
                <w:sz w:val="18"/>
                <w:szCs w:val="18"/>
              </w:rPr>
              <w:t>不符合要求的首次每项支付违约金</w:t>
            </w:r>
            <w:r>
              <w:rPr>
                <w:rFonts w:ascii="宋体" w:hAnsi="宋体" w:cs="宋体"/>
                <w:color w:val="auto"/>
                <w:sz w:val="18"/>
                <w:szCs w:val="18"/>
              </w:rPr>
              <w:t>1000元/项/次，第二次及以后每项支付违约金2000元/项/次</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0DB1E9CD">
            <w:pPr>
              <w:rPr>
                <w:rFonts w:ascii="宋体" w:hAnsi="宋体" w:cs="宋体"/>
                <w:color w:val="auto"/>
                <w:sz w:val="18"/>
                <w:szCs w:val="18"/>
              </w:rPr>
            </w:pPr>
            <w:r>
              <w:rPr>
                <w:rFonts w:hint="eastAsia" w:ascii="宋体" w:hAnsi="宋体" w:cs="宋体"/>
                <w:color w:val="auto"/>
                <w:sz w:val="18"/>
                <w:szCs w:val="18"/>
              </w:rPr>
              <w:t>首次每项扣</w:t>
            </w:r>
            <w:r>
              <w:rPr>
                <w:rFonts w:ascii="宋体" w:hAnsi="宋体" w:cs="宋体"/>
                <w:color w:val="auto"/>
                <w:sz w:val="18"/>
                <w:szCs w:val="18"/>
              </w:rPr>
              <w:t>1分，第二次及以后扣1分/项/次</w:t>
            </w:r>
          </w:p>
        </w:tc>
      </w:tr>
      <w:tr w14:paraId="7C3C9F0D">
        <w:tblPrEx>
          <w:tblCellMar>
            <w:top w:w="0" w:type="dxa"/>
            <w:left w:w="108" w:type="dxa"/>
            <w:bottom w:w="0" w:type="dxa"/>
            <w:right w:w="108" w:type="dxa"/>
          </w:tblCellMar>
        </w:tblPrEx>
        <w:trPr>
          <w:trHeight w:val="480" w:hRule="atLeast"/>
          <w:jc w:val="center"/>
        </w:trPr>
        <w:tc>
          <w:tcPr>
            <w:tcW w:w="499" w:type="dxa"/>
            <w:vMerge w:val="continue"/>
            <w:tcBorders>
              <w:top w:val="single" w:color="auto" w:sz="4" w:space="0"/>
              <w:left w:val="single" w:color="auto" w:sz="4" w:space="0"/>
              <w:bottom w:val="single" w:color="auto" w:sz="4" w:space="0"/>
              <w:right w:val="single" w:color="auto" w:sz="4" w:space="0"/>
            </w:tcBorders>
            <w:noWrap w:val="0"/>
            <w:vAlign w:val="center"/>
          </w:tcPr>
          <w:p w14:paraId="377ADA4B">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7969C4E8">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noWrap w:val="0"/>
            <w:vAlign w:val="center"/>
          </w:tcPr>
          <w:p w14:paraId="401A1E7C">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noWrap w:val="0"/>
            <w:vAlign w:val="center"/>
          </w:tcPr>
          <w:p w14:paraId="2E02EE28">
            <w:pPr>
              <w:rPr>
                <w:rFonts w:ascii="宋体" w:hAnsi="宋体" w:cs="宋体"/>
                <w:color w:val="auto"/>
                <w:sz w:val="18"/>
                <w:szCs w:val="18"/>
              </w:rPr>
            </w:pPr>
            <w:r>
              <w:rPr>
                <w:rFonts w:ascii="宋体" w:hAnsi="宋体" w:cs="宋体"/>
                <w:color w:val="auto"/>
                <w:sz w:val="18"/>
                <w:szCs w:val="18"/>
              </w:rPr>
              <w:t>35.饭菜售卖计量计价准确</w:t>
            </w:r>
          </w:p>
        </w:tc>
        <w:tc>
          <w:tcPr>
            <w:tcW w:w="709" w:type="dxa"/>
            <w:vMerge w:val="restart"/>
            <w:tcBorders>
              <w:top w:val="single" w:color="auto" w:sz="4" w:space="0"/>
              <w:left w:val="single" w:color="auto" w:sz="4" w:space="0"/>
              <w:bottom w:val="single" w:color="auto" w:sz="4" w:space="0"/>
              <w:right w:val="single" w:color="auto" w:sz="4" w:space="0"/>
            </w:tcBorders>
            <w:noWrap w:val="0"/>
            <w:vAlign w:val="center"/>
          </w:tcPr>
          <w:p w14:paraId="59E4764C">
            <w:pPr>
              <w:rPr>
                <w:rFonts w:ascii="宋体" w:hAnsi="宋体" w:cs="宋体"/>
                <w:color w:val="auto"/>
                <w:sz w:val="18"/>
                <w:szCs w:val="18"/>
              </w:rPr>
            </w:pPr>
            <w:r>
              <w:rPr>
                <w:rFonts w:hint="eastAsia" w:ascii="宋体" w:hAnsi="宋体" w:cs="宋体"/>
                <w:color w:val="auto"/>
                <w:sz w:val="18"/>
                <w:szCs w:val="18"/>
              </w:rPr>
              <w:t>现场检查或投诉核实</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21507880">
            <w:pPr>
              <w:rPr>
                <w:rFonts w:ascii="宋体" w:hAnsi="宋体" w:cs="宋体"/>
                <w:color w:val="auto"/>
                <w:sz w:val="18"/>
                <w:szCs w:val="18"/>
              </w:rPr>
            </w:pPr>
            <w:r>
              <w:rPr>
                <w:rFonts w:hint="eastAsia" w:ascii="宋体" w:hAnsi="宋体" w:cs="宋体"/>
                <w:color w:val="auto"/>
                <w:sz w:val="18"/>
                <w:szCs w:val="18"/>
              </w:rPr>
              <w:t>不符合要求每次支付违约金</w:t>
            </w:r>
            <w:r>
              <w:rPr>
                <w:rFonts w:ascii="宋体" w:hAnsi="宋体" w:cs="宋体"/>
                <w:color w:val="auto"/>
                <w:sz w:val="18"/>
                <w:szCs w:val="18"/>
              </w:rPr>
              <w:t>2000元</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25D3135F">
            <w:pPr>
              <w:rPr>
                <w:rFonts w:ascii="宋体" w:hAnsi="宋体" w:cs="宋体"/>
                <w:color w:val="auto"/>
                <w:sz w:val="18"/>
                <w:szCs w:val="18"/>
              </w:rPr>
            </w:pPr>
            <w:r>
              <w:rPr>
                <w:rFonts w:hint="eastAsia" w:ascii="宋体" w:hAnsi="宋体" w:cs="宋体"/>
                <w:color w:val="auto"/>
                <w:sz w:val="18"/>
                <w:szCs w:val="18"/>
              </w:rPr>
              <w:t>不符合要求的扣</w:t>
            </w:r>
            <w:r>
              <w:rPr>
                <w:rFonts w:ascii="宋体" w:hAnsi="宋体" w:cs="宋体"/>
                <w:color w:val="auto"/>
                <w:sz w:val="18"/>
                <w:szCs w:val="18"/>
              </w:rPr>
              <w:t>1分/次</w:t>
            </w:r>
          </w:p>
        </w:tc>
      </w:tr>
      <w:tr w14:paraId="1FD1AEC2">
        <w:tblPrEx>
          <w:tblCellMar>
            <w:top w:w="0" w:type="dxa"/>
            <w:left w:w="108" w:type="dxa"/>
            <w:bottom w:w="0" w:type="dxa"/>
            <w:right w:w="108" w:type="dxa"/>
          </w:tblCellMar>
        </w:tblPrEx>
        <w:trPr>
          <w:trHeight w:val="480" w:hRule="atLeast"/>
          <w:jc w:val="center"/>
        </w:trPr>
        <w:tc>
          <w:tcPr>
            <w:tcW w:w="499" w:type="dxa"/>
            <w:vMerge w:val="continue"/>
            <w:tcBorders>
              <w:top w:val="single" w:color="auto" w:sz="4" w:space="0"/>
              <w:left w:val="single" w:color="auto" w:sz="4" w:space="0"/>
              <w:bottom w:val="single" w:color="auto" w:sz="4" w:space="0"/>
              <w:right w:val="single" w:color="auto" w:sz="4" w:space="0"/>
            </w:tcBorders>
            <w:noWrap w:val="0"/>
            <w:vAlign w:val="center"/>
          </w:tcPr>
          <w:p w14:paraId="382B154C">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2F15CDB0">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noWrap w:val="0"/>
            <w:vAlign w:val="center"/>
          </w:tcPr>
          <w:p w14:paraId="31951C10">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noWrap w:val="0"/>
            <w:vAlign w:val="center"/>
          </w:tcPr>
          <w:p w14:paraId="71E515A6">
            <w:pPr>
              <w:rPr>
                <w:rFonts w:ascii="宋体" w:hAnsi="宋体" w:cs="宋体"/>
                <w:color w:val="auto"/>
                <w:sz w:val="18"/>
                <w:szCs w:val="18"/>
              </w:rPr>
            </w:pPr>
            <w:r>
              <w:rPr>
                <w:rFonts w:ascii="宋体" w:hAnsi="宋体" w:cs="宋体"/>
                <w:color w:val="auto"/>
                <w:sz w:val="18"/>
                <w:szCs w:val="18"/>
              </w:rPr>
              <w:t>36.不应出售夹生、未熟食品，饭菜中应无泥沙、钢丝、虫子等异物</w:t>
            </w:r>
          </w:p>
        </w:tc>
        <w:tc>
          <w:tcPr>
            <w:tcW w:w="709" w:type="dxa"/>
            <w:vMerge w:val="continue"/>
            <w:tcBorders>
              <w:top w:val="single" w:color="auto" w:sz="4" w:space="0"/>
              <w:left w:val="single" w:color="auto" w:sz="4" w:space="0"/>
              <w:bottom w:val="single" w:color="auto" w:sz="4" w:space="0"/>
              <w:right w:val="single" w:color="auto" w:sz="4" w:space="0"/>
            </w:tcBorders>
            <w:noWrap w:val="0"/>
            <w:vAlign w:val="center"/>
          </w:tcPr>
          <w:p w14:paraId="4362A6F9">
            <w:pPr>
              <w:rPr>
                <w:rFonts w:ascii="宋体" w:hAnsi="宋体" w:cs="宋体"/>
                <w:color w:val="auto"/>
                <w:sz w:val="18"/>
                <w:szCs w:val="18"/>
              </w:rPr>
            </w:pPr>
          </w:p>
        </w:tc>
        <w:tc>
          <w:tcPr>
            <w:tcW w:w="2693" w:type="dxa"/>
            <w:tcBorders>
              <w:top w:val="single" w:color="auto" w:sz="4" w:space="0"/>
              <w:left w:val="single" w:color="auto" w:sz="4" w:space="0"/>
              <w:bottom w:val="single" w:color="auto" w:sz="4" w:space="0"/>
              <w:right w:val="single" w:color="auto" w:sz="4" w:space="0"/>
            </w:tcBorders>
            <w:noWrap w:val="0"/>
            <w:vAlign w:val="center"/>
          </w:tcPr>
          <w:p w14:paraId="356BF8F7">
            <w:pPr>
              <w:rPr>
                <w:rFonts w:ascii="宋体" w:hAnsi="宋体" w:cs="宋体"/>
                <w:color w:val="auto"/>
                <w:sz w:val="18"/>
                <w:szCs w:val="18"/>
              </w:rPr>
            </w:pPr>
            <w:r>
              <w:rPr>
                <w:rFonts w:hint="eastAsia" w:ascii="宋体" w:hAnsi="宋体" w:cs="宋体"/>
                <w:color w:val="auto"/>
                <w:sz w:val="18"/>
                <w:szCs w:val="18"/>
              </w:rPr>
              <w:t>不符合要求每次支付违约金</w:t>
            </w:r>
            <w:r>
              <w:rPr>
                <w:rFonts w:ascii="宋体" w:hAnsi="宋体" w:cs="宋体"/>
                <w:color w:val="auto"/>
                <w:sz w:val="18"/>
                <w:szCs w:val="18"/>
              </w:rPr>
              <w:t>1000元</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59E00CDB">
            <w:pPr>
              <w:rPr>
                <w:rFonts w:ascii="宋体" w:hAnsi="宋体" w:cs="宋体"/>
                <w:color w:val="auto"/>
                <w:sz w:val="18"/>
                <w:szCs w:val="18"/>
              </w:rPr>
            </w:pPr>
            <w:r>
              <w:rPr>
                <w:rFonts w:hint="eastAsia" w:ascii="宋体" w:hAnsi="宋体" w:cs="宋体"/>
                <w:color w:val="auto"/>
                <w:sz w:val="18"/>
                <w:szCs w:val="18"/>
              </w:rPr>
              <w:t>不符合要求的扣</w:t>
            </w:r>
            <w:r>
              <w:rPr>
                <w:rFonts w:ascii="宋体" w:hAnsi="宋体" w:cs="宋体"/>
                <w:color w:val="auto"/>
                <w:sz w:val="18"/>
                <w:szCs w:val="18"/>
              </w:rPr>
              <w:t>1分/次</w:t>
            </w:r>
          </w:p>
        </w:tc>
      </w:tr>
      <w:tr w14:paraId="4145EAF9">
        <w:tblPrEx>
          <w:tblCellMar>
            <w:top w:w="0" w:type="dxa"/>
            <w:left w:w="108" w:type="dxa"/>
            <w:bottom w:w="0" w:type="dxa"/>
            <w:right w:w="108" w:type="dxa"/>
          </w:tblCellMar>
        </w:tblPrEx>
        <w:trPr>
          <w:trHeight w:val="480" w:hRule="atLeast"/>
          <w:jc w:val="center"/>
        </w:trPr>
        <w:tc>
          <w:tcPr>
            <w:tcW w:w="499" w:type="dxa"/>
            <w:vMerge w:val="continue"/>
            <w:tcBorders>
              <w:top w:val="single" w:color="auto" w:sz="4" w:space="0"/>
              <w:left w:val="single" w:color="auto" w:sz="4" w:space="0"/>
              <w:bottom w:val="single" w:color="auto" w:sz="4" w:space="0"/>
              <w:right w:val="single" w:color="auto" w:sz="4" w:space="0"/>
            </w:tcBorders>
            <w:noWrap w:val="0"/>
            <w:vAlign w:val="center"/>
          </w:tcPr>
          <w:p w14:paraId="7D53B47C">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7E081D96">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noWrap w:val="0"/>
            <w:vAlign w:val="center"/>
          </w:tcPr>
          <w:p w14:paraId="5907AE41">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noWrap w:val="0"/>
            <w:vAlign w:val="center"/>
          </w:tcPr>
          <w:p w14:paraId="0BA070DD">
            <w:pPr>
              <w:rPr>
                <w:rFonts w:ascii="宋体" w:hAnsi="宋体" w:cs="宋体"/>
                <w:color w:val="auto"/>
                <w:sz w:val="18"/>
                <w:szCs w:val="18"/>
              </w:rPr>
            </w:pPr>
            <w:r>
              <w:rPr>
                <w:rFonts w:ascii="宋体" w:hAnsi="宋体" w:cs="宋体"/>
                <w:color w:val="auto"/>
                <w:sz w:val="18"/>
                <w:szCs w:val="18"/>
              </w:rPr>
              <w:t>37.不提供霉烂变质食物</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883641E">
            <w:pPr>
              <w:rPr>
                <w:rFonts w:ascii="宋体" w:hAnsi="宋体" w:cs="宋体"/>
                <w:color w:val="auto"/>
                <w:sz w:val="18"/>
                <w:szCs w:val="18"/>
              </w:rPr>
            </w:pPr>
            <w:r>
              <w:rPr>
                <w:rFonts w:hint="eastAsia" w:ascii="宋体" w:hAnsi="宋体" w:cs="宋体"/>
                <w:color w:val="auto"/>
                <w:sz w:val="18"/>
                <w:szCs w:val="18"/>
              </w:rPr>
              <w:t>现场检查</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136C6F37">
            <w:pPr>
              <w:rPr>
                <w:rFonts w:ascii="宋体" w:hAnsi="宋体" w:cs="宋体"/>
                <w:color w:val="auto"/>
                <w:sz w:val="18"/>
                <w:szCs w:val="18"/>
              </w:rPr>
            </w:pPr>
            <w:r>
              <w:rPr>
                <w:rFonts w:hint="eastAsia" w:ascii="宋体" w:hAnsi="宋体" w:cs="宋体"/>
                <w:color w:val="auto"/>
                <w:sz w:val="18"/>
                <w:szCs w:val="18"/>
              </w:rPr>
              <w:t>查实后每次支付违约金</w:t>
            </w:r>
            <w:r>
              <w:rPr>
                <w:rFonts w:ascii="宋体" w:hAnsi="宋体" w:cs="宋体"/>
                <w:color w:val="auto"/>
                <w:sz w:val="18"/>
                <w:szCs w:val="18"/>
              </w:rPr>
              <w:t>10000元</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2E865BDA">
            <w:pPr>
              <w:rPr>
                <w:rFonts w:ascii="宋体" w:hAnsi="宋体" w:cs="宋体"/>
                <w:color w:val="auto"/>
                <w:sz w:val="18"/>
                <w:szCs w:val="18"/>
              </w:rPr>
            </w:pPr>
            <w:r>
              <w:rPr>
                <w:rFonts w:hint="eastAsia" w:ascii="宋体" w:hAnsi="宋体" w:cs="宋体"/>
                <w:color w:val="auto"/>
                <w:sz w:val="18"/>
                <w:szCs w:val="18"/>
              </w:rPr>
              <w:t>不符合要求的扣</w:t>
            </w:r>
            <w:r>
              <w:rPr>
                <w:rFonts w:ascii="宋体" w:hAnsi="宋体" w:cs="宋体"/>
                <w:color w:val="auto"/>
                <w:sz w:val="18"/>
                <w:szCs w:val="18"/>
              </w:rPr>
              <w:t>5分/次</w:t>
            </w:r>
          </w:p>
        </w:tc>
      </w:tr>
      <w:tr w14:paraId="649AA2F5">
        <w:tblPrEx>
          <w:tblCellMar>
            <w:top w:w="0" w:type="dxa"/>
            <w:left w:w="108" w:type="dxa"/>
            <w:bottom w:w="0" w:type="dxa"/>
            <w:right w:w="108" w:type="dxa"/>
          </w:tblCellMar>
        </w:tblPrEx>
        <w:trPr>
          <w:trHeight w:val="480" w:hRule="atLeast"/>
          <w:jc w:val="center"/>
        </w:trPr>
        <w:tc>
          <w:tcPr>
            <w:tcW w:w="499" w:type="dxa"/>
            <w:vMerge w:val="continue"/>
            <w:tcBorders>
              <w:top w:val="single" w:color="auto" w:sz="4" w:space="0"/>
              <w:left w:val="single" w:color="auto" w:sz="4" w:space="0"/>
              <w:bottom w:val="single" w:color="auto" w:sz="4" w:space="0"/>
              <w:right w:val="single" w:color="auto" w:sz="4" w:space="0"/>
            </w:tcBorders>
            <w:noWrap w:val="0"/>
            <w:vAlign w:val="center"/>
          </w:tcPr>
          <w:p w14:paraId="419F6D9F">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2190E80A">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noWrap w:val="0"/>
            <w:vAlign w:val="center"/>
          </w:tcPr>
          <w:p w14:paraId="159493F8">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noWrap w:val="0"/>
            <w:vAlign w:val="center"/>
          </w:tcPr>
          <w:p w14:paraId="4E9B7EC3">
            <w:pPr>
              <w:rPr>
                <w:rFonts w:ascii="宋体" w:hAnsi="宋体" w:cs="宋体"/>
                <w:color w:val="auto"/>
                <w:sz w:val="18"/>
                <w:szCs w:val="18"/>
              </w:rPr>
            </w:pPr>
            <w:r>
              <w:rPr>
                <w:rFonts w:ascii="宋体" w:hAnsi="宋体" w:cs="宋体"/>
                <w:color w:val="auto"/>
                <w:sz w:val="18"/>
                <w:szCs w:val="18"/>
              </w:rPr>
              <w:t>38.餐厅内外、厨房、操作间、库房等场所应保持卫生、整洁</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06EC54A">
            <w:pPr>
              <w:rPr>
                <w:rFonts w:ascii="宋体" w:hAnsi="宋体" w:cs="宋体"/>
                <w:color w:val="auto"/>
                <w:sz w:val="18"/>
                <w:szCs w:val="18"/>
              </w:rPr>
            </w:pPr>
            <w:r>
              <w:rPr>
                <w:rFonts w:hint="eastAsia" w:ascii="宋体" w:hAnsi="宋体" w:cs="宋体"/>
                <w:color w:val="auto"/>
                <w:sz w:val="18"/>
                <w:szCs w:val="18"/>
              </w:rPr>
              <w:t>现场检查</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6CADAFB9">
            <w:pPr>
              <w:rPr>
                <w:rFonts w:ascii="宋体" w:hAnsi="宋体" w:cs="宋体"/>
                <w:color w:val="auto"/>
                <w:sz w:val="18"/>
                <w:szCs w:val="18"/>
              </w:rPr>
            </w:pPr>
            <w:r>
              <w:rPr>
                <w:rFonts w:hint="eastAsia" w:ascii="宋体" w:hAnsi="宋体" w:cs="宋体"/>
                <w:color w:val="auto"/>
                <w:sz w:val="18"/>
                <w:szCs w:val="18"/>
              </w:rPr>
              <w:t>不符合要求的每项支付违约金</w:t>
            </w:r>
            <w:r>
              <w:rPr>
                <w:rFonts w:ascii="宋体" w:hAnsi="宋体" w:cs="宋体"/>
                <w:color w:val="auto"/>
                <w:sz w:val="18"/>
                <w:szCs w:val="18"/>
              </w:rPr>
              <w:t>1000元</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1493D8B4">
            <w:pPr>
              <w:rPr>
                <w:rFonts w:ascii="宋体" w:hAnsi="宋体" w:cs="宋体"/>
                <w:color w:val="auto"/>
                <w:sz w:val="18"/>
                <w:szCs w:val="18"/>
              </w:rPr>
            </w:pPr>
            <w:r>
              <w:rPr>
                <w:rFonts w:hint="eastAsia" w:ascii="宋体" w:hAnsi="宋体" w:cs="宋体"/>
                <w:color w:val="auto"/>
                <w:sz w:val="18"/>
                <w:szCs w:val="18"/>
              </w:rPr>
              <w:t>不符合要求的扣</w:t>
            </w:r>
            <w:r>
              <w:rPr>
                <w:rFonts w:ascii="宋体" w:hAnsi="宋体" w:cs="宋体"/>
                <w:color w:val="auto"/>
                <w:sz w:val="18"/>
                <w:szCs w:val="18"/>
              </w:rPr>
              <w:t>1分/次</w:t>
            </w:r>
          </w:p>
        </w:tc>
      </w:tr>
      <w:tr w14:paraId="7DA3C393">
        <w:tblPrEx>
          <w:tblCellMar>
            <w:top w:w="0" w:type="dxa"/>
            <w:left w:w="108" w:type="dxa"/>
            <w:bottom w:w="0" w:type="dxa"/>
            <w:right w:w="108" w:type="dxa"/>
          </w:tblCellMar>
        </w:tblPrEx>
        <w:trPr>
          <w:trHeight w:val="480" w:hRule="atLeast"/>
          <w:jc w:val="center"/>
        </w:trPr>
        <w:tc>
          <w:tcPr>
            <w:tcW w:w="499" w:type="dxa"/>
            <w:vMerge w:val="continue"/>
            <w:tcBorders>
              <w:top w:val="single" w:color="auto" w:sz="4" w:space="0"/>
              <w:left w:val="single" w:color="auto" w:sz="4" w:space="0"/>
              <w:bottom w:val="single" w:color="auto" w:sz="4" w:space="0"/>
              <w:right w:val="single" w:color="auto" w:sz="4" w:space="0"/>
            </w:tcBorders>
            <w:noWrap w:val="0"/>
            <w:vAlign w:val="center"/>
          </w:tcPr>
          <w:p w14:paraId="6E9BBEEC">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76630E64">
            <w:pPr>
              <w:rPr>
                <w:rFonts w:ascii="宋体" w:hAnsi="宋体" w:cs="宋体"/>
                <w:color w:val="auto"/>
                <w:sz w:val="18"/>
                <w:szCs w:val="18"/>
              </w:rPr>
            </w:pPr>
          </w:p>
        </w:tc>
        <w:tc>
          <w:tcPr>
            <w:tcW w:w="477" w:type="dxa"/>
            <w:vMerge w:val="continue"/>
            <w:tcBorders>
              <w:top w:val="single" w:color="auto" w:sz="4" w:space="0"/>
              <w:left w:val="single" w:color="auto" w:sz="4" w:space="0"/>
              <w:bottom w:val="single" w:color="auto" w:sz="4" w:space="0"/>
              <w:right w:val="single" w:color="auto" w:sz="4" w:space="0"/>
            </w:tcBorders>
            <w:noWrap w:val="0"/>
            <w:vAlign w:val="center"/>
          </w:tcPr>
          <w:p w14:paraId="6DCCB5DF">
            <w:pPr>
              <w:rPr>
                <w:rFonts w:ascii="宋体" w:hAnsi="宋体" w:cs="宋体"/>
                <w:color w:val="auto"/>
                <w:sz w:val="18"/>
                <w:szCs w:val="18"/>
              </w:rPr>
            </w:pPr>
          </w:p>
        </w:tc>
        <w:tc>
          <w:tcPr>
            <w:tcW w:w="3350" w:type="dxa"/>
            <w:tcBorders>
              <w:top w:val="single" w:color="auto" w:sz="4" w:space="0"/>
              <w:left w:val="single" w:color="auto" w:sz="4" w:space="0"/>
              <w:bottom w:val="single" w:color="auto" w:sz="4" w:space="0"/>
              <w:right w:val="single" w:color="auto" w:sz="4" w:space="0"/>
            </w:tcBorders>
            <w:noWrap w:val="0"/>
            <w:vAlign w:val="center"/>
          </w:tcPr>
          <w:p w14:paraId="2E5582D1">
            <w:pPr>
              <w:rPr>
                <w:rFonts w:ascii="宋体" w:hAnsi="宋体" w:cs="宋体"/>
                <w:color w:val="auto"/>
                <w:sz w:val="18"/>
                <w:szCs w:val="18"/>
              </w:rPr>
            </w:pPr>
            <w:r>
              <w:rPr>
                <w:rFonts w:ascii="宋体" w:hAnsi="宋体" w:cs="宋体"/>
                <w:color w:val="auto"/>
                <w:sz w:val="18"/>
                <w:szCs w:val="18"/>
              </w:rPr>
              <w:t>39.食堂内外按照垃圾分类要求设置垃圾桶。应当设置专门的餐厨废弃物收集设施并明显标识，按照规定收集、存放、回收餐厨废弃物、废弃油脂，并建立相</w:t>
            </w:r>
            <w:r>
              <w:rPr>
                <w:rFonts w:hint="eastAsia" w:ascii="宋体" w:hAnsi="宋体" w:cs="宋体"/>
                <w:color w:val="auto"/>
                <w:sz w:val="18"/>
                <w:szCs w:val="18"/>
              </w:rPr>
              <w:t>关制度及台账，及时按照相关规定处置餐厨垃圾，不得私自处理。</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1652086">
            <w:pPr>
              <w:rPr>
                <w:rFonts w:ascii="宋体" w:hAnsi="宋体" w:cs="宋体"/>
                <w:color w:val="auto"/>
                <w:sz w:val="18"/>
                <w:szCs w:val="18"/>
              </w:rPr>
            </w:pPr>
            <w:r>
              <w:rPr>
                <w:rFonts w:hint="eastAsia" w:ascii="宋体" w:hAnsi="宋体" w:cs="宋体"/>
                <w:color w:val="auto"/>
                <w:sz w:val="18"/>
                <w:szCs w:val="18"/>
              </w:rPr>
              <w:t>现场</w:t>
            </w:r>
          </w:p>
          <w:p w14:paraId="36117573">
            <w:pPr>
              <w:rPr>
                <w:rFonts w:ascii="宋体" w:hAnsi="宋体" w:cs="宋体"/>
                <w:color w:val="auto"/>
                <w:sz w:val="18"/>
                <w:szCs w:val="18"/>
              </w:rPr>
            </w:pPr>
            <w:r>
              <w:rPr>
                <w:rFonts w:hint="eastAsia" w:ascii="宋体" w:hAnsi="宋体" w:cs="宋体"/>
                <w:color w:val="auto"/>
                <w:sz w:val="18"/>
                <w:szCs w:val="18"/>
              </w:rPr>
              <w:t>检查</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5A648415">
            <w:pPr>
              <w:rPr>
                <w:rFonts w:ascii="宋体" w:hAnsi="宋体" w:cs="宋体"/>
                <w:color w:val="auto"/>
                <w:sz w:val="18"/>
                <w:szCs w:val="18"/>
              </w:rPr>
            </w:pPr>
            <w:r>
              <w:rPr>
                <w:rFonts w:hint="eastAsia" w:ascii="宋体" w:hAnsi="宋体" w:cs="宋体"/>
                <w:color w:val="auto"/>
                <w:sz w:val="18"/>
                <w:szCs w:val="18"/>
              </w:rPr>
              <w:t>不符合要求的支付违约金</w:t>
            </w:r>
            <w:r>
              <w:rPr>
                <w:rFonts w:ascii="宋体" w:hAnsi="宋体" w:cs="宋体"/>
                <w:color w:val="auto"/>
                <w:sz w:val="18"/>
                <w:szCs w:val="18"/>
              </w:rPr>
              <w:t>1000元/项/次</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32E70154">
            <w:pPr>
              <w:rPr>
                <w:rFonts w:ascii="宋体" w:hAnsi="宋体" w:cs="宋体"/>
                <w:color w:val="auto"/>
                <w:sz w:val="18"/>
                <w:szCs w:val="18"/>
              </w:rPr>
            </w:pPr>
            <w:r>
              <w:rPr>
                <w:rFonts w:hint="eastAsia" w:ascii="宋体" w:hAnsi="宋体" w:cs="宋体"/>
                <w:color w:val="auto"/>
                <w:sz w:val="18"/>
                <w:szCs w:val="18"/>
              </w:rPr>
              <w:t>不符合要求的扣</w:t>
            </w:r>
            <w:r>
              <w:rPr>
                <w:rFonts w:ascii="宋体" w:hAnsi="宋体" w:cs="宋体"/>
                <w:color w:val="auto"/>
                <w:sz w:val="18"/>
                <w:szCs w:val="18"/>
              </w:rPr>
              <w:t>1分/项/次</w:t>
            </w:r>
          </w:p>
        </w:tc>
      </w:tr>
      <w:tr w14:paraId="7C74B81C">
        <w:tblPrEx>
          <w:tblCellMar>
            <w:top w:w="0" w:type="dxa"/>
            <w:left w:w="108" w:type="dxa"/>
            <w:bottom w:w="0" w:type="dxa"/>
            <w:right w:w="108" w:type="dxa"/>
          </w:tblCellMar>
        </w:tblPrEx>
        <w:trPr>
          <w:trHeight w:val="645" w:hRule="atLeast"/>
          <w:jc w:val="center"/>
        </w:trPr>
        <w:tc>
          <w:tcPr>
            <w:tcW w:w="499" w:type="dxa"/>
            <w:vMerge w:val="restart"/>
            <w:tcBorders>
              <w:top w:val="single" w:color="auto" w:sz="4" w:space="0"/>
              <w:left w:val="single" w:color="auto" w:sz="4" w:space="0"/>
              <w:bottom w:val="single" w:color="auto" w:sz="4" w:space="0"/>
              <w:right w:val="single" w:color="auto" w:sz="4" w:space="0"/>
            </w:tcBorders>
            <w:noWrap w:val="0"/>
            <w:vAlign w:val="center"/>
          </w:tcPr>
          <w:p w14:paraId="170D1AA8">
            <w:pPr>
              <w:rPr>
                <w:rFonts w:ascii="宋体" w:hAnsi="宋体" w:cs="宋体"/>
                <w:color w:val="auto"/>
                <w:sz w:val="18"/>
                <w:szCs w:val="18"/>
              </w:rPr>
            </w:pPr>
            <w:r>
              <w:rPr>
                <w:rFonts w:hint="eastAsia" w:ascii="宋体" w:hAnsi="宋体" w:cs="宋体"/>
                <w:color w:val="auto"/>
                <w:sz w:val="18"/>
                <w:szCs w:val="18"/>
              </w:rPr>
              <w:t>三</w:t>
            </w:r>
          </w:p>
        </w:tc>
        <w:tc>
          <w:tcPr>
            <w:tcW w:w="636" w:type="dxa"/>
            <w:vMerge w:val="restart"/>
            <w:tcBorders>
              <w:top w:val="single" w:color="auto" w:sz="4" w:space="0"/>
              <w:left w:val="single" w:color="auto" w:sz="4" w:space="0"/>
              <w:bottom w:val="single" w:color="auto" w:sz="4" w:space="0"/>
              <w:right w:val="single" w:color="auto" w:sz="4" w:space="0"/>
            </w:tcBorders>
            <w:noWrap w:val="0"/>
            <w:vAlign w:val="center"/>
          </w:tcPr>
          <w:p w14:paraId="0FDAE11B">
            <w:pPr>
              <w:rPr>
                <w:rFonts w:ascii="宋体" w:hAnsi="宋体" w:cs="宋体"/>
                <w:color w:val="auto"/>
                <w:sz w:val="18"/>
                <w:szCs w:val="18"/>
              </w:rPr>
            </w:pPr>
            <w:r>
              <w:rPr>
                <w:rFonts w:hint="eastAsia" w:ascii="宋体" w:hAnsi="宋体" w:cs="宋体"/>
                <w:color w:val="auto"/>
                <w:sz w:val="18"/>
                <w:szCs w:val="18"/>
              </w:rPr>
              <w:t>服务质量</w:t>
            </w:r>
          </w:p>
          <w:p w14:paraId="2007B1E2">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noWrap w:val="0"/>
            <w:vAlign w:val="center"/>
          </w:tcPr>
          <w:p w14:paraId="0FD94E18">
            <w:pPr>
              <w:rPr>
                <w:rFonts w:ascii="宋体" w:hAnsi="宋体" w:cs="宋体"/>
                <w:color w:val="auto"/>
                <w:sz w:val="18"/>
                <w:szCs w:val="18"/>
              </w:rPr>
            </w:pPr>
            <w:r>
              <w:rPr>
                <w:rFonts w:ascii="宋体" w:hAnsi="宋体" w:cs="宋体"/>
                <w:color w:val="auto"/>
                <w:sz w:val="18"/>
                <w:szCs w:val="18"/>
              </w:rPr>
              <w:t>40.食堂从业人员应掌握有关食品安全、生产安全基本知识和相关法律法规要求；食堂对员工进行安全、消防、卫生、服务等方面知识进行培训和考核。</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FAE37DF">
            <w:pPr>
              <w:rPr>
                <w:rFonts w:ascii="宋体" w:hAnsi="宋体" w:cs="宋体"/>
                <w:color w:val="auto"/>
                <w:sz w:val="18"/>
                <w:szCs w:val="18"/>
              </w:rPr>
            </w:pPr>
            <w:r>
              <w:rPr>
                <w:rFonts w:hint="eastAsia" w:ascii="宋体" w:hAnsi="宋体" w:cs="宋体"/>
                <w:color w:val="auto"/>
                <w:sz w:val="18"/>
                <w:szCs w:val="18"/>
              </w:rPr>
              <w:t>现场</w:t>
            </w:r>
          </w:p>
          <w:p w14:paraId="56FD729A">
            <w:pPr>
              <w:rPr>
                <w:rFonts w:ascii="宋体" w:hAnsi="宋体" w:cs="宋体"/>
                <w:color w:val="auto"/>
                <w:sz w:val="18"/>
                <w:szCs w:val="18"/>
              </w:rPr>
            </w:pPr>
            <w:r>
              <w:rPr>
                <w:rFonts w:hint="eastAsia" w:ascii="宋体" w:hAnsi="宋体" w:cs="宋体"/>
                <w:color w:val="auto"/>
                <w:sz w:val="18"/>
                <w:szCs w:val="18"/>
              </w:rPr>
              <w:t>检查</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37CB36CF">
            <w:pPr>
              <w:rPr>
                <w:rFonts w:ascii="宋体" w:hAnsi="宋体" w:cs="宋体"/>
                <w:color w:val="auto"/>
                <w:sz w:val="18"/>
                <w:szCs w:val="18"/>
              </w:rPr>
            </w:pPr>
            <w:r>
              <w:rPr>
                <w:rFonts w:hint="eastAsia" w:ascii="宋体" w:hAnsi="宋体" w:cs="宋体"/>
                <w:color w:val="auto"/>
                <w:sz w:val="18"/>
                <w:szCs w:val="18"/>
              </w:rPr>
              <w:t>不符合要求的支付违约金</w:t>
            </w:r>
            <w:r>
              <w:rPr>
                <w:rFonts w:ascii="宋体" w:hAnsi="宋体" w:cs="宋体"/>
                <w:color w:val="auto"/>
                <w:sz w:val="18"/>
                <w:szCs w:val="18"/>
              </w:rPr>
              <w:t>1000元/人次</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22973B90">
            <w:pPr>
              <w:rPr>
                <w:rFonts w:ascii="宋体" w:hAnsi="宋体" w:cs="宋体"/>
                <w:color w:val="auto"/>
                <w:sz w:val="18"/>
                <w:szCs w:val="18"/>
              </w:rPr>
            </w:pPr>
            <w:r>
              <w:rPr>
                <w:rFonts w:hint="eastAsia" w:ascii="宋体" w:hAnsi="宋体" w:cs="宋体"/>
                <w:color w:val="auto"/>
                <w:sz w:val="18"/>
                <w:szCs w:val="18"/>
              </w:rPr>
              <w:t>不符合要求的扣</w:t>
            </w:r>
            <w:r>
              <w:rPr>
                <w:rFonts w:ascii="宋体" w:hAnsi="宋体" w:cs="宋体"/>
                <w:color w:val="auto"/>
                <w:sz w:val="18"/>
                <w:szCs w:val="18"/>
              </w:rPr>
              <w:t>1分/人次</w:t>
            </w:r>
          </w:p>
        </w:tc>
      </w:tr>
      <w:tr w14:paraId="351CD13A">
        <w:tblPrEx>
          <w:tblCellMar>
            <w:top w:w="0" w:type="dxa"/>
            <w:left w:w="108" w:type="dxa"/>
            <w:bottom w:w="0" w:type="dxa"/>
            <w:right w:w="108" w:type="dxa"/>
          </w:tblCellMar>
        </w:tblPrEx>
        <w:trPr>
          <w:trHeight w:val="645" w:hRule="atLeast"/>
          <w:jc w:val="center"/>
        </w:trPr>
        <w:tc>
          <w:tcPr>
            <w:tcW w:w="499" w:type="dxa"/>
            <w:vMerge w:val="continue"/>
            <w:tcBorders>
              <w:top w:val="single" w:color="auto" w:sz="4" w:space="0"/>
              <w:left w:val="single" w:color="auto" w:sz="4" w:space="0"/>
              <w:bottom w:val="single" w:color="auto" w:sz="4" w:space="0"/>
              <w:right w:val="single" w:color="auto" w:sz="4" w:space="0"/>
            </w:tcBorders>
            <w:noWrap w:val="0"/>
            <w:vAlign w:val="center"/>
          </w:tcPr>
          <w:p w14:paraId="31CCB2CC">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7A54C784">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noWrap w:val="0"/>
            <w:vAlign w:val="center"/>
          </w:tcPr>
          <w:p w14:paraId="2CBBFF2A">
            <w:pPr>
              <w:rPr>
                <w:rFonts w:ascii="宋体" w:hAnsi="宋体" w:cs="宋体"/>
                <w:color w:val="auto"/>
                <w:sz w:val="18"/>
                <w:szCs w:val="18"/>
              </w:rPr>
            </w:pPr>
            <w:r>
              <w:rPr>
                <w:rFonts w:ascii="宋体" w:hAnsi="宋体" w:cs="宋体"/>
                <w:color w:val="auto"/>
                <w:sz w:val="18"/>
                <w:szCs w:val="18"/>
              </w:rPr>
              <w:t>41.食堂从业人员应养成良好卫生习惯，工作场所不吸烟，</w:t>
            </w:r>
            <w:r>
              <w:rPr>
                <w:rFonts w:hint="eastAsia" w:ascii="宋体" w:hAnsi="宋体" w:cs="宋体"/>
                <w:color w:val="auto"/>
                <w:sz w:val="18"/>
                <w:szCs w:val="18"/>
              </w:rPr>
              <w:t>不随地吐痰，不戴首饰上岗，长发不外露；所有人员必须穿食堂标志的工作服、仪表端庄，并佩戴工号牌、口罩及厨帽上岗。工作服不得穿到食堂之外的区域。</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4AA9C3F">
            <w:pPr>
              <w:rPr>
                <w:rFonts w:ascii="宋体" w:hAnsi="宋体" w:cs="宋体"/>
                <w:color w:val="auto"/>
                <w:sz w:val="18"/>
                <w:szCs w:val="18"/>
              </w:rPr>
            </w:pPr>
            <w:r>
              <w:rPr>
                <w:rFonts w:hint="eastAsia" w:ascii="宋体" w:hAnsi="宋体" w:cs="宋体"/>
                <w:color w:val="auto"/>
                <w:sz w:val="18"/>
                <w:szCs w:val="18"/>
              </w:rPr>
              <w:t>现场检查</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3C4DC0A9">
            <w:pPr>
              <w:rPr>
                <w:rFonts w:ascii="宋体" w:hAnsi="宋体" w:cs="宋体"/>
                <w:color w:val="auto"/>
                <w:sz w:val="18"/>
                <w:szCs w:val="18"/>
              </w:rPr>
            </w:pPr>
            <w:r>
              <w:rPr>
                <w:rFonts w:hint="eastAsia" w:ascii="宋体" w:hAnsi="宋体" w:cs="宋体"/>
                <w:color w:val="auto"/>
                <w:sz w:val="18"/>
                <w:szCs w:val="18"/>
              </w:rPr>
              <w:t>不符合要求每人次支付违约金</w:t>
            </w:r>
            <w:r>
              <w:rPr>
                <w:rFonts w:ascii="宋体" w:hAnsi="宋体" w:cs="宋体"/>
                <w:color w:val="auto"/>
                <w:sz w:val="18"/>
                <w:szCs w:val="18"/>
              </w:rPr>
              <w:t>1000元</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18D104F1">
            <w:pPr>
              <w:rPr>
                <w:rFonts w:ascii="宋体" w:hAnsi="宋体" w:cs="宋体"/>
                <w:color w:val="auto"/>
                <w:sz w:val="18"/>
                <w:szCs w:val="18"/>
              </w:rPr>
            </w:pPr>
            <w:r>
              <w:rPr>
                <w:rFonts w:hint="eastAsia" w:ascii="宋体" w:hAnsi="宋体" w:cs="宋体"/>
                <w:color w:val="auto"/>
                <w:sz w:val="18"/>
                <w:szCs w:val="18"/>
              </w:rPr>
              <w:t>不符合要求的扣</w:t>
            </w:r>
            <w:r>
              <w:rPr>
                <w:rFonts w:ascii="宋体" w:hAnsi="宋体" w:cs="宋体"/>
                <w:color w:val="auto"/>
                <w:sz w:val="18"/>
                <w:szCs w:val="18"/>
              </w:rPr>
              <w:t>1分/人次</w:t>
            </w:r>
          </w:p>
        </w:tc>
      </w:tr>
      <w:tr w14:paraId="4372AA03">
        <w:tblPrEx>
          <w:tblCellMar>
            <w:top w:w="0" w:type="dxa"/>
            <w:left w:w="108" w:type="dxa"/>
            <w:bottom w:w="0" w:type="dxa"/>
            <w:right w:w="108" w:type="dxa"/>
          </w:tblCellMar>
        </w:tblPrEx>
        <w:trPr>
          <w:trHeight w:val="555" w:hRule="atLeast"/>
          <w:jc w:val="center"/>
        </w:trPr>
        <w:tc>
          <w:tcPr>
            <w:tcW w:w="499" w:type="dxa"/>
            <w:vMerge w:val="continue"/>
            <w:tcBorders>
              <w:top w:val="single" w:color="auto" w:sz="4" w:space="0"/>
              <w:left w:val="single" w:color="auto" w:sz="4" w:space="0"/>
              <w:bottom w:val="single" w:color="auto" w:sz="4" w:space="0"/>
              <w:right w:val="single" w:color="auto" w:sz="4" w:space="0"/>
            </w:tcBorders>
            <w:noWrap w:val="0"/>
            <w:vAlign w:val="center"/>
          </w:tcPr>
          <w:p w14:paraId="37E096AE">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5A2936EE">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noWrap w:val="0"/>
            <w:vAlign w:val="center"/>
          </w:tcPr>
          <w:p w14:paraId="7704552D">
            <w:pPr>
              <w:rPr>
                <w:rFonts w:ascii="宋体" w:hAnsi="宋体" w:cs="宋体"/>
                <w:color w:val="auto"/>
                <w:sz w:val="18"/>
                <w:szCs w:val="18"/>
              </w:rPr>
            </w:pPr>
            <w:r>
              <w:rPr>
                <w:rFonts w:ascii="宋体" w:hAnsi="宋体" w:cs="宋体"/>
                <w:color w:val="auto"/>
                <w:sz w:val="18"/>
                <w:szCs w:val="18"/>
              </w:rPr>
              <w:t>42.应做到服务及操作程序规范，态度端正，主动热情，文明用语，不和他人发生争吵及正面冲突，上岗期间不做与工作无关的事。</w:t>
            </w:r>
          </w:p>
        </w:tc>
        <w:tc>
          <w:tcPr>
            <w:tcW w:w="709" w:type="dxa"/>
            <w:tcBorders>
              <w:top w:val="single" w:color="auto" w:sz="4" w:space="0"/>
              <w:left w:val="single" w:color="auto" w:sz="4" w:space="0"/>
              <w:bottom w:val="single" w:color="auto" w:sz="4" w:space="0"/>
              <w:right w:val="single" w:color="auto" w:sz="4" w:space="0"/>
            </w:tcBorders>
            <w:noWrap w:val="0"/>
            <w:vAlign w:val="bottom"/>
          </w:tcPr>
          <w:p w14:paraId="2A9E4273">
            <w:pPr>
              <w:rPr>
                <w:rFonts w:ascii="宋体" w:hAnsi="宋体" w:cs="宋体"/>
                <w:color w:val="auto"/>
                <w:sz w:val="18"/>
                <w:szCs w:val="18"/>
              </w:rPr>
            </w:pPr>
            <w:r>
              <w:rPr>
                <w:rFonts w:hint="eastAsia" w:ascii="宋体" w:hAnsi="宋体" w:cs="宋体"/>
                <w:color w:val="auto"/>
                <w:sz w:val="18"/>
                <w:szCs w:val="18"/>
              </w:rPr>
              <w:t>核实投诉</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13717867">
            <w:pPr>
              <w:rPr>
                <w:rFonts w:ascii="宋体" w:hAnsi="宋体" w:cs="宋体"/>
                <w:color w:val="auto"/>
                <w:sz w:val="18"/>
                <w:szCs w:val="18"/>
              </w:rPr>
            </w:pPr>
            <w:r>
              <w:rPr>
                <w:rFonts w:hint="eastAsia" w:ascii="宋体" w:hAnsi="宋体" w:cs="宋体"/>
                <w:color w:val="auto"/>
                <w:sz w:val="18"/>
                <w:szCs w:val="18"/>
              </w:rPr>
              <w:t>查实后每次支付违约金</w:t>
            </w:r>
            <w:r>
              <w:rPr>
                <w:rFonts w:ascii="宋体" w:hAnsi="宋体" w:cs="宋体"/>
                <w:color w:val="auto"/>
                <w:sz w:val="18"/>
                <w:szCs w:val="18"/>
              </w:rPr>
              <w:t>1000元</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0CAC8B08">
            <w:pPr>
              <w:rPr>
                <w:rFonts w:ascii="宋体" w:hAnsi="宋体" w:cs="宋体"/>
                <w:color w:val="auto"/>
                <w:sz w:val="18"/>
                <w:szCs w:val="18"/>
              </w:rPr>
            </w:pPr>
            <w:r>
              <w:rPr>
                <w:rFonts w:hint="eastAsia" w:ascii="宋体" w:hAnsi="宋体" w:cs="宋体"/>
                <w:color w:val="auto"/>
                <w:sz w:val="18"/>
                <w:szCs w:val="18"/>
              </w:rPr>
              <w:t>不符合要求的扣</w:t>
            </w:r>
            <w:r>
              <w:rPr>
                <w:rFonts w:ascii="宋体" w:hAnsi="宋体" w:cs="宋体"/>
                <w:color w:val="auto"/>
                <w:sz w:val="18"/>
                <w:szCs w:val="18"/>
              </w:rPr>
              <w:t>1分/人次</w:t>
            </w:r>
          </w:p>
        </w:tc>
      </w:tr>
      <w:tr w14:paraId="0FE08126">
        <w:tblPrEx>
          <w:tblCellMar>
            <w:top w:w="0" w:type="dxa"/>
            <w:left w:w="108" w:type="dxa"/>
            <w:bottom w:w="0" w:type="dxa"/>
            <w:right w:w="108" w:type="dxa"/>
          </w:tblCellMar>
        </w:tblPrEx>
        <w:trPr>
          <w:trHeight w:val="510" w:hRule="atLeast"/>
          <w:jc w:val="center"/>
        </w:trPr>
        <w:tc>
          <w:tcPr>
            <w:tcW w:w="499" w:type="dxa"/>
            <w:vMerge w:val="continue"/>
            <w:tcBorders>
              <w:top w:val="single" w:color="auto" w:sz="4" w:space="0"/>
              <w:left w:val="single" w:color="auto" w:sz="4" w:space="0"/>
              <w:bottom w:val="single" w:color="auto" w:sz="4" w:space="0"/>
              <w:right w:val="single" w:color="auto" w:sz="4" w:space="0"/>
            </w:tcBorders>
            <w:noWrap w:val="0"/>
            <w:vAlign w:val="center"/>
          </w:tcPr>
          <w:p w14:paraId="37F229C0">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503AF4BE">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noWrap w:val="0"/>
            <w:vAlign w:val="center"/>
          </w:tcPr>
          <w:p w14:paraId="6C444718">
            <w:pPr>
              <w:rPr>
                <w:rFonts w:ascii="宋体" w:hAnsi="宋体" w:cs="宋体"/>
                <w:color w:val="auto"/>
                <w:sz w:val="18"/>
                <w:szCs w:val="18"/>
              </w:rPr>
            </w:pPr>
            <w:r>
              <w:rPr>
                <w:rFonts w:ascii="宋体" w:hAnsi="宋体" w:cs="宋体"/>
                <w:color w:val="auto"/>
                <w:sz w:val="18"/>
                <w:szCs w:val="18"/>
              </w:rPr>
              <w:t>43.应在食堂明显位置设有就餐投诉台(或设立意见箱、意见薄)、餐饮张贴信息化意见反馈系统二维码、失物招领台，及时处理就餐者投诉意见、建议，意见处理和失物招领过程记录清晰。</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0915937">
            <w:pPr>
              <w:rPr>
                <w:rFonts w:ascii="宋体" w:hAnsi="宋体" w:cs="宋体"/>
                <w:color w:val="auto"/>
                <w:sz w:val="18"/>
                <w:szCs w:val="18"/>
              </w:rPr>
            </w:pPr>
            <w:r>
              <w:rPr>
                <w:rFonts w:hint="eastAsia" w:ascii="宋体" w:hAnsi="宋体" w:cs="宋体"/>
                <w:color w:val="auto"/>
                <w:sz w:val="18"/>
                <w:szCs w:val="18"/>
              </w:rPr>
              <w:t>现场检查</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73FC51E4">
            <w:pPr>
              <w:rPr>
                <w:rFonts w:ascii="宋体" w:hAnsi="宋体" w:cs="宋体"/>
                <w:color w:val="auto"/>
                <w:sz w:val="18"/>
                <w:szCs w:val="18"/>
              </w:rPr>
            </w:pPr>
            <w:r>
              <w:rPr>
                <w:rFonts w:hint="eastAsia" w:ascii="宋体" w:hAnsi="宋体" w:cs="宋体"/>
                <w:color w:val="auto"/>
                <w:sz w:val="18"/>
                <w:szCs w:val="18"/>
              </w:rPr>
              <w:t>不符合要求每次每件支付违约金</w:t>
            </w:r>
            <w:r>
              <w:rPr>
                <w:rFonts w:ascii="宋体" w:hAnsi="宋体" w:cs="宋体"/>
                <w:color w:val="auto"/>
                <w:sz w:val="18"/>
                <w:szCs w:val="18"/>
              </w:rPr>
              <w:t>1000元</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6AF6F970">
            <w:pPr>
              <w:rPr>
                <w:rFonts w:ascii="宋体" w:hAnsi="宋体" w:cs="宋体"/>
                <w:color w:val="auto"/>
                <w:sz w:val="18"/>
                <w:szCs w:val="18"/>
              </w:rPr>
            </w:pPr>
            <w:r>
              <w:rPr>
                <w:rFonts w:hint="eastAsia" w:ascii="宋体" w:hAnsi="宋体" w:cs="宋体"/>
                <w:color w:val="auto"/>
                <w:sz w:val="18"/>
                <w:szCs w:val="18"/>
              </w:rPr>
              <w:t>不符合要求的扣</w:t>
            </w:r>
            <w:r>
              <w:rPr>
                <w:rFonts w:ascii="宋体" w:hAnsi="宋体" w:cs="宋体"/>
                <w:color w:val="auto"/>
                <w:sz w:val="18"/>
                <w:szCs w:val="18"/>
              </w:rPr>
              <w:t>1分/次</w:t>
            </w:r>
          </w:p>
        </w:tc>
      </w:tr>
      <w:tr w14:paraId="7FF06781">
        <w:tblPrEx>
          <w:tblCellMar>
            <w:top w:w="0" w:type="dxa"/>
            <w:left w:w="108" w:type="dxa"/>
            <w:bottom w:w="0" w:type="dxa"/>
            <w:right w:w="108" w:type="dxa"/>
          </w:tblCellMar>
        </w:tblPrEx>
        <w:trPr>
          <w:trHeight w:val="645" w:hRule="atLeast"/>
          <w:jc w:val="center"/>
        </w:trPr>
        <w:tc>
          <w:tcPr>
            <w:tcW w:w="499" w:type="dxa"/>
            <w:vMerge w:val="continue"/>
            <w:tcBorders>
              <w:top w:val="single" w:color="auto" w:sz="4" w:space="0"/>
              <w:left w:val="single" w:color="auto" w:sz="4" w:space="0"/>
              <w:bottom w:val="single" w:color="auto" w:sz="4" w:space="0"/>
              <w:right w:val="single" w:color="auto" w:sz="4" w:space="0"/>
            </w:tcBorders>
            <w:noWrap w:val="0"/>
            <w:vAlign w:val="center"/>
          </w:tcPr>
          <w:p w14:paraId="698FFE68">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5CDCDDD2">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noWrap w:val="0"/>
            <w:vAlign w:val="center"/>
          </w:tcPr>
          <w:p w14:paraId="119A5B21">
            <w:pPr>
              <w:rPr>
                <w:rFonts w:ascii="宋体" w:hAnsi="宋体" w:cs="宋体"/>
                <w:color w:val="auto"/>
                <w:sz w:val="18"/>
                <w:szCs w:val="18"/>
              </w:rPr>
            </w:pPr>
            <w:r>
              <w:rPr>
                <w:rFonts w:ascii="宋体" w:hAnsi="宋体" w:cs="宋体"/>
                <w:color w:val="auto"/>
                <w:sz w:val="18"/>
                <w:szCs w:val="18"/>
              </w:rPr>
              <w:t>44.应在中、晚餐供应期间向就餐者提供免费汤，并派专人负责管理。</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DDDD9DF">
            <w:pPr>
              <w:rPr>
                <w:rFonts w:ascii="宋体" w:hAnsi="宋体" w:cs="宋体"/>
                <w:color w:val="auto"/>
                <w:sz w:val="18"/>
                <w:szCs w:val="18"/>
              </w:rPr>
            </w:pPr>
            <w:r>
              <w:rPr>
                <w:rFonts w:hint="eastAsia" w:ascii="宋体" w:hAnsi="宋体" w:cs="宋体"/>
                <w:color w:val="auto"/>
                <w:sz w:val="18"/>
                <w:szCs w:val="18"/>
              </w:rPr>
              <w:t>现场检查</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4B26B606">
            <w:pPr>
              <w:rPr>
                <w:rFonts w:ascii="宋体" w:hAnsi="宋体" w:cs="宋体"/>
                <w:color w:val="auto"/>
                <w:sz w:val="18"/>
                <w:szCs w:val="18"/>
              </w:rPr>
            </w:pPr>
            <w:r>
              <w:rPr>
                <w:rFonts w:hint="eastAsia" w:ascii="宋体" w:hAnsi="宋体" w:cs="宋体"/>
                <w:color w:val="auto"/>
                <w:sz w:val="18"/>
                <w:szCs w:val="18"/>
              </w:rPr>
              <w:t>不符合要求的每项支付违约金</w:t>
            </w:r>
            <w:r>
              <w:rPr>
                <w:rFonts w:ascii="宋体" w:hAnsi="宋体" w:cs="宋体"/>
                <w:color w:val="auto"/>
                <w:sz w:val="18"/>
                <w:szCs w:val="18"/>
              </w:rPr>
              <w:t>1000元</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172B2FC0">
            <w:pPr>
              <w:rPr>
                <w:rFonts w:ascii="宋体" w:hAnsi="宋体" w:cs="宋体"/>
                <w:color w:val="auto"/>
                <w:sz w:val="18"/>
                <w:szCs w:val="18"/>
              </w:rPr>
            </w:pPr>
            <w:r>
              <w:rPr>
                <w:rFonts w:hint="eastAsia" w:ascii="宋体" w:hAnsi="宋体" w:cs="宋体"/>
                <w:color w:val="auto"/>
                <w:sz w:val="18"/>
                <w:szCs w:val="18"/>
              </w:rPr>
              <w:t>不符合要求的扣</w:t>
            </w:r>
            <w:r>
              <w:rPr>
                <w:rFonts w:ascii="宋体" w:hAnsi="宋体" w:cs="宋体"/>
                <w:color w:val="auto"/>
                <w:sz w:val="18"/>
                <w:szCs w:val="18"/>
              </w:rPr>
              <w:t>1分/次</w:t>
            </w:r>
          </w:p>
        </w:tc>
      </w:tr>
      <w:tr w14:paraId="464F6A55">
        <w:tblPrEx>
          <w:tblCellMar>
            <w:top w:w="0" w:type="dxa"/>
            <w:left w:w="108" w:type="dxa"/>
            <w:bottom w:w="0" w:type="dxa"/>
            <w:right w:w="108" w:type="dxa"/>
          </w:tblCellMar>
        </w:tblPrEx>
        <w:trPr>
          <w:trHeight w:val="600" w:hRule="atLeast"/>
          <w:jc w:val="center"/>
        </w:trPr>
        <w:tc>
          <w:tcPr>
            <w:tcW w:w="499" w:type="dxa"/>
            <w:vMerge w:val="continue"/>
            <w:tcBorders>
              <w:top w:val="single" w:color="auto" w:sz="4" w:space="0"/>
              <w:left w:val="single" w:color="auto" w:sz="4" w:space="0"/>
              <w:bottom w:val="single" w:color="auto" w:sz="4" w:space="0"/>
              <w:right w:val="single" w:color="auto" w:sz="4" w:space="0"/>
            </w:tcBorders>
            <w:noWrap w:val="0"/>
            <w:vAlign w:val="center"/>
          </w:tcPr>
          <w:p w14:paraId="37311B03">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4056EC4C">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noWrap w:val="0"/>
            <w:vAlign w:val="center"/>
          </w:tcPr>
          <w:p w14:paraId="44821643">
            <w:pPr>
              <w:rPr>
                <w:rFonts w:ascii="宋体" w:hAnsi="宋体" w:cs="宋体"/>
                <w:color w:val="auto"/>
                <w:sz w:val="18"/>
                <w:szCs w:val="18"/>
              </w:rPr>
            </w:pPr>
            <w:r>
              <w:rPr>
                <w:rFonts w:ascii="宋体" w:hAnsi="宋体" w:cs="宋体"/>
                <w:color w:val="auto"/>
                <w:sz w:val="18"/>
                <w:szCs w:val="18"/>
              </w:rPr>
              <w:t>45.严禁使用非“校园一卡通”刷卡消费模式，严禁使用现金、微信、支付宝等个人或私自收费方式</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D2C176C">
            <w:pPr>
              <w:rPr>
                <w:rFonts w:ascii="宋体" w:hAnsi="宋体" w:cs="宋体"/>
                <w:color w:val="auto"/>
                <w:sz w:val="18"/>
                <w:szCs w:val="18"/>
              </w:rPr>
            </w:pPr>
            <w:r>
              <w:rPr>
                <w:rFonts w:hint="eastAsia" w:ascii="宋体" w:hAnsi="宋体" w:cs="宋体"/>
                <w:color w:val="auto"/>
                <w:sz w:val="18"/>
                <w:szCs w:val="18"/>
              </w:rPr>
              <w:t>现场核实</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0DB9B828">
            <w:pPr>
              <w:rPr>
                <w:rFonts w:ascii="宋体" w:hAnsi="宋体" w:cs="宋体"/>
                <w:color w:val="auto"/>
                <w:sz w:val="18"/>
                <w:szCs w:val="18"/>
              </w:rPr>
            </w:pPr>
            <w:r>
              <w:rPr>
                <w:rFonts w:hint="eastAsia" w:ascii="宋体" w:hAnsi="宋体" w:cs="宋体"/>
                <w:color w:val="auto"/>
                <w:sz w:val="18"/>
                <w:szCs w:val="18"/>
              </w:rPr>
              <w:t>经查实后每次支付违约金</w:t>
            </w:r>
            <w:r>
              <w:rPr>
                <w:rFonts w:ascii="宋体" w:hAnsi="宋体" w:cs="宋体"/>
                <w:color w:val="auto"/>
                <w:sz w:val="18"/>
                <w:szCs w:val="18"/>
              </w:rPr>
              <w:t>20000元，若当月发现三次及以上违规交易的情况，按当月营业额的20%支付违约金。</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79ECD9BA">
            <w:pPr>
              <w:rPr>
                <w:rFonts w:ascii="宋体" w:hAnsi="宋体" w:cs="宋体"/>
                <w:color w:val="auto"/>
                <w:sz w:val="18"/>
                <w:szCs w:val="18"/>
              </w:rPr>
            </w:pPr>
            <w:r>
              <w:rPr>
                <w:rFonts w:hint="eastAsia" w:ascii="宋体" w:hAnsi="宋体" w:cs="宋体"/>
                <w:color w:val="auto"/>
                <w:sz w:val="18"/>
                <w:szCs w:val="18"/>
              </w:rPr>
              <w:t>不符合要求前两次</w:t>
            </w:r>
            <w:r>
              <w:rPr>
                <w:rFonts w:ascii="宋体" w:hAnsi="宋体" w:cs="宋体"/>
                <w:color w:val="auto"/>
                <w:sz w:val="18"/>
                <w:szCs w:val="18"/>
              </w:rPr>
              <w:t>5分/次，第三次起当学期考核等次直接为不合格</w:t>
            </w:r>
          </w:p>
        </w:tc>
      </w:tr>
      <w:tr w14:paraId="3DF84E66">
        <w:tblPrEx>
          <w:tblCellMar>
            <w:top w:w="0" w:type="dxa"/>
            <w:left w:w="108" w:type="dxa"/>
            <w:bottom w:w="0" w:type="dxa"/>
            <w:right w:w="108" w:type="dxa"/>
          </w:tblCellMar>
        </w:tblPrEx>
        <w:trPr>
          <w:trHeight w:val="780" w:hRule="atLeast"/>
          <w:jc w:val="center"/>
        </w:trPr>
        <w:tc>
          <w:tcPr>
            <w:tcW w:w="499" w:type="dxa"/>
            <w:vMerge w:val="restart"/>
            <w:tcBorders>
              <w:top w:val="single" w:color="auto" w:sz="4" w:space="0"/>
              <w:left w:val="single" w:color="auto" w:sz="4" w:space="0"/>
              <w:bottom w:val="single" w:color="auto" w:sz="4" w:space="0"/>
              <w:right w:val="single" w:color="auto" w:sz="4" w:space="0"/>
            </w:tcBorders>
            <w:noWrap w:val="0"/>
            <w:vAlign w:val="center"/>
          </w:tcPr>
          <w:p w14:paraId="72CB0C22">
            <w:pPr>
              <w:rPr>
                <w:rFonts w:ascii="宋体" w:hAnsi="宋体" w:cs="宋体"/>
                <w:color w:val="auto"/>
                <w:sz w:val="18"/>
                <w:szCs w:val="18"/>
              </w:rPr>
            </w:pPr>
            <w:r>
              <w:rPr>
                <w:rFonts w:hint="eastAsia" w:ascii="宋体" w:hAnsi="宋体" w:cs="宋体"/>
                <w:color w:val="auto"/>
                <w:sz w:val="18"/>
                <w:szCs w:val="18"/>
              </w:rPr>
              <w:t>四</w:t>
            </w:r>
          </w:p>
        </w:tc>
        <w:tc>
          <w:tcPr>
            <w:tcW w:w="636" w:type="dxa"/>
            <w:vMerge w:val="restart"/>
            <w:tcBorders>
              <w:top w:val="single" w:color="auto" w:sz="4" w:space="0"/>
              <w:left w:val="single" w:color="auto" w:sz="4" w:space="0"/>
              <w:bottom w:val="single" w:color="auto" w:sz="4" w:space="0"/>
              <w:right w:val="single" w:color="auto" w:sz="4" w:space="0"/>
            </w:tcBorders>
            <w:noWrap w:val="0"/>
            <w:vAlign w:val="center"/>
          </w:tcPr>
          <w:p w14:paraId="44B1150F">
            <w:pPr>
              <w:rPr>
                <w:rFonts w:ascii="宋体" w:hAnsi="宋体" w:cs="宋体"/>
                <w:color w:val="auto"/>
                <w:sz w:val="18"/>
                <w:szCs w:val="18"/>
              </w:rPr>
            </w:pPr>
            <w:r>
              <w:rPr>
                <w:rFonts w:hint="eastAsia" w:ascii="宋体" w:hAnsi="宋体" w:cs="宋体"/>
                <w:color w:val="auto"/>
                <w:sz w:val="18"/>
                <w:szCs w:val="18"/>
              </w:rPr>
              <w:t>经营秩序</w:t>
            </w:r>
          </w:p>
        </w:tc>
        <w:tc>
          <w:tcPr>
            <w:tcW w:w="3827" w:type="dxa"/>
            <w:gridSpan w:val="2"/>
            <w:tcBorders>
              <w:top w:val="single" w:color="auto" w:sz="4" w:space="0"/>
              <w:left w:val="single" w:color="auto" w:sz="4" w:space="0"/>
              <w:bottom w:val="single" w:color="auto" w:sz="4" w:space="0"/>
              <w:right w:val="single" w:color="auto" w:sz="4" w:space="0"/>
            </w:tcBorders>
            <w:noWrap w:val="0"/>
            <w:vAlign w:val="center"/>
          </w:tcPr>
          <w:p w14:paraId="340F9BD9">
            <w:pPr>
              <w:rPr>
                <w:rFonts w:ascii="宋体" w:hAnsi="宋体" w:cs="宋体"/>
                <w:color w:val="auto"/>
                <w:sz w:val="18"/>
                <w:szCs w:val="18"/>
              </w:rPr>
            </w:pPr>
            <w:r>
              <w:rPr>
                <w:rFonts w:ascii="宋体" w:hAnsi="宋体" w:cs="宋体"/>
                <w:color w:val="auto"/>
                <w:sz w:val="18"/>
                <w:szCs w:val="18"/>
              </w:rPr>
              <w:t>46.食堂经营企业不得将食堂全部或者部分转包、分包、转租、转借或其他任意形式转交给任何单位或个人进行经营</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5597C50">
            <w:pPr>
              <w:rPr>
                <w:rFonts w:ascii="宋体" w:hAnsi="宋体" w:cs="宋体"/>
                <w:color w:val="auto"/>
                <w:sz w:val="18"/>
                <w:szCs w:val="18"/>
              </w:rPr>
            </w:pPr>
            <w:r>
              <w:rPr>
                <w:rFonts w:hint="eastAsia" w:ascii="宋体" w:hAnsi="宋体" w:cs="宋体"/>
                <w:color w:val="auto"/>
                <w:sz w:val="18"/>
                <w:szCs w:val="18"/>
              </w:rPr>
              <w:t>依据合同</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366AA4CD">
            <w:pPr>
              <w:rPr>
                <w:rFonts w:ascii="宋体" w:hAnsi="宋体" w:cs="宋体"/>
                <w:color w:val="auto"/>
                <w:sz w:val="18"/>
                <w:szCs w:val="18"/>
              </w:rPr>
            </w:pPr>
            <w:r>
              <w:rPr>
                <w:rFonts w:hint="eastAsia" w:ascii="宋体" w:hAnsi="宋体" w:cs="宋体"/>
                <w:color w:val="auto"/>
                <w:sz w:val="18"/>
                <w:szCs w:val="18"/>
              </w:rPr>
              <w:t>不符合要求的每次支付违约金</w:t>
            </w:r>
            <w:r>
              <w:rPr>
                <w:rFonts w:ascii="宋体" w:hAnsi="宋体" w:cs="宋体"/>
                <w:color w:val="auto"/>
                <w:sz w:val="18"/>
                <w:szCs w:val="18"/>
              </w:rPr>
              <w:t>100000元并整改到位，学校有权解除合同。</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2D330308">
            <w:pPr>
              <w:rPr>
                <w:rFonts w:ascii="宋体" w:hAnsi="宋体" w:cs="宋体"/>
                <w:color w:val="auto"/>
                <w:sz w:val="18"/>
                <w:szCs w:val="18"/>
              </w:rPr>
            </w:pPr>
            <w:r>
              <w:rPr>
                <w:rFonts w:hint="eastAsia" w:ascii="宋体" w:hAnsi="宋体" w:cs="宋体"/>
                <w:color w:val="auto"/>
                <w:sz w:val="18"/>
                <w:szCs w:val="18"/>
              </w:rPr>
              <w:t>不符合要求的，涉事当学期考核不合格。</w:t>
            </w:r>
          </w:p>
        </w:tc>
      </w:tr>
      <w:tr w14:paraId="65047C4E">
        <w:tblPrEx>
          <w:tblCellMar>
            <w:top w:w="0" w:type="dxa"/>
            <w:left w:w="108" w:type="dxa"/>
            <w:bottom w:w="0" w:type="dxa"/>
            <w:right w:w="108" w:type="dxa"/>
          </w:tblCellMar>
        </w:tblPrEx>
        <w:trPr>
          <w:trHeight w:val="600" w:hRule="atLeast"/>
          <w:jc w:val="center"/>
        </w:trPr>
        <w:tc>
          <w:tcPr>
            <w:tcW w:w="499" w:type="dxa"/>
            <w:vMerge w:val="continue"/>
            <w:tcBorders>
              <w:top w:val="single" w:color="auto" w:sz="4" w:space="0"/>
              <w:left w:val="single" w:color="auto" w:sz="4" w:space="0"/>
              <w:bottom w:val="single" w:color="auto" w:sz="4" w:space="0"/>
              <w:right w:val="single" w:color="auto" w:sz="4" w:space="0"/>
            </w:tcBorders>
            <w:noWrap w:val="0"/>
            <w:vAlign w:val="center"/>
          </w:tcPr>
          <w:p w14:paraId="0618E9E2">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278301F6">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noWrap w:val="0"/>
            <w:vAlign w:val="center"/>
          </w:tcPr>
          <w:p w14:paraId="2C9172C6">
            <w:pPr>
              <w:rPr>
                <w:rFonts w:ascii="宋体" w:hAnsi="宋体" w:cs="宋体"/>
                <w:color w:val="auto"/>
                <w:sz w:val="18"/>
                <w:szCs w:val="18"/>
              </w:rPr>
            </w:pPr>
            <w:r>
              <w:rPr>
                <w:rFonts w:ascii="宋体" w:hAnsi="宋体" w:cs="宋体"/>
                <w:color w:val="auto"/>
                <w:sz w:val="18"/>
                <w:szCs w:val="18"/>
              </w:rPr>
              <w:t>47.应严格遵循报备的菜品价格，不得擅自变动食品售价。</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51556D8">
            <w:pPr>
              <w:rPr>
                <w:rFonts w:ascii="宋体" w:hAnsi="宋体" w:cs="宋体"/>
                <w:color w:val="auto"/>
                <w:sz w:val="18"/>
                <w:szCs w:val="18"/>
              </w:rPr>
            </w:pPr>
            <w:r>
              <w:rPr>
                <w:rFonts w:hint="eastAsia" w:ascii="宋体" w:hAnsi="宋体" w:cs="宋体"/>
                <w:color w:val="auto"/>
                <w:sz w:val="18"/>
                <w:szCs w:val="18"/>
              </w:rPr>
              <w:t>现场检查</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14807761">
            <w:pPr>
              <w:rPr>
                <w:rFonts w:ascii="宋体" w:hAnsi="宋体" w:cs="宋体"/>
                <w:color w:val="auto"/>
                <w:sz w:val="18"/>
                <w:szCs w:val="18"/>
              </w:rPr>
            </w:pPr>
            <w:r>
              <w:rPr>
                <w:rFonts w:hint="eastAsia" w:ascii="宋体" w:hAnsi="宋体" w:cs="宋体"/>
                <w:color w:val="auto"/>
                <w:sz w:val="18"/>
                <w:szCs w:val="18"/>
              </w:rPr>
              <w:t>若擅自变更食品售价，每一菜品支付违约金</w:t>
            </w:r>
            <w:r>
              <w:rPr>
                <w:rFonts w:ascii="宋体" w:hAnsi="宋体" w:cs="宋体"/>
                <w:color w:val="auto"/>
                <w:sz w:val="18"/>
                <w:szCs w:val="18"/>
              </w:rPr>
              <w:t>5000元</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7933A2BD">
            <w:pPr>
              <w:rPr>
                <w:rFonts w:ascii="宋体" w:hAnsi="宋体" w:cs="宋体"/>
                <w:color w:val="auto"/>
                <w:sz w:val="18"/>
                <w:szCs w:val="18"/>
              </w:rPr>
            </w:pPr>
            <w:r>
              <w:rPr>
                <w:rFonts w:hint="eastAsia" w:ascii="宋体" w:hAnsi="宋体" w:cs="宋体"/>
                <w:color w:val="auto"/>
                <w:sz w:val="18"/>
                <w:szCs w:val="18"/>
              </w:rPr>
              <w:t>擅自变更食品售价的扣</w:t>
            </w:r>
            <w:r>
              <w:rPr>
                <w:rFonts w:ascii="宋体" w:hAnsi="宋体" w:cs="宋体"/>
                <w:color w:val="auto"/>
                <w:sz w:val="18"/>
                <w:szCs w:val="18"/>
              </w:rPr>
              <w:t>5分/种/次</w:t>
            </w:r>
          </w:p>
        </w:tc>
      </w:tr>
      <w:tr w14:paraId="12F09FE7">
        <w:tblPrEx>
          <w:tblCellMar>
            <w:top w:w="0" w:type="dxa"/>
            <w:left w:w="108" w:type="dxa"/>
            <w:bottom w:w="0" w:type="dxa"/>
            <w:right w:w="108" w:type="dxa"/>
          </w:tblCellMar>
        </w:tblPrEx>
        <w:trPr>
          <w:trHeight w:val="600" w:hRule="atLeast"/>
          <w:jc w:val="center"/>
        </w:trPr>
        <w:tc>
          <w:tcPr>
            <w:tcW w:w="499" w:type="dxa"/>
            <w:vMerge w:val="continue"/>
            <w:tcBorders>
              <w:top w:val="single" w:color="auto" w:sz="4" w:space="0"/>
              <w:left w:val="single" w:color="auto" w:sz="4" w:space="0"/>
              <w:bottom w:val="single" w:color="auto" w:sz="4" w:space="0"/>
              <w:right w:val="single" w:color="auto" w:sz="4" w:space="0"/>
            </w:tcBorders>
            <w:noWrap w:val="0"/>
            <w:vAlign w:val="center"/>
          </w:tcPr>
          <w:p w14:paraId="413F66E7">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52450DCA">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noWrap w:val="0"/>
            <w:vAlign w:val="center"/>
          </w:tcPr>
          <w:p w14:paraId="029EC2D0">
            <w:pPr>
              <w:rPr>
                <w:rFonts w:ascii="宋体" w:hAnsi="宋体" w:cs="宋体"/>
                <w:color w:val="auto"/>
                <w:sz w:val="18"/>
                <w:szCs w:val="18"/>
              </w:rPr>
            </w:pPr>
            <w:r>
              <w:rPr>
                <w:rFonts w:ascii="宋体" w:hAnsi="宋体" w:cs="宋体"/>
                <w:color w:val="auto"/>
                <w:sz w:val="18"/>
                <w:szCs w:val="18"/>
              </w:rPr>
              <w:t>48.严格</w:t>
            </w:r>
            <w:r>
              <w:rPr>
                <w:rFonts w:hint="eastAsia" w:ascii="宋体" w:hAnsi="宋体" w:cs="宋体"/>
                <w:color w:val="auto"/>
                <w:sz w:val="18"/>
                <w:szCs w:val="18"/>
              </w:rPr>
              <w:t>按照食材配比制作，保证菜品质量；不出售隔夜菜。</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D5EACEF">
            <w:pPr>
              <w:rPr>
                <w:rFonts w:ascii="宋体" w:hAnsi="宋体" w:cs="宋体"/>
                <w:color w:val="auto"/>
                <w:sz w:val="18"/>
                <w:szCs w:val="18"/>
              </w:rPr>
            </w:pPr>
            <w:r>
              <w:rPr>
                <w:rFonts w:hint="eastAsia" w:ascii="宋体" w:hAnsi="宋体" w:cs="宋体"/>
                <w:color w:val="auto"/>
                <w:sz w:val="18"/>
                <w:szCs w:val="18"/>
              </w:rPr>
              <w:t>投诉</w:t>
            </w:r>
          </w:p>
          <w:p w14:paraId="552412CA">
            <w:pPr>
              <w:rPr>
                <w:rFonts w:ascii="宋体" w:hAnsi="宋体" w:cs="宋体"/>
                <w:color w:val="auto"/>
                <w:sz w:val="18"/>
                <w:szCs w:val="18"/>
              </w:rPr>
            </w:pPr>
            <w:r>
              <w:rPr>
                <w:rFonts w:hint="eastAsia" w:ascii="宋体" w:hAnsi="宋体" w:cs="宋体"/>
                <w:color w:val="auto"/>
                <w:sz w:val="18"/>
                <w:szCs w:val="18"/>
              </w:rPr>
              <w:t>核实</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4A0C3DF1">
            <w:pPr>
              <w:rPr>
                <w:rFonts w:ascii="宋体" w:hAnsi="宋体" w:cs="宋体"/>
                <w:color w:val="auto"/>
                <w:sz w:val="18"/>
                <w:szCs w:val="18"/>
              </w:rPr>
            </w:pPr>
            <w:r>
              <w:rPr>
                <w:rFonts w:hint="eastAsia" w:ascii="宋体" w:hAnsi="宋体" w:cs="宋体"/>
                <w:color w:val="auto"/>
                <w:sz w:val="18"/>
                <w:szCs w:val="18"/>
              </w:rPr>
              <w:t>不符合要求的每次支付违约金</w:t>
            </w:r>
            <w:r>
              <w:rPr>
                <w:rFonts w:ascii="宋体" w:hAnsi="宋体" w:cs="宋体"/>
                <w:color w:val="auto"/>
                <w:sz w:val="18"/>
                <w:szCs w:val="18"/>
              </w:rPr>
              <w:t>1000元/次；非当天加工的支付违约金5000元/次；引发舆情的</w:t>
            </w:r>
            <w:r>
              <w:rPr>
                <w:rFonts w:hint="eastAsia" w:ascii="宋体" w:hAnsi="宋体" w:cs="宋体"/>
                <w:color w:val="auto"/>
                <w:sz w:val="18"/>
                <w:szCs w:val="18"/>
              </w:rPr>
              <w:t>视影响支付违约金</w:t>
            </w:r>
            <w:r>
              <w:rPr>
                <w:rFonts w:ascii="宋体" w:hAnsi="宋体" w:cs="宋体"/>
                <w:color w:val="auto"/>
                <w:sz w:val="18"/>
                <w:szCs w:val="18"/>
              </w:rPr>
              <w:t>2000元-10000元/次</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1695F73A">
            <w:pPr>
              <w:rPr>
                <w:rFonts w:ascii="宋体" w:hAnsi="宋体" w:cs="宋体"/>
                <w:color w:val="auto"/>
                <w:sz w:val="18"/>
                <w:szCs w:val="18"/>
              </w:rPr>
            </w:pPr>
            <w:r>
              <w:rPr>
                <w:rFonts w:hint="eastAsia" w:ascii="宋体" w:hAnsi="宋体" w:cs="宋体"/>
                <w:color w:val="auto"/>
                <w:sz w:val="18"/>
                <w:szCs w:val="18"/>
              </w:rPr>
              <w:t>不符合要求的扣</w:t>
            </w:r>
            <w:r>
              <w:rPr>
                <w:rFonts w:ascii="宋体" w:hAnsi="宋体" w:cs="宋体"/>
                <w:color w:val="auto"/>
                <w:sz w:val="18"/>
                <w:szCs w:val="18"/>
              </w:rPr>
              <w:t>1分/次；非当天加工的扣1分/次；引发舆情的</w:t>
            </w:r>
            <w:r>
              <w:rPr>
                <w:rFonts w:hint="eastAsia" w:ascii="宋体" w:hAnsi="宋体" w:cs="宋体"/>
                <w:color w:val="auto"/>
                <w:sz w:val="18"/>
                <w:szCs w:val="18"/>
              </w:rPr>
              <w:t>视影响情况扣</w:t>
            </w:r>
            <w:r>
              <w:rPr>
                <w:rFonts w:ascii="宋体" w:hAnsi="宋体" w:cs="宋体"/>
                <w:color w:val="auto"/>
                <w:sz w:val="18"/>
                <w:szCs w:val="18"/>
              </w:rPr>
              <w:t>5分/次</w:t>
            </w:r>
          </w:p>
        </w:tc>
      </w:tr>
      <w:tr w14:paraId="7BAF2C6B">
        <w:tblPrEx>
          <w:tblCellMar>
            <w:top w:w="0" w:type="dxa"/>
            <w:left w:w="108" w:type="dxa"/>
            <w:bottom w:w="0" w:type="dxa"/>
            <w:right w:w="108" w:type="dxa"/>
          </w:tblCellMar>
        </w:tblPrEx>
        <w:trPr>
          <w:trHeight w:val="630" w:hRule="atLeast"/>
          <w:jc w:val="center"/>
        </w:trPr>
        <w:tc>
          <w:tcPr>
            <w:tcW w:w="499" w:type="dxa"/>
            <w:vMerge w:val="continue"/>
            <w:tcBorders>
              <w:top w:val="single" w:color="auto" w:sz="4" w:space="0"/>
              <w:left w:val="single" w:color="auto" w:sz="4" w:space="0"/>
              <w:bottom w:val="single" w:color="auto" w:sz="4" w:space="0"/>
              <w:right w:val="single" w:color="auto" w:sz="4" w:space="0"/>
            </w:tcBorders>
            <w:noWrap w:val="0"/>
            <w:vAlign w:val="center"/>
          </w:tcPr>
          <w:p w14:paraId="2B424E8C">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269F0209">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noWrap w:val="0"/>
            <w:vAlign w:val="center"/>
          </w:tcPr>
          <w:p w14:paraId="10D8358C">
            <w:pPr>
              <w:rPr>
                <w:rFonts w:ascii="宋体" w:hAnsi="宋体" w:cs="宋体"/>
                <w:color w:val="auto"/>
                <w:sz w:val="18"/>
                <w:szCs w:val="18"/>
              </w:rPr>
            </w:pPr>
            <w:r>
              <w:rPr>
                <w:rFonts w:ascii="宋体" w:hAnsi="宋体" w:cs="宋体"/>
                <w:color w:val="auto"/>
                <w:sz w:val="18"/>
                <w:szCs w:val="18"/>
              </w:rPr>
              <w:t>49.应遵守合同约定，不得超范围进行经营</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8188717">
            <w:pPr>
              <w:rPr>
                <w:rFonts w:ascii="宋体" w:hAnsi="宋体" w:cs="宋体"/>
                <w:color w:val="auto"/>
                <w:sz w:val="18"/>
                <w:szCs w:val="18"/>
              </w:rPr>
            </w:pPr>
            <w:r>
              <w:rPr>
                <w:rFonts w:hint="eastAsia" w:ascii="宋体" w:hAnsi="宋体" w:cs="宋体"/>
                <w:color w:val="auto"/>
                <w:sz w:val="18"/>
                <w:szCs w:val="18"/>
              </w:rPr>
              <w:t>依据合同</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09F40FD4">
            <w:pPr>
              <w:rPr>
                <w:rFonts w:ascii="宋体" w:hAnsi="宋体" w:cs="宋体"/>
                <w:color w:val="auto"/>
                <w:sz w:val="18"/>
                <w:szCs w:val="18"/>
              </w:rPr>
            </w:pPr>
            <w:r>
              <w:rPr>
                <w:rFonts w:hint="eastAsia" w:ascii="宋体" w:hAnsi="宋体" w:cs="宋体"/>
                <w:color w:val="auto"/>
                <w:sz w:val="18"/>
                <w:szCs w:val="18"/>
              </w:rPr>
              <w:t>超范围经营每次支付违约金</w:t>
            </w:r>
            <w:r>
              <w:rPr>
                <w:rFonts w:ascii="宋体" w:hAnsi="宋体" w:cs="宋体"/>
                <w:color w:val="auto"/>
                <w:sz w:val="18"/>
                <w:szCs w:val="18"/>
              </w:rPr>
              <w:t>10000元</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09B49436">
            <w:pPr>
              <w:rPr>
                <w:rFonts w:ascii="宋体" w:hAnsi="宋体" w:cs="宋体"/>
                <w:color w:val="auto"/>
                <w:sz w:val="18"/>
                <w:szCs w:val="18"/>
              </w:rPr>
            </w:pPr>
            <w:r>
              <w:rPr>
                <w:rFonts w:hint="eastAsia" w:ascii="宋体" w:hAnsi="宋体" w:cs="宋体"/>
                <w:color w:val="auto"/>
                <w:sz w:val="18"/>
                <w:szCs w:val="18"/>
              </w:rPr>
              <w:t>超范围经营的扣</w:t>
            </w:r>
            <w:r>
              <w:rPr>
                <w:rFonts w:ascii="宋体" w:hAnsi="宋体" w:cs="宋体"/>
                <w:color w:val="auto"/>
                <w:sz w:val="18"/>
                <w:szCs w:val="18"/>
              </w:rPr>
              <w:t>5分/次</w:t>
            </w:r>
          </w:p>
        </w:tc>
      </w:tr>
      <w:tr w14:paraId="792D2DAD">
        <w:tblPrEx>
          <w:tblCellMar>
            <w:top w:w="0" w:type="dxa"/>
            <w:left w:w="108" w:type="dxa"/>
            <w:bottom w:w="0" w:type="dxa"/>
            <w:right w:w="108" w:type="dxa"/>
          </w:tblCellMar>
        </w:tblPrEx>
        <w:trPr>
          <w:trHeight w:val="630" w:hRule="atLeast"/>
          <w:jc w:val="center"/>
        </w:trPr>
        <w:tc>
          <w:tcPr>
            <w:tcW w:w="499" w:type="dxa"/>
            <w:vMerge w:val="continue"/>
            <w:tcBorders>
              <w:top w:val="single" w:color="auto" w:sz="4" w:space="0"/>
              <w:left w:val="single" w:color="auto" w:sz="4" w:space="0"/>
              <w:bottom w:val="single" w:color="auto" w:sz="4" w:space="0"/>
              <w:right w:val="single" w:color="auto" w:sz="4" w:space="0"/>
            </w:tcBorders>
            <w:noWrap w:val="0"/>
            <w:vAlign w:val="center"/>
          </w:tcPr>
          <w:p w14:paraId="243E45FC">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4C3D3387">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noWrap w:val="0"/>
            <w:vAlign w:val="center"/>
          </w:tcPr>
          <w:p w14:paraId="468B8447">
            <w:pPr>
              <w:rPr>
                <w:rFonts w:ascii="宋体" w:hAnsi="宋体" w:cs="宋体"/>
                <w:color w:val="auto"/>
                <w:sz w:val="18"/>
                <w:szCs w:val="18"/>
              </w:rPr>
            </w:pPr>
            <w:r>
              <w:rPr>
                <w:rFonts w:ascii="宋体" w:hAnsi="宋体" w:cs="宋体"/>
                <w:color w:val="auto"/>
                <w:sz w:val="18"/>
                <w:szCs w:val="18"/>
              </w:rPr>
              <w:t>50.应按时向学生提供符合卫生要求的热菜热饭（早上6：30—晚上22：30）</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37908F5">
            <w:pPr>
              <w:rPr>
                <w:rFonts w:ascii="宋体" w:hAnsi="宋体" w:cs="宋体"/>
                <w:color w:val="auto"/>
                <w:sz w:val="18"/>
                <w:szCs w:val="18"/>
              </w:rPr>
            </w:pPr>
            <w:r>
              <w:rPr>
                <w:rFonts w:hint="eastAsia" w:ascii="宋体" w:hAnsi="宋体" w:cs="宋体"/>
                <w:color w:val="auto"/>
                <w:sz w:val="18"/>
                <w:szCs w:val="18"/>
              </w:rPr>
              <w:t>现场核实</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518FA508">
            <w:pPr>
              <w:rPr>
                <w:rFonts w:ascii="宋体" w:hAnsi="宋体" w:cs="宋体"/>
                <w:color w:val="auto"/>
                <w:sz w:val="18"/>
                <w:szCs w:val="18"/>
              </w:rPr>
            </w:pPr>
            <w:r>
              <w:rPr>
                <w:rFonts w:hint="eastAsia" w:ascii="宋体" w:hAnsi="宋体" w:cs="宋体"/>
                <w:color w:val="auto"/>
                <w:sz w:val="18"/>
                <w:szCs w:val="18"/>
              </w:rPr>
              <w:t>未经书面同意擅自关闭食堂的全部或部分经营窗口，按每档口每关闭一餐支付违约金</w:t>
            </w:r>
            <w:r>
              <w:rPr>
                <w:rFonts w:ascii="宋体" w:hAnsi="宋体" w:cs="宋体"/>
                <w:color w:val="auto"/>
                <w:sz w:val="18"/>
                <w:szCs w:val="18"/>
              </w:rPr>
              <w:t>20000元</w:t>
            </w:r>
            <w:r>
              <w:rPr>
                <w:rFonts w:hint="eastAsia" w:ascii="宋体" w:hAnsi="宋体" w:cs="宋体"/>
                <w:color w:val="auto"/>
                <w:sz w:val="18"/>
                <w:szCs w:val="18"/>
              </w:rPr>
              <w:t>，学校保留解除合同、取消食堂经营者经营管理资格的权利。</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7941B242">
            <w:pPr>
              <w:rPr>
                <w:rFonts w:ascii="宋体" w:hAnsi="宋体" w:cs="宋体"/>
                <w:color w:val="auto"/>
                <w:sz w:val="18"/>
                <w:szCs w:val="18"/>
              </w:rPr>
            </w:pPr>
            <w:r>
              <w:rPr>
                <w:rFonts w:hint="eastAsia" w:ascii="宋体" w:hAnsi="宋体" w:cs="宋体"/>
                <w:color w:val="auto"/>
                <w:sz w:val="18"/>
                <w:szCs w:val="18"/>
              </w:rPr>
              <w:t>未经书面同意擅自关闭食堂的全部或部分经营档口的扣</w:t>
            </w:r>
            <w:r>
              <w:rPr>
                <w:rFonts w:ascii="宋体" w:hAnsi="宋体" w:cs="宋体"/>
                <w:color w:val="auto"/>
                <w:sz w:val="18"/>
                <w:szCs w:val="18"/>
              </w:rPr>
              <w:t>5分/档口/餐</w:t>
            </w:r>
          </w:p>
        </w:tc>
      </w:tr>
      <w:tr w14:paraId="4C1E57F1">
        <w:tblPrEx>
          <w:tblCellMar>
            <w:top w:w="0" w:type="dxa"/>
            <w:left w:w="108" w:type="dxa"/>
            <w:bottom w:w="0" w:type="dxa"/>
            <w:right w:w="108" w:type="dxa"/>
          </w:tblCellMar>
        </w:tblPrEx>
        <w:trPr>
          <w:trHeight w:val="786" w:hRule="atLeast"/>
          <w:jc w:val="center"/>
        </w:trPr>
        <w:tc>
          <w:tcPr>
            <w:tcW w:w="499" w:type="dxa"/>
            <w:vMerge w:val="continue"/>
            <w:tcBorders>
              <w:top w:val="single" w:color="auto" w:sz="4" w:space="0"/>
              <w:left w:val="single" w:color="auto" w:sz="4" w:space="0"/>
              <w:bottom w:val="single" w:color="auto" w:sz="4" w:space="0"/>
              <w:right w:val="single" w:color="auto" w:sz="4" w:space="0"/>
            </w:tcBorders>
            <w:noWrap w:val="0"/>
            <w:vAlign w:val="center"/>
          </w:tcPr>
          <w:p w14:paraId="06898B48">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350EF0C0">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noWrap w:val="0"/>
            <w:vAlign w:val="center"/>
          </w:tcPr>
          <w:p w14:paraId="1BE53779">
            <w:pPr>
              <w:rPr>
                <w:rFonts w:ascii="宋体" w:hAnsi="宋体" w:cs="宋体"/>
                <w:color w:val="auto"/>
                <w:sz w:val="18"/>
                <w:szCs w:val="18"/>
              </w:rPr>
            </w:pPr>
            <w:r>
              <w:rPr>
                <w:rFonts w:ascii="宋体" w:hAnsi="宋体" w:cs="宋体"/>
                <w:color w:val="auto"/>
                <w:sz w:val="18"/>
                <w:szCs w:val="18"/>
              </w:rPr>
              <w:t>51.经营服务内容不能摆至食堂大门以外，不得经营露天夜啤酒、烧烤等影响校园环境卫生的项目，不得影响周边师生休息。</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F788F8E">
            <w:pPr>
              <w:rPr>
                <w:rFonts w:ascii="宋体" w:hAnsi="宋体" w:cs="宋体"/>
                <w:color w:val="auto"/>
                <w:sz w:val="18"/>
                <w:szCs w:val="18"/>
              </w:rPr>
            </w:pPr>
            <w:r>
              <w:rPr>
                <w:rFonts w:hint="eastAsia" w:ascii="宋体" w:hAnsi="宋体" w:cs="宋体"/>
                <w:color w:val="auto"/>
                <w:sz w:val="18"/>
                <w:szCs w:val="18"/>
              </w:rPr>
              <w:t>现场</w:t>
            </w:r>
          </w:p>
          <w:p w14:paraId="12AA6176">
            <w:pPr>
              <w:rPr>
                <w:rFonts w:ascii="宋体" w:hAnsi="宋体" w:cs="宋体"/>
                <w:color w:val="auto"/>
                <w:sz w:val="18"/>
                <w:szCs w:val="18"/>
              </w:rPr>
            </w:pPr>
            <w:r>
              <w:rPr>
                <w:rFonts w:hint="eastAsia" w:ascii="宋体" w:hAnsi="宋体" w:cs="宋体"/>
                <w:color w:val="auto"/>
                <w:sz w:val="18"/>
                <w:szCs w:val="18"/>
              </w:rPr>
              <w:t>检查</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094B756E">
            <w:pPr>
              <w:rPr>
                <w:rFonts w:ascii="宋体" w:hAnsi="宋体" w:cs="宋体"/>
                <w:color w:val="auto"/>
                <w:sz w:val="18"/>
                <w:szCs w:val="18"/>
              </w:rPr>
            </w:pPr>
            <w:r>
              <w:rPr>
                <w:rFonts w:hint="eastAsia" w:ascii="宋体" w:hAnsi="宋体" w:cs="宋体"/>
                <w:color w:val="auto"/>
                <w:sz w:val="18"/>
                <w:szCs w:val="18"/>
              </w:rPr>
              <w:t>违规的支付违约金</w:t>
            </w:r>
            <w:r>
              <w:rPr>
                <w:rFonts w:ascii="宋体" w:hAnsi="宋体" w:cs="宋体"/>
                <w:color w:val="auto"/>
                <w:sz w:val="18"/>
                <w:szCs w:val="18"/>
              </w:rPr>
              <w:t>1000元/次</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136F52DE">
            <w:pPr>
              <w:rPr>
                <w:rFonts w:ascii="宋体" w:hAnsi="宋体" w:cs="宋体"/>
                <w:color w:val="auto"/>
                <w:sz w:val="18"/>
                <w:szCs w:val="18"/>
              </w:rPr>
            </w:pPr>
            <w:r>
              <w:rPr>
                <w:rFonts w:hint="eastAsia" w:ascii="宋体" w:hAnsi="宋体" w:cs="宋体"/>
                <w:color w:val="auto"/>
                <w:sz w:val="18"/>
                <w:szCs w:val="18"/>
              </w:rPr>
              <w:t>违规的扣</w:t>
            </w:r>
            <w:r>
              <w:rPr>
                <w:rFonts w:ascii="宋体" w:hAnsi="宋体" w:cs="宋体"/>
                <w:color w:val="auto"/>
                <w:sz w:val="18"/>
                <w:szCs w:val="18"/>
              </w:rPr>
              <w:t>1分/次</w:t>
            </w:r>
          </w:p>
        </w:tc>
      </w:tr>
      <w:tr w14:paraId="01C39C49">
        <w:tblPrEx>
          <w:tblCellMar>
            <w:top w:w="0" w:type="dxa"/>
            <w:left w:w="108" w:type="dxa"/>
            <w:bottom w:w="0" w:type="dxa"/>
            <w:right w:w="108" w:type="dxa"/>
          </w:tblCellMar>
        </w:tblPrEx>
        <w:trPr>
          <w:trHeight w:val="786" w:hRule="atLeast"/>
          <w:jc w:val="center"/>
        </w:trPr>
        <w:tc>
          <w:tcPr>
            <w:tcW w:w="499" w:type="dxa"/>
            <w:vMerge w:val="restart"/>
            <w:tcBorders>
              <w:top w:val="single" w:color="auto" w:sz="4" w:space="0"/>
              <w:left w:val="single" w:color="auto" w:sz="4" w:space="0"/>
              <w:bottom w:val="single" w:color="auto" w:sz="4" w:space="0"/>
              <w:right w:val="single" w:color="auto" w:sz="4" w:space="0"/>
            </w:tcBorders>
            <w:noWrap w:val="0"/>
            <w:vAlign w:val="center"/>
          </w:tcPr>
          <w:p w14:paraId="4593FEA4">
            <w:pPr>
              <w:rPr>
                <w:rFonts w:ascii="宋体" w:hAnsi="宋体" w:cs="宋体"/>
                <w:color w:val="auto"/>
                <w:sz w:val="18"/>
                <w:szCs w:val="18"/>
              </w:rPr>
            </w:pPr>
            <w:r>
              <w:rPr>
                <w:rFonts w:hint="eastAsia" w:ascii="宋体" w:hAnsi="宋体" w:cs="宋体"/>
                <w:color w:val="auto"/>
                <w:sz w:val="18"/>
                <w:szCs w:val="18"/>
              </w:rPr>
              <w:t>五</w:t>
            </w:r>
          </w:p>
        </w:tc>
        <w:tc>
          <w:tcPr>
            <w:tcW w:w="636" w:type="dxa"/>
            <w:vMerge w:val="restart"/>
            <w:tcBorders>
              <w:top w:val="single" w:color="auto" w:sz="4" w:space="0"/>
              <w:left w:val="single" w:color="auto" w:sz="4" w:space="0"/>
              <w:bottom w:val="single" w:color="auto" w:sz="4" w:space="0"/>
              <w:right w:val="single" w:color="auto" w:sz="4" w:space="0"/>
            </w:tcBorders>
            <w:noWrap w:val="0"/>
            <w:vAlign w:val="center"/>
          </w:tcPr>
          <w:p w14:paraId="739E1BE0">
            <w:pPr>
              <w:rPr>
                <w:rFonts w:ascii="宋体" w:hAnsi="宋体" w:cs="宋体"/>
                <w:color w:val="auto"/>
                <w:sz w:val="18"/>
                <w:szCs w:val="18"/>
              </w:rPr>
            </w:pPr>
            <w:r>
              <w:rPr>
                <w:rFonts w:hint="eastAsia" w:ascii="宋体" w:hAnsi="宋体" w:cs="宋体"/>
                <w:color w:val="auto"/>
                <w:sz w:val="18"/>
                <w:szCs w:val="18"/>
              </w:rPr>
              <w:t>服务育人</w:t>
            </w:r>
          </w:p>
        </w:tc>
        <w:tc>
          <w:tcPr>
            <w:tcW w:w="3827" w:type="dxa"/>
            <w:gridSpan w:val="2"/>
            <w:tcBorders>
              <w:top w:val="single" w:color="auto" w:sz="4" w:space="0"/>
              <w:left w:val="single" w:color="auto" w:sz="4" w:space="0"/>
              <w:bottom w:val="single" w:color="auto" w:sz="4" w:space="0"/>
              <w:right w:val="single" w:color="auto" w:sz="4" w:space="0"/>
            </w:tcBorders>
            <w:noWrap w:val="0"/>
            <w:vAlign w:val="center"/>
          </w:tcPr>
          <w:p w14:paraId="318CF6B5">
            <w:pPr>
              <w:rPr>
                <w:rFonts w:ascii="宋体" w:hAnsi="宋体" w:cs="宋体"/>
                <w:color w:val="auto"/>
                <w:sz w:val="18"/>
                <w:szCs w:val="18"/>
              </w:rPr>
            </w:pPr>
            <w:r>
              <w:rPr>
                <w:rFonts w:ascii="宋体" w:hAnsi="宋体" w:cs="宋体"/>
                <w:color w:val="auto"/>
                <w:sz w:val="18"/>
                <w:szCs w:val="18"/>
              </w:rPr>
              <w:t>52.按学校要求认真配合学生在食堂开展劳动教育。</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849F0F9">
            <w:pPr>
              <w:rPr>
                <w:rFonts w:ascii="宋体" w:hAnsi="宋体" w:cs="宋体"/>
                <w:color w:val="auto"/>
                <w:sz w:val="18"/>
                <w:szCs w:val="18"/>
              </w:rPr>
            </w:pPr>
            <w:r>
              <w:rPr>
                <w:rFonts w:hint="eastAsia" w:ascii="宋体" w:hAnsi="宋体" w:cs="宋体"/>
                <w:color w:val="auto"/>
                <w:sz w:val="18"/>
                <w:szCs w:val="18"/>
              </w:rPr>
              <w:t>活动</w:t>
            </w:r>
          </w:p>
          <w:p w14:paraId="28D00461">
            <w:pPr>
              <w:rPr>
                <w:rFonts w:ascii="宋体" w:hAnsi="宋体" w:cs="宋体"/>
                <w:color w:val="auto"/>
                <w:sz w:val="18"/>
                <w:szCs w:val="18"/>
              </w:rPr>
            </w:pPr>
            <w:r>
              <w:rPr>
                <w:rFonts w:hint="eastAsia" w:ascii="宋体" w:hAnsi="宋体" w:cs="宋体"/>
                <w:color w:val="auto"/>
                <w:sz w:val="18"/>
                <w:szCs w:val="18"/>
              </w:rPr>
              <w:t>安排</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3353C37B">
            <w:pPr>
              <w:rPr>
                <w:rFonts w:ascii="宋体" w:hAnsi="宋体" w:cs="宋体"/>
                <w:color w:val="auto"/>
                <w:sz w:val="18"/>
                <w:szCs w:val="18"/>
              </w:rPr>
            </w:pPr>
            <w:r>
              <w:rPr>
                <w:rFonts w:hint="eastAsia" w:ascii="宋体" w:hAnsi="宋体" w:cs="宋体"/>
                <w:color w:val="auto"/>
                <w:sz w:val="18"/>
                <w:szCs w:val="18"/>
              </w:rPr>
              <w:t>未认真配合开展的支付违约金</w:t>
            </w:r>
            <w:r>
              <w:rPr>
                <w:rFonts w:ascii="宋体" w:hAnsi="宋体" w:cs="宋体"/>
                <w:color w:val="auto"/>
                <w:sz w:val="18"/>
                <w:szCs w:val="18"/>
              </w:rPr>
              <w:t>2000元/次</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6172561C">
            <w:pPr>
              <w:rPr>
                <w:rFonts w:ascii="宋体" w:hAnsi="宋体" w:cs="宋体"/>
                <w:color w:val="auto"/>
                <w:sz w:val="18"/>
                <w:szCs w:val="18"/>
              </w:rPr>
            </w:pPr>
            <w:r>
              <w:rPr>
                <w:rFonts w:hint="eastAsia" w:ascii="宋体" w:hAnsi="宋体" w:cs="宋体"/>
                <w:color w:val="auto"/>
                <w:sz w:val="18"/>
                <w:szCs w:val="18"/>
              </w:rPr>
              <w:t>未认真配合开展的扣</w:t>
            </w:r>
            <w:r>
              <w:rPr>
                <w:rFonts w:ascii="宋体" w:hAnsi="宋体" w:cs="宋体"/>
                <w:color w:val="auto"/>
                <w:sz w:val="18"/>
                <w:szCs w:val="18"/>
              </w:rPr>
              <w:t>1分/次</w:t>
            </w:r>
          </w:p>
        </w:tc>
      </w:tr>
      <w:tr w14:paraId="68FB9874">
        <w:tblPrEx>
          <w:tblCellMar>
            <w:top w:w="0" w:type="dxa"/>
            <w:left w:w="108" w:type="dxa"/>
            <w:bottom w:w="0" w:type="dxa"/>
            <w:right w:w="108" w:type="dxa"/>
          </w:tblCellMar>
        </w:tblPrEx>
        <w:trPr>
          <w:trHeight w:val="786" w:hRule="atLeast"/>
          <w:jc w:val="center"/>
        </w:trPr>
        <w:tc>
          <w:tcPr>
            <w:tcW w:w="499" w:type="dxa"/>
            <w:vMerge w:val="continue"/>
            <w:tcBorders>
              <w:top w:val="single" w:color="auto" w:sz="4" w:space="0"/>
              <w:left w:val="single" w:color="auto" w:sz="4" w:space="0"/>
              <w:bottom w:val="single" w:color="auto" w:sz="4" w:space="0"/>
              <w:right w:val="single" w:color="auto" w:sz="4" w:space="0"/>
            </w:tcBorders>
            <w:noWrap w:val="0"/>
            <w:vAlign w:val="center"/>
          </w:tcPr>
          <w:p w14:paraId="4A8EFC4C">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37538963">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noWrap w:val="0"/>
            <w:vAlign w:val="center"/>
          </w:tcPr>
          <w:p w14:paraId="473C4757">
            <w:pPr>
              <w:rPr>
                <w:rFonts w:ascii="宋体" w:hAnsi="宋体" w:cs="宋体"/>
                <w:color w:val="auto"/>
                <w:sz w:val="18"/>
                <w:szCs w:val="18"/>
              </w:rPr>
            </w:pPr>
            <w:r>
              <w:rPr>
                <w:rFonts w:ascii="宋体" w:hAnsi="宋体" w:cs="宋体"/>
                <w:color w:val="auto"/>
                <w:sz w:val="18"/>
                <w:szCs w:val="18"/>
              </w:rPr>
              <w:t>53.提供勤工俭学岗位及免费用餐。不得拒绝特殊困难学生免费餐食。</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09E9631">
            <w:pPr>
              <w:rPr>
                <w:rFonts w:ascii="宋体" w:hAnsi="宋体" w:cs="宋体"/>
                <w:color w:val="auto"/>
                <w:sz w:val="18"/>
                <w:szCs w:val="18"/>
              </w:rPr>
            </w:pPr>
            <w:r>
              <w:rPr>
                <w:rFonts w:hint="eastAsia" w:ascii="宋体" w:hAnsi="宋体" w:cs="宋体"/>
                <w:color w:val="auto"/>
                <w:sz w:val="18"/>
                <w:szCs w:val="18"/>
              </w:rPr>
              <w:t>查看</w:t>
            </w:r>
          </w:p>
          <w:p w14:paraId="7E72C9F4">
            <w:pPr>
              <w:rPr>
                <w:rFonts w:ascii="宋体" w:hAnsi="宋体" w:cs="宋体"/>
                <w:color w:val="auto"/>
                <w:sz w:val="18"/>
                <w:szCs w:val="18"/>
              </w:rPr>
            </w:pPr>
            <w:r>
              <w:rPr>
                <w:rFonts w:hint="eastAsia" w:ascii="宋体" w:hAnsi="宋体" w:cs="宋体"/>
                <w:color w:val="auto"/>
                <w:sz w:val="18"/>
                <w:szCs w:val="18"/>
              </w:rPr>
              <w:t>记录</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5D6AFF96">
            <w:pPr>
              <w:rPr>
                <w:rFonts w:ascii="宋体" w:hAnsi="宋体" w:cs="宋体"/>
                <w:color w:val="auto"/>
                <w:sz w:val="18"/>
                <w:szCs w:val="18"/>
              </w:rPr>
            </w:pPr>
            <w:r>
              <w:rPr>
                <w:rFonts w:hint="eastAsia" w:ascii="宋体" w:hAnsi="宋体" w:cs="宋体"/>
                <w:color w:val="auto"/>
                <w:sz w:val="18"/>
                <w:szCs w:val="18"/>
              </w:rPr>
              <w:t>未提供勤工俭学岗位或拒绝特殊困难学生免费餐食的支付违约金</w:t>
            </w:r>
            <w:r>
              <w:rPr>
                <w:rFonts w:ascii="宋体" w:hAnsi="宋体" w:cs="宋体"/>
                <w:color w:val="auto"/>
                <w:sz w:val="18"/>
                <w:szCs w:val="18"/>
              </w:rPr>
              <w:t>1000元/次</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72CBD61B">
            <w:pPr>
              <w:rPr>
                <w:rFonts w:ascii="宋体" w:hAnsi="宋体" w:cs="宋体"/>
                <w:color w:val="auto"/>
                <w:sz w:val="18"/>
                <w:szCs w:val="18"/>
              </w:rPr>
            </w:pPr>
            <w:r>
              <w:rPr>
                <w:rFonts w:hint="eastAsia" w:ascii="宋体" w:hAnsi="宋体" w:cs="宋体"/>
                <w:color w:val="auto"/>
                <w:sz w:val="18"/>
                <w:szCs w:val="18"/>
              </w:rPr>
              <w:t>未提供勤工俭学岗位或拒绝特殊困难学生免费餐食的扣</w:t>
            </w:r>
            <w:r>
              <w:rPr>
                <w:rFonts w:ascii="宋体" w:hAnsi="宋体" w:cs="宋体"/>
                <w:color w:val="auto"/>
                <w:sz w:val="18"/>
                <w:szCs w:val="18"/>
              </w:rPr>
              <w:t>1分/次。</w:t>
            </w:r>
          </w:p>
        </w:tc>
      </w:tr>
      <w:tr w14:paraId="7CAD3DC7">
        <w:tblPrEx>
          <w:tblCellMar>
            <w:top w:w="0" w:type="dxa"/>
            <w:left w:w="108" w:type="dxa"/>
            <w:bottom w:w="0" w:type="dxa"/>
            <w:right w:w="108" w:type="dxa"/>
          </w:tblCellMar>
        </w:tblPrEx>
        <w:trPr>
          <w:trHeight w:val="786" w:hRule="atLeast"/>
          <w:jc w:val="center"/>
        </w:trPr>
        <w:tc>
          <w:tcPr>
            <w:tcW w:w="499" w:type="dxa"/>
            <w:vMerge w:val="continue"/>
            <w:tcBorders>
              <w:top w:val="single" w:color="auto" w:sz="4" w:space="0"/>
              <w:left w:val="single" w:color="auto" w:sz="4" w:space="0"/>
              <w:bottom w:val="single" w:color="auto" w:sz="4" w:space="0"/>
              <w:right w:val="single" w:color="auto" w:sz="4" w:space="0"/>
            </w:tcBorders>
            <w:noWrap w:val="0"/>
            <w:vAlign w:val="center"/>
          </w:tcPr>
          <w:p w14:paraId="13FA4B88">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13CC8E7A">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noWrap w:val="0"/>
            <w:vAlign w:val="center"/>
          </w:tcPr>
          <w:p w14:paraId="07C1B8B8">
            <w:pPr>
              <w:rPr>
                <w:rFonts w:ascii="宋体" w:hAnsi="宋体" w:cs="宋体"/>
                <w:color w:val="auto"/>
                <w:sz w:val="18"/>
                <w:szCs w:val="18"/>
              </w:rPr>
            </w:pPr>
            <w:r>
              <w:rPr>
                <w:rFonts w:ascii="宋体" w:hAnsi="宋体" w:cs="宋体"/>
                <w:color w:val="auto"/>
                <w:sz w:val="18"/>
                <w:szCs w:val="18"/>
              </w:rPr>
              <w:t>54.食堂工作人员应政治坚定、遵纪守法、廉洁自律、品行端正、文明礼貌、行为习惯良好。</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2F3E7BA">
            <w:pPr>
              <w:rPr>
                <w:rFonts w:ascii="宋体" w:hAnsi="宋体" w:cs="宋体"/>
                <w:color w:val="auto"/>
                <w:sz w:val="18"/>
                <w:szCs w:val="18"/>
              </w:rPr>
            </w:pPr>
            <w:r>
              <w:rPr>
                <w:rFonts w:hint="eastAsia" w:ascii="宋体" w:hAnsi="宋体" w:cs="宋体"/>
                <w:color w:val="auto"/>
                <w:sz w:val="18"/>
                <w:szCs w:val="18"/>
              </w:rPr>
              <w:t>现场</w:t>
            </w:r>
          </w:p>
          <w:p w14:paraId="183FA4F4">
            <w:pPr>
              <w:rPr>
                <w:rFonts w:ascii="宋体" w:hAnsi="宋体" w:cs="宋体"/>
                <w:color w:val="auto"/>
                <w:sz w:val="18"/>
                <w:szCs w:val="18"/>
              </w:rPr>
            </w:pPr>
            <w:r>
              <w:rPr>
                <w:rFonts w:hint="eastAsia" w:ascii="宋体" w:hAnsi="宋体" w:cs="宋体"/>
                <w:color w:val="auto"/>
                <w:sz w:val="18"/>
                <w:szCs w:val="18"/>
              </w:rPr>
              <w:t>检查</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684CF4AE">
            <w:pPr>
              <w:rPr>
                <w:rFonts w:ascii="宋体" w:hAnsi="宋体" w:cs="宋体"/>
                <w:color w:val="auto"/>
                <w:sz w:val="18"/>
                <w:szCs w:val="18"/>
              </w:rPr>
            </w:pPr>
            <w:r>
              <w:rPr>
                <w:rFonts w:hint="eastAsia" w:ascii="宋体" w:hAnsi="宋体" w:cs="宋体"/>
                <w:color w:val="auto"/>
                <w:sz w:val="18"/>
                <w:szCs w:val="18"/>
              </w:rPr>
              <w:t>视情节轻重及影响支付违约金</w:t>
            </w:r>
            <w:r>
              <w:rPr>
                <w:rFonts w:ascii="宋体" w:hAnsi="宋体" w:cs="宋体"/>
                <w:color w:val="auto"/>
                <w:sz w:val="18"/>
                <w:szCs w:val="18"/>
              </w:rPr>
              <w:t>5000-20000元/次</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4C206A46">
            <w:pPr>
              <w:rPr>
                <w:rFonts w:ascii="宋体" w:hAnsi="宋体" w:cs="宋体"/>
                <w:color w:val="auto"/>
                <w:sz w:val="18"/>
                <w:szCs w:val="18"/>
              </w:rPr>
            </w:pPr>
            <w:r>
              <w:rPr>
                <w:rFonts w:hint="eastAsia" w:ascii="宋体" w:hAnsi="宋体" w:cs="宋体"/>
                <w:color w:val="auto"/>
                <w:sz w:val="18"/>
                <w:szCs w:val="18"/>
              </w:rPr>
              <w:t>视情节轻重及影响扣</w:t>
            </w:r>
            <w:r>
              <w:rPr>
                <w:rFonts w:ascii="宋体" w:hAnsi="宋体" w:cs="宋体"/>
                <w:color w:val="auto"/>
                <w:sz w:val="18"/>
                <w:szCs w:val="18"/>
              </w:rPr>
              <w:t>1-5分/次</w:t>
            </w:r>
          </w:p>
        </w:tc>
      </w:tr>
      <w:tr w14:paraId="58E0D6F9">
        <w:tblPrEx>
          <w:tblCellMar>
            <w:top w:w="0" w:type="dxa"/>
            <w:left w:w="108" w:type="dxa"/>
            <w:bottom w:w="0" w:type="dxa"/>
            <w:right w:w="108" w:type="dxa"/>
          </w:tblCellMar>
        </w:tblPrEx>
        <w:trPr>
          <w:trHeight w:val="786" w:hRule="atLeast"/>
          <w:jc w:val="center"/>
        </w:trPr>
        <w:tc>
          <w:tcPr>
            <w:tcW w:w="499" w:type="dxa"/>
            <w:vMerge w:val="continue"/>
            <w:tcBorders>
              <w:top w:val="single" w:color="auto" w:sz="4" w:space="0"/>
              <w:left w:val="single" w:color="auto" w:sz="4" w:space="0"/>
              <w:bottom w:val="single" w:color="auto" w:sz="4" w:space="0"/>
              <w:right w:val="single" w:color="auto" w:sz="4" w:space="0"/>
            </w:tcBorders>
            <w:noWrap w:val="0"/>
            <w:vAlign w:val="center"/>
          </w:tcPr>
          <w:p w14:paraId="7AE3A72A">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0BFC6CA4">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noWrap w:val="0"/>
            <w:vAlign w:val="center"/>
          </w:tcPr>
          <w:p w14:paraId="24AE374D">
            <w:pPr>
              <w:rPr>
                <w:rFonts w:ascii="宋体" w:hAnsi="宋体" w:cs="宋体"/>
                <w:color w:val="auto"/>
                <w:sz w:val="18"/>
                <w:szCs w:val="18"/>
              </w:rPr>
            </w:pPr>
            <w:r>
              <w:rPr>
                <w:rFonts w:ascii="宋体" w:hAnsi="宋体" w:cs="宋体"/>
                <w:color w:val="auto"/>
                <w:sz w:val="18"/>
                <w:szCs w:val="18"/>
              </w:rPr>
              <w:t>55.认真组织、策划或配合学校及</w:t>
            </w:r>
            <w:r>
              <w:rPr>
                <w:rFonts w:hint="eastAsia" w:ascii="宋体" w:hAnsi="宋体" w:cs="宋体"/>
                <w:color w:val="auto"/>
                <w:sz w:val="18"/>
                <w:szCs w:val="18"/>
              </w:rPr>
              <w:t>学生伙管会的各类饮食文化活动项目并投入资金保障。</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564A68D">
            <w:pPr>
              <w:rPr>
                <w:rFonts w:ascii="宋体" w:hAnsi="宋体" w:cs="宋体"/>
                <w:color w:val="auto"/>
                <w:sz w:val="18"/>
                <w:szCs w:val="18"/>
              </w:rPr>
            </w:pPr>
            <w:r>
              <w:rPr>
                <w:rFonts w:hint="eastAsia" w:ascii="宋体" w:hAnsi="宋体" w:cs="宋体"/>
                <w:color w:val="auto"/>
                <w:sz w:val="18"/>
                <w:szCs w:val="18"/>
              </w:rPr>
              <w:t>活动</w:t>
            </w:r>
          </w:p>
          <w:p w14:paraId="0E59081A">
            <w:pPr>
              <w:rPr>
                <w:rFonts w:ascii="宋体" w:hAnsi="宋体" w:cs="宋体"/>
                <w:color w:val="auto"/>
                <w:sz w:val="18"/>
                <w:szCs w:val="18"/>
              </w:rPr>
            </w:pPr>
            <w:r>
              <w:rPr>
                <w:rFonts w:hint="eastAsia" w:ascii="宋体" w:hAnsi="宋体" w:cs="宋体"/>
                <w:color w:val="auto"/>
                <w:sz w:val="18"/>
                <w:szCs w:val="18"/>
              </w:rPr>
              <w:t>安排</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4CCF2573">
            <w:pPr>
              <w:rPr>
                <w:rFonts w:ascii="宋体" w:hAnsi="宋体" w:cs="宋体"/>
                <w:color w:val="auto"/>
                <w:sz w:val="18"/>
                <w:szCs w:val="18"/>
              </w:rPr>
            </w:pPr>
            <w:r>
              <w:rPr>
                <w:rFonts w:hint="eastAsia" w:ascii="宋体" w:hAnsi="宋体" w:cs="宋体"/>
                <w:color w:val="auto"/>
                <w:sz w:val="18"/>
                <w:szCs w:val="18"/>
              </w:rPr>
              <w:t>未认真组织或配合开展的支付违约金</w:t>
            </w:r>
            <w:r>
              <w:rPr>
                <w:rFonts w:ascii="宋体" w:hAnsi="宋体" w:cs="宋体"/>
                <w:color w:val="auto"/>
                <w:sz w:val="18"/>
                <w:szCs w:val="18"/>
              </w:rPr>
              <w:t>2000元/次</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7BCA6572">
            <w:pPr>
              <w:rPr>
                <w:rFonts w:ascii="宋体" w:hAnsi="宋体" w:cs="宋体"/>
                <w:color w:val="auto"/>
                <w:sz w:val="18"/>
                <w:szCs w:val="18"/>
              </w:rPr>
            </w:pPr>
            <w:r>
              <w:rPr>
                <w:rFonts w:hint="eastAsia" w:ascii="宋体" w:hAnsi="宋体" w:cs="宋体"/>
                <w:color w:val="auto"/>
                <w:sz w:val="18"/>
                <w:szCs w:val="18"/>
              </w:rPr>
              <w:t>认真组织或配合开展的扣</w:t>
            </w:r>
            <w:r>
              <w:rPr>
                <w:rFonts w:ascii="宋体" w:hAnsi="宋体" w:cs="宋体"/>
                <w:color w:val="auto"/>
                <w:sz w:val="18"/>
                <w:szCs w:val="18"/>
              </w:rPr>
              <w:t>1分/次</w:t>
            </w:r>
          </w:p>
        </w:tc>
      </w:tr>
      <w:tr w14:paraId="729E5D3A">
        <w:tblPrEx>
          <w:tblCellMar>
            <w:top w:w="0" w:type="dxa"/>
            <w:left w:w="108" w:type="dxa"/>
            <w:bottom w:w="0" w:type="dxa"/>
            <w:right w:w="108" w:type="dxa"/>
          </w:tblCellMar>
        </w:tblPrEx>
        <w:trPr>
          <w:trHeight w:val="786" w:hRule="atLeast"/>
          <w:jc w:val="center"/>
        </w:trPr>
        <w:tc>
          <w:tcPr>
            <w:tcW w:w="499" w:type="dxa"/>
            <w:vMerge w:val="continue"/>
            <w:tcBorders>
              <w:top w:val="single" w:color="auto" w:sz="4" w:space="0"/>
              <w:left w:val="single" w:color="auto" w:sz="4" w:space="0"/>
              <w:bottom w:val="single" w:color="auto" w:sz="4" w:space="0"/>
              <w:right w:val="single" w:color="auto" w:sz="4" w:space="0"/>
            </w:tcBorders>
            <w:noWrap w:val="0"/>
            <w:vAlign w:val="center"/>
          </w:tcPr>
          <w:p w14:paraId="1AA9DA30">
            <w:pPr>
              <w:rPr>
                <w:rFonts w:ascii="宋体" w:hAnsi="宋体" w:cs="宋体"/>
                <w:color w:val="auto"/>
                <w:sz w:val="18"/>
                <w:szCs w:val="18"/>
              </w:rPr>
            </w:pPr>
          </w:p>
        </w:tc>
        <w:tc>
          <w:tcPr>
            <w:tcW w:w="636" w:type="dxa"/>
            <w:vMerge w:val="continue"/>
            <w:tcBorders>
              <w:top w:val="single" w:color="auto" w:sz="4" w:space="0"/>
              <w:left w:val="single" w:color="auto" w:sz="4" w:space="0"/>
              <w:bottom w:val="single" w:color="auto" w:sz="4" w:space="0"/>
              <w:right w:val="single" w:color="auto" w:sz="4" w:space="0"/>
            </w:tcBorders>
            <w:noWrap w:val="0"/>
            <w:vAlign w:val="center"/>
          </w:tcPr>
          <w:p w14:paraId="00BEBB34">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noWrap w:val="0"/>
            <w:vAlign w:val="center"/>
          </w:tcPr>
          <w:p w14:paraId="05E00F50">
            <w:pPr>
              <w:rPr>
                <w:rFonts w:ascii="宋体" w:hAnsi="宋体" w:cs="宋体"/>
                <w:color w:val="auto"/>
                <w:sz w:val="18"/>
                <w:szCs w:val="18"/>
              </w:rPr>
            </w:pPr>
            <w:r>
              <w:rPr>
                <w:rFonts w:ascii="宋体" w:hAnsi="宋体" w:cs="宋体"/>
                <w:color w:val="auto"/>
                <w:sz w:val="18"/>
                <w:szCs w:val="18"/>
              </w:rPr>
              <w:t>56.按学校要求免费提供传统节日特色食品。</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740CBEE">
            <w:pPr>
              <w:rPr>
                <w:rFonts w:ascii="宋体" w:hAnsi="宋体" w:cs="宋体"/>
                <w:color w:val="auto"/>
                <w:sz w:val="18"/>
                <w:szCs w:val="18"/>
              </w:rPr>
            </w:pPr>
            <w:r>
              <w:rPr>
                <w:rFonts w:hint="eastAsia" w:ascii="宋体" w:hAnsi="宋体" w:cs="宋体"/>
                <w:color w:val="auto"/>
                <w:sz w:val="18"/>
                <w:szCs w:val="18"/>
              </w:rPr>
              <w:t>查看</w:t>
            </w:r>
          </w:p>
          <w:p w14:paraId="582197B6">
            <w:pPr>
              <w:rPr>
                <w:rFonts w:ascii="宋体" w:hAnsi="宋体" w:cs="宋体"/>
                <w:color w:val="auto"/>
                <w:sz w:val="18"/>
                <w:szCs w:val="18"/>
              </w:rPr>
            </w:pPr>
            <w:r>
              <w:rPr>
                <w:rFonts w:hint="eastAsia" w:ascii="宋体" w:hAnsi="宋体" w:cs="宋体"/>
                <w:color w:val="auto"/>
                <w:sz w:val="18"/>
                <w:szCs w:val="18"/>
              </w:rPr>
              <w:t>记录</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41ABACBF">
            <w:pPr>
              <w:rPr>
                <w:rFonts w:ascii="宋体" w:hAnsi="宋体" w:cs="宋体"/>
                <w:color w:val="auto"/>
                <w:sz w:val="18"/>
                <w:szCs w:val="18"/>
              </w:rPr>
            </w:pPr>
            <w:r>
              <w:rPr>
                <w:rFonts w:hint="eastAsia" w:ascii="宋体" w:hAnsi="宋体" w:cs="宋体"/>
                <w:color w:val="auto"/>
                <w:sz w:val="18"/>
                <w:szCs w:val="18"/>
              </w:rPr>
              <w:t>未提供的支付违约金</w:t>
            </w:r>
            <w:r>
              <w:rPr>
                <w:rFonts w:ascii="宋体" w:hAnsi="宋体" w:cs="宋体"/>
                <w:color w:val="auto"/>
                <w:sz w:val="18"/>
                <w:szCs w:val="18"/>
              </w:rPr>
              <w:t>10000元/次</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2F6FA032">
            <w:pPr>
              <w:rPr>
                <w:rFonts w:ascii="宋体" w:hAnsi="宋体" w:cs="宋体"/>
                <w:color w:val="auto"/>
                <w:sz w:val="18"/>
                <w:szCs w:val="18"/>
              </w:rPr>
            </w:pPr>
            <w:r>
              <w:rPr>
                <w:rFonts w:hint="eastAsia" w:ascii="宋体" w:hAnsi="宋体" w:cs="宋体"/>
                <w:color w:val="auto"/>
                <w:sz w:val="18"/>
                <w:szCs w:val="18"/>
              </w:rPr>
              <w:t>未提供的扣</w:t>
            </w:r>
            <w:r>
              <w:rPr>
                <w:rFonts w:ascii="宋体" w:hAnsi="宋体" w:cs="宋体"/>
                <w:color w:val="auto"/>
                <w:sz w:val="18"/>
                <w:szCs w:val="18"/>
              </w:rPr>
              <w:t>5分/次</w:t>
            </w:r>
          </w:p>
        </w:tc>
      </w:tr>
      <w:tr w14:paraId="3A00A3CC">
        <w:tblPrEx>
          <w:tblCellMar>
            <w:top w:w="0" w:type="dxa"/>
            <w:left w:w="108" w:type="dxa"/>
            <w:bottom w:w="0" w:type="dxa"/>
            <w:right w:w="108" w:type="dxa"/>
          </w:tblCellMar>
        </w:tblPrEx>
        <w:trPr>
          <w:trHeight w:val="555" w:hRule="atLeast"/>
          <w:jc w:val="center"/>
        </w:trPr>
        <w:tc>
          <w:tcPr>
            <w:tcW w:w="499" w:type="dxa"/>
            <w:vMerge w:val="restart"/>
            <w:tcBorders>
              <w:top w:val="single" w:color="auto" w:sz="4" w:space="0"/>
              <w:left w:val="single" w:color="auto" w:sz="4" w:space="0"/>
              <w:right w:val="single" w:color="auto" w:sz="4" w:space="0"/>
            </w:tcBorders>
            <w:noWrap w:val="0"/>
            <w:vAlign w:val="center"/>
          </w:tcPr>
          <w:p w14:paraId="16FEE4DB">
            <w:pPr>
              <w:rPr>
                <w:rFonts w:ascii="宋体" w:hAnsi="宋体" w:cs="宋体"/>
                <w:color w:val="auto"/>
                <w:sz w:val="18"/>
                <w:szCs w:val="18"/>
              </w:rPr>
            </w:pPr>
          </w:p>
          <w:p w14:paraId="454712F5">
            <w:pPr>
              <w:rPr>
                <w:rFonts w:ascii="宋体" w:hAnsi="宋体" w:cs="宋体"/>
                <w:color w:val="auto"/>
                <w:sz w:val="18"/>
                <w:szCs w:val="18"/>
              </w:rPr>
            </w:pPr>
          </w:p>
          <w:p w14:paraId="1EECE1E2">
            <w:pPr>
              <w:rPr>
                <w:rFonts w:ascii="宋体" w:hAnsi="宋体" w:cs="宋体"/>
                <w:color w:val="auto"/>
                <w:sz w:val="18"/>
                <w:szCs w:val="18"/>
              </w:rPr>
            </w:pPr>
            <w:r>
              <w:rPr>
                <w:rFonts w:hint="eastAsia" w:ascii="宋体" w:hAnsi="宋体" w:cs="宋体"/>
                <w:color w:val="auto"/>
                <w:sz w:val="18"/>
                <w:szCs w:val="18"/>
              </w:rPr>
              <w:t>六</w:t>
            </w:r>
          </w:p>
        </w:tc>
        <w:tc>
          <w:tcPr>
            <w:tcW w:w="636" w:type="dxa"/>
            <w:vMerge w:val="restart"/>
            <w:tcBorders>
              <w:top w:val="single" w:color="auto" w:sz="4" w:space="0"/>
              <w:left w:val="single" w:color="auto" w:sz="4" w:space="0"/>
              <w:right w:val="single" w:color="auto" w:sz="4" w:space="0"/>
            </w:tcBorders>
            <w:noWrap w:val="0"/>
            <w:vAlign w:val="center"/>
          </w:tcPr>
          <w:p w14:paraId="4E0868A5">
            <w:pPr>
              <w:rPr>
                <w:rFonts w:ascii="宋体" w:hAnsi="宋体" w:cs="宋体"/>
                <w:color w:val="auto"/>
                <w:sz w:val="18"/>
                <w:szCs w:val="18"/>
              </w:rPr>
            </w:pPr>
          </w:p>
          <w:p w14:paraId="48F59571">
            <w:pPr>
              <w:rPr>
                <w:rFonts w:ascii="宋体" w:hAnsi="宋体" w:cs="宋体"/>
                <w:color w:val="auto"/>
                <w:sz w:val="18"/>
                <w:szCs w:val="18"/>
              </w:rPr>
            </w:pPr>
          </w:p>
          <w:p w14:paraId="2A2F63E2">
            <w:pPr>
              <w:rPr>
                <w:rFonts w:ascii="宋体" w:hAnsi="宋体" w:cs="宋体"/>
                <w:color w:val="auto"/>
                <w:sz w:val="18"/>
                <w:szCs w:val="18"/>
              </w:rPr>
            </w:pPr>
            <w:r>
              <w:rPr>
                <w:rFonts w:hint="eastAsia" w:ascii="宋体" w:hAnsi="宋体" w:cs="宋体"/>
                <w:color w:val="auto"/>
                <w:sz w:val="18"/>
                <w:szCs w:val="18"/>
              </w:rPr>
              <w:t>其他</w:t>
            </w:r>
          </w:p>
        </w:tc>
        <w:tc>
          <w:tcPr>
            <w:tcW w:w="3827" w:type="dxa"/>
            <w:gridSpan w:val="2"/>
            <w:tcBorders>
              <w:top w:val="single" w:color="auto" w:sz="4" w:space="0"/>
              <w:left w:val="single" w:color="auto" w:sz="4" w:space="0"/>
              <w:bottom w:val="single" w:color="auto" w:sz="4" w:space="0"/>
              <w:right w:val="single" w:color="auto" w:sz="4" w:space="0"/>
            </w:tcBorders>
            <w:noWrap w:val="0"/>
            <w:vAlign w:val="center"/>
          </w:tcPr>
          <w:p w14:paraId="21B7E8AE">
            <w:pPr>
              <w:rPr>
                <w:rFonts w:ascii="宋体" w:hAnsi="宋体" w:cs="宋体"/>
                <w:color w:val="auto"/>
                <w:sz w:val="18"/>
                <w:szCs w:val="18"/>
              </w:rPr>
            </w:pPr>
            <w:r>
              <w:rPr>
                <w:rFonts w:ascii="宋体" w:hAnsi="宋体" w:cs="宋体"/>
                <w:color w:val="auto"/>
                <w:sz w:val="18"/>
                <w:szCs w:val="18"/>
              </w:rPr>
              <w:t>57.食堂经营者应做到“门前三包”，保持清洁卫生</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8EF9F2C">
            <w:pPr>
              <w:rPr>
                <w:rFonts w:ascii="宋体" w:hAnsi="宋体" w:cs="宋体"/>
                <w:color w:val="auto"/>
                <w:sz w:val="18"/>
                <w:szCs w:val="18"/>
              </w:rPr>
            </w:pPr>
            <w:r>
              <w:rPr>
                <w:rFonts w:hint="eastAsia" w:ascii="宋体" w:hAnsi="宋体" w:cs="宋体"/>
                <w:color w:val="auto"/>
                <w:sz w:val="18"/>
                <w:szCs w:val="18"/>
              </w:rPr>
              <w:t>现场检查</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0FFE6596">
            <w:pPr>
              <w:rPr>
                <w:rFonts w:ascii="宋体" w:hAnsi="宋体" w:cs="宋体"/>
                <w:color w:val="auto"/>
                <w:sz w:val="18"/>
                <w:szCs w:val="18"/>
              </w:rPr>
            </w:pPr>
            <w:r>
              <w:rPr>
                <w:rFonts w:hint="eastAsia" w:ascii="宋体" w:hAnsi="宋体" w:cs="宋体"/>
                <w:color w:val="auto"/>
                <w:sz w:val="18"/>
                <w:szCs w:val="18"/>
              </w:rPr>
              <w:t>卫生出现脏、乱、差现象每次支付违约金</w:t>
            </w:r>
            <w:r>
              <w:rPr>
                <w:rFonts w:ascii="宋体" w:hAnsi="宋体" w:cs="宋体"/>
                <w:color w:val="auto"/>
                <w:sz w:val="18"/>
                <w:szCs w:val="18"/>
              </w:rPr>
              <w:t>1000元。</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4E611E1F">
            <w:pPr>
              <w:rPr>
                <w:rFonts w:ascii="宋体" w:hAnsi="宋体" w:cs="宋体"/>
                <w:color w:val="auto"/>
                <w:sz w:val="18"/>
                <w:szCs w:val="18"/>
              </w:rPr>
            </w:pPr>
            <w:r>
              <w:rPr>
                <w:rFonts w:hint="eastAsia" w:ascii="宋体" w:hAnsi="宋体" w:cs="宋体"/>
                <w:color w:val="auto"/>
                <w:sz w:val="18"/>
                <w:szCs w:val="18"/>
              </w:rPr>
              <w:t>卫生出现脏、乱、差的</w:t>
            </w:r>
            <w:r>
              <w:rPr>
                <w:rFonts w:ascii="宋体" w:hAnsi="宋体" w:cs="宋体"/>
                <w:color w:val="auto"/>
                <w:sz w:val="18"/>
                <w:szCs w:val="18"/>
              </w:rPr>
              <w:t>1分/次</w:t>
            </w:r>
          </w:p>
        </w:tc>
      </w:tr>
      <w:tr w14:paraId="103CE564">
        <w:tblPrEx>
          <w:tblCellMar>
            <w:top w:w="0" w:type="dxa"/>
            <w:left w:w="108" w:type="dxa"/>
            <w:bottom w:w="0" w:type="dxa"/>
            <w:right w:w="108" w:type="dxa"/>
          </w:tblCellMar>
        </w:tblPrEx>
        <w:trPr>
          <w:trHeight w:val="555" w:hRule="atLeast"/>
          <w:jc w:val="center"/>
        </w:trPr>
        <w:tc>
          <w:tcPr>
            <w:tcW w:w="499" w:type="dxa"/>
            <w:vMerge w:val="continue"/>
            <w:tcBorders>
              <w:left w:val="single" w:color="auto" w:sz="4" w:space="0"/>
              <w:right w:val="single" w:color="auto" w:sz="4" w:space="0"/>
            </w:tcBorders>
            <w:noWrap w:val="0"/>
            <w:vAlign w:val="center"/>
          </w:tcPr>
          <w:p w14:paraId="4B5ABD95">
            <w:pPr>
              <w:rPr>
                <w:rFonts w:ascii="宋体" w:hAnsi="宋体" w:cs="宋体"/>
                <w:color w:val="auto"/>
                <w:sz w:val="18"/>
                <w:szCs w:val="18"/>
              </w:rPr>
            </w:pPr>
          </w:p>
        </w:tc>
        <w:tc>
          <w:tcPr>
            <w:tcW w:w="636" w:type="dxa"/>
            <w:vMerge w:val="continue"/>
            <w:tcBorders>
              <w:left w:val="single" w:color="auto" w:sz="4" w:space="0"/>
              <w:right w:val="single" w:color="auto" w:sz="4" w:space="0"/>
            </w:tcBorders>
            <w:noWrap w:val="0"/>
            <w:vAlign w:val="center"/>
          </w:tcPr>
          <w:p w14:paraId="40D0870E">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noWrap w:val="0"/>
            <w:vAlign w:val="center"/>
          </w:tcPr>
          <w:p w14:paraId="175D9322">
            <w:pPr>
              <w:rPr>
                <w:rFonts w:ascii="宋体" w:hAnsi="宋体" w:cs="宋体"/>
                <w:color w:val="auto"/>
                <w:sz w:val="18"/>
                <w:szCs w:val="18"/>
              </w:rPr>
            </w:pPr>
            <w:r>
              <w:rPr>
                <w:rFonts w:ascii="宋体" w:hAnsi="宋体" w:cs="宋体"/>
                <w:color w:val="auto"/>
                <w:sz w:val="18"/>
                <w:szCs w:val="18"/>
              </w:rPr>
              <w:t>58.严禁偷电、偷水、偷气行为</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153D6E9">
            <w:pPr>
              <w:rPr>
                <w:rFonts w:ascii="宋体" w:hAnsi="宋体" w:cs="宋体"/>
                <w:color w:val="auto"/>
                <w:sz w:val="18"/>
                <w:szCs w:val="18"/>
              </w:rPr>
            </w:pPr>
            <w:r>
              <w:rPr>
                <w:rFonts w:hint="eastAsia" w:ascii="宋体" w:hAnsi="宋体" w:cs="宋体"/>
                <w:color w:val="auto"/>
                <w:sz w:val="18"/>
                <w:szCs w:val="18"/>
              </w:rPr>
              <w:t>现场检查</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0C9E9F8E">
            <w:pPr>
              <w:rPr>
                <w:rFonts w:ascii="宋体" w:hAnsi="宋体" w:cs="宋体"/>
                <w:color w:val="auto"/>
                <w:sz w:val="18"/>
                <w:szCs w:val="18"/>
              </w:rPr>
            </w:pPr>
            <w:r>
              <w:rPr>
                <w:rFonts w:hint="eastAsia" w:ascii="宋体" w:hAnsi="宋体" w:cs="宋体"/>
                <w:color w:val="auto"/>
                <w:sz w:val="18"/>
                <w:szCs w:val="18"/>
              </w:rPr>
              <w:t>每发现一次支付违约金</w:t>
            </w:r>
            <w:r>
              <w:rPr>
                <w:rFonts w:ascii="宋体" w:hAnsi="宋体" w:cs="宋体"/>
                <w:color w:val="auto"/>
                <w:sz w:val="18"/>
                <w:szCs w:val="18"/>
              </w:rPr>
              <w:t>20000元，并应补齐欠费，情节严重的上报公安部门处置，学校有权解除合同。</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7C6D71F1">
            <w:pPr>
              <w:rPr>
                <w:rFonts w:ascii="宋体" w:hAnsi="宋体" w:cs="宋体"/>
                <w:color w:val="auto"/>
                <w:sz w:val="18"/>
                <w:szCs w:val="18"/>
              </w:rPr>
            </w:pPr>
            <w:r>
              <w:rPr>
                <w:rFonts w:hint="eastAsia" w:ascii="宋体" w:hAnsi="宋体" w:cs="宋体"/>
                <w:color w:val="auto"/>
                <w:sz w:val="18"/>
                <w:szCs w:val="18"/>
              </w:rPr>
              <w:t>出现偷电、偷水、偷气行为的涉事当学期考核直接不合格</w:t>
            </w:r>
          </w:p>
        </w:tc>
      </w:tr>
      <w:tr w14:paraId="1771560E">
        <w:tblPrEx>
          <w:tblCellMar>
            <w:top w:w="0" w:type="dxa"/>
            <w:left w:w="108" w:type="dxa"/>
            <w:bottom w:w="0" w:type="dxa"/>
            <w:right w:w="108" w:type="dxa"/>
          </w:tblCellMar>
        </w:tblPrEx>
        <w:trPr>
          <w:trHeight w:val="555" w:hRule="atLeast"/>
          <w:jc w:val="center"/>
        </w:trPr>
        <w:tc>
          <w:tcPr>
            <w:tcW w:w="499" w:type="dxa"/>
            <w:vMerge w:val="continue"/>
            <w:tcBorders>
              <w:left w:val="single" w:color="auto" w:sz="4" w:space="0"/>
              <w:right w:val="single" w:color="auto" w:sz="4" w:space="0"/>
            </w:tcBorders>
            <w:noWrap w:val="0"/>
            <w:vAlign w:val="center"/>
          </w:tcPr>
          <w:p w14:paraId="19D28B28">
            <w:pPr>
              <w:rPr>
                <w:rFonts w:ascii="宋体" w:hAnsi="宋体" w:cs="宋体"/>
                <w:color w:val="auto"/>
                <w:sz w:val="18"/>
                <w:szCs w:val="18"/>
              </w:rPr>
            </w:pPr>
          </w:p>
        </w:tc>
        <w:tc>
          <w:tcPr>
            <w:tcW w:w="636" w:type="dxa"/>
            <w:vMerge w:val="continue"/>
            <w:tcBorders>
              <w:left w:val="single" w:color="auto" w:sz="4" w:space="0"/>
              <w:right w:val="single" w:color="auto" w:sz="4" w:space="0"/>
            </w:tcBorders>
            <w:noWrap w:val="0"/>
            <w:vAlign w:val="center"/>
          </w:tcPr>
          <w:p w14:paraId="39C935C6">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noWrap w:val="0"/>
            <w:vAlign w:val="center"/>
          </w:tcPr>
          <w:p w14:paraId="13BB520E">
            <w:pPr>
              <w:rPr>
                <w:rFonts w:ascii="宋体" w:hAnsi="宋体" w:cs="宋体"/>
                <w:color w:val="auto"/>
                <w:sz w:val="18"/>
                <w:szCs w:val="18"/>
              </w:rPr>
            </w:pPr>
            <w:r>
              <w:rPr>
                <w:rFonts w:ascii="宋体" w:hAnsi="宋体" w:cs="宋体"/>
                <w:color w:val="auto"/>
                <w:sz w:val="18"/>
                <w:szCs w:val="18"/>
              </w:rPr>
              <w:t>59.</w:t>
            </w:r>
            <w:r>
              <w:rPr>
                <w:rFonts w:hint="eastAsia" w:ascii="宋体" w:hAnsi="宋体" w:cs="宋体"/>
                <w:color w:val="auto"/>
                <w:sz w:val="18"/>
                <w:szCs w:val="18"/>
                <w:lang w:eastAsia="zh-CN"/>
              </w:rPr>
              <w:t>甲方</w:t>
            </w:r>
            <w:r>
              <w:rPr>
                <w:rFonts w:ascii="宋体" w:hAnsi="宋体" w:cs="宋体"/>
                <w:color w:val="auto"/>
                <w:sz w:val="18"/>
                <w:szCs w:val="18"/>
              </w:rPr>
              <w:t>不定期委托第三方检测公司对</w:t>
            </w:r>
            <w:r>
              <w:rPr>
                <w:rFonts w:hint="eastAsia" w:ascii="宋体" w:hAnsi="宋体" w:cs="宋体"/>
                <w:color w:val="auto"/>
                <w:sz w:val="18"/>
                <w:szCs w:val="18"/>
              </w:rPr>
              <w:t>食堂食材进行抽检（费用由食堂委托经营公司负责）</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768612D">
            <w:pPr>
              <w:rPr>
                <w:rFonts w:ascii="宋体" w:hAnsi="宋体" w:cs="宋体"/>
                <w:color w:val="auto"/>
                <w:sz w:val="18"/>
                <w:szCs w:val="18"/>
              </w:rPr>
            </w:pPr>
            <w:r>
              <w:rPr>
                <w:rFonts w:hint="eastAsia" w:ascii="宋体" w:hAnsi="宋体" w:cs="宋体"/>
                <w:color w:val="auto"/>
                <w:sz w:val="18"/>
                <w:szCs w:val="18"/>
              </w:rPr>
              <w:t>查验检测报告</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2EEDB6F2">
            <w:pPr>
              <w:rPr>
                <w:rFonts w:ascii="宋体" w:hAnsi="宋体" w:cs="宋体"/>
                <w:color w:val="auto"/>
                <w:sz w:val="18"/>
                <w:szCs w:val="18"/>
              </w:rPr>
            </w:pPr>
            <w:r>
              <w:rPr>
                <w:rFonts w:hint="eastAsia" w:ascii="宋体" w:hAnsi="宋体" w:cs="宋体"/>
                <w:color w:val="auto"/>
                <w:sz w:val="18"/>
                <w:szCs w:val="18"/>
              </w:rPr>
              <w:t>不配合支付违约金</w:t>
            </w:r>
            <w:r>
              <w:rPr>
                <w:rFonts w:ascii="宋体" w:hAnsi="宋体" w:cs="宋体"/>
                <w:color w:val="auto"/>
                <w:sz w:val="18"/>
                <w:szCs w:val="18"/>
              </w:rPr>
              <w:t>10000元，抽检不合格，按不合格数量，支付违约金50000元/</w:t>
            </w:r>
            <w:r>
              <w:rPr>
                <w:rFonts w:hint="eastAsia" w:ascii="宋体" w:hAnsi="宋体" w:cs="宋体"/>
                <w:color w:val="auto"/>
                <w:sz w:val="18"/>
                <w:szCs w:val="18"/>
              </w:rPr>
              <w:t>个。</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43C1CEB1">
            <w:pPr>
              <w:rPr>
                <w:rFonts w:ascii="宋体" w:hAnsi="宋体" w:cs="宋体"/>
                <w:color w:val="auto"/>
                <w:sz w:val="18"/>
                <w:szCs w:val="18"/>
              </w:rPr>
            </w:pPr>
            <w:r>
              <w:rPr>
                <w:rFonts w:hint="eastAsia" w:ascii="宋体" w:hAnsi="宋体" w:cs="宋体"/>
                <w:color w:val="auto"/>
                <w:sz w:val="18"/>
                <w:szCs w:val="18"/>
              </w:rPr>
              <w:t>不配合扣</w:t>
            </w:r>
            <w:r>
              <w:rPr>
                <w:rFonts w:ascii="宋体" w:hAnsi="宋体" w:cs="宋体"/>
                <w:color w:val="auto"/>
                <w:sz w:val="18"/>
                <w:szCs w:val="18"/>
              </w:rPr>
              <w:t>2分/次，抽检不合格的扣5分/</w:t>
            </w:r>
            <w:r>
              <w:rPr>
                <w:rFonts w:hint="eastAsia" w:ascii="宋体" w:hAnsi="宋体" w:cs="宋体"/>
                <w:color w:val="auto"/>
                <w:sz w:val="18"/>
                <w:szCs w:val="18"/>
              </w:rPr>
              <w:t>个。</w:t>
            </w:r>
          </w:p>
        </w:tc>
      </w:tr>
      <w:tr w14:paraId="10CC03B0">
        <w:tblPrEx>
          <w:tblCellMar>
            <w:top w:w="0" w:type="dxa"/>
            <w:left w:w="108" w:type="dxa"/>
            <w:bottom w:w="0" w:type="dxa"/>
            <w:right w:w="108" w:type="dxa"/>
          </w:tblCellMar>
        </w:tblPrEx>
        <w:trPr>
          <w:trHeight w:val="555" w:hRule="atLeast"/>
          <w:jc w:val="center"/>
        </w:trPr>
        <w:tc>
          <w:tcPr>
            <w:tcW w:w="499" w:type="dxa"/>
            <w:vMerge w:val="continue"/>
            <w:tcBorders>
              <w:left w:val="single" w:color="auto" w:sz="4" w:space="0"/>
              <w:right w:val="single" w:color="auto" w:sz="4" w:space="0"/>
            </w:tcBorders>
            <w:noWrap w:val="0"/>
            <w:vAlign w:val="center"/>
          </w:tcPr>
          <w:p w14:paraId="0C202520">
            <w:pPr>
              <w:rPr>
                <w:rFonts w:ascii="宋体" w:hAnsi="宋体" w:cs="宋体"/>
                <w:color w:val="auto"/>
                <w:sz w:val="18"/>
                <w:szCs w:val="18"/>
              </w:rPr>
            </w:pPr>
          </w:p>
        </w:tc>
        <w:tc>
          <w:tcPr>
            <w:tcW w:w="636" w:type="dxa"/>
            <w:vMerge w:val="continue"/>
            <w:tcBorders>
              <w:left w:val="single" w:color="auto" w:sz="4" w:space="0"/>
              <w:right w:val="single" w:color="auto" w:sz="4" w:space="0"/>
            </w:tcBorders>
            <w:noWrap w:val="0"/>
            <w:vAlign w:val="center"/>
          </w:tcPr>
          <w:p w14:paraId="0640F173">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noWrap w:val="0"/>
            <w:vAlign w:val="center"/>
          </w:tcPr>
          <w:p w14:paraId="728F0677">
            <w:pPr>
              <w:rPr>
                <w:rFonts w:ascii="宋体" w:hAnsi="宋体" w:cs="宋体"/>
                <w:color w:val="auto"/>
                <w:sz w:val="18"/>
                <w:szCs w:val="18"/>
              </w:rPr>
            </w:pPr>
            <w:r>
              <w:rPr>
                <w:rFonts w:ascii="宋体" w:hAnsi="宋体" w:cs="宋体"/>
                <w:color w:val="auto"/>
                <w:sz w:val="18"/>
                <w:szCs w:val="18"/>
              </w:rPr>
              <w:t>60.接受市场监督管理局等有关职能部门以及上级机关等各级各类检查时，给</w:t>
            </w:r>
            <w:r>
              <w:rPr>
                <w:rFonts w:hint="eastAsia" w:ascii="宋体" w:hAnsi="宋体" w:cs="宋体"/>
                <w:color w:val="auto"/>
                <w:sz w:val="18"/>
                <w:szCs w:val="18"/>
                <w:lang w:eastAsia="zh-CN"/>
              </w:rPr>
              <w:t>甲方</w:t>
            </w:r>
            <w:r>
              <w:rPr>
                <w:rFonts w:ascii="宋体" w:hAnsi="宋体" w:cs="宋体"/>
                <w:color w:val="auto"/>
                <w:sz w:val="18"/>
                <w:szCs w:val="18"/>
              </w:rPr>
              <w:t>造成不良影响的</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41160B0">
            <w:pPr>
              <w:rPr>
                <w:rFonts w:ascii="宋体" w:hAnsi="宋体" w:cs="宋体"/>
                <w:color w:val="auto"/>
                <w:sz w:val="18"/>
                <w:szCs w:val="18"/>
              </w:rPr>
            </w:pPr>
            <w:r>
              <w:rPr>
                <w:rFonts w:hint="eastAsia" w:ascii="宋体" w:hAnsi="宋体" w:cs="宋体"/>
                <w:color w:val="auto"/>
                <w:sz w:val="18"/>
                <w:szCs w:val="18"/>
              </w:rPr>
              <w:t>依据检查效果</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149BA8FA">
            <w:pPr>
              <w:rPr>
                <w:rFonts w:ascii="宋体" w:hAnsi="宋体" w:cs="宋体"/>
                <w:color w:val="auto"/>
                <w:sz w:val="18"/>
                <w:szCs w:val="18"/>
              </w:rPr>
            </w:pPr>
            <w:r>
              <w:rPr>
                <w:rFonts w:hint="eastAsia" w:ascii="宋体" w:hAnsi="宋体" w:cs="宋体"/>
                <w:color w:val="auto"/>
                <w:sz w:val="18"/>
                <w:szCs w:val="18"/>
              </w:rPr>
              <w:t>视其情节每发生一次支付违约金</w:t>
            </w:r>
            <w:r>
              <w:rPr>
                <w:rFonts w:ascii="宋体" w:hAnsi="宋体" w:cs="宋体"/>
                <w:color w:val="auto"/>
                <w:sz w:val="18"/>
                <w:szCs w:val="18"/>
              </w:rPr>
              <w:t>2000元及以上；</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05557260">
            <w:pPr>
              <w:rPr>
                <w:rFonts w:ascii="宋体" w:hAnsi="宋体" w:cs="宋体"/>
                <w:color w:val="auto"/>
                <w:sz w:val="18"/>
                <w:szCs w:val="18"/>
              </w:rPr>
            </w:pPr>
            <w:r>
              <w:rPr>
                <w:rFonts w:hint="eastAsia" w:ascii="宋体" w:hAnsi="宋体" w:cs="宋体"/>
                <w:color w:val="auto"/>
                <w:sz w:val="18"/>
                <w:szCs w:val="18"/>
              </w:rPr>
              <w:t>视其情节扣</w:t>
            </w:r>
            <w:r>
              <w:rPr>
                <w:rFonts w:ascii="宋体" w:hAnsi="宋体" w:cs="宋体"/>
                <w:color w:val="auto"/>
                <w:sz w:val="18"/>
                <w:szCs w:val="18"/>
              </w:rPr>
              <w:t>1分/次及以上</w:t>
            </w:r>
          </w:p>
        </w:tc>
      </w:tr>
      <w:tr w14:paraId="2BDAD1E0">
        <w:tblPrEx>
          <w:tblCellMar>
            <w:top w:w="0" w:type="dxa"/>
            <w:left w:w="108" w:type="dxa"/>
            <w:bottom w:w="0" w:type="dxa"/>
            <w:right w:w="108" w:type="dxa"/>
          </w:tblCellMar>
        </w:tblPrEx>
        <w:trPr>
          <w:trHeight w:val="555" w:hRule="atLeast"/>
          <w:jc w:val="center"/>
        </w:trPr>
        <w:tc>
          <w:tcPr>
            <w:tcW w:w="499" w:type="dxa"/>
            <w:vMerge w:val="continue"/>
            <w:tcBorders>
              <w:left w:val="single" w:color="auto" w:sz="4" w:space="0"/>
              <w:right w:val="single" w:color="auto" w:sz="4" w:space="0"/>
            </w:tcBorders>
            <w:noWrap w:val="0"/>
            <w:vAlign w:val="center"/>
          </w:tcPr>
          <w:p w14:paraId="33A21C6E">
            <w:pPr>
              <w:rPr>
                <w:rFonts w:ascii="宋体" w:hAnsi="宋体" w:cs="宋体"/>
                <w:color w:val="auto"/>
                <w:sz w:val="18"/>
                <w:szCs w:val="18"/>
              </w:rPr>
            </w:pPr>
          </w:p>
        </w:tc>
        <w:tc>
          <w:tcPr>
            <w:tcW w:w="636" w:type="dxa"/>
            <w:vMerge w:val="continue"/>
            <w:tcBorders>
              <w:left w:val="single" w:color="auto" w:sz="4" w:space="0"/>
              <w:right w:val="single" w:color="auto" w:sz="4" w:space="0"/>
            </w:tcBorders>
            <w:noWrap w:val="0"/>
            <w:vAlign w:val="center"/>
          </w:tcPr>
          <w:p w14:paraId="65A1E661">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noWrap w:val="0"/>
            <w:vAlign w:val="center"/>
          </w:tcPr>
          <w:p w14:paraId="1CE41097">
            <w:pPr>
              <w:rPr>
                <w:rFonts w:ascii="宋体" w:hAnsi="宋体" w:cs="宋体"/>
                <w:color w:val="auto"/>
                <w:sz w:val="18"/>
                <w:szCs w:val="18"/>
              </w:rPr>
            </w:pPr>
            <w:r>
              <w:rPr>
                <w:rFonts w:ascii="宋体" w:hAnsi="宋体" w:cs="宋体"/>
                <w:color w:val="auto"/>
                <w:sz w:val="18"/>
                <w:szCs w:val="18"/>
              </w:rPr>
              <w:t>61.严禁使用</w:t>
            </w:r>
            <w:r>
              <w:rPr>
                <w:rFonts w:hint="eastAsia" w:ascii="宋体" w:hAnsi="宋体" w:cs="宋体"/>
                <w:color w:val="auto"/>
                <w:sz w:val="18"/>
                <w:szCs w:val="18"/>
              </w:rPr>
              <w:t>转基因食材或外国进口类食材</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0BCDE1E">
            <w:pPr>
              <w:rPr>
                <w:rFonts w:ascii="宋体" w:hAnsi="宋体" w:cs="宋体"/>
                <w:color w:val="auto"/>
                <w:sz w:val="18"/>
                <w:szCs w:val="18"/>
              </w:rPr>
            </w:pPr>
            <w:r>
              <w:rPr>
                <w:rFonts w:hint="eastAsia" w:ascii="宋体" w:hAnsi="宋体" w:cs="宋体"/>
                <w:color w:val="auto"/>
                <w:sz w:val="18"/>
                <w:szCs w:val="18"/>
              </w:rPr>
              <w:t>现场检查</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2F3E4AEB">
            <w:pPr>
              <w:rPr>
                <w:rFonts w:ascii="宋体" w:hAnsi="宋体" w:cs="宋体"/>
                <w:color w:val="auto"/>
                <w:sz w:val="18"/>
                <w:szCs w:val="18"/>
              </w:rPr>
            </w:pPr>
            <w:r>
              <w:rPr>
                <w:rFonts w:hint="eastAsia" w:ascii="宋体" w:hAnsi="宋体" w:cs="宋体"/>
                <w:color w:val="auto"/>
                <w:sz w:val="18"/>
                <w:szCs w:val="18"/>
              </w:rPr>
              <w:t>每发现一次按每个品种支付违约金</w:t>
            </w:r>
            <w:r>
              <w:rPr>
                <w:rFonts w:ascii="宋体" w:hAnsi="宋体" w:cs="宋体"/>
                <w:color w:val="auto"/>
                <w:sz w:val="18"/>
                <w:szCs w:val="18"/>
              </w:rPr>
              <w:t>10000元。</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6B0C10DA">
            <w:pPr>
              <w:rPr>
                <w:rFonts w:ascii="宋体" w:hAnsi="宋体" w:cs="宋体"/>
                <w:color w:val="auto"/>
                <w:sz w:val="18"/>
                <w:szCs w:val="18"/>
              </w:rPr>
            </w:pPr>
            <w:r>
              <w:rPr>
                <w:rFonts w:hint="eastAsia" w:ascii="宋体" w:hAnsi="宋体" w:cs="宋体"/>
                <w:color w:val="auto"/>
                <w:sz w:val="18"/>
                <w:szCs w:val="18"/>
              </w:rPr>
              <w:t>按发现品种数量扣</w:t>
            </w:r>
            <w:r>
              <w:rPr>
                <w:rFonts w:ascii="宋体" w:hAnsi="宋体" w:cs="宋体"/>
                <w:color w:val="auto"/>
                <w:sz w:val="18"/>
                <w:szCs w:val="18"/>
              </w:rPr>
              <w:t>5/</w:t>
            </w:r>
            <w:r>
              <w:rPr>
                <w:rFonts w:hint="eastAsia" w:ascii="宋体" w:hAnsi="宋体" w:cs="宋体"/>
                <w:color w:val="auto"/>
                <w:sz w:val="18"/>
                <w:szCs w:val="18"/>
              </w:rPr>
              <w:t>个</w:t>
            </w:r>
          </w:p>
        </w:tc>
      </w:tr>
      <w:tr w14:paraId="333DE7CE">
        <w:tblPrEx>
          <w:tblCellMar>
            <w:top w:w="0" w:type="dxa"/>
            <w:left w:w="108" w:type="dxa"/>
            <w:bottom w:w="0" w:type="dxa"/>
            <w:right w:w="108" w:type="dxa"/>
          </w:tblCellMar>
        </w:tblPrEx>
        <w:trPr>
          <w:trHeight w:val="555" w:hRule="atLeast"/>
          <w:jc w:val="center"/>
        </w:trPr>
        <w:tc>
          <w:tcPr>
            <w:tcW w:w="499" w:type="dxa"/>
            <w:vMerge w:val="continue"/>
            <w:tcBorders>
              <w:left w:val="single" w:color="auto" w:sz="4" w:space="0"/>
              <w:right w:val="single" w:color="auto" w:sz="4" w:space="0"/>
            </w:tcBorders>
            <w:noWrap w:val="0"/>
            <w:vAlign w:val="center"/>
          </w:tcPr>
          <w:p w14:paraId="5FFB0C9C">
            <w:pPr>
              <w:rPr>
                <w:rFonts w:ascii="宋体" w:hAnsi="宋体" w:cs="宋体"/>
                <w:color w:val="auto"/>
                <w:sz w:val="18"/>
                <w:szCs w:val="18"/>
              </w:rPr>
            </w:pPr>
          </w:p>
        </w:tc>
        <w:tc>
          <w:tcPr>
            <w:tcW w:w="636" w:type="dxa"/>
            <w:vMerge w:val="continue"/>
            <w:tcBorders>
              <w:left w:val="single" w:color="auto" w:sz="4" w:space="0"/>
              <w:right w:val="single" w:color="auto" w:sz="4" w:space="0"/>
            </w:tcBorders>
            <w:noWrap w:val="0"/>
            <w:vAlign w:val="center"/>
          </w:tcPr>
          <w:p w14:paraId="74962E87">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noWrap w:val="0"/>
            <w:vAlign w:val="center"/>
          </w:tcPr>
          <w:p w14:paraId="38A87743">
            <w:pPr>
              <w:rPr>
                <w:rFonts w:ascii="宋体" w:hAnsi="宋体" w:cs="宋体"/>
                <w:color w:val="auto"/>
                <w:sz w:val="18"/>
                <w:szCs w:val="18"/>
              </w:rPr>
            </w:pPr>
            <w:r>
              <w:rPr>
                <w:rFonts w:ascii="宋体" w:hAnsi="宋体" w:cs="宋体"/>
                <w:color w:val="auto"/>
                <w:sz w:val="18"/>
                <w:szCs w:val="18"/>
              </w:rPr>
              <w:t>62.不服从管理、不及时按要求进行整改</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0E7DC45">
            <w:pPr>
              <w:rPr>
                <w:rFonts w:ascii="宋体" w:hAnsi="宋体" w:cs="宋体"/>
                <w:color w:val="auto"/>
                <w:sz w:val="18"/>
                <w:szCs w:val="18"/>
              </w:rPr>
            </w:pPr>
            <w:r>
              <w:rPr>
                <w:rFonts w:hint="eastAsia" w:ascii="宋体" w:hAnsi="宋体" w:cs="宋体"/>
                <w:color w:val="auto"/>
                <w:sz w:val="18"/>
                <w:szCs w:val="18"/>
              </w:rPr>
              <w:t>依据工作</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15002C75">
            <w:pPr>
              <w:rPr>
                <w:rFonts w:ascii="宋体" w:hAnsi="宋体" w:cs="宋体"/>
                <w:color w:val="auto"/>
                <w:sz w:val="18"/>
                <w:szCs w:val="18"/>
              </w:rPr>
            </w:pPr>
            <w:r>
              <w:rPr>
                <w:rFonts w:hint="eastAsia" w:ascii="宋体" w:hAnsi="宋体" w:cs="宋体"/>
                <w:color w:val="auto"/>
                <w:sz w:val="18"/>
                <w:szCs w:val="18"/>
              </w:rPr>
              <w:t>视其情况每次支付违约金</w:t>
            </w:r>
            <w:r>
              <w:rPr>
                <w:rFonts w:ascii="宋体" w:hAnsi="宋体" w:cs="宋体"/>
                <w:color w:val="auto"/>
                <w:sz w:val="18"/>
                <w:szCs w:val="18"/>
              </w:rPr>
              <w:t>10000元-50000元</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00381806">
            <w:pPr>
              <w:rPr>
                <w:rFonts w:ascii="宋体" w:hAnsi="宋体" w:cs="宋体"/>
                <w:color w:val="auto"/>
                <w:sz w:val="18"/>
                <w:szCs w:val="18"/>
              </w:rPr>
            </w:pPr>
            <w:r>
              <w:rPr>
                <w:rFonts w:hint="eastAsia" w:ascii="宋体" w:hAnsi="宋体" w:cs="宋体"/>
                <w:color w:val="auto"/>
                <w:sz w:val="18"/>
                <w:szCs w:val="18"/>
              </w:rPr>
              <w:t>视其情况扣</w:t>
            </w:r>
            <w:r>
              <w:rPr>
                <w:rFonts w:ascii="宋体" w:hAnsi="宋体" w:cs="宋体"/>
                <w:color w:val="auto"/>
                <w:sz w:val="18"/>
                <w:szCs w:val="18"/>
              </w:rPr>
              <w:t>5-10分/次</w:t>
            </w:r>
          </w:p>
        </w:tc>
      </w:tr>
      <w:tr w14:paraId="2052102E">
        <w:tblPrEx>
          <w:tblCellMar>
            <w:top w:w="0" w:type="dxa"/>
            <w:left w:w="108" w:type="dxa"/>
            <w:bottom w:w="0" w:type="dxa"/>
            <w:right w:w="108" w:type="dxa"/>
          </w:tblCellMar>
        </w:tblPrEx>
        <w:trPr>
          <w:trHeight w:val="555" w:hRule="atLeast"/>
          <w:jc w:val="center"/>
        </w:trPr>
        <w:tc>
          <w:tcPr>
            <w:tcW w:w="499" w:type="dxa"/>
            <w:vMerge w:val="continue"/>
            <w:tcBorders>
              <w:left w:val="single" w:color="auto" w:sz="4" w:space="0"/>
              <w:right w:val="single" w:color="auto" w:sz="4" w:space="0"/>
            </w:tcBorders>
            <w:noWrap w:val="0"/>
            <w:vAlign w:val="center"/>
          </w:tcPr>
          <w:p w14:paraId="0CE21EA6">
            <w:pPr>
              <w:rPr>
                <w:rFonts w:ascii="宋体" w:hAnsi="宋体" w:cs="宋体"/>
                <w:color w:val="auto"/>
                <w:sz w:val="18"/>
                <w:szCs w:val="18"/>
              </w:rPr>
            </w:pPr>
          </w:p>
        </w:tc>
        <w:tc>
          <w:tcPr>
            <w:tcW w:w="636" w:type="dxa"/>
            <w:vMerge w:val="continue"/>
            <w:tcBorders>
              <w:left w:val="single" w:color="auto" w:sz="4" w:space="0"/>
              <w:right w:val="single" w:color="auto" w:sz="4" w:space="0"/>
            </w:tcBorders>
            <w:noWrap w:val="0"/>
            <w:vAlign w:val="center"/>
          </w:tcPr>
          <w:p w14:paraId="39C6B155">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noWrap w:val="0"/>
            <w:vAlign w:val="center"/>
          </w:tcPr>
          <w:p w14:paraId="3639342C">
            <w:pPr>
              <w:rPr>
                <w:rFonts w:ascii="宋体" w:hAnsi="宋体" w:cs="宋体"/>
                <w:color w:val="auto"/>
                <w:sz w:val="18"/>
                <w:szCs w:val="18"/>
              </w:rPr>
            </w:pPr>
            <w:r>
              <w:rPr>
                <w:rFonts w:ascii="宋体" w:hAnsi="宋体" w:cs="宋体"/>
                <w:color w:val="auto"/>
                <w:sz w:val="18"/>
                <w:szCs w:val="18"/>
              </w:rPr>
              <w:t>63.完成学校情况下达的各类工作任务</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45CAC36">
            <w:pPr>
              <w:rPr>
                <w:rFonts w:ascii="宋体" w:hAnsi="宋体" w:cs="宋体"/>
                <w:color w:val="auto"/>
                <w:sz w:val="18"/>
                <w:szCs w:val="18"/>
              </w:rPr>
            </w:pPr>
            <w:r>
              <w:rPr>
                <w:rFonts w:hint="eastAsia" w:ascii="宋体" w:hAnsi="宋体" w:cs="宋体"/>
                <w:color w:val="auto"/>
                <w:sz w:val="18"/>
                <w:szCs w:val="18"/>
              </w:rPr>
              <w:t>依据工作</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11FD28FE">
            <w:pPr>
              <w:rPr>
                <w:rFonts w:ascii="宋体" w:hAnsi="宋体" w:cs="宋体"/>
                <w:color w:val="auto"/>
                <w:sz w:val="18"/>
                <w:szCs w:val="18"/>
              </w:rPr>
            </w:pPr>
            <w:r>
              <w:rPr>
                <w:rFonts w:hint="eastAsia" w:ascii="宋体" w:hAnsi="宋体" w:cs="宋体"/>
                <w:color w:val="auto"/>
                <w:sz w:val="18"/>
                <w:szCs w:val="18"/>
              </w:rPr>
              <w:t>视工作未完成情况每项支付违约金</w:t>
            </w:r>
            <w:r>
              <w:rPr>
                <w:rFonts w:ascii="宋体" w:hAnsi="宋体" w:cs="宋体"/>
                <w:color w:val="auto"/>
                <w:sz w:val="18"/>
                <w:szCs w:val="18"/>
              </w:rPr>
              <w:t>5000元-50000元。</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6E5F6546">
            <w:pPr>
              <w:rPr>
                <w:rFonts w:ascii="宋体" w:hAnsi="宋体" w:cs="宋体"/>
                <w:color w:val="auto"/>
                <w:sz w:val="18"/>
                <w:szCs w:val="18"/>
              </w:rPr>
            </w:pPr>
            <w:r>
              <w:rPr>
                <w:rFonts w:hint="eastAsia" w:ascii="宋体" w:hAnsi="宋体" w:cs="宋体"/>
                <w:color w:val="auto"/>
                <w:sz w:val="18"/>
                <w:szCs w:val="18"/>
              </w:rPr>
              <w:t>视工作未完成情况扣</w:t>
            </w:r>
            <w:r>
              <w:rPr>
                <w:rFonts w:ascii="宋体" w:hAnsi="宋体" w:cs="宋体"/>
                <w:color w:val="auto"/>
                <w:sz w:val="18"/>
                <w:szCs w:val="18"/>
              </w:rPr>
              <w:t>5-10分/项</w:t>
            </w:r>
          </w:p>
        </w:tc>
      </w:tr>
      <w:tr w14:paraId="01A99293">
        <w:tblPrEx>
          <w:tblCellMar>
            <w:top w:w="0" w:type="dxa"/>
            <w:left w:w="108" w:type="dxa"/>
            <w:bottom w:w="0" w:type="dxa"/>
            <w:right w:w="108" w:type="dxa"/>
          </w:tblCellMar>
        </w:tblPrEx>
        <w:trPr>
          <w:trHeight w:val="480" w:hRule="atLeast"/>
          <w:jc w:val="center"/>
        </w:trPr>
        <w:tc>
          <w:tcPr>
            <w:tcW w:w="499" w:type="dxa"/>
            <w:vMerge w:val="continue"/>
            <w:tcBorders>
              <w:left w:val="single" w:color="auto" w:sz="4" w:space="0"/>
              <w:right w:val="single" w:color="auto" w:sz="4" w:space="0"/>
            </w:tcBorders>
            <w:noWrap w:val="0"/>
            <w:vAlign w:val="center"/>
          </w:tcPr>
          <w:p w14:paraId="0406A479">
            <w:pPr>
              <w:rPr>
                <w:rFonts w:ascii="宋体" w:hAnsi="宋体" w:cs="宋体"/>
                <w:color w:val="auto"/>
                <w:sz w:val="18"/>
                <w:szCs w:val="18"/>
              </w:rPr>
            </w:pPr>
          </w:p>
        </w:tc>
        <w:tc>
          <w:tcPr>
            <w:tcW w:w="636" w:type="dxa"/>
            <w:vMerge w:val="continue"/>
            <w:tcBorders>
              <w:left w:val="single" w:color="auto" w:sz="4" w:space="0"/>
              <w:right w:val="single" w:color="auto" w:sz="4" w:space="0"/>
            </w:tcBorders>
            <w:noWrap w:val="0"/>
            <w:vAlign w:val="center"/>
          </w:tcPr>
          <w:p w14:paraId="3CEBF529">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noWrap w:val="0"/>
            <w:vAlign w:val="center"/>
          </w:tcPr>
          <w:p w14:paraId="40B8ABAC">
            <w:pPr>
              <w:rPr>
                <w:rFonts w:ascii="宋体" w:hAnsi="宋体" w:cs="宋体"/>
                <w:color w:val="auto"/>
                <w:sz w:val="18"/>
                <w:szCs w:val="18"/>
              </w:rPr>
            </w:pPr>
            <w:r>
              <w:rPr>
                <w:rFonts w:ascii="宋体" w:hAnsi="宋体" w:cs="宋体"/>
                <w:color w:val="auto"/>
                <w:sz w:val="18"/>
                <w:szCs w:val="18"/>
              </w:rPr>
              <w:t>64.在经营过程中发生师生有效投诉</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B46B5D0">
            <w:pPr>
              <w:rPr>
                <w:rFonts w:ascii="宋体" w:hAnsi="宋体" w:cs="宋体"/>
                <w:color w:val="auto"/>
                <w:sz w:val="18"/>
                <w:szCs w:val="18"/>
              </w:rPr>
            </w:pPr>
            <w:r>
              <w:rPr>
                <w:rFonts w:hint="eastAsia" w:ascii="宋体" w:hAnsi="宋体" w:cs="宋体"/>
                <w:color w:val="auto"/>
                <w:sz w:val="18"/>
                <w:szCs w:val="18"/>
              </w:rPr>
              <w:t>依据投诉</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0F832C3A">
            <w:pPr>
              <w:rPr>
                <w:rFonts w:ascii="宋体" w:hAnsi="宋体" w:cs="宋体"/>
                <w:color w:val="auto"/>
                <w:sz w:val="18"/>
                <w:szCs w:val="18"/>
              </w:rPr>
            </w:pPr>
            <w:r>
              <w:rPr>
                <w:rFonts w:hint="eastAsia" w:ascii="宋体" w:hAnsi="宋体" w:cs="宋体"/>
                <w:color w:val="auto"/>
                <w:sz w:val="18"/>
                <w:szCs w:val="18"/>
              </w:rPr>
              <w:t>视其情况支付违约金</w:t>
            </w:r>
            <w:r>
              <w:rPr>
                <w:rFonts w:ascii="宋体" w:hAnsi="宋体" w:cs="宋体"/>
                <w:color w:val="auto"/>
                <w:sz w:val="18"/>
                <w:szCs w:val="18"/>
              </w:rPr>
              <w:t>500元及以上/次</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2A3ABDF2">
            <w:pPr>
              <w:rPr>
                <w:rFonts w:ascii="宋体" w:hAnsi="宋体" w:cs="宋体"/>
                <w:color w:val="auto"/>
                <w:sz w:val="18"/>
                <w:szCs w:val="18"/>
              </w:rPr>
            </w:pPr>
            <w:r>
              <w:rPr>
                <w:rFonts w:hint="eastAsia" w:ascii="宋体" w:hAnsi="宋体" w:cs="宋体"/>
                <w:color w:val="auto"/>
                <w:sz w:val="18"/>
                <w:szCs w:val="18"/>
              </w:rPr>
              <w:t>视其情况扣</w:t>
            </w:r>
            <w:r>
              <w:rPr>
                <w:rFonts w:ascii="宋体" w:hAnsi="宋体" w:cs="宋体"/>
                <w:color w:val="auto"/>
                <w:sz w:val="18"/>
                <w:szCs w:val="18"/>
              </w:rPr>
              <w:t>1分及以上/次</w:t>
            </w:r>
          </w:p>
        </w:tc>
      </w:tr>
      <w:tr w14:paraId="341A33E0">
        <w:tblPrEx>
          <w:tblCellMar>
            <w:top w:w="0" w:type="dxa"/>
            <w:left w:w="108" w:type="dxa"/>
            <w:bottom w:w="0" w:type="dxa"/>
            <w:right w:w="108" w:type="dxa"/>
          </w:tblCellMar>
        </w:tblPrEx>
        <w:trPr>
          <w:trHeight w:val="480" w:hRule="atLeast"/>
          <w:jc w:val="center"/>
        </w:trPr>
        <w:tc>
          <w:tcPr>
            <w:tcW w:w="499" w:type="dxa"/>
            <w:vMerge w:val="continue"/>
            <w:tcBorders>
              <w:left w:val="single" w:color="auto" w:sz="4" w:space="0"/>
              <w:right w:val="single" w:color="auto" w:sz="4" w:space="0"/>
            </w:tcBorders>
            <w:noWrap w:val="0"/>
            <w:vAlign w:val="center"/>
          </w:tcPr>
          <w:p w14:paraId="5AD65AE6">
            <w:pPr>
              <w:rPr>
                <w:rFonts w:ascii="宋体" w:hAnsi="宋体" w:cs="宋体"/>
                <w:color w:val="auto"/>
                <w:sz w:val="18"/>
                <w:szCs w:val="18"/>
              </w:rPr>
            </w:pPr>
          </w:p>
        </w:tc>
        <w:tc>
          <w:tcPr>
            <w:tcW w:w="636" w:type="dxa"/>
            <w:vMerge w:val="continue"/>
            <w:tcBorders>
              <w:left w:val="single" w:color="auto" w:sz="4" w:space="0"/>
              <w:right w:val="single" w:color="auto" w:sz="4" w:space="0"/>
            </w:tcBorders>
            <w:noWrap w:val="0"/>
            <w:vAlign w:val="center"/>
          </w:tcPr>
          <w:p w14:paraId="50B70FE3">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noWrap w:val="0"/>
            <w:vAlign w:val="center"/>
          </w:tcPr>
          <w:p w14:paraId="4CF17FD6">
            <w:pPr>
              <w:rPr>
                <w:rFonts w:ascii="宋体" w:hAnsi="宋体" w:cs="宋体"/>
                <w:color w:val="auto"/>
                <w:sz w:val="18"/>
                <w:szCs w:val="18"/>
              </w:rPr>
            </w:pPr>
            <w:r>
              <w:rPr>
                <w:rFonts w:ascii="宋体" w:hAnsi="宋体" w:cs="宋体"/>
                <w:color w:val="auto"/>
                <w:sz w:val="18"/>
                <w:szCs w:val="18"/>
              </w:rPr>
              <w:t>65.</w:t>
            </w:r>
            <w:r>
              <w:rPr>
                <w:rFonts w:hint="eastAsia" w:ascii="宋体" w:hAnsi="宋体" w:cs="宋体"/>
                <w:color w:val="auto"/>
                <w:sz w:val="18"/>
                <w:szCs w:val="18"/>
                <w:lang w:eastAsia="zh-CN"/>
              </w:rPr>
              <w:t>乙方</w:t>
            </w:r>
            <w:r>
              <w:rPr>
                <w:rFonts w:hint="eastAsia" w:ascii="宋体" w:hAnsi="宋体" w:cs="宋体"/>
                <w:color w:val="auto"/>
                <w:sz w:val="18"/>
                <w:szCs w:val="18"/>
              </w:rPr>
              <w:t>招聘的工人在学校内，做影响食品从业人员形象的事情（例如在垃圾桶里面或学校其他区域捡垃圾）</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CC7FE50">
            <w:pPr>
              <w:rPr>
                <w:rFonts w:ascii="宋体" w:hAnsi="宋体" w:cs="宋体"/>
                <w:color w:val="auto"/>
                <w:sz w:val="18"/>
                <w:szCs w:val="18"/>
              </w:rPr>
            </w:pPr>
            <w:r>
              <w:rPr>
                <w:rFonts w:hint="eastAsia" w:ascii="宋体" w:hAnsi="宋体" w:cs="宋体"/>
                <w:color w:val="auto"/>
                <w:sz w:val="18"/>
                <w:szCs w:val="18"/>
              </w:rPr>
              <w:t>现场核实</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43A693A5">
            <w:pPr>
              <w:rPr>
                <w:rFonts w:ascii="宋体" w:hAnsi="宋体" w:cs="宋体"/>
                <w:color w:val="auto"/>
                <w:sz w:val="18"/>
                <w:szCs w:val="18"/>
              </w:rPr>
            </w:pPr>
            <w:r>
              <w:rPr>
                <w:rFonts w:hint="eastAsia" w:ascii="宋体" w:hAnsi="宋体" w:cs="宋体"/>
                <w:color w:val="auto"/>
                <w:sz w:val="18"/>
                <w:szCs w:val="18"/>
              </w:rPr>
              <w:t>经查实后支付违约金</w:t>
            </w:r>
            <w:r>
              <w:rPr>
                <w:rFonts w:ascii="宋体" w:hAnsi="宋体" w:cs="宋体"/>
                <w:color w:val="auto"/>
                <w:sz w:val="18"/>
                <w:szCs w:val="18"/>
              </w:rPr>
              <w:t>1000元/人、次</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30147E62">
            <w:pPr>
              <w:rPr>
                <w:rFonts w:ascii="宋体" w:hAnsi="宋体" w:cs="宋体"/>
                <w:color w:val="auto"/>
                <w:sz w:val="18"/>
                <w:szCs w:val="18"/>
              </w:rPr>
            </w:pPr>
            <w:r>
              <w:rPr>
                <w:rFonts w:hint="eastAsia" w:ascii="宋体" w:hAnsi="宋体" w:cs="宋体"/>
                <w:color w:val="auto"/>
                <w:sz w:val="18"/>
                <w:szCs w:val="18"/>
              </w:rPr>
              <w:t>经查实后扣</w:t>
            </w:r>
            <w:r>
              <w:rPr>
                <w:rFonts w:ascii="宋体" w:hAnsi="宋体" w:cs="宋体"/>
                <w:color w:val="auto"/>
                <w:sz w:val="18"/>
                <w:szCs w:val="18"/>
              </w:rPr>
              <w:t>1分/人、次</w:t>
            </w:r>
          </w:p>
        </w:tc>
      </w:tr>
      <w:tr w14:paraId="130569FE">
        <w:tblPrEx>
          <w:tblCellMar>
            <w:top w:w="0" w:type="dxa"/>
            <w:left w:w="108" w:type="dxa"/>
            <w:bottom w:w="0" w:type="dxa"/>
            <w:right w:w="108" w:type="dxa"/>
          </w:tblCellMar>
        </w:tblPrEx>
        <w:trPr>
          <w:trHeight w:val="480" w:hRule="atLeast"/>
          <w:jc w:val="center"/>
        </w:trPr>
        <w:tc>
          <w:tcPr>
            <w:tcW w:w="499" w:type="dxa"/>
            <w:vMerge w:val="continue"/>
            <w:tcBorders>
              <w:left w:val="single" w:color="auto" w:sz="4" w:space="0"/>
              <w:right w:val="single" w:color="auto" w:sz="4" w:space="0"/>
            </w:tcBorders>
            <w:noWrap w:val="0"/>
            <w:vAlign w:val="center"/>
          </w:tcPr>
          <w:p w14:paraId="738960CE">
            <w:pPr>
              <w:rPr>
                <w:rFonts w:ascii="宋体" w:hAnsi="宋体" w:cs="宋体"/>
                <w:color w:val="auto"/>
                <w:sz w:val="18"/>
                <w:szCs w:val="18"/>
              </w:rPr>
            </w:pPr>
          </w:p>
        </w:tc>
        <w:tc>
          <w:tcPr>
            <w:tcW w:w="636" w:type="dxa"/>
            <w:vMerge w:val="continue"/>
            <w:tcBorders>
              <w:left w:val="single" w:color="auto" w:sz="4" w:space="0"/>
              <w:right w:val="single" w:color="auto" w:sz="4" w:space="0"/>
            </w:tcBorders>
            <w:noWrap w:val="0"/>
            <w:vAlign w:val="center"/>
          </w:tcPr>
          <w:p w14:paraId="356B555D">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noWrap w:val="0"/>
            <w:vAlign w:val="center"/>
          </w:tcPr>
          <w:p w14:paraId="6568CFF6">
            <w:pPr>
              <w:rPr>
                <w:rFonts w:ascii="宋体" w:hAnsi="宋体" w:cs="宋体"/>
                <w:color w:val="auto"/>
                <w:sz w:val="18"/>
                <w:szCs w:val="18"/>
              </w:rPr>
            </w:pPr>
            <w:r>
              <w:rPr>
                <w:rFonts w:ascii="宋体" w:hAnsi="宋体" w:cs="宋体"/>
                <w:color w:val="auto"/>
                <w:sz w:val="18"/>
                <w:szCs w:val="18"/>
              </w:rPr>
              <w:t>66.不得在食堂内出现任何商业广告</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7F4DADD">
            <w:pPr>
              <w:rPr>
                <w:rFonts w:ascii="宋体" w:hAnsi="宋体" w:cs="宋体"/>
                <w:color w:val="auto"/>
                <w:sz w:val="18"/>
                <w:szCs w:val="18"/>
              </w:rPr>
            </w:pPr>
            <w:r>
              <w:rPr>
                <w:rFonts w:hint="eastAsia" w:ascii="宋体" w:hAnsi="宋体" w:cs="宋体"/>
                <w:color w:val="auto"/>
                <w:sz w:val="18"/>
                <w:szCs w:val="18"/>
              </w:rPr>
              <w:t>现场核实</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4928B48A">
            <w:pPr>
              <w:rPr>
                <w:rFonts w:ascii="宋体" w:hAnsi="宋体" w:cs="宋体"/>
                <w:color w:val="auto"/>
                <w:sz w:val="18"/>
                <w:szCs w:val="18"/>
              </w:rPr>
            </w:pPr>
            <w:r>
              <w:rPr>
                <w:rFonts w:hint="eastAsia" w:ascii="宋体" w:hAnsi="宋体" w:cs="宋体"/>
                <w:color w:val="auto"/>
                <w:sz w:val="18"/>
                <w:szCs w:val="18"/>
              </w:rPr>
              <w:t>经查实后支付违约金</w:t>
            </w:r>
            <w:r>
              <w:rPr>
                <w:rFonts w:ascii="宋体" w:hAnsi="宋体" w:cs="宋体"/>
                <w:color w:val="auto"/>
                <w:sz w:val="18"/>
                <w:szCs w:val="18"/>
              </w:rPr>
              <w:t>1000元/处</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27035035">
            <w:pPr>
              <w:rPr>
                <w:rFonts w:ascii="宋体" w:hAnsi="宋体" w:cs="宋体"/>
                <w:color w:val="auto"/>
                <w:sz w:val="18"/>
                <w:szCs w:val="18"/>
              </w:rPr>
            </w:pPr>
            <w:r>
              <w:rPr>
                <w:rFonts w:hint="eastAsia" w:ascii="宋体" w:hAnsi="宋体" w:cs="宋体"/>
                <w:color w:val="auto"/>
                <w:sz w:val="18"/>
                <w:szCs w:val="18"/>
              </w:rPr>
              <w:t>经查实后扣</w:t>
            </w:r>
            <w:r>
              <w:rPr>
                <w:rFonts w:ascii="宋体" w:hAnsi="宋体" w:cs="宋体"/>
                <w:color w:val="auto"/>
                <w:sz w:val="18"/>
                <w:szCs w:val="18"/>
              </w:rPr>
              <w:t>1分/处</w:t>
            </w:r>
          </w:p>
        </w:tc>
      </w:tr>
      <w:tr w14:paraId="343456E8">
        <w:tblPrEx>
          <w:tblCellMar>
            <w:top w:w="0" w:type="dxa"/>
            <w:left w:w="108" w:type="dxa"/>
            <w:bottom w:w="0" w:type="dxa"/>
            <w:right w:w="108" w:type="dxa"/>
          </w:tblCellMar>
        </w:tblPrEx>
        <w:trPr>
          <w:trHeight w:val="480" w:hRule="atLeast"/>
          <w:jc w:val="center"/>
        </w:trPr>
        <w:tc>
          <w:tcPr>
            <w:tcW w:w="499" w:type="dxa"/>
            <w:vMerge w:val="continue"/>
            <w:tcBorders>
              <w:left w:val="single" w:color="auto" w:sz="4" w:space="0"/>
              <w:right w:val="single" w:color="auto" w:sz="4" w:space="0"/>
            </w:tcBorders>
            <w:noWrap w:val="0"/>
            <w:vAlign w:val="center"/>
          </w:tcPr>
          <w:p w14:paraId="56C49B41">
            <w:pPr>
              <w:rPr>
                <w:rFonts w:ascii="宋体" w:hAnsi="宋体" w:cs="宋体"/>
                <w:color w:val="auto"/>
                <w:sz w:val="18"/>
                <w:szCs w:val="18"/>
              </w:rPr>
            </w:pPr>
          </w:p>
        </w:tc>
        <w:tc>
          <w:tcPr>
            <w:tcW w:w="636" w:type="dxa"/>
            <w:vMerge w:val="continue"/>
            <w:tcBorders>
              <w:left w:val="single" w:color="auto" w:sz="4" w:space="0"/>
              <w:right w:val="single" w:color="auto" w:sz="4" w:space="0"/>
            </w:tcBorders>
            <w:noWrap w:val="0"/>
            <w:vAlign w:val="center"/>
          </w:tcPr>
          <w:p w14:paraId="57803FB4">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noWrap w:val="0"/>
            <w:vAlign w:val="center"/>
          </w:tcPr>
          <w:p w14:paraId="187F28F7">
            <w:pPr>
              <w:rPr>
                <w:rFonts w:ascii="宋体" w:hAnsi="宋体" w:cs="宋体"/>
                <w:color w:val="auto"/>
                <w:sz w:val="18"/>
                <w:szCs w:val="18"/>
              </w:rPr>
            </w:pPr>
            <w:r>
              <w:rPr>
                <w:rFonts w:ascii="宋体" w:hAnsi="宋体" w:cs="宋体"/>
                <w:color w:val="auto"/>
                <w:sz w:val="18"/>
                <w:szCs w:val="18"/>
              </w:rPr>
              <w:t>67.</w:t>
            </w:r>
            <w:r>
              <w:rPr>
                <w:rFonts w:hint="eastAsia" w:ascii="宋体" w:hAnsi="宋体" w:cs="宋体"/>
                <w:color w:val="auto"/>
                <w:sz w:val="18"/>
                <w:szCs w:val="18"/>
                <w:lang w:val="en-US" w:eastAsia="zh-CN"/>
              </w:rPr>
              <w:t>乙方</w:t>
            </w:r>
            <w:r>
              <w:rPr>
                <w:rFonts w:ascii="宋体" w:hAnsi="宋体" w:cs="宋体"/>
                <w:color w:val="auto"/>
                <w:sz w:val="18"/>
                <w:szCs w:val="18"/>
              </w:rPr>
              <w:t>指派公司负责人全面统筹所经营管理食堂的食品安全、饭菜质量、内部管理等，每月应至少1次到食堂现场检查食品安全工作并留在检查影像资料和记录备查。</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9515B98">
            <w:pPr>
              <w:rPr>
                <w:rFonts w:ascii="宋体" w:hAnsi="宋体" w:cs="宋体"/>
                <w:color w:val="auto"/>
                <w:sz w:val="18"/>
                <w:szCs w:val="18"/>
              </w:rPr>
            </w:pPr>
            <w:r>
              <w:rPr>
                <w:rFonts w:hint="eastAsia" w:ascii="宋体" w:hAnsi="宋体" w:cs="宋体"/>
                <w:color w:val="auto"/>
                <w:sz w:val="18"/>
                <w:szCs w:val="18"/>
              </w:rPr>
              <w:t>材料检查</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52E3C74B">
            <w:pPr>
              <w:rPr>
                <w:rFonts w:ascii="宋体" w:hAnsi="宋体" w:cs="宋体"/>
                <w:color w:val="auto"/>
                <w:sz w:val="18"/>
                <w:szCs w:val="18"/>
              </w:rPr>
            </w:pPr>
            <w:r>
              <w:rPr>
                <w:rFonts w:hint="eastAsia" w:ascii="宋体" w:hAnsi="宋体" w:cs="宋体"/>
                <w:color w:val="auto"/>
                <w:sz w:val="18"/>
                <w:szCs w:val="18"/>
              </w:rPr>
              <w:t>未到现场或无记录或记录不全支付违约金</w:t>
            </w:r>
            <w:r>
              <w:rPr>
                <w:rFonts w:ascii="宋体" w:hAnsi="宋体" w:cs="宋体"/>
                <w:color w:val="auto"/>
                <w:sz w:val="18"/>
                <w:szCs w:val="18"/>
              </w:rPr>
              <w:t>5000元/次</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395E5B99">
            <w:pPr>
              <w:rPr>
                <w:rFonts w:ascii="宋体" w:hAnsi="宋体" w:cs="宋体"/>
                <w:color w:val="auto"/>
                <w:sz w:val="18"/>
                <w:szCs w:val="18"/>
              </w:rPr>
            </w:pPr>
            <w:r>
              <w:rPr>
                <w:rFonts w:hint="eastAsia" w:ascii="宋体" w:hAnsi="宋体" w:cs="宋体"/>
                <w:color w:val="auto"/>
                <w:sz w:val="18"/>
                <w:szCs w:val="18"/>
              </w:rPr>
              <w:t>未到现场或无记录或记录资料不全扣</w:t>
            </w:r>
            <w:r>
              <w:rPr>
                <w:rFonts w:ascii="宋体" w:hAnsi="宋体" w:cs="宋体"/>
                <w:color w:val="auto"/>
                <w:sz w:val="18"/>
                <w:szCs w:val="18"/>
              </w:rPr>
              <w:t>2分/次</w:t>
            </w:r>
          </w:p>
        </w:tc>
      </w:tr>
      <w:tr w14:paraId="00EB48E7">
        <w:tblPrEx>
          <w:tblCellMar>
            <w:top w:w="0" w:type="dxa"/>
            <w:left w:w="108" w:type="dxa"/>
            <w:bottom w:w="0" w:type="dxa"/>
            <w:right w:w="108" w:type="dxa"/>
          </w:tblCellMar>
        </w:tblPrEx>
        <w:trPr>
          <w:trHeight w:val="480" w:hRule="atLeast"/>
          <w:jc w:val="center"/>
        </w:trPr>
        <w:tc>
          <w:tcPr>
            <w:tcW w:w="499" w:type="dxa"/>
            <w:vMerge w:val="continue"/>
            <w:tcBorders>
              <w:left w:val="single" w:color="auto" w:sz="4" w:space="0"/>
              <w:right w:val="single" w:color="auto" w:sz="4" w:space="0"/>
            </w:tcBorders>
            <w:noWrap w:val="0"/>
            <w:vAlign w:val="center"/>
          </w:tcPr>
          <w:p w14:paraId="2CFDF7DC">
            <w:pPr>
              <w:rPr>
                <w:rFonts w:ascii="宋体" w:hAnsi="宋体" w:cs="宋体"/>
                <w:color w:val="auto"/>
                <w:sz w:val="18"/>
                <w:szCs w:val="18"/>
              </w:rPr>
            </w:pPr>
          </w:p>
        </w:tc>
        <w:tc>
          <w:tcPr>
            <w:tcW w:w="636" w:type="dxa"/>
            <w:vMerge w:val="continue"/>
            <w:tcBorders>
              <w:left w:val="single" w:color="auto" w:sz="4" w:space="0"/>
              <w:right w:val="single" w:color="auto" w:sz="4" w:space="0"/>
            </w:tcBorders>
            <w:noWrap w:val="0"/>
            <w:vAlign w:val="center"/>
          </w:tcPr>
          <w:p w14:paraId="42CA03F0">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noWrap w:val="0"/>
            <w:vAlign w:val="center"/>
          </w:tcPr>
          <w:p w14:paraId="763F2A7B">
            <w:pPr>
              <w:rPr>
                <w:rFonts w:ascii="宋体" w:hAnsi="宋体" w:cs="宋体"/>
                <w:color w:val="auto"/>
                <w:sz w:val="18"/>
                <w:szCs w:val="18"/>
              </w:rPr>
            </w:pPr>
            <w:r>
              <w:rPr>
                <w:rFonts w:ascii="宋体" w:hAnsi="宋体" w:cs="宋体"/>
                <w:color w:val="auto"/>
                <w:sz w:val="18"/>
                <w:szCs w:val="18"/>
              </w:rPr>
              <w:t>68.</w:t>
            </w:r>
            <w:r>
              <w:rPr>
                <w:rFonts w:hint="eastAsia" w:ascii="宋体" w:hAnsi="宋体" w:cs="宋体"/>
                <w:color w:val="auto"/>
                <w:sz w:val="18"/>
                <w:szCs w:val="18"/>
              </w:rPr>
              <w:t>数智食堂监管平台运行出现故障或者</w:t>
            </w:r>
            <w:r>
              <w:rPr>
                <w:rFonts w:hint="eastAsia" w:ascii="宋体" w:hAnsi="宋体" w:cs="宋体"/>
                <w:color w:val="auto"/>
                <w:sz w:val="18"/>
                <w:szCs w:val="18"/>
                <w:lang w:eastAsia="zh-CN"/>
              </w:rPr>
              <w:t>甲方</w:t>
            </w:r>
            <w:r>
              <w:rPr>
                <w:rFonts w:hint="eastAsia" w:ascii="宋体" w:hAnsi="宋体" w:cs="宋体"/>
                <w:color w:val="auto"/>
                <w:sz w:val="18"/>
                <w:szCs w:val="18"/>
              </w:rPr>
              <w:t>投诉</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E6629AD">
            <w:pPr>
              <w:rPr>
                <w:rFonts w:ascii="宋体" w:hAnsi="宋体" w:cs="宋体"/>
                <w:color w:val="auto"/>
                <w:sz w:val="18"/>
                <w:szCs w:val="18"/>
              </w:rPr>
            </w:pPr>
            <w:r>
              <w:rPr>
                <w:rFonts w:hint="eastAsia" w:ascii="宋体" w:hAnsi="宋体" w:cs="宋体"/>
                <w:color w:val="auto"/>
                <w:sz w:val="18"/>
                <w:szCs w:val="18"/>
              </w:rPr>
              <w:t>现场核实</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50274F21">
            <w:pPr>
              <w:rPr>
                <w:rFonts w:ascii="宋体" w:hAnsi="宋体" w:cs="宋体"/>
                <w:color w:val="auto"/>
                <w:sz w:val="18"/>
                <w:szCs w:val="18"/>
              </w:rPr>
            </w:pPr>
            <w:r>
              <w:rPr>
                <w:rFonts w:hint="eastAsia" w:ascii="宋体" w:hAnsi="宋体" w:cs="宋体"/>
                <w:color w:val="auto"/>
                <w:sz w:val="18"/>
                <w:szCs w:val="18"/>
              </w:rPr>
              <w:t>发现故障或者有效投诉，未及时整改的，经查实后支付违约金</w:t>
            </w:r>
            <w:r>
              <w:rPr>
                <w:rFonts w:ascii="宋体" w:hAnsi="宋体" w:cs="宋体"/>
                <w:color w:val="auto"/>
                <w:sz w:val="18"/>
                <w:szCs w:val="18"/>
              </w:rPr>
              <w:t>1000元/次。重大故障或有效投诉，经查实后支付违约金5000元/次</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2D2B4A25">
            <w:pPr>
              <w:rPr>
                <w:rFonts w:ascii="宋体" w:hAnsi="宋体" w:cs="宋体"/>
                <w:color w:val="auto"/>
                <w:sz w:val="18"/>
                <w:szCs w:val="18"/>
              </w:rPr>
            </w:pPr>
            <w:r>
              <w:rPr>
                <w:rFonts w:hint="eastAsia" w:ascii="宋体" w:hAnsi="宋体" w:cs="宋体"/>
                <w:color w:val="auto"/>
                <w:sz w:val="18"/>
                <w:szCs w:val="18"/>
              </w:rPr>
              <w:t>经查实后扣</w:t>
            </w:r>
            <w:r>
              <w:rPr>
                <w:rFonts w:ascii="宋体" w:hAnsi="宋体" w:cs="宋体"/>
                <w:color w:val="auto"/>
                <w:sz w:val="18"/>
                <w:szCs w:val="18"/>
              </w:rPr>
              <w:t>1分/处；重大故障或有效投诉，可以扣5分/次</w:t>
            </w:r>
          </w:p>
        </w:tc>
      </w:tr>
      <w:tr w14:paraId="6A307579">
        <w:tblPrEx>
          <w:tblCellMar>
            <w:top w:w="0" w:type="dxa"/>
            <w:left w:w="108" w:type="dxa"/>
            <w:bottom w:w="0" w:type="dxa"/>
            <w:right w:w="108" w:type="dxa"/>
          </w:tblCellMar>
        </w:tblPrEx>
        <w:trPr>
          <w:trHeight w:val="480" w:hRule="atLeast"/>
          <w:jc w:val="center"/>
        </w:trPr>
        <w:tc>
          <w:tcPr>
            <w:tcW w:w="499" w:type="dxa"/>
            <w:vMerge w:val="continue"/>
            <w:tcBorders>
              <w:left w:val="single" w:color="auto" w:sz="4" w:space="0"/>
              <w:right w:val="single" w:color="auto" w:sz="4" w:space="0"/>
            </w:tcBorders>
            <w:noWrap w:val="0"/>
            <w:vAlign w:val="center"/>
          </w:tcPr>
          <w:p w14:paraId="7B666560">
            <w:pPr>
              <w:rPr>
                <w:rFonts w:ascii="宋体" w:hAnsi="宋体" w:cs="宋体"/>
                <w:color w:val="auto"/>
                <w:sz w:val="18"/>
                <w:szCs w:val="18"/>
              </w:rPr>
            </w:pPr>
          </w:p>
        </w:tc>
        <w:tc>
          <w:tcPr>
            <w:tcW w:w="636" w:type="dxa"/>
            <w:vMerge w:val="continue"/>
            <w:tcBorders>
              <w:left w:val="single" w:color="auto" w:sz="4" w:space="0"/>
              <w:right w:val="single" w:color="auto" w:sz="4" w:space="0"/>
            </w:tcBorders>
            <w:noWrap w:val="0"/>
            <w:vAlign w:val="center"/>
          </w:tcPr>
          <w:p w14:paraId="08091195">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noWrap w:val="0"/>
            <w:vAlign w:val="center"/>
          </w:tcPr>
          <w:p w14:paraId="76BC1312">
            <w:pPr>
              <w:rPr>
                <w:rFonts w:ascii="宋体" w:hAnsi="宋体" w:cs="宋体"/>
                <w:color w:val="auto"/>
                <w:sz w:val="18"/>
                <w:szCs w:val="18"/>
              </w:rPr>
            </w:pPr>
            <w:r>
              <w:rPr>
                <w:rFonts w:ascii="宋体" w:hAnsi="宋体" w:cs="宋体"/>
                <w:color w:val="auto"/>
                <w:sz w:val="18"/>
                <w:szCs w:val="18"/>
              </w:rPr>
              <w:t>69.</w:t>
            </w:r>
            <w:r>
              <w:rPr>
                <w:rFonts w:hint="eastAsia" w:ascii="宋体" w:hAnsi="宋体" w:cs="宋体"/>
                <w:color w:val="auto"/>
                <w:sz w:val="18"/>
                <w:szCs w:val="18"/>
              </w:rPr>
              <w:t>数智食堂监管平台运行出现违反保密相关规定</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39C7534">
            <w:pPr>
              <w:rPr>
                <w:rFonts w:ascii="宋体" w:hAnsi="宋体" w:cs="宋体"/>
                <w:color w:val="auto"/>
                <w:sz w:val="18"/>
                <w:szCs w:val="18"/>
              </w:rPr>
            </w:pPr>
            <w:r>
              <w:rPr>
                <w:rFonts w:hint="eastAsia" w:ascii="宋体" w:hAnsi="宋体" w:cs="宋体"/>
                <w:color w:val="auto"/>
                <w:sz w:val="18"/>
                <w:szCs w:val="18"/>
              </w:rPr>
              <w:t>现场核实</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51EB10CF">
            <w:pPr>
              <w:rPr>
                <w:rFonts w:ascii="宋体" w:hAnsi="宋体" w:cs="宋体"/>
                <w:color w:val="auto"/>
                <w:sz w:val="18"/>
                <w:szCs w:val="18"/>
              </w:rPr>
            </w:pPr>
            <w:r>
              <w:rPr>
                <w:rFonts w:hint="eastAsia" w:ascii="宋体" w:hAnsi="宋体" w:cs="宋体"/>
                <w:color w:val="auto"/>
                <w:sz w:val="18"/>
                <w:szCs w:val="18"/>
              </w:rPr>
              <w:t>出现违反保密相关规定，经查实后支付违约金</w:t>
            </w:r>
            <w:r>
              <w:rPr>
                <w:rFonts w:ascii="宋体" w:hAnsi="宋体" w:cs="宋体"/>
                <w:color w:val="auto"/>
                <w:sz w:val="18"/>
                <w:szCs w:val="18"/>
              </w:rPr>
              <w:t>2000元/次。</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179CE484">
            <w:pPr>
              <w:rPr>
                <w:rFonts w:ascii="宋体" w:hAnsi="宋体" w:cs="宋体"/>
                <w:color w:val="auto"/>
                <w:sz w:val="18"/>
                <w:szCs w:val="18"/>
              </w:rPr>
            </w:pPr>
            <w:r>
              <w:rPr>
                <w:rFonts w:hint="eastAsia" w:ascii="宋体" w:hAnsi="宋体" w:cs="宋体"/>
                <w:color w:val="auto"/>
                <w:sz w:val="18"/>
                <w:szCs w:val="18"/>
              </w:rPr>
              <w:t>经查实后扣</w:t>
            </w:r>
            <w:r>
              <w:rPr>
                <w:rFonts w:ascii="宋体" w:hAnsi="宋体" w:cs="宋体"/>
                <w:color w:val="auto"/>
                <w:sz w:val="18"/>
                <w:szCs w:val="18"/>
              </w:rPr>
              <w:t>2分/次</w:t>
            </w:r>
          </w:p>
        </w:tc>
      </w:tr>
      <w:tr w14:paraId="325CB204">
        <w:tblPrEx>
          <w:tblCellMar>
            <w:top w:w="0" w:type="dxa"/>
            <w:left w:w="108" w:type="dxa"/>
            <w:bottom w:w="0" w:type="dxa"/>
            <w:right w:w="108" w:type="dxa"/>
          </w:tblCellMar>
        </w:tblPrEx>
        <w:trPr>
          <w:trHeight w:val="480" w:hRule="atLeast"/>
          <w:jc w:val="center"/>
        </w:trPr>
        <w:tc>
          <w:tcPr>
            <w:tcW w:w="499" w:type="dxa"/>
            <w:vMerge w:val="continue"/>
            <w:tcBorders>
              <w:left w:val="single" w:color="auto" w:sz="4" w:space="0"/>
              <w:right w:val="single" w:color="auto" w:sz="4" w:space="0"/>
            </w:tcBorders>
            <w:noWrap w:val="0"/>
            <w:vAlign w:val="center"/>
          </w:tcPr>
          <w:p w14:paraId="291C3786">
            <w:pPr>
              <w:rPr>
                <w:rFonts w:ascii="宋体" w:hAnsi="宋体" w:cs="宋体"/>
                <w:color w:val="auto"/>
                <w:sz w:val="18"/>
                <w:szCs w:val="18"/>
              </w:rPr>
            </w:pPr>
          </w:p>
        </w:tc>
        <w:tc>
          <w:tcPr>
            <w:tcW w:w="636" w:type="dxa"/>
            <w:vMerge w:val="continue"/>
            <w:tcBorders>
              <w:left w:val="single" w:color="auto" w:sz="4" w:space="0"/>
              <w:right w:val="single" w:color="auto" w:sz="4" w:space="0"/>
            </w:tcBorders>
            <w:noWrap w:val="0"/>
            <w:vAlign w:val="center"/>
          </w:tcPr>
          <w:p w14:paraId="259274AE">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noWrap w:val="0"/>
            <w:vAlign w:val="center"/>
          </w:tcPr>
          <w:p w14:paraId="3E030EF1">
            <w:pPr>
              <w:rPr>
                <w:rFonts w:ascii="宋体" w:hAnsi="宋体" w:cs="宋体"/>
                <w:color w:val="auto"/>
                <w:sz w:val="18"/>
                <w:szCs w:val="18"/>
              </w:rPr>
            </w:pPr>
            <w:r>
              <w:rPr>
                <w:rFonts w:ascii="宋体" w:hAnsi="宋体" w:cs="宋体"/>
                <w:color w:val="auto"/>
                <w:sz w:val="18"/>
                <w:szCs w:val="18"/>
              </w:rPr>
              <w:t>70.AI</w:t>
            </w:r>
            <w:r>
              <w:rPr>
                <w:rFonts w:hint="eastAsia" w:ascii="宋体" w:hAnsi="宋体" w:cs="宋体"/>
                <w:color w:val="auto"/>
                <w:sz w:val="18"/>
                <w:szCs w:val="18"/>
              </w:rPr>
              <w:t>抓拍违规事项：未戴口罩、未戴工帽、未穿工服、抽烟玩手机、垃圾桶未盖</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F215F62">
            <w:pPr>
              <w:rPr>
                <w:rFonts w:ascii="宋体" w:hAnsi="宋体" w:cs="宋体"/>
                <w:color w:val="auto"/>
                <w:sz w:val="18"/>
                <w:szCs w:val="18"/>
              </w:rPr>
            </w:pPr>
            <w:r>
              <w:rPr>
                <w:rFonts w:hint="eastAsia" w:ascii="宋体" w:hAnsi="宋体" w:cs="宋体"/>
                <w:color w:val="auto"/>
                <w:sz w:val="18"/>
                <w:szCs w:val="18"/>
              </w:rPr>
              <w:t>平台记录</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1E16CE49">
            <w:pPr>
              <w:rPr>
                <w:rFonts w:ascii="宋体" w:hAnsi="宋体" w:cs="宋体"/>
                <w:color w:val="auto"/>
                <w:sz w:val="18"/>
                <w:szCs w:val="18"/>
              </w:rPr>
            </w:pPr>
            <w:r>
              <w:rPr>
                <w:rFonts w:hint="eastAsia" w:ascii="宋体" w:hAnsi="宋体" w:cs="宋体"/>
                <w:color w:val="auto"/>
                <w:sz w:val="18"/>
                <w:szCs w:val="18"/>
              </w:rPr>
              <w:t>出现前述单项违规，支付</w:t>
            </w:r>
            <w:r>
              <w:rPr>
                <w:rFonts w:ascii="宋体" w:hAnsi="宋体" w:cs="宋体"/>
                <w:color w:val="auto"/>
                <w:sz w:val="18"/>
                <w:szCs w:val="18"/>
              </w:rPr>
              <w:t>违约金500元/次。</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62BBE445">
            <w:pPr>
              <w:rPr>
                <w:rFonts w:ascii="宋体" w:hAnsi="宋体" w:cs="宋体"/>
                <w:color w:val="auto"/>
                <w:sz w:val="18"/>
                <w:szCs w:val="18"/>
              </w:rPr>
            </w:pPr>
            <w:r>
              <w:rPr>
                <w:rFonts w:hint="eastAsia" w:ascii="宋体" w:hAnsi="宋体" w:cs="宋体"/>
                <w:color w:val="auto"/>
                <w:sz w:val="18"/>
                <w:szCs w:val="18"/>
              </w:rPr>
              <w:t>出现前述单项违规，每次扣</w:t>
            </w:r>
            <w:r>
              <w:rPr>
                <w:rFonts w:ascii="宋体" w:hAnsi="宋体" w:cs="宋体"/>
                <w:color w:val="auto"/>
                <w:sz w:val="18"/>
                <w:szCs w:val="18"/>
              </w:rPr>
              <w:t>0.5</w:t>
            </w:r>
            <w:r>
              <w:rPr>
                <w:rFonts w:hint="eastAsia" w:ascii="宋体" w:hAnsi="宋体" w:cs="宋体"/>
                <w:color w:val="auto"/>
                <w:sz w:val="18"/>
                <w:szCs w:val="18"/>
              </w:rPr>
              <w:t>分</w:t>
            </w:r>
          </w:p>
        </w:tc>
      </w:tr>
      <w:tr w14:paraId="5635EB3E">
        <w:tblPrEx>
          <w:tblCellMar>
            <w:top w:w="0" w:type="dxa"/>
            <w:left w:w="108" w:type="dxa"/>
            <w:bottom w:w="0" w:type="dxa"/>
            <w:right w:w="108" w:type="dxa"/>
          </w:tblCellMar>
        </w:tblPrEx>
        <w:trPr>
          <w:trHeight w:val="480" w:hRule="atLeast"/>
          <w:jc w:val="center"/>
        </w:trPr>
        <w:tc>
          <w:tcPr>
            <w:tcW w:w="499" w:type="dxa"/>
            <w:vMerge w:val="continue"/>
            <w:tcBorders>
              <w:left w:val="single" w:color="auto" w:sz="4" w:space="0"/>
              <w:right w:val="single" w:color="auto" w:sz="4" w:space="0"/>
            </w:tcBorders>
            <w:noWrap w:val="0"/>
            <w:vAlign w:val="center"/>
          </w:tcPr>
          <w:p w14:paraId="3F4277CC">
            <w:pPr>
              <w:rPr>
                <w:rFonts w:ascii="宋体" w:hAnsi="宋体" w:cs="宋体"/>
                <w:color w:val="auto"/>
                <w:sz w:val="18"/>
                <w:szCs w:val="18"/>
              </w:rPr>
            </w:pPr>
          </w:p>
        </w:tc>
        <w:tc>
          <w:tcPr>
            <w:tcW w:w="636" w:type="dxa"/>
            <w:vMerge w:val="continue"/>
            <w:tcBorders>
              <w:left w:val="single" w:color="auto" w:sz="4" w:space="0"/>
              <w:right w:val="single" w:color="auto" w:sz="4" w:space="0"/>
            </w:tcBorders>
            <w:noWrap w:val="0"/>
            <w:vAlign w:val="center"/>
          </w:tcPr>
          <w:p w14:paraId="6EDD243F">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noWrap w:val="0"/>
            <w:vAlign w:val="center"/>
          </w:tcPr>
          <w:p w14:paraId="27FB19AD">
            <w:pPr>
              <w:rPr>
                <w:rFonts w:ascii="宋体" w:hAnsi="宋体" w:cs="宋体"/>
                <w:color w:val="auto"/>
                <w:sz w:val="18"/>
                <w:szCs w:val="18"/>
              </w:rPr>
            </w:pPr>
            <w:r>
              <w:rPr>
                <w:rFonts w:ascii="宋体" w:hAnsi="宋体" w:cs="宋体"/>
                <w:color w:val="auto"/>
                <w:sz w:val="18"/>
                <w:szCs w:val="18"/>
              </w:rPr>
              <w:t>71.</w:t>
            </w:r>
            <w:r>
              <w:rPr>
                <w:rFonts w:hint="eastAsia" w:ascii="宋体" w:hAnsi="宋体" w:cs="宋体"/>
                <w:color w:val="auto"/>
                <w:sz w:val="18"/>
                <w:szCs w:val="18"/>
              </w:rPr>
              <w:t>人员晨检异常、库房温湿度异常、未规范放置挡鼠板、碗筷消毒不达标、农残超标、紫外线消毒不达标、冰箱温度异常、未留样未销样、陌生人闯入</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6A46EA6">
            <w:pPr>
              <w:rPr>
                <w:rFonts w:ascii="宋体" w:hAnsi="宋体" w:cs="宋体"/>
                <w:color w:val="auto"/>
                <w:sz w:val="18"/>
                <w:szCs w:val="18"/>
              </w:rPr>
            </w:pPr>
            <w:r>
              <w:rPr>
                <w:rFonts w:hint="eastAsia" w:ascii="宋体" w:hAnsi="宋体" w:cs="宋体"/>
                <w:color w:val="auto"/>
                <w:sz w:val="18"/>
                <w:szCs w:val="18"/>
              </w:rPr>
              <w:t>平台记录</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0BF8ACF0">
            <w:pPr>
              <w:rPr>
                <w:rFonts w:ascii="宋体" w:hAnsi="宋体" w:cs="宋体"/>
                <w:color w:val="auto"/>
                <w:sz w:val="18"/>
                <w:szCs w:val="18"/>
              </w:rPr>
            </w:pPr>
            <w:r>
              <w:rPr>
                <w:rFonts w:hint="eastAsia" w:ascii="宋体" w:hAnsi="宋体" w:cs="宋体"/>
                <w:color w:val="auto"/>
                <w:sz w:val="18"/>
                <w:szCs w:val="18"/>
              </w:rPr>
              <w:t>出现前述单项违规，支付</w:t>
            </w:r>
            <w:r>
              <w:rPr>
                <w:rFonts w:ascii="宋体" w:hAnsi="宋体" w:cs="宋体"/>
                <w:color w:val="auto"/>
                <w:sz w:val="18"/>
                <w:szCs w:val="18"/>
              </w:rPr>
              <w:t>违约金500元/次。</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4FD0E101">
            <w:pPr>
              <w:rPr>
                <w:rFonts w:ascii="宋体" w:hAnsi="宋体" w:cs="宋体"/>
                <w:color w:val="auto"/>
                <w:sz w:val="18"/>
                <w:szCs w:val="18"/>
              </w:rPr>
            </w:pPr>
            <w:r>
              <w:rPr>
                <w:rFonts w:hint="eastAsia" w:ascii="宋体" w:hAnsi="宋体" w:cs="宋体"/>
                <w:color w:val="auto"/>
                <w:sz w:val="18"/>
                <w:szCs w:val="18"/>
              </w:rPr>
              <w:t>出现前述单项违规，每次扣</w:t>
            </w:r>
            <w:r>
              <w:rPr>
                <w:rFonts w:ascii="宋体" w:hAnsi="宋体" w:cs="宋体"/>
                <w:color w:val="auto"/>
                <w:sz w:val="18"/>
                <w:szCs w:val="18"/>
              </w:rPr>
              <w:t>0.5</w:t>
            </w:r>
            <w:r>
              <w:rPr>
                <w:rFonts w:hint="eastAsia" w:ascii="宋体" w:hAnsi="宋体" w:cs="宋体"/>
                <w:color w:val="auto"/>
                <w:sz w:val="18"/>
                <w:szCs w:val="18"/>
              </w:rPr>
              <w:t>分</w:t>
            </w:r>
          </w:p>
        </w:tc>
      </w:tr>
      <w:tr w14:paraId="3263E72E">
        <w:tblPrEx>
          <w:tblCellMar>
            <w:top w:w="0" w:type="dxa"/>
            <w:left w:w="108" w:type="dxa"/>
            <w:bottom w:w="0" w:type="dxa"/>
            <w:right w:w="108" w:type="dxa"/>
          </w:tblCellMar>
        </w:tblPrEx>
        <w:trPr>
          <w:trHeight w:val="480" w:hRule="atLeast"/>
          <w:jc w:val="center"/>
        </w:trPr>
        <w:tc>
          <w:tcPr>
            <w:tcW w:w="499" w:type="dxa"/>
            <w:vMerge w:val="continue"/>
            <w:tcBorders>
              <w:left w:val="single" w:color="auto" w:sz="4" w:space="0"/>
              <w:right w:val="single" w:color="auto" w:sz="4" w:space="0"/>
            </w:tcBorders>
            <w:noWrap w:val="0"/>
            <w:vAlign w:val="center"/>
          </w:tcPr>
          <w:p w14:paraId="11EAF3AC">
            <w:pPr>
              <w:rPr>
                <w:rFonts w:ascii="宋体" w:hAnsi="宋体" w:cs="宋体"/>
                <w:color w:val="auto"/>
                <w:sz w:val="18"/>
                <w:szCs w:val="18"/>
              </w:rPr>
            </w:pPr>
          </w:p>
        </w:tc>
        <w:tc>
          <w:tcPr>
            <w:tcW w:w="636" w:type="dxa"/>
            <w:vMerge w:val="continue"/>
            <w:tcBorders>
              <w:left w:val="single" w:color="auto" w:sz="4" w:space="0"/>
              <w:right w:val="single" w:color="auto" w:sz="4" w:space="0"/>
            </w:tcBorders>
            <w:noWrap w:val="0"/>
            <w:vAlign w:val="center"/>
          </w:tcPr>
          <w:p w14:paraId="69D9B5DE">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noWrap w:val="0"/>
            <w:vAlign w:val="center"/>
          </w:tcPr>
          <w:p w14:paraId="74A6546D">
            <w:pPr>
              <w:rPr>
                <w:rFonts w:ascii="宋体" w:hAnsi="宋体" w:cs="宋体"/>
                <w:color w:val="auto"/>
                <w:sz w:val="18"/>
                <w:szCs w:val="18"/>
              </w:rPr>
            </w:pPr>
            <w:r>
              <w:rPr>
                <w:rFonts w:ascii="宋体" w:hAnsi="宋体" w:cs="宋体"/>
                <w:color w:val="auto"/>
                <w:sz w:val="18"/>
                <w:szCs w:val="18"/>
              </w:rPr>
              <w:t>72.</w:t>
            </w:r>
            <w:r>
              <w:rPr>
                <w:rFonts w:hint="eastAsia" w:ascii="宋体" w:hAnsi="宋体" w:cs="宋体"/>
                <w:color w:val="auto"/>
                <w:sz w:val="18"/>
                <w:szCs w:val="18"/>
              </w:rPr>
              <w:t>出现</w:t>
            </w:r>
            <w:r>
              <w:rPr>
                <w:rFonts w:ascii="宋体" w:hAnsi="宋体" w:cs="宋体"/>
                <w:color w:val="auto"/>
                <w:sz w:val="18"/>
                <w:szCs w:val="18"/>
              </w:rPr>
              <w:t>AI</w:t>
            </w:r>
            <w:r>
              <w:rPr>
                <w:rFonts w:hint="eastAsia" w:ascii="宋体" w:hAnsi="宋体" w:cs="宋体"/>
                <w:color w:val="auto"/>
                <w:sz w:val="18"/>
                <w:szCs w:val="18"/>
              </w:rPr>
              <w:t>生物抓拍（老鼠等）、油锅离岗等事件</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362835C">
            <w:pPr>
              <w:rPr>
                <w:rFonts w:ascii="宋体" w:hAnsi="宋体" w:cs="宋体"/>
                <w:color w:val="auto"/>
                <w:sz w:val="18"/>
                <w:szCs w:val="18"/>
              </w:rPr>
            </w:pPr>
            <w:r>
              <w:rPr>
                <w:rFonts w:hint="eastAsia" w:ascii="宋体" w:hAnsi="宋体" w:cs="宋体"/>
                <w:color w:val="auto"/>
                <w:sz w:val="18"/>
                <w:szCs w:val="18"/>
              </w:rPr>
              <w:t>平台记录</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568B06E8">
            <w:pPr>
              <w:rPr>
                <w:rFonts w:ascii="宋体" w:hAnsi="宋体" w:cs="宋体"/>
                <w:color w:val="auto"/>
                <w:sz w:val="18"/>
                <w:szCs w:val="18"/>
              </w:rPr>
            </w:pPr>
            <w:r>
              <w:rPr>
                <w:rFonts w:hint="eastAsia" w:ascii="宋体" w:hAnsi="宋体" w:cs="宋体"/>
                <w:color w:val="auto"/>
                <w:sz w:val="18"/>
                <w:szCs w:val="18"/>
              </w:rPr>
              <w:t>出现前述单项违规，支付</w:t>
            </w:r>
            <w:r>
              <w:rPr>
                <w:rFonts w:ascii="宋体" w:hAnsi="宋体" w:cs="宋体"/>
                <w:color w:val="auto"/>
                <w:sz w:val="18"/>
                <w:szCs w:val="18"/>
              </w:rPr>
              <w:t>违约金5000元/次。</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670660AB">
            <w:pPr>
              <w:rPr>
                <w:rFonts w:ascii="宋体" w:hAnsi="宋体" w:cs="宋体"/>
                <w:color w:val="auto"/>
                <w:sz w:val="18"/>
                <w:szCs w:val="18"/>
              </w:rPr>
            </w:pPr>
            <w:r>
              <w:rPr>
                <w:rFonts w:hint="eastAsia" w:ascii="宋体" w:hAnsi="宋体" w:cs="宋体"/>
                <w:color w:val="auto"/>
                <w:sz w:val="18"/>
                <w:szCs w:val="18"/>
              </w:rPr>
              <w:t>出现前述单项违规，每次扣</w:t>
            </w:r>
            <w:r>
              <w:rPr>
                <w:rFonts w:ascii="宋体" w:hAnsi="宋体" w:cs="宋体"/>
                <w:color w:val="auto"/>
                <w:sz w:val="18"/>
                <w:szCs w:val="18"/>
              </w:rPr>
              <w:t>5</w:t>
            </w:r>
            <w:r>
              <w:rPr>
                <w:rFonts w:hint="eastAsia" w:ascii="宋体" w:hAnsi="宋体" w:cs="宋体"/>
                <w:color w:val="auto"/>
                <w:sz w:val="18"/>
                <w:szCs w:val="18"/>
              </w:rPr>
              <w:t>分</w:t>
            </w:r>
          </w:p>
        </w:tc>
      </w:tr>
      <w:tr w14:paraId="2F0A82B2">
        <w:tblPrEx>
          <w:tblCellMar>
            <w:top w:w="0" w:type="dxa"/>
            <w:left w:w="108" w:type="dxa"/>
            <w:bottom w:w="0" w:type="dxa"/>
            <w:right w:w="108" w:type="dxa"/>
          </w:tblCellMar>
        </w:tblPrEx>
        <w:trPr>
          <w:trHeight w:val="480" w:hRule="atLeast"/>
          <w:jc w:val="center"/>
        </w:trPr>
        <w:tc>
          <w:tcPr>
            <w:tcW w:w="499" w:type="dxa"/>
            <w:tcBorders>
              <w:left w:val="single" w:color="auto" w:sz="4" w:space="0"/>
              <w:bottom w:val="single" w:color="auto" w:sz="4" w:space="0"/>
              <w:right w:val="single" w:color="auto" w:sz="4" w:space="0"/>
            </w:tcBorders>
            <w:noWrap w:val="0"/>
            <w:vAlign w:val="center"/>
          </w:tcPr>
          <w:p w14:paraId="025B2C7F">
            <w:pPr>
              <w:rPr>
                <w:rFonts w:ascii="宋体" w:hAnsi="宋体" w:cs="宋体"/>
                <w:color w:val="auto"/>
                <w:sz w:val="18"/>
                <w:szCs w:val="18"/>
              </w:rPr>
            </w:pPr>
            <w:r>
              <w:rPr>
                <w:rFonts w:hint="eastAsia" w:ascii="宋体" w:hAnsi="宋体" w:cs="宋体"/>
                <w:color w:val="auto"/>
                <w:sz w:val="18"/>
                <w:szCs w:val="18"/>
              </w:rPr>
              <w:t>+</w:t>
            </w:r>
          </w:p>
        </w:tc>
        <w:tc>
          <w:tcPr>
            <w:tcW w:w="636" w:type="dxa"/>
            <w:vMerge w:val="continue"/>
            <w:tcBorders>
              <w:left w:val="single" w:color="auto" w:sz="4" w:space="0"/>
              <w:bottom w:val="single" w:color="auto" w:sz="4" w:space="0"/>
              <w:right w:val="single" w:color="auto" w:sz="4" w:space="0"/>
            </w:tcBorders>
            <w:noWrap w:val="0"/>
            <w:vAlign w:val="center"/>
          </w:tcPr>
          <w:p w14:paraId="1F92B4EF">
            <w:pPr>
              <w:rPr>
                <w:rFonts w:ascii="宋体" w:hAnsi="宋体" w:cs="宋体"/>
                <w:color w:val="auto"/>
                <w:sz w:val="18"/>
                <w:szCs w:val="18"/>
              </w:rPr>
            </w:pPr>
          </w:p>
        </w:tc>
        <w:tc>
          <w:tcPr>
            <w:tcW w:w="3827" w:type="dxa"/>
            <w:gridSpan w:val="2"/>
            <w:tcBorders>
              <w:top w:val="single" w:color="auto" w:sz="4" w:space="0"/>
              <w:left w:val="single" w:color="auto" w:sz="4" w:space="0"/>
              <w:bottom w:val="single" w:color="auto" w:sz="4" w:space="0"/>
              <w:right w:val="single" w:color="auto" w:sz="4" w:space="0"/>
            </w:tcBorders>
            <w:noWrap w:val="0"/>
            <w:vAlign w:val="center"/>
          </w:tcPr>
          <w:p w14:paraId="47BD209F">
            <w:pPr>
              <w:rPr>
                <w:rFonts w:ascii="宋体" w:hAnsi="宋体" w:cs="宋体"/>
                <w:color w:val="auto"/>
                <w:sz w:val="18"/>
                <w:szCs w:val="18"/>
              </w:rPr>
            </w:pPr>
            <w:r>
              <w:rPr>
                <w:rFonts w:ascii="宋体" w:hAnsi="宋体" w:cs="宋体"/>
                <w:color w:val="auto"/>
                <w:sz w:val="18"/>
                <w:szCs w:val="18"/>
              </w:rPr>
              <w:t>73.</w:t>
            </w:r>
            <w:r>
              <w:rPr>
                <w:rFonts w:hint="eastAsia" w:ascii="宋体" w:hAnsi="宋体" w:cs="宋体"/>
                <w:color w:val="auto"/>
                <w:sz w:val="18"/>
                <w:szCs w:val="18"/>
              </w:rPr>
              <w:t>投诉经查实或</w:t>
            </w:r>
            <w:r>
              <w:rPr>
                <w:rFonts w:hint="eastAsia" w:ascii="宋体" w:hAnsi="宋体" w:cs="宋体"/>
                <w:color w:val="auto"/>
                <w:sz w:val="18"/>
                <w:szCs w:val="18"/>
                <w:lang w:eastAsia="zh-CN"/>
              </w:rPr>
              <w:t>甲方</w:t>
            </w:r>
            <w:r>
              <w:rPr>
                <w:rFonts w:hint="eastAsia" w:ascii="宋体" w:hAnsi="宋体" w:cs="宋体"/>
                <w:color w:val="auto"/>
                <w:sz w:val="18"/>
                <w:szCs w:val="18"/>
              </w:rPr>
              <w:t>监管发现或数智食堂监管平台发现的其它违规情况</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330F347">
            <w:pPr>
              <w:rPr>
                <w:rFonts w:ascii="宋体" w:hAnsi="宋体" w:cs="宋体"/>
                <w:color w:val="auto"/>
                <w:sz w:val="18"/>
                <w:szCs w:val="18"/>
              </w:rPr>
            </w:pPr>
            <w:r>
              <w:rPr>
                <w:rFonts w:hint="eastAsia" w:ascii="宋体" w:hAnsi="宋体" w:cs="宋体"/>
                <w:color w:val="auto"/>
                <w:sz w:val="18"/>
                <w:szCs w:val="18"/>
              </w:rPr>
              <w:t>现场核实或平台记录</w:t>
            </w:r>
          </w:p>
        </w:tc>
        <w:tc>
          <w:tcPr>
            <w:tcW w:w="2693" w:type="dxa"/>
            <w:tcBorders>
              <w:top w:val="single" w:color="auto" w:sz="4" w:space="0"/>
              <w:left w:val="single" w:color="auto" w:sz="4" w:space="0"/>
              <w:bottom w:val="single" w:color="auto" w:sz="4" w:space="0"/>
              <w:right w:val="single" w:color="auto" w:sz="4" w:space="0"/>
            </w:tcBorders>
            <w:noWrap w:val="0"/>
            <w:vAlign w:val="center"/>
          </w:tcPr>
          <w:p w14:paraId="15515069">
            <w:pPr>
              <w:rPr>
                <w:rFonts w:ascii="宋体" w:hAnsi="宋体" w:cs="宋体"/>
                <w:color w:val="auto"/>
                <w:sz w:val="18"/>
                <w:szCs w:val="18"/>
              </w:rPr>
            </w:pPr>
            <w:r>
              <w:rPr>
                <w:rFonts w:hint="eastAsia" w:ascii="宋体" w:hAnsi="宋体" w:cs="宋体"/>
                <w:color w:val="auto"/>
                <w:sz w:val="18"/>
                <w:szCs w:val="18"/>
              </w:rPr>
              <w:t>经查实后，本考核前款已约定处罚的按前款约定处罚，前款未约定处罚的根据情节严重情况支付违约金</w:t>
            </w:r>
            <w:r>
              <w:rPr>
                <w:rFonts w:ascii="宋体" w:hAnsi="宋体" w:cs="宋体"/>
                <w:color w:val="auto"/>
                <w:sz w:val="18"/>
                <w:szCs w:val="18"/>
              </w:rPr>
              <w:t>500-10000元/次</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01BC604E">
            <w:pPr>
              <w:rPr>
                <w:rFonts w:ascii="宋体" w:hAnsi="宋体" w:cs="宋体"/>
                <w:color w:val="auto"/>
                <w:sz w:val="18"/>
                <w:szCs w:val="18"/>
              </w:rPr>
            </w:pPr>
            <w:r>
              <w:rPr>
                <w:rFonts w:hint="eastAsia" w:ascii="宋体" w:hAnsi="宋体" w:cs="宋体"/>
                <w:color w:val="auto"/>
                <w:sz w:val="18"/>
                <w:szCs w:val="18"/>
              </w:rPr>
              <w:t>经查实后扣</w:t>
            </w:r>
            <w:r>
              <w:rPr>
                <w:rFonts w:ascii="宋体" w:hAnsi="宋体" w:cs="宋体"/>
                <w:color w:val="auto"/>
                <w:sz w:val="18"/>
                <w:szCs w:val="18"/>
              </w:rPr>
              <w:t>0.5-5分/次</w:t>
            </w:r>
          </w:p>
        </w:tc>
      </w:tr>
    </w:tbl>
    <w:p w14:paraId="585E1E82">
      <w:pPr>
        <w:spacing w:line="400" w:lineRule="exact"/>
        <w:ind w:firstLine="480" w:firstLineChars="200"/>
        <w:jc w:val="left"/>
        <w:rPr>
          <w:rFonts w:ascii="宋体" w:hAnsi="宋体" w:cs="宋体"/>
          <w:color w:val="auto"/>
          <w:sz w:val="24"/>
          <w:szCs w:val="24"/>
        </w:rPr>
      </w:pPr>
      <w:r>
        <w:rPr>
          <w:rFonts w:hint="eastAsia" w:ascii="宋体" w:hAnsi="宋体" w:cs="宋体"/>
          <w:bCs/>
          <w:color w:val="auto"/>
          <w:sz w:val="24"/>
          <w:szCs w:val="24"/>
        </w:rPr>
        <w:t>备注：</w:t>
      </w:r>
      <w:r>
        <w:rPr>
          <w:rFonts w:ascii="宋体" w:hAnsi="宋体" w:cs="宋体"/>
          <w:color w:val="auto"/>
          <w:sz w:val="24"/>
          <w:szCs w:val="24"/>
        </w:rPr>
        <w:t>1.</w:t>
      </w:r>
      <w:r>
        <w:rPr>
          <w:rFonts w:hint="eastAsia" w:ascii="宋体" w:hAnsi="宋体" w:cs="宋体"/>
          <w:color w:val="auto"/>
          <w:sz w:val="24"/>
          <w:szCs w:val="24"/>
          <w:lang w:eastAsia="zh-CN"/>
        </w:rPr>
        <w:t>甲方</w:t>
      </w:r>
      <w:r>
        <w:rPr>
          <w:rFonts w:ascii="宋体" w:hAnsi="宋体" w:cs="宋体"/>
          <w:color w:val="auto"/>
          <w:sz w:val="24"/>
          <w:szCs w:val="24"/>
        </w:rPr>
        <w:t>可根据实际情况对日常考核实施细则进行修订，</w:t>
      </w:r>
      <w:r>
        <w:rPr>
          <w:rFonts w:hint="eastAsia" w:ascii="宋体" w:hAnsi="宋体" w:cs="宋体"/>
          <w:color w:val="auto"/>
          <w:sz w:val="24"/>
          <w:szCs w:val="24"/>
          <w:lang w:eastAsia="zh-CN"/>
        </w:rPr>
        <w:t>乙方</w:t>
      </w:r>
      <w:r>
        <w:rPr>
          <w:rFonts w:hint="eastAsia" w:ascii="宋体" w:hAnsi="宋体" w:cs="宋体"/>
          <w:color w:val="auto"/>
          <w:sz w:val="24"/>
          <w:szCs w:val="24"/>
        </w:rPr>
        <w:t>须按修订后的办法执行。</w:t>
      </w:r>
    </w:p>
    <w:p w14:paraId="044B8E10">
      <w:pPr>
        <w:spacing w:line="400" w:lineRule="exact"/>
        <w:ind w:firstLine="480" w:firstLineChars="200"/>
        <w:jc w:val="left"/>
        <w:rPr>
          <w:rFonts w:ascii="宋体" w:hAnsi="宋体" w:cs="宋体"/>
          <w:color w:val="auto"/>
          <w:sz w:val="24"/>
          <w:szCs w:val="24"/>
        </w:rPr>
      </w:pPr>
      <w:r>
        <w:rPr>
          <w:rFonts w:ascii="宋体" w:hAnsi="宋体" w:cs="宋体"/>
          <w:color w:val="auto"/>
          <w:sz w:val="24"/>
          <w:szCs w:val="24"/>
        </w:rPr>
        <w:t>2.上述违约金均从</w:t>
      </w:r>
      <w:r>
        <w:rPr>
          <w:rFonts w:hint="eastAsia" w:ascii="宋体" w:hAnsi="宋体" w:cs="宋体"/>
          <w:color w:val="auto"/>
          <w:sz w:val="24"/>
          <w:szCs w:val="24"/>
          <w:lang w:eastAsia="zh-CN"/>
        </w:rPr>
        <w:t>乙方</w:t>
      </w:r>
      <w:r>
        <w:rPr>
          <w:rFonts w:hint="eastAsia" w:ascii="宋体" w:hAnsi="宋体" w:cs="宋体"/>
          <w:color w:val="auto"/>
          <w:sz w:val="24"/>
          <w:szCs w:val="24"/>
        </w:rPr>
        <w:t>最近一次营业款中扣除并按</w:t>
      </w:r>
      <w:r>
        <w:rPr>
          <w:rFonts w:hint="eastAsia" w:ascii="宋体" w:hAnsi="宋体" w:cs="宋体"/>
          <w:color w:val="auto"/>
          <w:sz w:val="24"/>
          <w:szCs w:val="24"/>
          <w:lang w:eastAsia="zh-CN"/>
        </w:rPr>
        <w:t>甲方</w:t>
      </w:r>
      <w:r>
        <w:rPr>
          <w:rFonts w:hint="eastAsia" w:ascii="宋体" w:hAnsi="宋体" w:cs="宋体"/>
          <w:color w:val="auto"/>
          <w:sz w:val="24"/>
          <w:szCs w:val="24"/>
        </w:rPr>
        <w:t>要求及时整改。</w:t>
      </w:r>
    </w:p>
    <w:p w14:paraId="4CBA4621">
      <w:pPr>
        <w:spacing w:before="167" w:line="223" w:lineRule="auto"/>
        <w:rPr>
          <w:rFonts w:hint="eastAsia" w:ascii="宋体" w:hAnsi="宋体" w:eastAsia="宋体" w:cs="宋体"/>
          <w:color w:val="auto"/>
          <w:spacing w:val="8"/>
          <w:sz w:val="24"/>
          <w:szCs w:val="24"/>
          <w:highlight w:val="none"/>
          <w:lang w:val="en-US" w:eastAsia="zh-CN"/>
        </w:rPr>
      </w:pPr>
    </w:p>
    <w:p w14:paraId="367D7AC1">
      <w:pPr>
        <w:spacing w:before="167" w:line="223" w:lineRule="auto"/>
        <w:rPr>
          <w:rFonts w:hint="eastAsia" w:ascii="宋体" w:hAnsi="宋体" w:eastAsia="宋体" w:cs="宋体"/>
          <w:color w:val="auto"/>
          <w:spacing w:val="8"/>
          <w:sz w:val="24"/>
          <w:szCs w:val="24"/>
          <w:highlight w:val="none"/>
          <w:lang w:val="en-US" w:eastAsia="zh-CN"/>
        </w:rPr>
      </w:pPr>
    </w:p>
    <w:p w14:paraId="219FC60D">
      <w:pPr>
        <w:spacing w:before="167" w:line="223" w:lineRule="auto"/>
        <w:rPr>
          <w:rFonts w:hint="eastAsia" w:ascii="宋体" w:hAnsi="宋体" w:eastAsia="宋体" w:cs="宋体"/>
          <w:color w:val="auto"/>
          <w:spacing w:val="8"/>
          <w:sz w:val="24"/>
          <w:szCs w:val="24"/>
          <w:highlight w:val="none"/>
          <w:lang w:val="en-US" w:eastAsia="zh-CN"/>
        </w:rPr>
      </w:pPr>
    </w:p>
    <w:p w14:paraId="1D89092D">
      <w:pPr>
        <w:spacing w:before="167" w:line="223" w:lineRule="auto"/>
        <w:rPr>
          <w:rFonts w:hint="eastAsia" w:ascii="宋体" w:hAnsi="宋体" w:eastAsia="宋体" w:cs="宋体"/>
          <w:color w:val="auto"/>
          <w:spacing w:val="8"/>
          <w:sz w:val="24"/>
          <w:szCs w:val="24"/>
          <w:highlight w:val="none"/>
          <w:lang w:val="en-US" w:eastAsia="zh-CN"/>
        </w:rPr>
      </w:pPr>
      <w:r>
        <w:rPr>
          <w:rFonts w:hint="eastAsia" w:ascii="宋体" w:hAnsi="宋体" w:eastAsia="宋体" w:cs="宋体"/>
          <w:color w:val="auto"/>
          <w:spacing w:val="8"/>
          <w:sz w:val="24"/>
          <w:szCs w:val="24"/>
          <w:highlight w:val="none"/>
          <w:lang w:val="en-US" w:eastAsia="zh-CN"/>
        </w:rPr>
        <w:t>附件二：</w:t>
      </w:r>
      <w:r>
        <w:rPr>
          <w:rFonts w:hint="eastAsia" w:ascii="宋体" w:hAnsi="宋体" w:eastAsia="宋体" w:cs="宋体"/>
          <w:color w:val="auto"/>
          <w:sz w:val="24"/>
          <w:szCs w:val="24"/>
          <w:lang w:val="en-US" w:eastAsia="zh-CN"/>
        </w:rPr>
        <w:t>“</w:t>
      </w:r>
      <w:r>
        <w:rPr>
          <w:rFonts w:hint="eastAsia" w:ascii="宋体" w:hAnsi="宋体" w:eastAsia="宋体" w:cs="宋体"/>
          <w:color w:val="auto"/>
          <w:sz w:val="28"/>
          <w:szCs w:val="28"/>
        </w:rPr>
        <w:t>数智食堂”食堂数智化设备建设要求</w:t>
      </w:r>
    </w:p>
    <w:p w14:paraId="7923AF45">
      <w:pPr>
        <w:spacing w:line="480" w:lineRule="exact"/>
        <w:jc w:val="left"/>
        <w:rPr>
          <w:rFonts w:hint="eastAsia" w:ascii="宋体" w:hAnsi="宋体" w:eastAsia="宋体" w:cs="宋体"/>
          <w:color w:val="auto"/>
          <w:sz w:val="28"/>
          <w:szCs w:val="28"/>
        </w:rPr>
      </w:pPr>
      <w:r>
        <w:rPr>
          <w:rFonts w:hint="eastAsia" w:ascii="宋体" w:hAnsi="宋体" w:eastAsia="宋体" w:cs="宋体"/>
          <w:color w:val="auto"/>
          <w:sz w:val="28"/>
          <w:szCs w:val="28"/>
        </w:rPr>
        <w:t>表一：数智食堂”学校食安监管平台建设要求（包3）</w:t>
      </w:r>
    </w:p>
    <w:tbl>
      <w:tblPr>
        <w:tblStyle w:val="59"/>
        <w:tblW w:w="53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7367"/>
        <w:gridCol w:w="962"/>
        <w:gridCol w:w="962"/>
      </w:tblGrid>
      <w:tr w14:paraId="46739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5000" w:type="pct"/>
            <w:gridSpan w:val="4"/>
            <w:noWrap/>
            <w:vAlign w:val="center"/>
          </w:tcPr>
          <w:p w14:paraId="03D701D9">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4"/>
                <w:szCs w:val="24"/>
              </w:rPr>
            </w:pPr>
            <w:r>
              <w:rPr>
                <w:rFonts w:hint="eastAsia" w:ascii="宋体" w:hAnsi="宋体" w:eastAsia="宋体" w:cs="宋体"/>
                <w:bCs/>
                <w:color w:val="auto"/>
                <w:sz w:val="24"/>
                <w:szCs w:val="24"/>
              </w:rPr>
              <w:t>“</w:t>
            </w:r>
            <w:bookmarkStart w:id="194" w:name="OLE_LINK51"/>
            <w:r>
              <w:rPr>
                <w:rFonts w:hint="eastAsia" w:ascii="宋体" w:hAnsi="宋体" w:eastAsia="宋体" w:cs="宋体"/>
                <w:bCs/>
                <w:color w:val="auto"/>
                <w:sz w:val="24"/>
                <w:szCs w:val="24"/>
              </w:rPr>
              <w:t>数智食堂”学校食安监管平台建设要求（包3）</w:t>
            </w:r>
            <w:bookmarkEnd w:id="194"/>
          </w:p>
        </w:tc>
      </w:tr>
      <w:tr w14:paraId="5DE12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68" w:type="pct"/>
            <w:noWrap/>
            <w:vAlign w:val="center"/>
          </w:tcPr>
          <w:p w14:paraId="708E354A">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产品名称</w:t>
            </w:r>
          </w:p>
        </w:tc>
        <w:tc>
          <w:tcPr>
            <w:tcW w:w="3594" w:type="pct"/>
            <w:noWrap/>
            <w:vAlign w:val="center"/>
          </w:tcPr>
          <w:p w14:paraId="251C29EA">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主要技术参数</w:t>
            </w:r>
          </w:p>
        </w:tc>
        <w:tc>
          <w:tcPr>
            <w:tcW w:w="469" w:type="pct"/>
            <w:noWrap/>
            <w:vAlign w:val="center"/>
          </w:tcPr>
          <w:p w14:paraId="015DA1D4">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单位</w:t>
            </w:r>
          </w:p>
        </w:tc>
        <w:tc>
          <w:tcPr>
            <w:tcW w:w="469" w:type="pct"/>
            <w:noWrap/>
            <w:vAlign w:val="center"/>
          </w:tcPr>
          <w:p w14:paraId="2BEDA40F">
            <w:pPr>
              <w:keepNext w:val="0"/>
              <w:keepLines w:val="0"/>
              <w:pageBreakBefore w:val="0"/>
              <w:widowControl/>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数量</w:t>
            </w:r>
          </w:p>
        </w:tc>
      </w:tr>
      <w:tr w14:paraId="701F2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8" w:type="pct"/>
            <w:noWrap w:val="0"/>
            <w:vAlign w:val="center"/>
          </w:tcPr>
          <w:p w14:paraId="36B0496B">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4"/>
                <w:szCs w:val="24"/>
                <w:lang w:bidi="ar"/>
              </w:rPr>
            </w:pPr>
            <w:r>
              <w:rPr>
                <w:rFonts w:hint="eastAsia" w:ascii="宋体" w:hAnsi="宋体" w:eastAsia="宋体" w:cs="宋体"/>
                <w:color w:val="auto"/>
                <w:sz w:val="24"/>
                <w:szCs w:val="24"/>
              </w:rPr>
              <w:t>食品安全监督管理平台</w:t>
            </w:r>
          </w:p>
        </w:tc>
        <w:tc>
          <w:tcPr>
            <w:tcW w:w="3594" w:type="pct"/>
            <w:noWrap w:val="0"/>
            <w:vAlign w:val="top"/>
          </w:tcPr>
          <w:p w14:paraId="68CE501E">
            <w:pPr>
              <w:keepNext w:val="0"/>
              <w:keepLines w:val="0"/>
              <w:pageBreakBefore w:val="0"/>
              <w:widowControl/>
              <w:numPr>
                <w:ilvl w:val="0"/>
                <w:numId w:val="13"/>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数智食安监管平台大屏：</w:t>
            </w:r>
          </w:p>
          <w:p w14:paraId="51D57517">
            <w:pPr>
              <w:keepNext w:val="0"/>
              <w:keepLines w:val="0"/>
              <w:pageBreakBefore w:val="0"/>
              <w:widowControl/>
              <w:numPr>
                <w:ilvl w:val="0"/>
                <w:numId w:val="14"/>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食堂概览统计：</w:t>
            </w:r>
          </w:p>
          <w:p w14:paraId="042C0DB4">
            <w:pPr>
              <w:keepNext w:val="0"/>
              <w:keepLines w:val="0"/>
              <w:pageBreakBefore w:val="0"/>
              <w:widowControl/>
              <w:numPr>
                <w:ilvl w:val="0"/>
                <w:numId w:val="15"/>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统计食堂数量、监管数量、食安指挥天数</w:t>
            </w:r>
          </w:p>
          <w:p w14:paraId="7DECBEBD">
            <w:pPr>
              <w:keepNext w:val="0"/>
              <w:keepLines w:val="0"/>
              <w:pageBreakBefore w:val="0"/>
              <w:widowControl/>
              <w:numPr>
                <w:ilvl w:val="0"/>
                <w:numId w:val="15"/>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呈现系统统计数据：数智场景、数智设备、智能明厨亮灶、巡检总数</w:t>
            </w:r>
          </w:p>
          <w:p w14:paraId="5023739A">
            <w:pPr>
              <w:keepNext w:val="0"/>
              <w:keepLines w:val="0"/>
              <w:pageBreakBefore w:val="0"/>
              <w:widowControl/>
              <w:numPr>
                <w:ilvl w:val="0"/>
                <w:numId w:val="14"/>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本月食堂巡查食堂得分</w:t>
            </w:r>
          </w:p>
          <w:p w14:paraId="1A369861">
            <w:pPr>
              <w:keepNext w:val="0"/>
              <w:keepLines w:val="0"/>
              <w:pageBreakBefore w:val="0"/>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统计食堂本月巡检的总和得分</w:t>
            </w:r>
          </w:p>
          <w:p w14:paraId="43D81AEF">
            <w:pPr>
              <w:keepNext w:val="0"/>
              <w:keepLines w:val="0"/>
              <w:pageBreakBefore w:val="0"/>
              <w:widowControl/>
              <w:numPr>
                <w:ilvl w:val="0"/>
                <w:numId w:val="14"/>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食堂食安地图</w:t>
            </w:r>
          </w:p>
          <w:p w14:paraId="5E37E4AB">
            <w:pPr>
              <w:keepNext w:val="0"/>
              <w:keepLines w:val="0"/>
              <w:pageBreakBefore w:val="0"/>
              <w:widowControl/>
              <w:numPr>
                <w:ilvl w:val="0"/>
                <w:numId w:val="16"/>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系统获取食堂实时的食安风险数据，出现风险时，进行食堂高亮预警</w:t>
            </w:r>
          </w:p>
          <w:p w14:paraId="7E3199DA">
            <w:pPr>
              <w:keepNext w:val="0"/>
              <w:keepLines w:val="0"/>
              <w:pageBreakBefore w:val="0"/>
              <w:widowControl/>
              <w:numPr>
                <w:ilvl w:val="0"/>
                <w:numId w:val="16"/>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点击中部食堂名称，查看该食堂的专管详情</w:t>
            </w:r>
          </w:p>
          <w:p w14:paraId="5ED0C2C1">
            <w:pPr>
              <w:keepNext w:val="0"/>
              <w:keepLines w:val="0"/>
              <w:pageBreakBefore w:val="0"/>
              <w:widowControl/>
              <w:numPr>
                <w:ilvl w:val="0"/>
                <w:numId w:val="16"/>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查看食堂食安得分</w:t>
            </w:r>
          </w:p>
          <w:p w14:paraId="1699FA77">
            <w:pPr>
              <w:keepNext w:val="0"/>
              <w:keepLines w:val="0"/>
              <w:pageBreakBefore w:val="0"/>
              <w:widowControl/>
              <w:numPr>
                <w:ilvl w:val="0"/>
                <w:numId w:val="16"/>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食堂数据概览</w:t>
            </w:r>
          </w:p>
          <w:p w14:paraId="4D078D03">
            <w:pPr>
              <w:keepNext w:val="0"/>
              <w:keepLines w:val="0"/>
              <w:pageBreakBefore w:val="0"/>
              <w:widowControl/>
              <w:numPr>
                <w:ilvl w:val="0"/>
                <w:numId w:val="16"/>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食堂员工的健康证分析</w:t>
            </w:r>
          </w:p>
          <w:p w14:paraId="3A1C593C">
            <w:pPr>
              <w:keepNext w:val="0"/>
              <w:keepLines w:val="0"/>
              <w:pageBreakBefore w:val="0"/>
              <w:widowControl/>
              <w:numPr>
                <w:ilvl w:val="0"/>
                <w:numId w:val="16"/>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食堂员工晨检和出勤的数据展示</w:t>
            </w:r>
          </w:p>
          <w:p w14:paraId="4E27CE06">
            <w:pPr>
              <w:keepNext w:val="0"/>
              <w:keepLines w:val="0"/>
              <w:pageBreakBefore w:val="0"/>
              <w:widowControl/>
              <w:numPr>
                <w:ilvl w:val="0"/>
                <w:numId w:val="16"/>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食安现场过程监管（数智场景监管）</w:t>
            </w:r>
          </w:p>
          <w:p w14:paraId="64A80F65">
            <w:pPr>
              <w:keepNext w:val="0"/>
              <w:keepLines w:val="0"/>
              <w:pageBreakBefore w:val="0"/>
              <w:widowControl/>
              <w:numPr>
                <w:ilvl w:val="0"/>
                <w:numId w:val="16"/>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食堂留样监管（点击留样状态可查看留样记录）</w:t>
            </w:r>
          </w:p>
          <w:p w14:paraId="681D16E3">
            <w:pPr>
              <w:keepNext w:val="0"/>
              <w:keepLines w:val="0"/>
              <w:pageBreakBefore w:val="0"/>
              <w:widowControl/>
              <w:numPr>
                <w:ilvl w:val="0"/>
                <w:numId w:val="16"/>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食堂的菜品展示</w:t>
            </w:r>
          </w:p>
          <w:p w14:paraId="627179C1">
            <w:pPr>
              <w:keepNext w:val="0"/>
              <w:keepLines w:val="0"/>
              <w:pageBreakBefore w:val="0"/>
              <w:widowControl/>
              <w:numPr>
                <w:ilvl w:val="0"/>
                <w:numId w:val="16"/>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供应商信息展示</w:t>
            </w:r>
          </w:p>
          <w:p w14:paraId="293BF3F3">
            <w:pPr>
              <w:keepNext w:val="0"/>
              <w:keepLines w:val="0"/>
              <w:pageBreakBefore w:val="0"/>
              <w:widowControl/>
              <w:numPr>
                <w:ilvl w:val="0"/>
                <w:numId w:val="16"/>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查看食安分数详情，展示门店当前风险，呈现详情</w:t>
            </w:r>
          </w:p>
          <w:p w14:paraId="24DC8AC0">
            <w:pPr>
              <w:keepNext w:val="0"/>
              <w:keepLines w:val="0"/>
              <w:pageBreakBefore w:val="0"/>
              <w:widowControl/>
              <w:numPr>
                <w:ilvl w:val="0"/>
                <w:numId w:val="14"/>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数智设备布防统计</w:t>
            </w:r>
          </w:p>
          <w:p w14:paraId="470CC1A3">
            <w:pPr>
              <w:keepNext w:val="0"/>
              <w:keepLines w:val="0"/>
              <w:pageBreakBefore w:val="0"/>
              <w:widowControl/>
              <w:numPr>
                <w:ilvl w:val="0"/>
                <w:numId w:val="17"/>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统计所有食堂安装的各类设备类型数量，并针对在线率进行呈现</w:t>
            </w:r>
          </w:p>
          <w:p w14:paraId="4D3A1F0F">
            <w:pPr>
              <w:keepNext w:val="0"/>
              <w:keepLines w:val="0"/>
              <w:pageBreakBefore w:val="0"/>
              <w:widowControl/>
              <w:numPr>
                <w:ilvl w:val="0"/>
                <w:numId w:val="17"/>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查看详情：食堂的实时预警提醒、食堂设备监管情况、安全预警中心、数智食堂物联监管数据</w:t>
            </w:r>
          </w:p>
          <w:p w14:paraId="4C397090">
            <w:pPr>
              <w:keepNext w:val="0"/>
              <w:keepLines w:val="0"/>
              <w:pageBreakBefore w:val="0"/>
              <w:widowControl/>
              <w:numPr>
                <w:ilvl w:val="0"/>
                <w:numId w:val="14"/>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预警走马灯</w:t>
            </w:r>
          </w:p>
          <w:p w14:paraId="4FC01CEF">
            <w:pPr>
              <w:keepNext w:val="0"/>
              <w:keepLines w:val="0"/>
              <w:pageBreakBefore w:val="0"/>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通过走马灯形式汇报食堂近期的风险事件</w:t>
            </w:r>
          </w:p>
          <w:p w14:paraId="73F8931A">
            <w:pPr>
              <w:keepNext w:val="0"/>
              <w:keepLines w:val="0"/>
              <w:pageBreakBefore w:val="0"/>
              <w:widowControl/>
              <w:numPr>
                <w:ilvl w:val="0"/>
                <w:numId w:val="14"/>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报警弹窗</w:t>
            </w:r>
          </w:p>
          <w:p w14:paraId="75ECAD22">
            <w:pPr>
              <w:keepNext w:val="0"/>
              <w:keepLines w:val="0"/>
              <w:pageBreakBefore w:val="0"/>
              <w:widowControl/>
              <w:numPr>
                <w:ilvl w:val="0"/>
                <w:numId w:val="18"/>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报警弹窗：对食堂的设备报警时间进行弹窗提醒</w:t>
            </w:r>
          </w:p>
          <w:p w14:paraId="462DEFAE">
            <w:pPr>
              <w:keepNext w:val="0"/>
              <w:keepLines w:val="0"/>
              <w:pageBreakBefore w:val="0"/>
              <w:widowControl/>
              <w:numPr>
                <w:ilvl w:val="0"/>
                <w:numId w:val="18"/>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报警详情：显示近期的报警事件，支持快捷关闭</w:t>
            </w:r>
          </w:p>
          <w:p w14:paraId="4C8AE8C3">
            <w:pPr>
              <w:keepNext w:val="0"/>
              <w:keepLines w:val="0"/>
              <w:pageBreakBefore w:val="0"/>
              <w:widowControl/>
              <w:numPr>
                <w:ilvl w:val="0"/>
                <w:numId w:val="14"/>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每日食品安全检查记录</w:t>
            </w:r>
          </w:p>
          <w:p w14:paraId="5AE7EABE">
            <w:pPr>
              <w:keepNext w:val="0"/>
              <w:keepLines w:val="0"/>
              <w:pageBreakBefore w:val="0"/>
              <w:widowControl/>
              <w:numPr>
                <w:ilvl w:val="0"/>
                <w:numId w:val="19"/>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公示食堂提交的日管控情况</w:t>
            </w:r>
          </w:p>
          <w:p w14:paraId="5E20C376">
            <w:pPr>
              <w:keepNext w:val="0"/>
              <w:keepLines w:val="0"/>
              <w:pageBreakBefore w:val="0"/>
              <w:widowControl/>
              <w:numPr>
                <w:ilvl w:val="0"/>
                <w:numId w:val="19"/>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查看详情：展示各食堂每日的完成情况，其中包括不合格的问题说明以及整改措施，并跟进展示其整改进度及详情</w:t>
            </w:r>
          </w:p>
          <w:p w14:paraId="77543E95">
            <w:pPr>
              <w:keepNext w:val="0"/>
              <w:keepLines w:val="0"/>
              <w:pageBreakBefore w:val="0"/>
              <w:widowControl/>
              <w:numPr>
                <w:ilvl w:val="0"/>
                <w:numId w:val="14"/>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每周食品安全治理报告</w:t>
            </w:r>
          </w:p>
          <w:p w14:paraId="17C4624A">
            <w:pPr>
              <w:keepNext w:val="0"/>
              <w:keepLines w:val="0"/>
              <w:pageBreakBefore w:val="0"/>
              <w:widowControl/>
              <w:numPr>
                <w:ilvl w:val="0"/>
                <w:numId w:val="20"/>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公示系统创建的周排查记录数据</w:t>
            </w:r>
          </w:p>
          <w:p w14:paraId="1E4DFE69">
            <w:pPr>
              <w:keepNext w:val="0"/>
              <w:keepLines w:val="0"/>
              <w:pageBreakBefore w:val="0"/>
              <w:widowControl/>
              <w:numPr>
                <w:ilvl w:val="0"/>
                <w:numId w:val="20"/>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点击可查看详情，包括每周发现的问题及整改情况</w:t>
            </w:r>
          </w:p>
          <w:p w14:paraId="6083729F">
            <w:pPr>
              <w:keepNext w:val="0"/>
              <w:keepLines w:val="0"/>
              <w:pageBreakBefore w:val="0"/>
              <w:widowControl/>
              <w:numPr>
                <w:ilvl w:val="0"/>
                <w:numId w:val="14"/>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每月食品安全调度报告</w:t>
            </w:r>
          </w:p>
          <w:p w14:paraId="3E3EA4DA">
            <w:pPr>
              <w:keepNext w:val="0"/>
              <w:keepLines w:val="0"/>
              <w:pageBreakBefore w:val="0"/>
              <w:widowControl/>
              <w:numPr>
                <w:ilvl w:val="0"/>
                <w:numId w:val="21"/>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可查看系统创建的月调度报告</w:t>
            </w:r>
          </w:p>
          <w:p w14:paraId="2B5EA910">
            <w:pPr>
              <w:keepNext w:val="0"/>
              <w:keepLines w:val="0"/>
              <w:pageBreakBefore w:val="0"/>
              <w:widowControl/>
              <w:numPr>
                <w:ilvl w:val="0"/>
                <w:numId w:val="21"/>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支持点击查看详情，可直接预览月调度报告中的文件内容</w:t>
            </w:r>
          </w:p>
          <w:p w14:paraId="1CFFC780">
            <w:pPr>
              <w:keepNext w:val="0"/>
              <w:keepLines w:val="0"/>
              <w:pageBreakBefore w:val="0"/>
              <w:widowControl/>
              <w:numPr>
                <w:ilvl w:val="0"/>
                <w:numId w:val="13"/>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数字巡检屏：</w:t>
            </w:r>
          </w:p>
          <w:p w14:paraId="1D2F8A39">
            <w:pPr>
              <w:keepNext w:val="0"/>
              <w:keepLines w:val="0"/>
              <w:pageBreakBefore w:val="0"/>
              <w:widowControl/>
              <w:numPr>
                <w:ilvl w:val="0"/>
                <w:numId w:val="22"/>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后勤数智巡检：</w:t>
            </w:r>
          </w:p>
          <w:p w14:paraId="2EBEB818">
            <w:pPr>
              <w:keepNext w:val="0"/>
              <w:keepLines w:val="0"/>
              <w:pageBreakBefore w:val="0"/>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可查看食堂的巡检信息、本月食堂巡检进度、本月巡检提升分析、本月食堂巡检分析、食堂3个月的重点提升方向、食安红榜、待提升排名、食堂实时的巡检进度展示</w:t>
            </w:r>
          </w:p>
          <w:p w14:paraId="4E183C68">
            <w:pPr>
              <w:keepNext w:val="0"/>
              <w:keepLines w:val="0"/>
              <w:pageBreakBefore w:val="0"/>
              <w:widowControl/>
              <w:numPr>
                <w:ilvl w:val="0"/>
                <w:numId w:val="22"/>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本月食堂巡检分析：</w:t>
            </w:r>
          </w:p>
          <w:p w14:paraId="480D251F">
            <w:pPr>
              <w:keepNext w:val="0"/>
              <w:keepLines w:val="0"/>
              <w:pageBreakBefore w:val="0"/>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统计当月食堂督导巡检与视频巡检的进度情况，点击对应圆环图可查看巡检进度详情</w:t>
            </w:r>
          </w:p>
          <w:p w14:paraId="44633A1F">
            <w:pPr>
              <w:keepNext w:val="0"/>
              <w:keepLines w:val="0"/>
              <w:pageBreakBefore w:val="0"/>
              <w:widowControl/>
              <w:numPr>
                <w:ilvl w:val="0"/>
                <w:numId w:val="22"/>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自检自清提交统计</w:t>
            </w:r>
          </w:p>
          <w:p w14:paraId="5FA0AB80">
            <w:pPr>
              <w:keepNext w:val="0"/>
              <w:keepLines w:val="0"/>
              <w:pageBreakBefore w:val="0"/>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统计各门店近期的自检自清统计情况，能看到门店的提交情况，如是否提交，是否迟交等</w:t>
            </w:r>
          </w:p>
          <w:p w14:paraId="0AC2CD81">
            <w:pPr>
              <w:keepNext w:val="0"/>
              <w:keepLines w:val="0"/>
              <w:pageBreakBefore w:val="0"/>
              <w:widowControl/>
              <w:numPr>
                <w:ilvl w:val="0"/>
                <w:numId w:val="22"/>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本月食堂巡检进度</w:t>
            </w:r>
          </w:p>
          <w:p w14:paraId="5FBA2A64">
            <w:pPr>
              <w:keepNext w:val="0"/>
              <w:keepLines w:val="0"/>
              <w:pageBreakBefore w:val="0"/>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分布以柱状图与列表的形式统计当月督查巡检、视频巡检的食堂得分，并进行排名</w:t>
            </w:r>
          </w:p>
          <w:p w14:paraId="3661FC6B">
            <w:pPr>
              <w:keepNext w:val="0"/>
              <w:keepLines w:val="0"/>
              <w:pageBreakBefore w:val="0"/>
              <w:widowControl/>
              <w:numPr>
                <w:ilvl w:val="0"/>
                <w:numId w:val="22"/>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食安红榜</w:t>
            </w:r>
          </w:p>
          <w:p w14:paraId="0C3B2D6B">
            <w:pPr>
              <w:keepNext w:val="0"/>
              <w:keepLines w:val="0"/>
              <w:pageBreakBefore w:val="0"/>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通过公示计算食堂当月的综合得分，并跟进得分对食堂进行排行</w:t>
            </w:r>
          </w:p>
          <w:p w14:paraId="6E23320E">
            <w:pPr>
              <w:keepNext w:val="0"/>
              <w:keepLines w:val="0"/>
              <w:pageBreakBefore w:val="0"/>
              <w:widowControl/>
              <w:numPr>
                <w:ilvl w:val="0"/>
                <w:numId w:val="22"/>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待提升排名</w:t>
            </w:r>
          </w:p>
          <w:p w14:paraId="34CE65FA">
            <w:pPr>
              <w:keepNext w:val="0"/>
              <w:keepLines w:val="0"/>
              <w:pageBreakBefore w:val="0"/>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统计各食堂当月所排查处理的问题数量，并进行排行</w:t>
            </w:r>
          </w:p>
          <w:p w14:paraId="520F7D5A">
            <w:pPr>
              <w:keepNext w:val="0"/>
              <w:keepLines w:val="0"/>
              <w:pageBreakBefore w:val="0"/>
              <w:widowControl/>
              <w:numPr>
                <w:ilvl w:val="0"/>
                <w:numId w:val="22"/>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实时巡查进度展示</w:t>
            </w:r>
          </w:p>
          <w:p w14:paraId="5573B877">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实时显示轮播近期内所有门店的巡检事件，并显示其巡检结果</w:t>
            </w:r>
          </w:p>
        </w:tc>
        <w:tc>
          <w:tcPr>
            <w:tcW w:w="469" w:type="pct"/>
            <w:noWrap w:val="0"/>
            <w:vAlign w:val="center"/>
          </w:tcPr>
          <w:p w14:paraId="36DF33FC">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项</w:t>
            </w:r>
          </w:p>
        </w:tc>
        <w:tc>
          <w:tcPr>
            <w:tcW w:w="469" w:type="pct"/>
            <w:noWrap w:val="0"/>
            <w:vAlign w:val="center"/>
          </w:tcPr>
          <w:p w14:paraId="41F6A86A">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p>
        </w:tc>
      </w:tr>
      <w:tr w14:paraId="3DB41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468" w:type="pct"/>
            <w:noWrap w:val="0"/>
            <w:vAlign w:val="center"/>
          </w:tcPr>
          <w:p w14:paraId="2D35FCBD">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食堂信息管理</w:t>
            </w:r>
          </w:p>
          <w:p w14:paraId="2469EB8A">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4"/>
                <w:szCs w:val="24"/>
                <w:lang w:bidi="ar"/>
              </w:rPr>
            </w:pPr>
          </w:p>
        </w:tc>
        <w:tc>
          <w:tcPr>
            <w:tcW w:w="3594" w:type="pct"/>
            <w:noWrap w:val="0"/>
            <w:vAlign w:val="top"/>
          </w:tcPr>
          <w:p w14:paraId="22A2C142">
            <w:pPr>
              <w:keepNext w:val="0"/>
              <w:keepLines w:val="0"/>
              <w:pageBreakBefore w:val="0"/>
              <w:widowControl/>
              <w:numPr>
                <w:ilvl w:val="0"/>
                <w:numId w:val="23"/>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bidi="ar"/>
              </w:rPr>
              <w:t>食堂类型管理</w:t>
            </w:r>
          </w:p>
          <w:p w14:paraId="46F4C298">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支持维护学校食堂类型，并可进行食堂类型的增删改等操作，食堂类型状态的停用和启用</w:t>
            </w:r>
          </w:p>
          <w:p w14:paraId="421A8671">
            <w:pPr>
              <w:keepNext w:val="0"/>
              <w:keepLines w:val="0"/>
              <w:pageBreakBefore w:val="0"/>
              <w:widowControl/>
              <w:numPr>
                <w:ilvl w:val="0"/>
                <w:numId w:val="23"/>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bidi="ar"/>
              </w:rPr>
              <w:t>食堂管理</w:t>
            </w:r>
          </w:p>
          <w:p w14:paraId="1B5D3C64">
            <w:pPr>
              <w:keepNext w:val="0"/>
              <w:keepLines w:val="0"/>
              <w:pageBreakBefore w:val="0"/>
              <w:widowControl/>
              <w:numPr>
                <w:ilvl w:val="0"/>
                <w:numId w:val="24"/>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支持维护学校校区组织信息</w:t>
            </w:r>
          </w:p>
          <w:p w14:paraId="49881359">
            <w:pPr>
              <w:keepNext w:val="0"/>
              <w:keepLines w:val="0"/>
              <w:pageBreakBefore w:val="0"/>
              <w:widowControl/>
              <w:numPr>
                <w:ilvl w:val="0"/>
                <w:numId w:val="24"/>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支持维护学校校区下属食堂信息、运营企业信息、负责人信息、营业执照信息</w:t>
            </w:r>
          </w:p>
          <w:p w14:paraId="4BE04A97">
            <w:pPr>
              <w:keepNext w:val="0"/>
              <w:keepLines w:val="0"/>
              <w:pageBreakBefore w:val="0"/>
              <w:widowControl/>
              <w:numPr>
                <w:ilvl w:val="0"/>
                <w:numId w:val="23"/>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bidi="ar"/>
              </w:rPr>
              <w:t>食堂设备管理</w:t>
            </w:r>
          </w:p>
          <w:p w14:paraId="016242A8">
            <w:pPr>
              <w:keepNext w:val="0"/>
              <w:keepLines w:val="0"/>
              <w:pageBreakBefore w:val="0"/>
              <w:widowControl/>
              <w:numPr>
                <w:ilvl w:val="0"/>
                <w:numId w:val="25"/>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支持进行下属食堂设备维护、查看、配置</w:t>
            </w:r>
          </w:p>
          <w:p w14:paraId="418AF80F">
            <w:pPr>
              <w:keepNext w:val="0"/>
              <w:keepLines w:val="0"/>
              <w:pageBreakBefore w:val="0"/>
              <w:widowControl/>
              <w:numPr>
                <w:ilvl w:val="0"/>
                <w:numId w:val="25"/>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设备类型：监控设备、门禁设备、物联传感、显示设备</w:t>
            </w:r>
          </w:p>
          <w:p w14:paraId="700B5E1E">
            <w:pPr>
              <w:keepNext w:val="0"/>
              <w:keepLines w:val="0"/>
              <w:pageBreakBefore w:val="0"/>
              <w:widowControl/>
              <w:numPr>
                <w:ilvl w:val="0"/>
                <w:numId w:val="23"/>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bidi="ar"/>
              </w:rPr>
              <w:t>场景类型管理</w:t>
            </w:r>
          </w:p>
          <w:p w14:paraId="02B4C903">
            <w:pPr>
              <w:keepNext w:val="0"/>
              <w:keepLines w:val="0"/>
              <w:pageBreakBefore w:val="0"/>
              <w:widowControl/>
              <w:numPr>
                <w:ilvl w:val="0"/>
                <w:numId w:val="26"/>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部署时默认下发初始六大场景及规则；默认场景无法删除</w:t>
            </w:r>
          </w:p>
          <w:p w14:paraId="729B2877">
            <w:pPr>
              <w:keepNext w:val="0"/>
              <w:keepLines w:val="0"/>
              <w:pageBreakBefore w:val="0"/>
              <w:widowControl/>
              <w:numPr>
                <w:ilvl w:val="0"/>
                <w:numId w:val="26"/>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支持维护场景类型（增、删、改），场景类型设备配置、默认规则设置</w:t>
            </w:r>
          </w:p>
          <w:p w14:paraId="6187F87C">
            <w:pPr>
              <w:keepNext w:val="0"/>
              <w:keepLines w:val="0"/>
              <w:pageBreakBefore w:val="0"/>
              <w:widowControl/>
              <w:numPr>
                <w:ilvl w:val="0"/>
                <w:numId w:val="23"/>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bidi="ar"/>
              </w:rPr>
              <w:t>物联场景管理</w:t>
            </w:r>
          </w:p>
          <w:p w14:paraId="07CD6BFA">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支持维护下属食堂中物联场景空间，同时点击配置可配置绑定设备，对场景空间状态可进行开启或关闭</w:t>
            </w:r>
          </w:p>
        </w:tc>
        <w:tc>
          <w:tcPr>
            <w:tcW w:w="469" w:type="pct"/>
            <w:noWrap w:val="0"/>
            <w:vAlign w:val="center"/>
          </w:tcPr>
          <w:p w14:paraId="68ACBF90">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项</w:t>
            </w:r>
          </w:p>
        </w:tc>
        <w:tc>
          <w:tcPr>
            <w:tcW w:w="469" w:type="pct"/>
            <w:noWrap w:val="0"/>
            <w:vAlign w:val="center"/>
          </w:tcPr>
          <w:p w14:paraId="799B1550">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p>
        </w:tc>
      </w:tr>
      <w:tr w14:paraId="3EF04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468" w:type="pct"/>
            <w:noWrap w:val="0"/>
            <w:vAlign w:val="center"/>
          </w:tcPr>
          <w:p w14:paraId="671AD7BD">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食安考评管理</w:t>
            </w:r>
          </w:p>
          <w:p w14:paraId="6A26F02F">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4"/>
                <w:szCs w:val="24"/>
                <w:lang w:bidi="ar"/>
              </w:rPr>
            </w:pPr>
          </w:p>
        </w:tc>
        <w:tc>
          <w:tcPr>
            <w:tcW w:w="3594" w:type="pct"/>
            <w:noWrap w:val="0"/>
            <w:vAlign w:val="top"/>
          </w:tcPr>
          <w:p w14:paraId="0077786F">
            <w:pPr>
              <w:keepNext w:val="0"/>
              <w:keepLines w:val="0"/>
              <w:pageBreakBefore w:val="0"/>
              <w:widowControl/>
              <w:numPr>
                <w:ilvl w:val="0"/>
                <w:numId w:val="27"/>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日管控</w:t>
            </w:r>
          </w:p>
          <w:p w14:paraId="307F3761">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可查看食堂人员上传的日管控记录，并可以点击查看检查人员和负责人签名，支持导出</w:t>
            </w:r>
          </w:p>
          <w:p w14:paraId="7DE28CE0">
            <w:pPr>
              <w:keepNext w:val="0"/>
              <w:keepLines w:val="0"/>
              <w:pageBreakBefore w:val="0"/>
              <w:widowControl/>
              <w:numPr>
                <w:ilvl w:val="0"/>
                <w:numId w:val="27"/>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周排查</w:t>
            </w:r>
          </w:p>
          <w:p w14:paraId="391F7B73">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可根据选择的报告周期，获取该周期食堂的整改问题信息，可支持排查报告、整改、本周巡检、日管控的导出</w:t>
            </w:r>
          </w:p>
          <w:p w14:paraId="1F2088FA">
            <w:pPr>
              <w:keepNext w:val="0"/>
              <w:keepLines w:val="0"/>
              <w:pageBreakBefore w:val="0"/>
              <w:widowControl/>
              <w:numPr>
                <w:ilvl w:val="0"/>
                <w:numId w:val="27"/>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月报告</w:t>
            </w:r>
          </w:p>
          <w:p w14:paraId="6C64814F">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可进行选择的周期进行生成一个月报告，支持上传图片，并导出</w:t>
            </w:r>
          </w:p>
          <w:p w14:paraId="5A305AC7">
            <w:pPr>
              <w:keepNext w:val="0"/>
              <w:keepLines w:val="0"/>
              <w:pageBreakBefore w:val="0"/>
              <w:widowControl/>
              <w:numPr>
                <w:ilvl w:val="0"/>
                <w:numId w:val="27"/>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报告发布</w:t>
            </w:r>
          </w:p>
          <w:p w14:paraId="248EF7C7">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支持将月调度文件上传并在监管平台大屏进行公示，上传的文件支持预览导出</w:t>
            </w:r>
          </w:p>
        </w:tc>
        <w:tc>
          <w:tcPr>
            <w:tcW w:w="469" w:type="pct"/>
            <w:noWrap w:val="0"/>
            <w:vAlign w:val="center"/>
          </w:tcPr>
          <w:p w14:paraId="06FCA05E">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项</w:t>
            </w:r>
          </w:p>
        </w:tc>
        <w:tc>
          <w:tcPr>
            <w:tcW w:w="469" w:type="pct"/>
            <w:noWrap w:val="0"/>
            <w:vAlign w:val="center"/>
          </w:tcPr>
          <w:p w14:paraId="39F8232F">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p>
        </w:tc>
      </w:tr>
      <w:tr w14:paraId="71A54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468" w:type="pct"/>
            <w:noWrap w:val="0"/>
            <w:vAlign w:val="center"/>
          </w:tcPr>
          <w:p w14:paraId="54F8DD6D">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数智食安监管</w:t>
            </w:r>
          </w:p>
          <w:p w14:paraId="222ADE1B">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4"/>
                <w:szCs w:val="24"/>
                <w:lang w:bidi="ar"/>
              </w:rPr>
            </w:pPr>
          </w:p>
        </w:tc>
        <w:tc>
          <w:tcPr>
            <w:tcW w:w="3594" w:type="pct"/>
            <w:noWrap w:val="0"/>
            <w:vAlign w:val="top"/>
          </w:tcPr>
          <w:p w14:paraId="696CF3FF">
            <w:pPr>
              <w:keepNext w:val="0"/>
              <w:keepLines w:val="0"/>
              <w:pageBreakBefore w:val="0"/>
              <w:widowControl/>
              <w:numPr>
                <w:ilvl w:val="0"/>
                <w:numId w:val="28"/>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食安信息监管</w:t>
            </w:r>
          </w:p>
          <w:p w14:paraId="2546E9AC">
            <w:pPr>
              <w:keepNext w:val="0"/>
              <w:keepLines w:val="0"/>
              <w:pageBreakBefore w:val="0"/>
              <w:widowControl/>
              <w:numPr>
                <w:ilvl w:val="0"/>
                <w:numId w:val="29"/>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菜品库管理</w:t>
            </w:r>
          </w:p>
          <w:p w14:paraId="1D2BBFE3">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菜品库管理：查看该系统下所有食堂的菜品库信息，支持查看详情并导出</w:t>
            </w:r>
          </w:p>
          <w:p w14:paraId="5BC65AB6">
            <w:pPr>
              <w:keepNext w:val="0"/>
              <w:keepLines w:val="0"/>
              <w:pageBreakBefore w:val="0"/>
              <w:widowControl/>
              <w:numPr>
                <w:ilvl w:val="0"/>
                <w:numId w:val="29"/>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食安台账管理</w:t>
            </w:r>
          </w:p>
          <w:p w14:paraId="1616332A">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支持查看下属食堂上报食安台账：出入库、食材加工、环境记录、人员健康</w:t>
            </w:r>
          </w:p>
          <w:p w14:paraId="03663E73">
            <w:pPr>
              <w:keepNext w:val="0"/>
              <w:keepLines w:val="0"/>
              <w:pageBreakBefore w:val="0"/>
              <w:widowControl/>
              <w:numPr>
                <w:ilvl w:val="0"/>
                <w:numId w:val="29"/>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食堂消毒记录</w:t>
            </w:r>
          </w:p>
          <w:p w14:paraId="0E518F23">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支持查看下属食堂消毒记录：备餐间紫外线灯消毒记录、餐饮具消毒记录</w:t>
            </w:r>
          </w:p>
          <w:p w14:paraId="4A2B64B4">
            <w:pPr>
              <w:keepNext w:val="0"/>
              <w:keepLines w:val="0"/>
              <w:pageBreakBefore w:val="0"/>
              <w:widowControl/>
              <w:numPr>
                <w:ilvl w:val="0"/>
                <w:numId w:val="29"/>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农残检测记录</w:t>
            </w:r>
          </w:p>
          <w:p w14:paraId="294D7260">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支持查看下属食堂农残检测记录</w:t>
            </w:r>
          </w:p>
          <w:p w14:paraId="44AA5439">
            <w:pPr>
              <w:keepNext w:val="0"/>
              <w:keepLines w:val="0"/>
              <w:pageBreakBefore w:val="0"/>
              <w:widowControl/>
              <w:numPr>
                <w:ilvl w:val="0"/>
                <w:numId w:val="29"/>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晨检记录</w:t>
            </w:r>
          </w:p>
          <w:p w14:paraId="55B547D7">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晨检记录：展示该客户下所有关联食堂的晨检记录、设备统计、晨检进度、晨检统计，并可进行晨检记录的导出，同时点击查看详情可以查看详细食堂的晨检记录</w:t>
            </w:r>
          </w:p>
          <w:p w14:paraId="24719065">
            <w:pPr>
              <w:keepNext w:val="0"/>
              <w:keepLines w:val="0"/>
              <w:pageBreakBefore w:val="0"/>
              <w:widowControl/>
              <w:numPr>
                <w:ilvl w:val="0"/>
                <w:numId w:val="29"/>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留样记录</w:t>
            </w:r>
          </w:p>
          <w:p w14:paraId="7BB1122C">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支持查看下属食堂每日留样记录、留样进度</w:t>
            </w:r>
          </w:p>
          <w:p w14:paraId="244F9BDE">
            <w:pPr>
              <w:keepNext w:val="0"/>
              <w:keepLines w:val="0"/>
              <w:pageBreakBefore w:val="0"/>
              <w:widowControl/>
              <w:numPr>
                <w:ilvl w:val="0"/>
                <w:numId w:val="28"/>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数智监管</w:t>
            </w:r>
          </w:p>
          <w:p w14:paraId="4CC68FE0">
            <w:pPr>
              <w:keepNext w:val="0"/>
              <w:keepLines w:val="0"/>
              <w:pageBreakBefore w:val="0"/>
              <w:widowControl/>
              <w:numPr>
                <w:ilvl w:val="0"/>
                <w:numId w:val="30"/>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设备记录</w:t>
            </w:r>
          </w:p>
          <w:p w14:paraId="1BEDCA92">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支持查看下属食堂所有设备报警、预警记录（含数智物联场景风险）</w:t>
            </w:r>
          </w:p>
          <w:p w14:paraId="430869BE">
            <w:pPr>
              <w:keepNext w:val="0"/>
              <w:keepLines w:val="0"/>
              <w:pageBreakBefore w:val="0"/>
              <w:widowControl/>
              <w:numPr>
                <w:ilvl w:val="0"/>
                <w:numId w:val="30"/>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环境监管</w:t>
            </w:r>
          </w:p>
          <w:p w14:paraId="5A21E7E6">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支持查看下属食堂食材仓库温湿度情况－主食仓库、副食仓库</w:t>
            </w:r>
          </w:p>
          <w:p w14:paraId="42B5AEE7">
            <w:pPr>
              <w:keepNext w:val="0"/>
              <w:keepLines w:val="0"/>
              <w:pageBreakBefore w:val="0"/>
              <w:widowControl/>
              <w:numPr>
                <w:ilvl w:val="0"/>
                <w:numId w:val="30"/>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AI智能点检</w:t>
            </w:r>
          </w:p>
          <w:p w14:paraId="0C57FCB6">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支持查看AI事件抓拍图片信息</w:t>
            </w:r>
          </w:p>
          <w:p w14:paraId="0247A63E">
            <w:pPr>
              <w:keepNext w:val="0"/>
              <w:keepLines w:val="0"/>
              <w:pageBreakBefore w:val="0"/>
              <w:widowControl/>
              <w:numPr>
                <w:ilvl w:val="0"/>
                <w:numId w:val="30"/>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AI生物检测</w:t>
            </w:r>
          </w:p>
          <w:p w14:paraId="2E5E2DB3">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支持查看下属食堂有害生物风险事件，以及处理记录</w:t>
            </w:r>
          </w:p>
          <w:p w14:paraId="7FC12ED5">
            <w:pPr>
              <w:keepNext w:val="0"/>
              <w:keepLines w:val="0"/>
              <w:pageBreakBefore w:val="0"/>
              <w:widowControl/>
              <w:numPr>
                <w:ilvl w:val="0"/>
                <w:numId w:val="28"/>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可查询，导出食品添加剂、菜品留样、原料进货查验及索证、食材入库、食材检测、智能检测、浸泡记录、晨检记录、熟食加工、清洗消毒、环境消杀、紫外线消毒、垃圾处理、餐线温度控制和供应商送货检查记录信息。</w:t>
            </w:r>
          </w:p>
          <w:p w14:paraId="3C7D181B">
            <w:pPr>
              <w:keepNext w:val="0"/>
              <w:keepLines w:val="0"/>
              <w:pageBreakBefore w:val="0"/>
              <w:widowControl/>
              <w:numPr>
                <w:ilvl w:val="0"/>
                <w:numId w:val="28"/>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可采集物联数据；可根据设定的阈值触发报警。</w:t>
            </w:r>
          </w:p>
          <w:p w14:paraId="49ECB186">
            <w:pPr>
              <w:keepNext w:val="0"/>
              <w:keepLines w:val="0"/>
              <w:pageBreakBefore w:val="0"/>
              <w:widowControl/>
              <w:numPr>
                <w:ilvl w:val="0"/>
                <w:numId w:val="28"/>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可通过视频进行厨师工作服/工作帽识别、口罩检测、老鼠检测可发起行为报警；可设置报警处置流程；驾驶中心可通过语音对食堂现场进行喊话；可对风险进行前置提醒。</w:t>
            </w:r>
          </w:p>
          <w:p w14:paraId="4C8C7FA3">
            <w:pPr>
              <w:keepNext w:val="0"/>
              <w:keepLines w:val="0"/>
              <w:pageBreakBefore w:val="0"/>
              <w:widowControl/>
              <w:numPr>
                <w:ilvl w:val="0"/>
                <w:numId w:val="28"/>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可统计物联网设备上报的预警数据；可展示动火离人、挡鼠板、防潮网和备餐间的预警信息。</w:t>
            </w:r>
          </w:p>
          <w:p w14:paraId="02F67BBC">
            <w:pPr>
              <w:keepNext w:val="0"/>
              <w:keepLines w:val="0"/>
              <w:pageBreakBefore w:val="0"/>
              <w:widowControl/>
              <w:numPr>
                <w:ilvl w:val="0"/>
                <w:numId w:val="28"/>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可查看备餐间消毒和餐饮具消毒信息；可查看消毒结果的达标情况和消毒时间数据信息。</w:t>
            </w:r>
          </w:p>
          <w:p w14:paraId="21A52C81">
            <w:pPr>
              <w:keepNext w:val="0"/>
              <w:keepLines w:val="0"/>
              <w:pageBreakBefore w:val="0"/>
              <w:widowControl/>
              <w:numPr>
                <w:ilvl w:val="0"/>
                <w:numId w:val="28"/>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可查看农残检测的合格数据占比、检测总数和合格总数；可查看门店、样品名称、检测时间、合格情况信息。</w:t>
            </w:r>
          </w:p>
          <w:p w14:paraId="2CAF8719">
            <w:pPr>
              <w:keepNext w:val="0"/>
              <w:keepLines w:val="0"/>
              <w:pageBreakBefore w:val="0"/>
              <w:widowControl/>
              <w:numPr>
                <w:ilvl w:val="0"/>
                <w:numId w:val="28"/>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可查看门店和餐次的留样进度；可查看门店、餐次、样品的名称、时间和留样人信息。</w:t>
            </w:r>
          </w:p>
          <w:p w14:paraId="564B2B5E">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10.可查看晨检人姓名、编号、所属门店和体温数据信息。</w:t>
            </w:r>
          </w:p>
        </w:tc>
        <w:tc>
          <w:tcPr>
            <w:tcW w:w="469" w:type="pct"/>
            <w:noWrap w:val="0"/>
            <w:vAlign w:val="center"/>
          </w:tcPr>
          <w:p w14:paraId="30FA8666">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项</w:t>
            </w:r>
          </w:p>
        </w:tc>
        <w:tc>
          <w:tcPr>
            <w:tcW w:w="469" w:type="pct"/>
            <w:noWrap w:val="0"/>
            <w:vAlign w:val="center"/>
          </w:tcPr>
          <w:p w14:paraId="53456351">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p>
        </w:tc>
      </w:tr>
      <w:tr w14:paraId="6688D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468" w:type="pct"/>
            <w:noWrap w:val="0"/>
            <w:vAlign w:val="center"/>
          </w:tcPr>
          <w:p w14:paraId="1927FECA">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数字巡检</w:t>
            </w:r>
          </w:p>
          <w:p w14:paraId="02A03489">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4"/>
                <w:szCs w:val="24"/>
                <w:lang w:bidi="ar"/>
              </w:rPr>
            </w:pPr>
          </w:p>
        </w:tc>
        <w:tc>
          <w:tcPr>
            <w:tcW w:w="3594" w:type="pct"/>
            <w:noWrap w:val="0"/>
            <w:vAlign w:val="top"/>
          </w:tcPr>
          <w:p w14:paraId="0E505868">
            <w:pPr>
              <w:keepNext w:val="0"/>
              <w:keepLines w:val="0"/>
              <w:pageBreakBefore w:val="0"/>
              <w:widowControl/>
              <w:numPr>
                <w:ilvl w:val="0"/>
                <w:numId w:val="31"/>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巡检配置</w:t>
            </w:r>
          </w:p>
          <w:p w14:paraId="4A7054BA">
            <w:pPr>
              <w:keepNext w:val="0"/>
              <w:keepLines w:val="0"/>
              <w:pageBreakBefore w:val="0"/>
              <w:widowControl/>
              <w:numPr>
                <w:ilvl w:val="0"/>
                <w:numId w:val="32"/>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检查表管理</w:t>
            </w:r>
          </w:p>
          <w:p w14:paraId="4C0CC36D">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支持维护巡检所需检查表信息，并可进行检查表的增删改导，同时可以对检查表进行检查项设定，可对检查表进行关联食堂、关联用户等操作，可对检查表状态进行启用和停用</w:t>
            </w:r>
          </w:p>
          <w:p w14:paraId="780C876C">
            <w:pPr>
              <w:keepNext w:val="0"/>
              <w:keepLines w:val="0"/>
              <w:pageBreakBefore w:val="0"/>
              <w:widowControl/>
              <w:numPr>
                <w:ilvl w:val="0"/>
                <w:numId w:val="32"/>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任务管理</w:t>
            </w:r>
          </w:p>
          <w:p w14:paraId="5A5049AB">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支持维护线下巡店任务及巡检员，并可进行巡检任务的新增，同时可以对巡检任务进行取消任务，点击查看详情可以查看巡检任务记录详情</w:t>
            </w:r>
          </w:p>
          <w:p w14:paraId="7D1CF38B">
            <w:pPr>
              <w:keepNext w:val="0"/>
              <w:keepLines w:val="0"/>
              <w:pageBreakBefore w:val="0"/>
              <w:widowControl/>
              <w:numPr>
                <w:ilvl w:val="0"/>
                <w:numId w:val="32"/>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点位类型管理</w:t>
            </w:r>
          </w:p>
          <w:p w14:paraId="75626F96">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支持维护视频巡检所需，摄像头点位信息</w:t>
            </w:r>
          </w:p>
          <w:p w14:paraId="756E05CD">
            <w:pPr>
              <w:keepNext w:val="0"/>
              <w:keepLines w:val="0"/>
              <w:pageBreakBefore w:val="0"/>
              <w:widowControl/>
              <w:numPr>
                <w:ilvl w:val="0"/>
                <w:numId w:val="32"/>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抽查类型管理</w:t>
            </w:r>
          </w:p>
          <w:p w14:paraId="749EDD60">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支持维护随机抽查类型</w:t>
            </w:r>
          </w:p>
          <w:p w14:paraId="19D22CC9">
            <w:pPr>
              <w:keepNext w:val="0"/>
              <w:keepLines w:val="0"/>
              <w:pageBreakBefore w:val="0"/>
              <w:widowControl/>
              <w:numPr>
                <w:ilvl w:val="0"/>
                <w:numId w:val="31"/>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自检自清</w:t>
            </w:r>
          </w:p>
          <w:p w14:paraId="260A3C7F">
            <w:pPr>
              <w:keepNext w:val="0"/>
              <w:keepLines w:val="0"/>
              <w:pageBreakBefore w:val="0"/>
              <w:widowControl/>
              <w:numPr>
                <w:ilvl w:val="0"/>
                <w:numId w:val="33"/>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日检模板</w:t>
            </w:r>
          </w:p>
          <w:p w14:paraId="05C5310B">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支持维护日检模板，并可进行日检模板的增删改，同时点击预览可以预览日检模版，点击权限设置可对日检模板进行编辑权限设置</w:t>
            </w:r>
          </w:p>
          <w:p w14:paraId="2392AE7E">
            <w:pPr>
              <w:keepNext w:val="0"/>
              <w:keepLines w:val="0"/>
              <w:pageBreakBefore w:val="0"/>
              <w:widowControl/>
              <w:numPr>
                <w:ilvl w:val="0"/>
                <w:numId w:val="33"/>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日检规则</w:t>
            </w:r>
          </w:p>
          <w:p w14:paraId="3B0D3A46">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支持维护日检规则，并可进行日检模板的增删改，同时点击校验可校验日检规则，点击日检规则状态可以日检规则进行启用和停用</w:t>
            </w:r>
          </w:p>
          <w:p w14:paraId="2E4C4AFC">
            <w:pPr>
              <w:keepNext w:val="0"/>
              <w:keepLines w:val="0"/>
              <w:pageBreakBefore w:val="0"/>
              <w:widowControl/>
              <w:numPr>
                <w:ilvl w:val="0"/>
                <w:numId w:val="33"/>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日志列表</w:t>
            </w:r>
          </w:p>
          <w:p w14:paraId="355ABD8E">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支持查看、审核所有日志列表记录、我需要看的日志和我需要审核的日志</w:t>
            </w:r>
          </w:p>
          <w:p w14:paraId="488923A8">
            <w:pPr>
              <w:keepNext w:val="0"/>
              <w:keepLines w:val="0"/>
              <w:pageBreakBefore w:val="0"/>
              <w:widowControl/>
              <w:numPr>
                <w:ilvl w:val="0"/>
                <w:numId w:val="33"/>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日志统计</w:t>
            </w:r>
          </w:p>
          <w:p w14:paraId="445B21FA">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支持查看所有日志的提交结果统计和审核结果统计，点击日志可查看日志提交统计的详情</w:t>
            </w:r>
          </w:p>
          <w:p w14:paraId="33D8079B">
            <w:pPr>
              <w:keepNext w:val="0"/>
              <w:keepLines w:val="0"/>
              <w:pageBreakBefore w:val="0"/>
              <w:widowControl/>
              <w:numPr>
                <w:ilvl w:val="0"/>
                <w:numId w:val="31"/>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巡检考评</w:t>
            </w:r>
          </w:p>
          <w:p w14:paraId="11F4E589">
            <w:pPr>
              <w:keepNext w:val="0"/>
              <w:keepLines w:val="0"/>
              <w:pageBreakBefore w:val="0"/>
              <w:widowControl/>
              <w:numPr>
                <w:ilvl w:val="0"/>
                <w:numId w:val="34"/>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整改审核</w:t>
            </w:r>
          </w:p>
          <w:p w14:paraId="49CFB589">
            <w:pPr>
              <w:keepNext w:val="0"/>
              <w:keepLines w:val="0"/>
              <w:pageBreakBefore w:val="0"/>
              <w:widowControl/>
              <w:numPr>
                <w:ilvl w:val="0"/>
                <w:numId w:val="35"/>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展示该客户下的所有巡检整改审核记录，点击查看可查看巡店整改的详情记录</w:t>
            </w:r>
          </w:p>
          <w:p w14:paraId="19EEA6B5">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a.督查巡检</w:t>
            </w:r>
          </w:p>
          <w:p w14:paraId="3472D71B">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b.任务巡检</w:t>
            </w:r>
          </w:p>
          <w:p w14:paraId="1825C75F">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c.视频巡检</w:t>
            </w:r>
          </w:p>
          <w:p w14:paraId="0DEF26C6">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d.日管控</w:t>
            </w:r>
          </w:p>
          <w:p w14:paraId="1816C662">
            <w:pPr>
              <w:keepNext w:val="0"/>
              <w:keepLines w:val="0"/>
              <w:pageBreakBefore w:val="0"/>
              <w:widowControl/>
              <w:numPr>
                <w:ilvl w:val="0"/>
                <w:numId w:val="34"/>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线下巡检记录</w:t>
            </w:r>
          </w:p>
          <w:p w14:paraId="27156581">
            <w:pPr>
              <w:keepNext w:val="0"/>
              <w:keepLines w:val="0"/>
              <w:pageBreakBefore w:val="0"/>
              <w:widowControl/>
              <w:numPr>
                <w:ilvl w:val="0"/>
                <w:numId w:val="36"/>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展示该客户下所有的线下巡检记录，点击查看可查看详情</w:t>
            </w:r>
          </w:p>
          <w:p w14:paraId="18250671">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a.任务巡检</w:t>
            </w:r>
          </w:p>
          <w:p w14:paraId="275C4C5F">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b.督查巡检</w:t>
            </w:r>
          </w:p>
          <w:p w14:paraId="13F45680">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c.食堂自检</w:t>
            </w:r>
          </w:p>
          <w:p w14:paraId="05CC3CDE">
            <w:pPr>
              <w:keepNext w:val="0"/>
              <w:keepLines w:val="0"/>
              <w:pageBreakBefore w:val="0"/>
              <w:widowControl/>
              <w:numPr>
                <w:ilvl w:val="0"/>
                <w:numId w:val="34"/>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视频巡检记录</w:t>
            </w:r>
          </w:p>
          <w:p w14:paraId="7DC0E6F7">
            <w:pPr>
              <w:keepNext w:val="0"/>
              <w:keepLines w:val="0"/>
              <w:pageBreakBefore w:val="0"/>
              <w:widowControl/>
              <w:numPr>
                <w:ilvl w:val="0"/>
                <w:numId w:val="37"/>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示该客户下的所有视频巡检记录，并可进行视频巡检记录的导出，同时点击可查看详情</w:t>
            </w:r>
          </w:p>
          <w:p w14:paraId="5935C435">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a.视频巡检</w:t>
            </w:r>
          </w:p>
          <w:p w14:paraId="4A2C0EBE">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b.视频抽检</w:t>
            </w:r>
          </w:p>
          <w:p w14:paraId="43C33887">
            <w:pPr>
              <w:keepNext w:val="0"/>
              <w:keepLines w:val="0"/>
              <w:pageBreakBefore w:val="0"/>
              <w:widowControl/>
              <w:numPr>
                <w:ilvl w:val="0"/>
                <w:numId w:val="34"/>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随机抽查记录</w:t>
            </w:r>
          </w:p>
          <w:p w14:paraId="1AF259FD">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随机抽查记录：展示该客户下的所有随机抽查记录，并可进行随机抽查记录的导出，同时点击详情可以查看详细的随机抽查记录详情</w:t>
            </w:r>
          </w:p>
          <w:p w14:paraId="1741968D">
            <w:pPr>
              <w:keepNext w:val="0"/>
              <w:keepLines w:val="0"/>
              <w:pageBreakBefore w:val="0"/>
              <w:widowControl/>
              <w:numPr>
                <w:ilvl w:val="0"/>
                <w:numId w:val="31"/>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巡检分析</w:t>
            </w:r>
          </w:p>
          <w:p w14:paraId="3E851302">
            <w:pPr>
              <w:keepNext w:val="0"/>
              <w:keepLines w:val="0"/>
              <w:pageBreakBefore w:val="0"/>
              <w:widowControl/>
              <w:numPr>
                <w:ilvl w:val="0"/>
                <w:numId w:val="38"/>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巡检报表</w:t>
            </w:r>
          </w:p>
          <w:p w14:paraId="1DFC37FB">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可根据选择的巡检类型、巡检日期、食堂、检查表导出巡检报表，导出之后再下载列表点击详情进行查看</w:t>
            </w:r>
          </w:p>
          <w:p w14:paraId="5296A63F">
            <w:pPr>
              <w:keepNext w:val="0"/>
              <w:keepLines w:val="0"/>
              <w:pageBreakBefore w:val="0"/>
              <w:widowControl/>
              <w:numPr>
                <w:ilvl w:val="0"/>
                <w:numId w:val="38"/>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考评分数排名</w:t>
            </w:r>
          </w:p>
          <w:p w14:paraId="249BF953">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支持查看督查巡检、食堂自检、任务巡检的考评分数记录，点击导出可导出考评分数记录</w:t>
            </w:r>
          </w:p>
          <w:p w14:paraId="08EFD764">
            <w:pPr>
              <w:keepNext w:val="0"/>
              <w:keepLines w:val="0"/>
              <w:pageBreakBefore w:val="0"/>
              <w:widowControl/>
              <w:numPr>
                <w:ilvl w:val="0"/>
                <w:numId w:val="38"/>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巡查问题分析</w:t>
            </w:r>
          </w:p>
          <w:p w14:paraId="724DCDFB">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支持查看检查项统计、检查项分类统计、检查表统计的所有巡检问题记录，点击导出可导出巡检问题分析记录</w:t>
            </w:r>
          </w:p>
          <w:p w14:paraId="038D2C98">
            <w:pPr>
              <w:keepNext w:val="0"/>
              <w:keepLines w:val="0"/>
              <w:pageBreakBefore w:val="0"/>
              <w:widowControl/>
              <w:numPr>
                <w:ilvl w:val="0"/>
                <w:numId w:val="38"/>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整改统计</w:t>
            </w:r>
          </w:p>
          <w:p w14:paraId="7B152E00">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支持查看下属食堂全部整改统计，点击导出可导出整改统计的记录</w:t>
            </w:r>
          </w:p>
          <w:p w14:paraId="4F72EC63">
            <w:pPr>
              <w:keepNext w:val="0"/>
              <w:keepLines w:val="0"/>
              <w:pageBreakBefore w:val="0"/>
              <w:widowControl/>
              <w:numPr>
                <w:ilvl w:val="0"/>
                <w:numId w:val="38"/>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考勤统计</w:t>
            </w:r>
          </w:p>
          <w:p w14:paraId="180F0071">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支持查看巡检、自检全部考勤统计，点击查看详情可查看巡查考勤情况详情</w:t>
            </w:r>
          </w:p>
          <w:p w14:paraId="608F69F2">
            <w:pPr>
              <w:keepNext w:val="0"/>
              <w:keepLines w:val="0"/>
              <w:pageBreakBefore w:val="0"/>
              <w:widowControl/>
              <w:numPr>
                <w:ilvl w:val="0"/>
                <w:numId w:val="38"/>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统计报表</w:t>
            </w:r>
          </w:p>
          <w:p w14:paraId="3D01CC04">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可进行巡检数据统计、全国可视化情况表、全国巡检率的数据导出</w:t>
            </w:r>
          </w:p>
          <w:p w14:paraId="32BC71D9">
            <w:pPr>
              <w:keepNext w:val="0"/>
              <w:keepLines w:val="0"/>
              <w:pageBreakBefore w:val="0"/>
              <w:widowControl/>
              <w:numPr>
                <w:ilvl w:val="0"/>
                <w:numId w:val="31"/>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视频巡查</w:t>
            </w:r>
          </w:p>
          <w:p w14:paraId="5CEAA281">
            <w:pPr>
              <w:keepNext w:val="0"/>
              <w:keepLines w:val="0"/>
              <w:pageBreakBefore w:val="0"/>
              <w:widowControl/>
              <w:numPr>
                <w:ilvl w:val="0"/>
                <w:numId w:val="39"/>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视频查看</w:t>
            </w:r>
          </w:p>
          <w:p w14:paraId="3832980E">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支持选择门店，查看监控视频</w:t>
            </w:r>
          </w:p>
          <w:p w14:paraId="5097FA46">
            <w:pPr>
              <w:keepNext w:val="0"/>
              <w:keepLines w:val="0"/>
              <w:pageBreakBefore w:val="0"/>
              <w:widowControl/>
              <w:numPr>
                <w:ilvl w:val="0"/>
                <w:numId w:val="39"/>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视频巡检</w:t>
            </w:r>
          </w:p>
          <w:p w14:paraId="50ACFC5A">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支持选择门店，进行视频巡检</w:t>
            </w:r>
          </w:p>
          <w:p w14:paraId="0E6DF890">
            <w:pPr>
              <w:keepNext w:val="0"/>
              <w:keepLines w:val="0"/>
              <w:pageBreakBefore w:val="0"/>
              <w:widowControl/>
              <w:numPr>
                <w:ilvl w:val="0"/>
                <w:numId w:val="39"/>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视频抽检</w:t>
            </w:r>
          </w:p>
          <w:p w14:paraId="42EFA924">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支持选择门店，进行视频抽检</w:t>
            </w:r>
          </w:p>
          <w:p w14:paraId="79342048">
            <w:pPr>
              <w:keepNext w:val="0"/>
              <w:keepLines w:val="0"/>
              <w:pageBreakBefore w:val="0"/>
              <w:widowControl/>
              <w:numPr>
                <w:ilvl w:val="0"/>
                <w:numId w:val="31"/>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处理意见</w:t>
            </w:r>
          </w:p>
          <w:p w14:paraId="0087D983">
            <w:pPr>
              <w:keepNext w:val="0"/>
              <w:keepLines w:val="0"/>
              <w:pageBreakBefore w:val="0"/>
              <w:widowControl/>
              <w:numPr>
                <w:ilvl w:val="0"/>
                <w:numId w:val="40"/>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处理记录</w:t>
            </w:r>
          </w:p>
          <w:p w14:paraId="0D39085E">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支持查看下属食堂巡检罚单详情</w:t>
            </w:r>
          </w:p>
          <w:p w14:paraId="58FD44D9">
            <w:pPr>
              <w:keepNext w:val="0"/>
              <w:keepLines w:val="0"/>
              <w:pageBreakBefore w:val="0"/>
              <w:widowControl/>
              <w:numPr>
                <w:ilvl w:val="0"/>
                <w:numId w:val="40"/>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处理类型管理</w:t>
            </w:r>
          </w:p>
          <w:p w14:paraId="4060E302">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支持维护罚单类型，并可进行罚单类型的增删改等操作</w:t>
            </w:r>
          </w:p>
          <w:p w14:paraId="29988B20">
            <w:pPr>
              <w:keepNext w:val="0"/>
              <w:keepLines w:val="0"/>
              <w:pageBreakBefore w:val="0"/>
              <w:widowControl/>
              <w:numPr>
                <w:ilvl w:val="0"/>
                <w:numId w:val="31"/>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可对门店检查的问题进行整改；可导出巡检记录信息；可筛选巡检表类型信息；可新增检查表信息；可新增门店巡检记录信息；可关联门店的检查表信息；可查看巡检视频；可查看视频巡检记录信息。</w:t>
            </w:r>
          </w:p>
          <w:p w14:paraId="299597FD">
            <w:pPr>
              <w:keepNext w:val="0"/>
              <w:keepLines w:val="0"/>
              <w:pageBreakBefore w:val="0"/>
              <w:widowControl/>
              <w:numPr>
                <w:ilvl w:val="0"/>
                <w:numId w:val="31"/>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可对预警、报警、现场抽查中发现的问题进行整改和给予处罚；可对实施过程、工作进度进行查询和管控。</w:t>
            </w:r>
          </w:p>
          <w:p w14:paraId="54B80905">
            <w:pPr>
              <w:keepNext w:val="0"/>
              <w:keepLines w:val="0"/>
              <w:pageBreakBefore w:val="0"/>
              <w:widowControl/>
              <w:numPr>
                <w:ilvl w:val="0"/>
                <w:numId w:val="31"/>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可设置门店自检表；可设置表格内容、必填项和问题的红、黄、蓝标注；可对自检提交结果进行统计；可展示自检表下的数据统计结果；可对自检结果进行审核。</w:t>
            </w:r>
          </w:p>
          <w:p w14:paraId="50471FB9">
            <w:pPr>
              <w:keepNext w:val="0"/>
              <w:keepLines w:val="0"/>
              <w:pageBreakBefore w:val="0"/>
              <w:widowControl/>
              <w:numPr>
                <w:ilvl w:val="0"/>
                <w:numId w:val="31"/>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可通过视频画面对门店现场情况进行考核评分；可抓拍问题图片；视频巡检检查表的检查项目可按视频区域进行切换；可切换不同区域的检查项；可提交视频检查表；可生成视频巡检记录。</w:t>
            </w:r>
          </w:p>
          <w:p w14:paraId="140BDD7C">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11.可设置任务模式下的独立检查表；可查询任务完成情况；可对任务进行派发可根据人员派发任务巡检。</w:t>
            </w:r>
          </w:p>
        </w:tc>
        <w:tc>
          <w:tcPr>
            <w:tcW w:w="469" w:type="pct"/>
            <w:noWrap w:val="0"/>
            <w:vAlign w:val="center"/>
          </w:tcPr>
          <w:p w14:paraId="521EB10B">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项</w:t>
            </w:r>
          </w:p>
        </w:tc>
        <w:tc>
          <w:tcPr>
            <w:tcW w:w="469" w:type="pct"/>
            <w:noWrap w:val="0"/>
            <w:vAlign w:val="center"/>
          </w:tcPr>
          <w:p w14:paraId="6883792C">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p>
        </w:tc>
      </w:tr>
      <w:tr w14:paraId="0E808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468" w:type="pct"/>
            <w:noWrap w:val="0"/>
            <w:vAlign w:val="center"/>
          </w:tcPr>
          <w:p w14:paraId="70BAD2DE">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后勤服务监管</w:t>
            </w:r>
          </w:p>
          <w:p w14:paraId="490684CE">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4"/>
                <w:szCs w:val="24"/>
                <w:lang w:bidi="ar"/>
              </w:rPr>
            </w:pPr>
          </w:p>
        </w:tc>
        <w:tc>
          <w:tcPr>
            <w:tcW w:w="3594" w:type="pct"/>
            <w:noWrap w:val="0"/>
            <w:vAlign w:val="top"/>
          </w:tcPr>
          <w:p w14:paraId="1ECD10C3">
            <w:pPr>
              <w:keepNext w:val="0"/>
              <w:keepLines w:val="0"/>
              <w:pageBreakBefore w:val="0"/>
              <w:widowControl/>
              <w:numPr>
                <w:ilvl w:val="0"/>
                <w:numId w:val="41"/>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菜单菜价管控</w:t>
            </w:r>
          </w:p>
          <w:p w14:paraId="222A99EF">
            <w:pPr>
              <w:keepNext w:val="0"/>
              <w:keepLines w:val="0"/>
              <w:pageBreakBefore w:val="0"/>
              <w:widowControl/>
              <w:numPr>
                <w:ilvl w:val="0"/>
                <w:numId w:val="42"/>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菜价审核</w:t>
            </w:r>
          </w:p>
          <w:p w14:paraId="1C31CBA3">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可审核食堂提报的菜价信息</w:t>
            </w:r>
          </w:p>
          <w:p w14:paraId="6CE2DEA1">
            <w:pPr>
              <w:keepNext w:val="0"/>
              <w:keepLines w:val="0"/>
              <w:pageBreakBefore w:val="0"/>
              <w:widowControl/>
              <w:numPr>
                <w:ilvl w:val="0"/>
                <w:numId w:val="42"/>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实时菜价</w:t>
            </w:r>
          </w:p>
          <w:p w14:paraId="51E459E9">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可查看食堂所有菜品的提报记录情况</w:t>
            </w:r>
          </w:p>
          <w:p w14:paraId="75B734AE">
            <w:pPr>
              <w:keepNext w:val="0"/>
              <w:keepLines w:val="0"/>
              <w:pageBreakBefore w:val="0"/>
              <w:widowControl/>
              <w:numPr>
                <w:ilvl w:val="0"/>
                <w:numId w:val="41"/>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服务管理</w:t>
            </w:r>
          </w:p>
          <w:p w14:paraId="00D0F015">
            <w:pPr>
              <w:keepNext w:val="0"/>
              <w:keepLines w:val="0"/>
              <w:pageBreakBefore w:val="0"/>
              <w:widowControl/>
              <w:numPr>
                <w:ilvl w:val="0"/>
                <w:numId w:val="43"/>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问题反馈与建议</w:t>
            </w:r>
          </w:p>
          <w:p w14:paraId="174388E1">
            <w:pPr>
              <w:keepNext w:val="0"/>
              <w:keepLines w:val="0"/>
              <w:pageBreakBefore w:val="0"/>
              <w:widowControl/>
              <w:numPr>
                <w:ilvl w:val="0"/>
                <w:numId w:val="44"/>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可查看用餐人员反馈的意见或留言记录</w:t>
            </w:r>
          </w:p>
          <w:p w14:paraId="14DD5FA8">
            <w:pPr>
              <w:keepNext w:val="0"/>
              <w:keepLines w:val="0"/>
              <w:pageBreakBefore w:val="0"/>
              <w:widowControl/>
              <w:numPr>
                <w:ilvl w:val="0"/>
                <w:numId w:val="44"/>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可回复用餐人员反馈的消息或留言</w:t>
            </w:r>
          </w:p>
          <w:p w14:paraId="6B06BAFA">
            <w:pPr>
              <w:keepNext w:val="0"/>
              <w:keepLines w:val="0"/>
              <w:pageBreakBefore w:val="0"/>
              <w:widowControl/>
              <w:numPr>
                <w:ilvl w:val="0"/>
                <w:numId w:val="43"/>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服务配置</w:t>
            </w:r>
          </w:p>
          <w:p w14:paraId="4AEEF02E">
            <w:pPr>
              <w:keepNext w:val="0"/>
              <w:keepLines w:val="0"/>
              <w:pageBreakBefore w:val="0"/>
              <w:widowControl/>
              <w:numPr>
                <w:ilvl w:val="0"/>
                <w:numId w:val="45"/>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支持设置下属食堂使用用餐反馈功能的规则</w:t>
            </w:r>
          </w:p>
          <w:p w14:paraId="3019AAC1">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a.同步设置：支持开启配置功能，由学校统一定义就餐问题处理功能规则</w:t>
            </w:r>
          </w:p>
          <w:p w14:paraId="5092725B">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b.反馈类型：支持配置就餐问题反馈的问题类型</w:t>
            </w:r>
          </w:p>
          <w:p w14:paraId="0D174FCB">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c.反馈设置：支持配置就餐问题反馈提交内容</w:t>
            </w:r>
          </w:p>
          <w:p w14:paraId="7D8CF0DC">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d.效率监管：支持配置就餐问题处理期限、超时预警要求</w:t>
            </w:r>
          </w:p>
          <w:p w14:paraId="2477712A">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e.审核设置：支持开启就餐问题处理审核机制</w:t>
            </w:r>
          </w:p>
          <w:p w14:paraId="20C3CFE2">
            <w:pPr>
              <w:keepNext w:val="0"/>
              <w:keepLines w:val="0"/>
              <w:pageBreakBefore w:val="0"/>
              <w:widowControl/>
              <w:numPr>
                <w:ilvl w:val="0"/>
                <w:numId w:val="43"/>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反馈超时风险</w:t>
            </w:r>
          </w:p>
          <w:p w14:paraId="3D441EE0">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可查看所有反馈消息处理超时的记录</w:t>
            </w:r>
          </w:p>
          <w:p w14:paraId="38B4B29E">
            <w:pPr>
              <w:keepNext w:val="0"/>
              <w:keepLines w:val="0"/>
              <w:pageBreakBefore w:val="0"/>
              <w:widowControl/>
              <w:numPr>
                <w:ilvl w:val="0"/>
                <w:numId w:val="41"/>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满意度调研</w:t>
            </w:r>
          </w:p>
          <w:p w14:paraId="7F0E7582">
            <w:pPr>
              <w:keepNext w:val="0"/>
              <w:keepLines w:val="0"/>
              <w:pageBreakBefore w:val="0"/>
              <w:widowControl/>
              <w:numPr>
                <w:ilvl w:val="0"/>
                <w:numId w:val="46"/>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问卷管理</w:t>
            </w:r>
          </w:p>
          <w:p w14:paraId="3795FD67">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可创建并管理问卷</w:t>
            </w:r>
          </w:p>
          <w:p w14:paraId="7E55E1B5">
            <w:pPr>
              <w:keepNext w:val="0"/>
              <w:keepLines w:val="0"/>
              <w:pageBreakBefore w:val="0"/>
              <w:widowControl/>
              <w:numPr>
                <w:ilvl w:val="0"/>
                <w:numId w:val="46"/>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链接管理</w:t>
            </w:r>
          </w:p>
          <w:p w14:paraId="0F60D387">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可创建并管理链接，链接可关联问卷并进行投放</w:t>
            </w:r>
          </w:p>
          <w:p w14:paraId="652DFDBF">
            <w:pPr>
              <w:keepNext w:val="0"/>
              <w:keepLines w:val="0"/>
              <w:pageBreakBefore w:val="0"/>
              <w:widowControl/>
              <w:numPr>
                <w:ilvl w:val="0"/>
                <w:numId w:val="41"/>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宣传管理</w:t>
            </w:r>
          </w:p>
          <w:p w14:paraId="08770F2B">
            <w:pPr>
              <w:keepNext w:val="0"/>
              <w:keepLines w:val="0"/>
              <w:pageBreakBefore w:val="0"/>
              <w:widowControl/>
              <w:numPr>
                <w:ilvl w:val="0"/>
                <w:numId w:val="47"/>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宣传管理</w:t>
            </w:r>
          </w:p>
          <w:p w14:paraId="55899494">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支持查看下属食堂前厅服务系统展示的宣传资料，并可进行修改</w:t>
            </w:r>
          </w:p>
          <w:p w14:paraId="79704BF7">
            <w:pPr>
              <w:keepNext w:val="0"/>
              <w:keepLines w:val="0"/>
              <w:pageBreakBefore w:val="0"/>
              <w:widowControl/>
              <w:numPr>
                <w:ilvl w:val="0"/>
                <w:numId w:val="47"/>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公示台账管理</w:t>
            </w:r>
          </w:p>
          <w:p w14:paraId="59E458B3">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支持查看下属食堂前厅服务系统展示的电子台账情况，并可进行修改</w:t>
            </w:r>
          </w:p>
          <w:p w14:paraId="34DAE724">
            <w:pPr>
              <w:keepNext w:val="0"/>
              <w:keepLines w:val="0"/>
              <w:pageBreakBefore w:val="0"/>
              <w:widowControl/>
              <w:numPr>
                <w:ilvl w:val="0"/>
                <w:numId w:val="47"/>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明厨亮灶管理</w:t>
            </w:r>
          </w:p>
          <w:p w14:paraId="17A567D5">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支持查看下属食堂前厅服务系统展示的后厨明厨亮灶画面情况，并可进行修改</w:t>
            </w:r>
          </w:p>
          <w:p w14:paraId="545BC96F">
            <w:pPr>
              <w:keepNext w:val="0"/>
              <w:keepLines w:val="0"/>
              <w:pageBreakBefore w:val="0"/>
              <w:widowControl/>
              <w:numPr>
                <w:ilvl w:val="0"/>
                <w:numId w:val="41"/>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AI报警事件分析</w:t>
            </w:r>
          </w:p>
          <w:p w14:paraId="72A5F7ED">
            <w:pPr>
              <w:keepNext w:val="0"/>
              <w:keepLines w:val="0"/>
              <w:pageBreakBefore w:val="0"/>
              <w:widowControl/>
              <w:numPr>
                <w:ilvl w:val="0"/>
                <w:numId w:val="48"/>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支持查看AI预警事件统计事件分析</w:t>
            </w:r>
          </w:p>
          <w:p w14:paraId="786C9987">
            <w:pPr>
              <w:keepNext w:val="0"/>
              <w:keepLines w:val="0"/>
              <w:pageBreakBefore w:val="0"/>
              <w:widowControl/>
              <w:numPr>
                <w:ilvl w:val="0"/>
                <w:numId w:val="41"/>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报警统计明细</w:t>
            </w:r>
          </w:p>
          <w:p w14:paraId="39728E07">
            <w:pPr>
              <w:keepNext w:val="0"/>
              <w:keepLines w:val="0"/>
              <w:pageBreakBefore w:val="0"/>
              <w:widowControl/>
              <w:numPr>
                <w:ilvl w:val="0"/>
                <w:numId w:val="49"/>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支持查看下属各食堂不同设备类型报警统计信息</w:t>
            </w:r>
          </w:p>
          <w:p w14:paraId="62E762D9">
            <w:pPr>
              <w:keepNext w:val="0"/>
              <w:keepLines w:val="0"/>
              <w:pageBreakBefore w:val="0"/>
              <w:widowControl/>
              <w:numPr>
                <w:ilvl w:val="0"/>
                <w:numId w:val="41"/>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报警数据统计</w:t>
            </w:r>
          </w:p>
          <w:p w14:paraId="764B9FAD">
            <w:pPr>
              <w:keepNext w:val="0"/>
              <w:keepLines w:val="0"/>
              <w:pageBreakBefore w:val="0"/>
              <w:widowControl/>
              <w:numPr>
                <w:ilvl w:val="0"/>
                <w:numId w:val="50"/>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食堂设备统计：下属食堂设备统计</w:t>
            </w:r>
          </w:p>
          <w:p w14:paraId="4D4A2940">
            <w:pPr>
              <w:keepNext w:val="0"/>
              <w:keepLines w:val="0"/>
              <w:pageBreakBefore w:val="0"/>
              <w:widowControl/>
              <w:numPr>
                <w:ilvl w:val="0"/>
                <w:numId w:val="50"/>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数智场景统计：下属食堂场景统计</w:t>
            </w:r>
          </w:p>
          <w:p w14:paraId="0DE3F96A">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8.可通过移动H5页面进行用餐评价互动；可扫码上传意见反馈信息；餐厅经理可收到反馈信息；可进行建议处理和电话拨打回访。</w:t>
            </w:r>
          </w:p>
        </w:tc>
        <w:tc>
          <w:tcPr>
            <w:tcW w:w="469" w:type="pct"/>
            <w:noWrap w:val="0"/>
            <w:vAlign w:val="center"/>
          </w:tcPr>
          <w:p w14:paraId="51C7951F">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项</w:t>
            </w:r>
          </w:p>
        </w:tc>
        <w:tc>
          <w:tcPr>
            <w:tcW w:w="469" w:type="pct"/>
            <w:noWrap w:val="0"/>
            <w:vAlign w:val="center"/>
          </w:tcPr>
          <w:p w14:paraId="54666498">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p>
        </w:tc>
      </w:tr>
      <w:tr w14:paraId="01E83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468" w:type="pct"/>
            <w:noWrap w:val="0"/>
            <w:vAlign w:val="center"/>
          </w:tcPr>
          <w:p w14:paraId="25DCFB38">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溯源管理</w:t>
            </w:r>
          </w:p>
          <w:p w14:paraId="2D155F9B">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4"/>
                <w:szCs w:val="24"/>
                <w:lang w:bidi="ar"/>
              </w:rPr>
            </w:pPr>
          </w:p>
        </w:tc>
        <w:tc>
          <w:tcPr>
            <w:tcW w:w="3594" w:type="pct"/>
            <w:noWrap w:val="0"/>
            <w:vAlign w:val="top"/>
          </w:tcPr>
          <w:p w14:paraId="19A1AEA8">
            <w:pPr>
              <w:keepNext w:val="0"/>
              <w:keepLines w:val="0"/>
              <w:pageBreakBefore w:val="0"/>
              <w:widowControl/>
              <w:numPr>
                <w:ilvl w:val="0"/>
                <w:numId w:val="51"/>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溯源管理配置</w:t>
            </w:r>
          </w:p>
          <w:p w14:paraId="1A34DD27">
            <w:pPr>
              <w:keepNext w:val="0"/>
              <w:keepLines w:val="0"/>
              <w:pageBreakBefore w:val="0"/>
              <w:widowControl/>
              <w:numPr>
                <w:ilvl w:val="0"/>
                <w:numId w:val="52"/>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供货商维护设置：支持开通供货商审核功能（需审核食堂、审核人），下属食堂维护供货商时，需由指定人审核通过后，方可生效</w:t>
            </w:r>
          </w:p>
          <w:p w14:paraId="6DE6B46B">
            <w:pPr>
              <w:keepNext w:val="0"/>
              <w:keepLines w:val="0"/>
              <w:pageBreakBefore w:val="0"/>
              <w:widowControl/>
              <w:numPr>
                <w:ilvl w:val="0"/>
                <w:numId w:val="52"/>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消息推送设置：入库验收统计消息推送配置（时间、推送人）</w:t>
            </w:r>
          </w:p>
          <w:p w14:paraId="4BA27C1E">
            <w:pPr>
              <w:keepNext w:val="0"/>
              <w:keepLines w:val="0"/>
              <w:pageBreakBefore w:val="0"/>
              <w:widowControl/>
              <w:numPr>
                <w:ilvl w:val="0"/>
                <w:numId w:val="52"/>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报单审核设置：支持开通报单审核功能（需审核食堂、审核人），下属食堂进行食材报单时，需由制定人审核通过后，方可生效，可进行采购验收</w:t>
            </w:r>
          </w:p>
          <w:p w14:paraId="76A9918D">
            <w:pPr>
              <w:keepNext w:val="0"/>
              <w:keepLines w:val="0"/>
              <w:pageBreakBefore w:val="0"/>
              <w:widowControl/>
              <w:numPr>
                <w:ilvl w:val="0"/>
                <w:numId w:val="51"/>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原料管理</w:t>
            </w:r>
          </w:p>
          <w:p w14:paraId="7D08D1EB">
            <w:pPr>
              <w:keepNext w:val="0"/>
              <w:keepLines w:val="0"/>
              <w:pageBreakBefore w:val="0"/>
              <w:widowControl/>
              <w:numPr>
                <w:ilvl w:val="0"/>
                <w:numId w:val="53"/>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食堂原料库：支持查看下属食堂原料库数据统计情况，同时支持详情查看</w:t>
            </w:r>
          </w:p>
          <w:p w14:paraId="71851EC4">
            <w:pPr>
              <w:keepNext w:val="0"/>
              <w:keepLines w:val="0"/>
              <w:pageBreakBefore w:val="0"/>
              <w:widowControl/>
              <w:numPr>
                <w:ilvl w:val="0"/>
                <w:numId w:val="53"/>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原料库管理：支持建立统一的原料库，同步至下属食堂使用</w:t>
            </w:r>
          </w:p>
          <w:p w14:paraId="1325B120">
            <w:pPr>
              <w:keepNext w:val="0"/>
              <w:keepLines w:val="0"/>
              <w:pageBreakBefore w:val="0"/>
              <w:widowControl/>
              <w:numPr>
                <w:ilvl w:val="0"/>
                <w:numId w:val="51"/>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供货商管理</w:t>
            </w:r>
          </w:p>
          <w:p w14:paraId="3B8503FE">
            <w:pPr>
              <w:keepNext w:val="0"/>
              <w:keepLines w:val="0"/>
              <w:pageBreakBefore w:val="0"/>
              <w:widowControl/>
              <w:numPr>
                <w:ilvl w:val="0"/>
                <w:numId w:val="54"/>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食堂供货统计：支持查看下属食堂供货商数据统计结果，同时支持进行供货商资质信息查看</w:t>
            </w:r>
          </w:p>
          <w:p w14:paraId="42BA8BD9">
            <w:pPr>
              <w:keepNext w:val="0"/>
              <w:keepLines w:val="0"/>
              <w:pageBreakBefore w:val="0"/>
              <w:widowControl/>
              <w:numPr>
                <w:ilvl w:val="0"/>
                <w:numId w:val="54"/>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供货商库管理：支持建立统一的食材供货商库，同步至下属食堂使用</w:t>
            </w:r>
          </w:p>
          <w:p w14:paraId="7E039ABE">
            <w:pPr>
              <w:keepNext w:val="0"/>
              <w:keepLines w:val="0"/>
              <w:pageBreakBefore w:val="0"/>
              <w:widowControl/>
              <w:numPr>
                <w:ilvl w:val="0"/>
                <w:numId w:val="54"/>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供货商审核：针对有审核权限人员，可进行下属食堂维护供货商时，进行审核操作（仅权限人员可查看该页面）</w:t>
            </w:r>
          </w:p>
          <w:p w14:paraId="64A3397C">
            <w:pPr>
              <w:keepNext w:val="0"/>
              <w:keepLines w:val="0"/>
              <w:pageBreakBefore w:val="0"/>
              <w:widowControl/>
              <w:numPr>
                <w:ilvl w:val="0"/>
                <w:numId w:val="51"/>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报单记录</w:t>
            </w:r>
          </w:p>
          <w:p w14:paraId="50B6BB6A">
            <w:pPr>
              <w:keepNext w:val="0"/>
              <w:keepLines w:val="0"/>
              <w:pageBreakBefore w:val="0"/>
              <w:widowControl/>
              <w:numPr>
                <w:ilvl w:val="0"/>
                <w:numId w:val="55"/>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支持查看下属食堂所报单记录（进行中、已验收等），及查看食材明细</w:t>
            </w:r>
          </w:p>
          <w:p w14:paraId="2AAD03FF">
            <w:pPr>
              <w:keepNext w:val="0"/>
              <w:keepLines w:val="0"/>
              <w:pageBreakBefore w:val="0"/>
              <w:widowControl/>
              <w:numPr>
                <w:ilvl w:val="0"/>
                <w:numId w:val="55"/>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支持有审核权限人员进行食堂提报报单记录进行审核</w:t>
            </w:r>
          </w:p>
          <w:p w14:paraId="31B5A821">
            <w:pPr>
              <w:keepNext w:val="0"/>
              <w:keepLines w:val="0"/>
              <w:pageBreakBefore w:val="0"/>
              <w:widowControl/>
              <w:numPr>
                <w:ilvl w:val="0"/>
                <w:numId w:val="51"/>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验收记录</w:t>
            </w:r>
          </w:p>
          <w:p w14:paraId="7C0C7419">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支持查看下属食堂验收记录（进行中、已完成），及查看食材验收明细、索证索票</w:t>
            </w:r>
          </w:p>
          <w:p w14:paraId="7BA0255C">
            <w:pPr>
              <w:keepNext w:val="0"/>
              <w:keepLines w:val="0"/>
              <w:pageBreakBefore w:val="0"/>
              <w:widowControl/>
              <w:numPr>
                <w:ilvl w:val="0"/>
                <w:numId w:val="51"/>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异常记录</w:t>
            </w:r>
          </w:p>
          <w:p w14:paraId="2FAE5E2B">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支持查看下属食堂验收中记录的异常验收记录，及查看详细异常情况</w:t>
            </w:r>
          </w:p>
          <w:p w14:paraId="2311570B">
            <w:pPr>
              <w:keepNext w:val="0"/>
              <w:keepLines w:val="0"/>
              <w:pageBreakBefore w:val="0"/>
              <w:widowControl/>
              <w:numPr>
                <w:ilvl w:val="0"/>
                <w:numId w:val="51"/>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库存管理</w:t>
            </w:r>
          </w:p>
          <w:p w14:paraId="5085F610">
            <w:pPr>
              <w:keepNext w:val="0"/>
              <w:keepLines w:val="0"/>
              <w:pageBreakBefore w:val="0"/>
              <w:widowControl/>
              <w:numPr>
                <w:ilvl w:val="0"/>
                <w:numId w:val="56"/>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支持查看下属食堂食材库存情况</w:t>
            </w:r>
          </w:p>
          <w:p w14:paraId="30CA8F51">
            <w:pPr>
              <w:keepNext w:val="0"/>
              <w:keepLines w:val="0"/>
              <w:pageBreakBefore w:val="0"/>
              <w:widowControl/>
              <w:numPr>
                <w:ilvl w:val="0"/>
                <w:numId w:val="56"/>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支持查看下属食堂食材入库、拆分情况</w:t>
            </w:r>
          </w:p>
          <w:p w14:paraId="524CCEF8">
            <w:pPr>
              <w:keepNext w:val="0"/>
              <w:keepLines w:val="0"/>
              <w:pageBreakBefore w:val="0"/>
              <w:widowControl/>
              <w:numPr>
                <w:ilvl w:val="0"/>
                <w:numId w:val="56"/>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支持查看下属食堂各食材仓库库存，存放食材信息</w:t>
            </w:r>
          </w:p>
          <w:p w14:paraId="5FC10367">
            <w:pPr>
              <w:keepNext w:val="0"/>
              <w:keepLines w:val="0"/>
              <w:pageBreakBefore w:val="0"/>
              <w:widowControl/>
              <w:numPr>
                <w:ilvl w:val="0"/>
                <w:numId w:val="51"/>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出库记录</w:t>
            </w:r>
          </w:p>
          <w:p w14:paraId="0477CE6A">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支持查看下属食堂出库记录，及查看详细档口出库、出库内容、签字图片</w:t>
            </w:r>
          </w:p>
        </w:tc>
        <w:tc>
          <w:tcPr>
            <w:tcW w:w="469" w:type="pct"/>
            <w:noWrap w:val="0"/>
            <w:vAlign w:val="center"/>
          </w:tcPr>
          <w:p w14:paraId="5C0B2864">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项</w:t>
            </w:r>
          </w:p>
        </w:tc>
        <w:tc>
          <w:tcPr>
            <w:tcW w:w="469" w:type="pct"/>
            <w:noWrap w:val="0"/>
            <w:vAlign w:val="center"/>
          </w:tcPr>
          <w:p w14:paraId="4F125BE3">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p>
        </w:tc>
      </w:tr>
      <w:tr w14:paraId="2AC59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468" w:type="pct"/>
            <w:noWrap w:val="0"/>
            <w:vAlign w:val="center"/>
          </w:tcPr>
          <w:p w14:paraId="66AB0BCE">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消息中心</w:t>
            </w:r>
          </w:p>
          <w:p w14:paraId="3446D373">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4"/>
                <w:szCs w:val="24"/>
                <w:lang w:bidi="ar"/>
              </w:rPr>
            </w:pPr>
          </w:p>
        </w:tc>
        <w:tc>
          <w:tcPr>
            <w:tcW w:w="3594" w:type="pct"/>
            <w:noWrap w:val="0"/>
            <w:vAlign w:val="top"/>
          </w:tcPr>
          <w:p w14:paraId="01E8318A">
            <w:pPr>
              <w:keepNext w:val="0"/>
              <w:keepLines w:val="0"/>
              <w:pageBreakBefore w:val="0"/>
              <w:widowControl/>
              <w:numPr>
                <w:ilvl w:val="0"/>
                <w:numId w:val="57"/>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消息发布</w:t>
            </w:r>
          </w:p>
          <w:p w14:paraId="6CECCD17">
            <w:pPr>
              <w:keepNext w:val="0"/>
              <w:keepLines w:val="0"/>
              <w:pageBreakBefore w:val="0"/>
              <w:widowControl/>
              <w:numPr>
                <w:ilvl w:val="0"/>
                <w:numId w:val="58"/>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支持用户发布消息</w:t>
            </w:r>
          </w:p>
          <w:p w14:paraId="7CE4F6BC">
            <w:pPr>
              <w:keepNext w:val="0"/>
              <w:keepLines w:val="0"/>
              <w:pageBreakBefore w:val="0"/>
              <w:widowControl/>
              <w:numPr>
                <w:ilvl w:val="0"/>
                <w:numId w:val="57"/>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消息记录</w:t>
            </w:r>
          </w:p>
          <w:p w14:paraId="4B0288DB">
            <w:pPr>
              <w:keepNext w:val="0"/>
              <w:keepLines w:val="0"/>
              <w:pageBreakBefore w:val="0"/>
              <w:widowControl/>
              <w:numPr>
                <w:ilvl w:val="0"/>
                <w:numId w:val="59"/>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系统消息</w:t>
            </w:r>
          </w:p>
          <w:p w14:paraId="6BECC07C">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可指定角色发布系统消息</w:t>
            </w:r>
          </w:p>
          <w:p w14:paraId="61C9C0B1">
            <w:pPr>
              <w:keepNext w:val="0"/>
              <w:keepLines w:val="0"/>
              <w:pageBreakBefore w:val="0"/>
              <w:widowControl/>
              <w:numPr>
                <w:ilvl w:val="0"/>
                <w:numId w:val="59"/>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智能预警</w:t>
            </w:r>
          </w:p>
          <w:p w14:paraId="37FAAC89">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AI设备报警消息接收</w:t>
            </w:r>
          </w:p>
          <w:p w14:paraId="4C6E5ACF">
            <w:pPr>
              <w:keepNext w:val="0"/>
              <w:keepLines w:val="0"/>
              <w:pageBreakBefore w:val="0"/>
              <w:widowControl/>
              <w:numPr>
                <w:ilvl w:val="0"/>
                <w:numId w:val="59"/>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物联预警</w:t>
            </w:r>
          </w:p>
          <w:p w14:paraId="1D72F0F6">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物联传感设备的报警消息接收（包括场景的报警消息）</w:t>
            </w:r>
          </w:p>
          <w:p w14:paraId="18307701">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3.可对APP端发送消息提醒；可发送消息提醒给下辖组织、角色部门和个人；负责人可收到信息通知。</w:t>
            </w:r>
          </w:p>
        </w:tc>
        <w:tc>
          <w:tcPr>
            <w:tcW w:w="469" w:type="pct"/>
            <w:noWrap w:val="0"/>
            <w:vAlign w:val="center"/>
          </w:tcPr>
          <w:p w14:paraId="162E841F">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项</w:t>
            </w:r>
          </w:p>
        </w:tc>
        <w:tc>
          <w:tcPr>
            <w:tcW w:w="469" w:type="pct"/>
            <w:noWrap w:val="0"/>
            <w:vAlign w:val="center"/>
          </w:tcPr>
          <w:p w14:paraId="7F38080C">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p>
        </w:tc>
      </w:tr>
      <w:tr w14:paraId="6023F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468" w:type="pct"/>
            <w:noWrap w:val="0"/>
            <w:vAlign w:val="center"/>
          </w:tcPr>
          <w:p w14:paraId="467B6D85">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人事管理</w:t>
            </w:r>
          </w:p>
          <w:p w14:paraId="3E45F415">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4"/>
                <w:szCs w:val="24"/>
                <w:lang w:bidi="ar"/>
              </w:rPr>
            </w:pPr>
          </w:p>
        </w:tc>
        <w:tc>
          <w:tcPr>
            <w:tcW w:w="3594" w:type="pct"/>
            <w:noWrap w:val="0"/>
            <w:vAlign w:val="top"/>
          </w:tcPr>
          <w:p w14:paraId="118A32E1">
            <w:pPr>
              <w:keepNext w:val="0"/>
              <w:keepLines w:val="0"/>
              <w:pageBreakBefore w:val="0"/>
              <w:widowControl/>
              <w:numPr>
                <w:ilvl w:val="0"/>
                <w:numId w:val="60"/>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员工管理</w:t>
            </w:r>
          </w:p>
          <w:p w14:paraId="4E5F3A95">
            <w:pPr>
              <w:keepNext w:val="0"/>
              <w:keepLines w:val="0"/>
              <w:pageBreakBefore w:val="0"/>
              <w:widowControl/>
              <w:numPr>
                <w:ilvl w:val="0"/>
                <w:numId w:val="61"/>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学校员工</w:t>
            </w:r>
          </w:p>
          <w:p w14:paraId="35B3934A">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支持维护学校后勤部门员工信息，依据开启后厨门禁系统权限</w:t>
            </w:r>
          </w:p>
          <w:p w14:paraId="0C046AF9">
            <w:pPr>
              <w:keepNext w:val="0"/>
              <w:keepLines w:val="0"/>
              <w:pageBreakBefore w:val="0"/>
              <w:widowControl/>
              <w:numPr>
                <w:ilvl w:val="0"/>
                <w:numId w:val="61"/>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食堂员工</w:t>
            </w:r>
          </w:p>
          <w:p w14:paraId="449B4ADC">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支持查看、维护食堂员工信息</w:t>
            </w:r>
          </w:p>
          <w:p w14:paraId="40470A11">
            <w:pPr>
              <w:keepNext w:val="0"/>
              <w:keepLines w:val="0"/>
              <w:pageBreakBefore w:val="0"/>
              <w:widowControl/>
              <w:numPr>
                <w:ilvl w:val="0"/>
                <w:numId w:val="60"/>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食堂出勤</w:t>
            </w:r>
          </w:p>
          <w:p w14:paraId="38791EC4">
            <w:pPr>
              <w:keepNext w:val="0"/>
              <w:keepLines w:val="0"/>
              <w:pageBreakBefore w:val="0"/>
              <w:widowControl/>
              <w:numPr>
                <w:ilvl w:val="0"/>
                <w:numId w:val="62"/>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支持查看下属各食堂员工出勤信息</w:t>
            </w:r>
          </w:p>
          <w:p w14:paraId="5CFF7AF3">
            <w:pPr>
              <w:keepNext w:val="0"/>
              <w:keepLines w:val="0"/>
              <w:pageBreakBefore w:val="0"/>
              <w:widowControl/>
              <w:numPr>
                <w:ilvl w:val="0"/>
                <w:numId w:val="60"/>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培训管理</w:t>
            </w:r>
          </w:p>
          <w:p w14:paraId="6828C76E">
            <w:pPr>
              <w:keepNext w:val="0"/>
              <w:keepLines w:val="0"/>
              <w:pageBreakBefore w:val="0"/>
              <w:widowControl/>
              <w:numPr>
                <w:ilvl w:val="0"/>
                <w:numId w:val="63"/>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支持上传食堂培训学习资料（文件、视频）</w:t>
            </w:r>
          </w:p>
          <w:p w14:paraId="257139A2">
            <w:pPr>
              <w:keepNext w:val="0"/>
              <w:keepLines w:val="0"/>
              <w:pageBreakBefore w:val="0"/>
              <w:widowControl/>
              <w:numPr>
                <w:ilvl w:val="0"/>
                <w:numId w:val="63"/>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支持查看学习记录</w:t>
            </w:r>
          </w:p>
          <w:p w14:paraId="35DBA542">
            <w:pPr>
              <w:keepNext w:val="0"/>
              <w:keepLines w:val="0"/>
              <w:pageBreakBefore w:val="0"/>
              <w:widowControl/>
              <w:numPr>
                <w:ilvl w:val="0"/>
                <w:numId w:val="60"/>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门禁权限管理</w:t>
            </w:r>
          </w:p>
          <w:p w14:paraId="15AE7A1E">
            <w:pPr>
              <w:keepNext w:val="0"/>
              <w:keepLines w:val="0"/>
              <w:pageBreakBefore w:val="0"/>
              <w:widowControl/>
              <w:numPr>
                <w:ilvl w:val="0"/>
                <w:numId w:val="64"/>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权限组管理</w:t>
            </w:r>
          </w:p>
          <w:p w14:paraId="6B60A3E8">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支持配置门禁权限信息（人员对于门禁出入权限）</w:t>
            </w:r>
          </w:p>
          <w:p w14:paraId="75B97609">
            <w:pPr>
              <w:keepNext w:val="0"/>
              <w:keepLines w:val="0"/>
              <w:pageBreakBefore w:val="0"/>
              <w:widowControl/>
              <w:numPr>
                <w:ilvl w:val="0"/>
                <w:numId w:val="64"/>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员工权限管理</w:t>
            </w:r>
          </w:p>
          <w:p w14:paraId="075AC083">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支持查看员工对应有权限门禁设备信息</w:t>
            </w:r>
          </w:p>
          <w:p w14:paraId="01FD774E">
            <w:pPr>
              <w:keepNext w:val="0"/>
              <w:keepLines w:val="0"/>
              <w:pageBreakBefore w:val="0"/>
              <w:widowControl/>
              <w:numPr>
                <w:ilvl w:val="0"/>
                <w:numId w:val="64"/>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门禁事件明细</w:t>
            </w:r>
          </w:p>
          <w:p w14:paraId="2633C887">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支持查看员工门禁出入事件明细</w:t>
            </w:r>
          </w:p>
          <w:p w14:paraId="03BFF4BA">
            <w:pPr>
              <w:keepNext w:val="0"/>
              <w:keepLines w:val="0"/>
              <w:pageBreakBefore w:val="0"/>
              <w:widowControl/>
              <w:numPr>
                <w:ilvl w:val="0"/>
                <w:numId w:val="64"/>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同步事件明细</w:t>
            </w:r>
          </w:p>
          <w:p w14:paraId="484AB680">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支持查看员工门禁权限下发同步信息</w:t>
            </w:r>
          </w:p>
          <w:p w14:paraId="157DED82">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5.可对员工进行食品安全专业知识的培训和考试。</w:t>
            </w:r>
          </w:p>
        </w:tc>
        <w:tc>
          <w:tcPr>
            <w:tcW w:w="469" w:type="pct"/>
            <w:noWrap w:val="0"/>
            <w:vAlign w:val="center"/>
          </w:tcPr>
          <w:p w14:paraId="7DD42DC2">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项</w:t>
            </w:r>
          </w:p>
        </w:tc>
        <w:tc>
          <w:tcPr>
            <w:tcW w:w="469" w:type="pct"/>
            <w:noWrap w:val="0"/>
            <w:vAlign w:val="center"/>
          </w:tcPr>
          <w:p w14:paraId="26754EE4">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p>
        </w:tc>
      </w:tr>
      <w:tr w14:paraId="78F69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468" w:type="pct"/>
            <w:noWrap w:val="0"/>
            <w:vAlign w:val="center"/>
          </w:tcPr>
          <w:p w14:paraId="01BEC0D1">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系统管理</w:t>
            </w:r>
          </w:p>
          <w:p w14:paraId="2BD7B022">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4"/>
                <w:szCs w:val="24"/>
                <w:lang w:bidi="ar"/>
              </w:rPr>
            </w:pPr>
          </w:p>
        </w:tc>
        <w:tc>
          <w:tcPr>
            <w:tcW w:w="3594" w:type="pct"/>
            <w:noWrap w:val="0"/>
            <w:vAlign w:val="top"/>
          </w:tcPr>
          <w:p w14:paraId="2C05BB78">
            <w:pPr>
              <w:keepNext w:val="0"/>
              <w:keepLines w:val="0"/>
              <w:pageBreakBefore w:val="0"/>
              <w:widowControl/>
              <w:numPr>
                <w:ilvl w:val="0"/>
                <w:numId w:val="65"/>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用户管理</w:t>
            </w:r>
          </w:p>
          <w:p w14:paraId="08105D0B">
            <w:pPr>
              <w:keepNext w:val="0"/>
              <w:keepLines w:val="0"/>
              <w:pageBreakBefore w:val="0"/>
              <w:widowControl/>
              <w:numPr>
                <w:ilvl w:val="0"/>
                <w:numId w:val="66"/>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支持进行食安指挥系统用户权限开通</w:t>
            </w:r>
          </w:p>
          <w:p w14:paraId="6BFE8576">
            <w:pPr>
              <w:keepNext w:val="0"/>
              <w:keepLines w:val="0"/>
              <w:pageBreakBefore w:val="0"/>
              <w:widowControl/>
              <w:numPr>
                <w:ilvl w:val="0"/>
                <w:numId w:val="66"/>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支持进行数智食堂系统用户开通（店长账号）</w:t>
            </w:r>
          </w:p>
          <w:p w14:paraId="427C97B9">
            <w:pPr>
              <w:keepNext w:val="0"/>
              <w:keepLines w:val="0"/>
              <w:pageBreakBefore w:val="0"/>
              <w:widowControl/>
              <w:numPr>
                <w:ilvl w:val="0"/>
                <w:numId w:val="65"/>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角色管理</w:t>
            </w:r>
          </w:p>
          <w:p w14:paraId="0C0EE4B4">
            <w:pPr>
              <w:keepNext w:val="0"/>
              <w:keepLines w:val="0"/>
              <w:pageBreakBefore w:val="0"/>
              <w:widowControl/>
              <w:numPr>
                <w:ilvl w:val="0"/>
                <w:numId w:val="67"/>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部署时默认下发初始时系统角色-食安指挥系统、数智食堂系统</w:t>
            </w:r>
          </w:p>
          <w:p w14:paraId="59EB3778">
            <w:pPr>
              <w:keepNext w:val="0"/>
              <w:keepLines w:val="0"/>
              <w:pageBreakBefore w:val="0"/>
              <w:widowControl/>
              <w:numPr>
                <w:ilvl w:val="0"/>
                <w:numId w:val="67"/>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支持维护食安指挥系统角色、角色权限</w:t>
            </w:r>
          </w:p>
          <w:p w14:paraId="1862C4D0">
            <w:pPr>
              <w:keepNext w:val="0"/>
              <w:keepLines w:val="0"/>
              <w:pageBreakBefore w:val="0"/>
              <w:widowControl/>
              <w:numPr>
                <w:ilvl w:val="0"/>
                <w:numId w:val="67"/>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支持维护数智食堂系统角色</w:t>
            </w:r>
          </w:p>
          <w:p w14:paraId="10D7FC8D">
            <w:pPr>
              <w:keepNext w:val="0"/>
              <w:keepLines w:val="0"/>
              <w:pageBreakBefore w:val="0"/>
              <w:widowControl/>
              <w:numPr>
                <w:ilvl w:val="0"/>
                <w:numId w:val="65"/>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部门管理</w:t>
            </w:r>
          </w:p>
          <w:p w14:paraId="3D698820">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支持维护学校后勤部门信息，并可进行新增、删除、修改，同时可对部门进行关联食堂、关联检查表等操作</w:t>
            </w:r>
          </w:p>
          <w:p w14:paraId="4640CD40">
            <w:pPr>
              <w:keepNext w:val="0"/>
              <w:keepLines w:val="0"/>
              <w:pageBreakBefore w:val="0"/>
              <w:widowControl/>
              <w:numPr>
                <w:ilvl w:val="0"/>
                <w:numId w:val="65"/>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岗位管理</w:t>
            </w:r>
          </w:p>
          <w:p w14:paraId="7DFE113E">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支持维护学校后勤部门人员岗位，并可进行岗位的增删改导等操作</w:t>
            </w:r>
          </w:p>
          <w:p w14:paraId="7C28C33C">
            <w:pPr>
              <w:keepNext w:val="0"/>
              <w:keepLines w:val="0"/>
              <w:pageBreakBefore w:val="0"/>
              <w:widowControl/>
              <w:numPr>
                <w:ilvl w:val="0"/>
                <w:numId w:val="65"/>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系统信息管理</w:t>
            </w:r>
          </w:p>
          <w:p w14:paraId="6388F79E">
            <w:pPr>
              <w:keepNext w:val="0"/>
              <w:keepLines w:val="0"/>
              <w:pageBreakBefore w:val="0"/>
              <w:widowControl/>
              <w:numPr>
                <w:ilvl w:val="0"/>
                <w:numId w:val="68"/>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支持维护系统LOGO；修改替换</w:t>
            </w:r>
          </w:p>
          <w:p w14:paraId="2D888A0E">
            <w:pPr>
              <w:keepNext w:val="0"/>
              <w:keepLines w:val="0"/>
              <w:pageBreakBefore w:val="0"/>
              <w:widowControl/>
              <w:numPr>
                <w:ilvl w:val="0"/>
                <w:numId w:val="68"/>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支持配置巡检的配置</w:t>
            </w:r>
          </w:p>
          <w:p w14:paraId="09AFD17C">
            <w:pPr>
              <w:keepNext w:val="0"/>
              <w:keepLines w:val="0"/>
              <w:pageBreakBefore w:val="0"/>
              <w:widowControl/>
              <w:numPr>
                <w:ilvl w:val="0"/>
                <w:numId w:val="68"/>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支持食安督查APP端轮播banner设置</w:t>
            </w:r>
          </w:p>
          <w:p w14:paraId="15B2F0EA">
            <w:pPr>
              <w:keepNext w:val="0"/>
              <w:keepLines w:val="0"/>
              <w:pageBreakBefore w:val="0"/>
              <w:widowControl/>
              <w:numPr>
                <w:ilvl w:val="0"/>
                <w:numId w:val="65"/>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可修改用户角色；可设置系统功能权限：可导出巡店报表；可导出页面；可查看导出示例；可按检查表、时间和门店进行筛选；可修改门店设备信息：可在门店设备页面查看AI识别摄像机、动火离人摄像机、温湿度摄像机和硬盘录像机的在线率信息。</w:t>
            </w:r>
          </w:p>
        </w:tc>
        <w:tc>
          <w:tcPr>
            <w:tcW w:w="469" w:type="pct"/>
            <w:noWrap w:val="0"/>
            <w:vAlign w:val="center"/>
          </w:tcPr>
          <w:p w14:paraId="1B32855F">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项</w:t>
            </w:r>
          </w:p>
        </w:tc>
        <w:tc>
          <w:tcPr>
            <w:tcW w:w="469" w:type="pct"/>
            <w:noWrap w:val="0"/>
            <w:vAlign w:val="center"/>
          </w:tcPr>
          <w:p w14:paraId="0BB8E717">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p>
        </w:tc>
      </w:tr>
      <w:tr w14:paraId="70BAF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468" w:type="pct"/>
            <w:noWrap w:val="0"/>
            <w:vAlign w:val="center"/>
          </w:tcPr>
          <w:p w14:paraId="3A703C87">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系统监控</w:t>
            </w:r>
          </w:p>
          <w:p w14:paraId="4010AB62">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4"/>
                <w:szCs w:val="24"/>
                <w:lang w:bidi="ar"/>
              </w:rPr>
            </w:pPr>
          </w:p>
        </w:tc>
        <w:tc>
          <w:tcPr>
            <w:tcW w:w="3594" w:type="pct"/>
            <w:noWrap w:val="0"/>
            <w:vAlign w:val="top"/>
          </w:tcPr>
          <w:p w14:paraId="1E8C70F3">
            <w:pPr>
              <w:keepNext w:val="0"/>
              <w:keepLines w:val="0"/>
              <w:pageBreakBefore w:val="0"/>
              <w:widowControl/>
              <w:numPr>
                <w:ilvl w:val="0"/>
                <w:numId w:val="69"/>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在线用户</w:t>
            </w:r>
          </w:p>
          <w:p w14:paraId="379293F8">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支持查看各系统在线用户信息（含食安监管系统、食安督查APP、数智食堂系统、数智食堂APP）</w:t>
            </w:r>
          </w:p>
          <w:p w14:paraId="3559A174">
            <w:pPr>
              <w:keepNext w:val="0"/>
              <w:keepLines w:val="0"/>
              <w:pageBreakBefore w:val="0"/>
              <w:widowControl/>
              <w:numPr>
                <w:ilvl w:val="0"/>
                <w:numId w:val="69"/>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服务监控（存储空间管理）</w:t>
            </w:r>
          </w:p>
          <w:p w14:paraId="23F04BE8">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支持查看服务监控信息（扩充各端系统）</w:t>
            </w:r>
          </w:p>
          <w:p w14:paraId="4F443D59">
            <w:pPr>
              <w:keepNext w:val="0"/>
              <w:keepLines w:val="0"/>
              <w:pageBreakBefore w:val="0"/>
              <w:widowControl/>
              <w:numPr>
                <w:ilvl w:val="0"/>
                <w:numId w:val="69"/>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日志管理</w:t>
            </w:r>
          </w:p>
          <w:p w14:paraId="50D5C83E">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支持查看系统日志信息（扩充各端系统），以便远程排查解决问题</w:t>
            </w:r>
          </w:p>
        </w:tc>
        <w:tc>
          <w:tcPr>
            <w:tcW w:w="469" w:type="pct"/>
            <w:noWrap w:val="0"/>
            <w:vAlign w:val="center"/>
          </w:tcPr>
          <w:p w14:paraId="1D60B94A">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项</w:t>
            </w:r>
          </w:p>
        </w:tc>
        <w:tc>
          <w:tcPr>
            <w:tcW w:w="469" w:type="pct"/>
            <w:noWrap w:val="0"/>
            <w:vAlign w:val="center"/>
          </w:tcPr>
          <w:p w14:paraId="748E1C4F">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p>
        </w:tc>
      </w:tr>
      <w:tr w14:paraId="66F2A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468" w:type="pct"/>
            <w:noWrap w:val="0"/>
            <w:vAlign w:val="center"/>
          </w:tcPr>
          <w:p w14:paraId="5FBF2A08">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运营管理</w:t>
            </w:r>
          </w:p>
        </w:tc>
        <w:tc>
          <w:tcPr>
            <w:tcW w:w="3594" w:type="pct"/>
            <w:noWrap w:val="0"/>
            <w:vAlign w:val="top"/>
          </w:tcPr>
          <w:p w14:paraId="693BC0C7">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档口分析：通过系统对接或手动上传收集档口数据，做每日盈亏分析，对档口的营收和利润进行月度、年度趋势图分析；分析指标包含但不限于营业收入、食材成本、人工成本、其他成本、毛利率、净利率，支持指定指标做排序分析，连续指定天数不盈利档口系统会自动预警。</w:t>
            </w:r>
          </w:p>
          <w:p w14:paraId="3E3CF294">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食堂分析：通过档口数据计算食堂盈亏情况，对食堂营收和利润数据进行日、月、年度汇总分析；对食堂的营收预算金额和去年同期营收金额进行对比分析；分析指标包含但不限于营业收入、食材成本、人工成本、其他成本、毛利率、净利率、大餐占比，支持指定指标做排序分析，连续指定天数不盈利食堂系统会自动预警。</w:t>
            </w:r>
          </w:p>
        </w:tc>
        <w:tc>
          <w:tcPr>
            <w:tcW w:w="469" w:type="pct"/>
            <w:noWrap w:val="0"/>
            <w:vAlign w:val="center"/>
          </w:tcPr>
          <w:p w14:paraId="514EEC12">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项</w:t>
            </w:r>
          </w:p>
        </w:tc>
        <w:tc>
          <w:tcPr>
            <w:tcW w:w="469" w:type="pct"/>
            <w:noWrap w:val="0"/>
            <w:vAlign w:val="center"/>
          </w:tcPr>
          <w:p w14:paraId="6C60F3AE">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p>
        </w:tc>
      </w:tr>
      <w:tr w14:paraId="6085B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468" w:type="pct"/>
            <w:noWrap w:val="0"/>
            <w:vAlign w:val="center"/>
          </w:tcPr>
          <w:p w14:paraId="672E2ACD">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系统运维</w:t>
            </w:r>
          </w:p>
        </w:tc>
        <w:tc>
          <w:tcPr>
            <w:tcW w:w="3594" w:type="pct"/>
            <w:noWrap w:val="0"/>
            <w:vAlign w:val="top"/>
          </w:tcPr>
          <w:p w14:paraId="55CA1293">
            <w:pPr>
              <w:keepNext w:val="0"/>
              <w:keepLines w:val="0"/>
              <w:pageBreakBefore w:val="0"/>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1.服务售后运维，保障全年系统可用，提供免费上门培训。</w:t>
            </w:r>
          </w:p>
          <w:p w14:paraId="4E54ABF8">
            <w:pPr>
              <w:keepNext w:val="0"/>
              <w:keepLines w:val="0"/>
              <w:pageBreakBefore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2.保证5年免费上门维修维护及系统升级服务。 </w:t>
            </w:r>
          </w:p>
          <w:p w14:paraId="58D03823">
            <w:pPr>
              <w:keepNext w:val="0"/>
              <w:keepLines w:val="0"/>
              <w:pageBreakBefore w:val="0"/>
              <w:widowControl/>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3.根据采购人信息化平台建设要求，数智食堂无条件接入采购人信息化平台（以采购人指定时间为准），并承担接入所需的费用。</w:t>
            </w:r>
          </w:p>
        </w:tc>
        <w:tc>
          <w:tcPr>
            <w:tcW w:w="469" w:type="pct"/>
            <w:noWrap w:val="0"/>
            <w:vAlign w:val="center"/>
          </w:tcPr>
          <w:p w14:paraId="3FB963BE">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项</w:t>
            </w:r>
          </w:p>
        </w:tc>
        <w:tc>
          <w:tcPr>
            <w:tcW w:w="469" w:type="pct"/>
            <w:noWrap w:val="0"/>
            <w:vAlign w:val="center"/>
          </w:tcPr>
          <w:p w14:paraId="76D472B9">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p>
        </w:tc>
      </w:tr>
      <w:tr w14:paraId="3CCBE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468" w:type="pct"/>
            <w:noWrap w:val="0"/>
            <w:vAlign w:val="center"/>
          </w:tcPr>
          <w:p w14:paraId="26E924FD">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kern w:val="0"/>
                <w:sz w:val="24"/>
                <w:szCs w:val="24"/>
                <w:lang w:bidi="ar"/>
              </w:rPr>
            </w:pPr>
            <w:r>
              <w:rPr>
                <w:rFonts w:hint="eastAsia" w:ascii="宋体" w:hAnsi="宋体" w:eastAsia="宋体" w:cs="宋体"/>
                <w:color w:val="auto"/>
                <w:sz w:val="24"/>
                <w:szCs w:val="24"/>
              </w:rPr>
              <w:t>数智食堂监管平台设施设备</w:t>
            </w:r>
          </w:p>
        </w:tc>
        <w:tc>
          <w:tcPr>
            <w:tcW w:w="3594" w:type="pct"/>
            <w:noWrap w:val="0"/>
            <w:vAlign w:val="top"/>
          </w:tcPr>
          <w:p w14:paraId="7FBCC9EA">
            <w:pPr>
              <w:keepNext w:val="0"/>
              <w:keepLines w:val="0"/>
              <w:pageBreakBefore w:val="0"/>
              <w:numPr>
                <w:ilvl w:val="0"/>
                <w:numId w:val="70"/>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数智食堂监管平台大屏设备参数</w:t>
            </w:r>
          </w:p>
          <w:p w14:paraId="0007916D">
            <w:pPr>
              <w:keepNext w:val="0"/>
              <w:keepLines w:val="0"/>
              <w:pageBreakBefore w:val="0"/>
              <w:numPr>
                <w:ilvl w:val="0"/>
                <w:numId w:val="71"/>
              </w:numPr>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主要参数：</w:t>
            </w:r>
          </w:p>
          <w:p w14:paraId="3272BA17">
            <w:pPr>
              <w:keepNext w:val="0"/>
              <w:keepLines w:val="0"/>
              <w:pageBreakBefore w:val="0"/>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会议平板一体机，系统配置不低于I7+16+512，不低于100英寸4K画质，支持触摸触控、电子白板、无线投屏，附带移动支架、OPS、翻页笔、投屏器、万向轮推车</w:t>
            </w:r>
          </w:p>
          <w:p w14:paraId="2AA0BD46">
            <w:pPr>
              <w:keepNext w:val="0"/>
              <w:keepLines w:val="0"/>
              <w:pageBreakBefore w:val="0"/>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2.解码器设备参数</w:t>
            </w:r>
          </w:p>
          <w:p w14:paraId="5997A2A1">
            <w:pPr>
              <w:keepNext w:val="0"/>
              <w:keepLines w:val="0"/>
              <w:pageBreakBefore w:val="0"/>
              <w:numPr>
                <w:ilvl w:val="0"/>
                <w:numId w:val="72"/>
              </w:numPr>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主要参数：</w:t>
            </w:r>
          </w:p>
          <w:p w14:paraId="192BAF8B">
            <w:pPr>
              <w:keepNext w:val="0"/>
              <w:keepLines w:val="0"/>
              <w:pageBreakBefore w:val="0"/>
              <w:numPr>
                <w:ilvl w:val="0"/>
                <w:numId w:val="73"/>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支持9路HDMI信号输出；</w:t>
            </w:r>
          </w:p>
          <w:p w14:paraId="5890A3AB">
            <w:pPr>
              <w:keepNext w:val="0"/>
              <w:keepLines w:val="0"/>
              <w:pageBreakBefore w:val="0"/>
              <w:numPr>
                <w:ilvl w:val="0"/>
                <w:numId w:val="73"/>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输出接口最大支持1920×1080@60及以下常规分辨率输出；</w:t>
            </w:r>
          </w:p>
          <w:p w14:paraId="7F77264E">
            <w:pPr>
              <w:keepNext w:val="0"/>
              <w:keepLines w:val="0"/>
              <w:pageBreakBefore w:val="0"/>
              <w:numPr>
                <w:ilvl w:val="0"/>
                <w:numId w:val="73"/>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支持超高超宽自定义分辨率输出设置，水平分辨率最宽可达3840像素，垂直分辨率最高可达3840像素；</w:t>
            </w:r>
          </w:p>
          <w:p w14:paraId="5882AE55">
            <w:pPr>
              <w:keepNext w:val="0"/>
              <w:keepLines w:val="0"/>
              <w:pageBreakBefore w:val="0"/>
              <w:numPr>
                <w:ilvl w:val="0"/>
                <w:numId w:val="73"/>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支持4路HDMI信号输入；</w:t>
            </w:r>
          </w:p>
          <w:p w14:paraId="4B72980B">
            <w:pPr>
              <w:keepNext w:val="0"/>
              <w:keepLines w:val="0"/>
              <w:pageBreakBefore w:val="0"/>
              <w:numPr>
                <w:ilvl w:val="0"/>
                <w:numId w:val="73"/>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输入接口最大支持3840×2160@60及以下常规分辨率采集；</w:t>
            </w:r>
          </w:p>
          <w:p w14:paraId="758528C7">
            <w:pPr>
              <w:keepNext w:val="0"/>
              <w:keepLines w:val="0"/>
              <w:pageBreakBefore w:val="0"/>
              <w:numPr>
                <w:ilvl w:val="0"/>
                <w:numId w:val="73"/>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具备1对语音对讲接口：1个3.5mm音频输入接口和1个3.5mm音频输出接口；</w:t>
            </w:r>
          </w:p>
          <w:p w14:paraId="601779BE">
            <w:pPr>
              <w:keepNext w:val="0"/>
              <w:keepLines w:val="0"/>
              <w:pageBreakBefore w:val="0"/>
              <w:numPr>
                <w:ilvl w:val="0"/>
                <w:numId w:val="73"/>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整机解码H265支持3路32MP@25fps/9路12MP@25fps/14路8MP@25fps/18路6MP@25fps/24路5MP@25fps/29路4MP@25fps/37路3MP@25fps/57路1080p@25fps/192路D1@25fps（H264支持47路1080p@25fps解码能力）；</w:t>
            </w:r>
          </w:p>
          <w:p w14:paraId="2CAD48D8">
            <w:pPr>
              <w:keepNext w:val="0"/>
              <w:keepLines w:val="0"/>
              <w:pageBreakBefore w:val="0"/>
              <w:numPr>
                <w:ilvl w:val="0"/>
                <w:numId w:val="73"/>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支持MPEG2/MPEG4/H.264/H.265/SVAC/MJPEG标准网络视频流解码；</w:t>
            </w:r>
          </w:p>
          <w:p w14:paraId="57384103">
            <w:pPr>
              <w:keepNext w:val="0"/>
              <w:keepLines w:val="0"/>
              <w:pageBreakBefore w:val="0"/>
              <w:numPr>
                <w:ilvl w:val="0"/>
                <w:numId w:val="73"/>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支持QCIF/CIF/2CIF/HD1/D1/960H/720p/1080p/3MP/4MP/5MP/6MP/8MP/12MP/32MP视频解码；</w:t>
            </w:r>
          </w:p>
          <w:p w14:paraId="4A299C41">
            <w:pPr>
              <w:keepNext w:val="0"/>
              <w:keepLines w:val="0"/>
              <w:pageBreakBefore w:val="0"/>
              <w:numPr>
                <w:ilvl w:val="0"/>
                <w:numId w:val="73"/>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支持音频压缩格式：PCM/G711/AAC；</w:t>
            </w:r>
          </w:p>
          <w:p w14:paraId="4E32E928">
            <w:pPr>
              <w:keepNext w:val="0"/>
              <w:keepLines w:val="0"/>
              <w:pageBreakBefore w:val="0"/>
              <w:numPr>
                <w:ilvl w:val="0"/>
                <w:numId w:val="73"/>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支持每屏1/4/6/8/9/16/25/36分割，支持M×N自由分割；</w:t>
            </w:r>
          </w:p>
          <w:p w14:paraId="5A2A1C77">
            <w:pPr>
              <w:keepNext w:val="0"/>
              <w:keepLines w:val="0"/>
              <w:pageBreakBefore w:val="0"/>
              <w:numPr>
                <w:ilvl w:val="0"/>
                <w:numId w:val="73"/>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支持任意开窗、漫游，每屏最大支持36路开窗；</w:t>
            </w:r>
          </w:p>
          <w:p w14:paraId="273EC8B6">
            <w:pPr>
              <w:keepNext w:val="0"/>
              <w:keepLines w:val="0"/>
              <w:pageBreakBefore w:val="0"/>
              <w:numPr>
                <w:ilvl w:val="0"/>
                <w:numId w:val="73"/>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支持电视墙默认底色设置，支持高清底图显示；</w:t>
            </w:r>
          </w:p>
          <w:p w14:paraId="6E1894A9">
            <w:pPr>
              <w:keepNext w:val="0"/>
              <w:keepLines w:val="0"/>
              <w:pageBreakBefore w:val="0"/>
              <w:numPr>
                <w:ilvl w:val="0"/>
                <w:numId w:val="73"/>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支持预案轮巡；</w:t>
            </w:r>
          </w:p>
          <w:p w14:paraId="595BD9AA">
            <w:pPr>
              <w:keepNext w:val="0"/>
              <w:keepLines w:val="0"/>
              <w:pageBreakBefore w:val="0"/>
              <w:numPr>
                <w:ilvl w:val="0"/>
                <w:numId w:val="73"/>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支持多屏融合拼接，跨屏画面毫秒级完美同步；</w:t>
            </w:r>
          </w:p>
          <w:p w14:paraId="6CBDCDD4">
            <w:pPr>
              <w:keepNext w:val="0"/>
              <w:keepLines w:val="0"/>
              <w:pageBreakBefore w:val="0"/>
              <w:numPr>
                <w:ilvl w:val="0"/>
                <w:numId w:val="73"/>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支持在大屏上叠加OSD文字信息，支持位置，字体大小等自定义设置；</w:t>
            </w:r>
          </w:p>
          <w:p w14:paraId="7131EBC5">
            <w:pPr>
              <w:keepNext w:val="0"/>
              <w:keepLines w:val="0"/>
              <w:pageBreakBefore w:val="0"/>
              <w:numPr>
                <w:ilvl w:val="0"/>
                <w:numId w:val="73"/>
              </w:numPr>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支持Onvif，RTSP，GB28181协议接入，支持海康私有/大华私有协议接入；</w:t>
            </w:r>
          </w:p>
          <w:p w14:paraId="7468A35F">
            <w:pPr>
              <w:keepNext w:val="0"/>
              <w:keepLines w:val="0"/>
              <w:pageBreakBefore w:val="0"/>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3.服务器设备参数</w:t>
            </w:r>
          </w:p>
          <w:p w14:paraId="7D56047B">
            <w:pPr>
              <w:keepNext w:val="0"/>
              <w:keepLines w:val="0"/>
              <w:pageBreakBefore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(1)机架式服务器;</w:t>
            </w:r>
          </w:p>
          <w:p w14:paraId="7495919D">
            <w:pPr>
              <w:keepNext w:val="0"/>
              <w:keepLines w:val="0"/>
              <w:pageBreakBefore w:val="0"/>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(2)处理器、内存和硬盘按需配置，保障系统流畅且长期可用。</w:t>
            </w:r>
          </w:p>
          <w:p w14:paraId="4DE2DAEB">
            <w:pPr>
              <w:keepNext w:val="0"/>
              <w:keepLines w:val="0"/>
              <w:pageBreakBefore w:val="0"/>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4.输出设备：具备自动双面打印、自动双面复印和自动双面扫描等功能的彩色激光多功能一体机，要求打印速度不低于打印A4纸每分钟33页，支持无线网络无线打印。</w:t>
            </w:r>
          </w:p>
          <w:p w14:paraId="614BB076">
            <w:pPr>
              <w:keepNext w:val="0"/>
              <w:keepLines w:val="0"/>
              <w:pageBreakBefore w:val="0"/>
              <w:kinsoku/>
              <w:wordWrap/>
              <w:overflowPunct/>
              <w:topLinePunct w:val="0"/>
              <w:autoSpaceDE/>
              <w:autoSpaceDN/>
              <w:bidi w:val="0"/>
              <w:adjustRightInd/>
              <w:snapToGrid/>
              <w:spacing w:line="34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5.管理电脑设备参数：性能不低于I9/64G/2T固态配置。</w:t>
            </w:r>
          </w:p>
        </w:tc>
        <w:tc>
          <w:tcPr>
            <w:tcW w:w="469" w:type="pct"/>
            <w:noWrap w:val="0"/>
            <w:vAlign w:val="center"/>
          </w:tcPr>
          <w:p w14:paraId="44CAAC75">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项</w:t>
            </w:r>
          </w:p>
        </w:tc>
        <w:tc>
          <w:tcPr>
            <w:tcW w:w="469" w:type="pct"/>
            <w:noWrap w:val="0"/>
            <w:vAlign w:val="center"/>
          </w:tcPr>
          <w:p w14:paraId="646CF171">
            <w:pPr>
              <w:keepNext w:val="0"/>
              <w:keepLines w:val="0"/>
              <w:pageBreakBefore w:val="0"/>
              <w:kinsoku/>
              <w:wordWrap/>
              <w:overflowPunct/>
              <w:topLinePunct w:val="0"/>
              <w:autoSpaceDE/>
              <w:autoSpaceDN/>
              <w:bidi w:val="0"/>
              <w:adjustRightInd/>
              <w:snapToGrid/>
              <w:spacing w:line="34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p>
        </w:tc>
      </w:tr>
    </w:tbl>
    <w:p w14:paraId="62F09D8C">
      <w:pPr>
        <w:autoSpaceDE w:val="0"/>
        <w:autoSpaceDN w:val="0"/>
        <w:adjustRightInd w:val="0"/>
        <w:spacing w:line="480" w:lineRule="exact"/>
        <w:jc w:val="left"/>
        <w:rPr>
          <w:rFonts w:hint="eastAsia" w:ascii="方正仿宋_GBK" w:hAnsi="Times New Roman" w:eastAsia="方正仿宋_GBK" w:cs="Times New Roman"/>
          <w:color w:val="auto"/>
          <w:kern w:val="0"/>
          <w:sz w:val="28"/>
          <w:szCs w:val="28"/>
        </w:rPr>
      </w:pPr>
    </w:p>
    <w:p w14:paraId="23A3E6D8">
      <w:pPr>
        <w:autoSpaceDE w:val="0"/>
        <w:autoSpaceDN w:val="0"/>
        <w:adjustRightInd w:val="0"/>
        <w:spacing w:line="480" w:lineRule="exact"/>
        <w:jc w:val="left"/>
        <w:rPr>
          <w:rFonts w:hint="eastAsia" w:ascii="方正仿宋_GBK" w:hAnsi="Times New Roman" w:eastAsia="方正仿宋_GBK" w:cs="Times New Roman"/>
          <w:color w:val="auto"/>
          <w:kern w:val="0"/>
          <w:sz w:val="28"/>
          <w:szCs w:val="28"/>
        </w:rPr>
      </w:pPr>
    </w:p>
    <w:p w14:paraId="3D1C1D82">
      <w:pPr>
        <w:autoSpaceDE w:val="0"/>
        <w:autoSpaceDN w:val="0"/>
        <w:adjustRightInd w:val="0"/>
        <w:spacing w:line="480" w:lineRule="exact"/>
        <w:jc w:val="center"/>
        <w:rPr>
          <w:rFonts w:ascii="方正仿宋_GBK" w:hAnsi="Times New Roman" w:eastAsia="方正仿宋_GBK" w:cs="Times New Roman"/>
          <w:b/>
          <w:color w:val="auto"/>
          <w:kern w:val="0"/>
          <w:sz w:val="28"/>
          <w:szCs w:val="28"/>
        </w:rPr>
      </w:pPr>
      <w:r>
        <w:rPr>
          <w:rFonts w:hint="eastAsia" w:ascii="方正仿宋_GBK" w:hAnsi="Times New Roman" w:eastAsia="方正仿宋_GBK" w:cs="Times New Roman"/>
          <w:b/>
          <w:color w:val="auto"/>
          <w:kern w:val="0"/>
          <w:sz w:val="28"/>
          <w:szCs w:val="28"/>
        </w:rPr>
        <w:t>表二：数智食堂”食堂数智化设备建设要求</w:t>
      </w:r>
    </w:p>
    <w:tbl>
      <w:tblPr>
        <w:tblStyle w:val="59"/>
        <w:tblW w:w="9666" w:type="dxa"/>
        <w:jc w:val="center"/>
        <w:tblBorders>
          <w:top w:val="single" w:color="B8CCE4" w:sz="6" w:space="0"/>
          <w:left w:val="single" w:color="B8CCE4" w:sz="6" w:space="0"/>
          <w:bottom w:val="single" w:color="B8CCE4" w:sz="6" w:space="0"/>
          <w:right w:val="single" w:color="B8CCE4" w:sz="6" w:space="0"/>
          <w:insideH w:val="single" w:color="B8CCE4" w:sz="6" w:space="0"/>
          <w:insideV w:val="single" w:color="B8CCE4" w:sz="6" w:space="0"/>
        </w:tblBorders>
        <w:tblLayout w:type="fixed"/>
        <w:tblCellMar>
          <w:top w:w="0" w:type="dxa"/>
          <w:left w:w="108" w:type="dxa"/>
          <w:bottom w:w="0" w:type="dxa"/>
          <w:right w:w="108" w:type="dxa"/>
        </w:tblCellMar>
      </w:tblPr>
      <w:tblGrid>
        <w:gridCol w:w="747"/>
        <w:gridCol w:w="1200"/>
        <w:gridCol w:w="6114"/>
        <w:gridCol w:w="824"/>
        <w:gridCol w:w="781"/>
      </w:tblGrid>
      <w:tr w14:paraId="6B32AF0E">
        <w:tblPrEx>
          <w:tblBorders>
            <w:top w:val="single" w:color="B8CCE4" w:sz="6" w:space="0"/>
            <w:left w:val="single" w:color="B8CCE4" w:sz="6" w:space="0"/>
            <w:bottom w:val="single" w:color="B8CCE4" w:sz="6" w:space="0"/>
            <w:right w:val="single" w:color="B8CCE4" w:sz="6" w:space="0"/>
            <w:insideH w:val="single" w:color="B8CCE4" w:sz="6" w:space="0"/>
            <w:insideV w:val="single" w:color="B8CCE4" w:sz="6" w:space="0"/>
          </w:tblBorders>
          <w:tblCellMar>
            <w:top w:w="0" w:type="dxa"/>
            <w:left w:w="108" w:type="dxa"/>
            <w:bottom w:w="0" w:type="dxa"/>
            <w:right w:w="108" w:type="dxa"/>
          </w:tblCellMar>
        </w:tblPrEx>
        <w:trPr>
          <w:trHeight w:val="1232" w:hRule="atLeast"/>
          <w:jc w:val="center"/>
        </w:trPr>
        <w:tc>
          <w:tcPr>
            <w:tcW w:w="9666" w:type="dxa"/>
            <w:gridSpan w:val="5"/>
            <w:tcBorders>
              <w:top w:val="single" w:color="auto" w:sz="4" w:space="0"/>
              <w:left w:val="single" w:color="auto" w:sz="4" w:space="0"/>
              <w:bottom w:val="single" w:color="auto" w:sz="4" w:space="0"/>
              <w:right w:val="single" w:color="auto" w:sz="4" w:space="0"/>
            </w:tcBorders>
            <w:shd w:val="clear" w:color="auto" w:fill="FFFFFF"/>
            <w:noWrap w:val="0"/>
            <w:vAlign w:val="center"/>
          </w:tcPr>
          <w:p w14:paraId="14ACB133">
            <w:pPr>
              <w:keepNext w:val="0"/>
              <w:keepLines w:val="0"/>
              <w:pageBreakBefore w:val="0"/>
              <w:widowControl/>
              <w:kinsoku/>
              <w:wordWrap/>
              <w:overflowPunct/>
              <w:topLinePunct w:val="0"/>
              <w:autoSpaceDE/>
              <w:autoSpaceDN/>
              <w:bidi w:val="0"/>
              <w:adjustRightInd/>
              <w:snapToGrid/>
              <w:spacing w:line="360" w:lineRule="exact"/>
              <w:jc w:val="center"/>
              <w:rPr>
                <w:rFonts w:hint="eastAsia" w:ascii="宋体" w:hAnsi="宋体" w:eastAsia="宋体" w:cs="宋体"/>
                <w:color w:val="auto"/>
                <w:kern w:val="0"/>
                <w:sz w:val="24"/>
                <w:szCs w:val="24"/>
              </w:rPr>
            </w:pPr>
            <w:r>
              <w:rPr>
                <w:rFonts w:hint="eastAsia" w:ascii="宋体" w:hAnsi="宋体" w:eastAsia="宋体" w:cs="宋体"/>
                <w:bCs/>
                <w:color w:val="auto"/>
                <w:sz w:val="24"/>
                <w:szCs w:val="24"/>
              </w:rPr>
              <w:t>“</w:t>
            </w:r>
            <w:bookmarkStart w:id="195" w:name="OLE_LINK52"/>
            <w:bookmarkStart w:id="196" w:name="OLE_LINK53"/>
            <w:r>
              <w:rPr>
                <w:rFonts w:hint="eastAsia" w:ascii="宋体" w:hAnsi="宋体" w:eastAsia="宋体" w:cs="宋体"/>
                <w:bCs/>
                <w:color w:val="auto"/>
                <w:sz w:val="24"/>
                <w:szCs w:val="24"/>
              </w:rPr>
              <w:t>数智食堂”食堂数智化设备建设要求（包1、包2、包3、包4和包5）</w:t>
            </w:r>
            <w:bookmarkEnd w:id="195"/>
            <w:bookmarkEnd w:id="196"/>
          </w:p>
        </w:tc>
      </w:tr>
      <w:tr w14:paraId="41D3EA49">
        <w:tblPrEx>
          <w:tblBorders>
            <w:top w:val="single" w:color="B8CCE4" w:sz="6" w:space="0"/>
            <w:left w:val="single" w:color="B8CCE4" w:sz="6" w:space="0"/>
            <w:bottom w:val="single" w:color="B8CCE4" w:sz="6" w:space="0"/>
            <w:right w:val="single" w:color="B8CCE4" w:sz="6" w:space="0"/>
            <w:insideH w:val="single" w:color="B8CCE4" w:sz="6" w:space="0"/>
            <w:insideV w:val="single" w:color="B8CCE4" w:sz="6" w:space="0"/>
          </w:tblBorders>
          <w:tblCellMar>
            <w:top w:w="0" w:type="dxa"/>
            <w:left w:w="108" w:type="dxa"/>
            <w:bottom w:w="0" w:type="dxa"/>
            <w:right w:w="108" w:type="dxa"/>
          </w:tblCellMar>
        </w:tblPrEx>
        <w:trPr>
          <w:trHeight w:val="1394" w:hRule="atLeast"/>
          <w:jc w:val="center"/>
        </w:trPr>
        <w:tc>
          <w:tcPr>
            <w:tcW w:w="74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2FB3508">
            <w:pPr>
              <w:keepNext w:val="0"/>
              <w:keepLines w:val="0"/>
              <w:pageBreakBefore w:val="0"/>
              <w:widowControl/>
              <w:kinsoku/>
              <w:wordWrap/>
              <w:overflowPunct/>
              <w:topLinePunct w:val="0"/>
              <w:autoSpaceDE/>
              <w:autoSpaceDN/>
              <w:bidi w:val="0"/>
              <w:adjustRightInd/>
              <w:snapToGrid/>
              <w:spacing w:line="36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序号</w:t>
            </w:r>
          </w:p>
        </w:tc>
        <w:tc>
          <w:tcPr>
            <w:tcW w:w="12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21B6ECB">
            <w:pPr>
              <w:keepNext w:val="0"/>
              <w:keepLines w:val="0"/>
              <w:pageBreakBefore w:val="0"/>
              <w:widowControl/>
              <w:kinsoku/>
              <w:wordWrap/>
              <w:overflowPunct/>
              <w:topLinePunct w:val="0"/>
              <w:autoSpaceDE/>
              <w:autoSpaceDN/>
              <w:bidi w:val="0"/>
              <w:adjustRightInd/>
              <w:snapToGrid/>
              <w:spacing w:line="36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设备名称</w:t>
            </w:r>
          </w:p>
        </w:tc>
        <w:tc>
          <w:tcPr>
            <w:tcW w:w="611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418E8D7">
            <w:pPr>
              <w:keepNext w:val="0"/>
              <w:keepLines w:val="0"/>
              <w:pageBreakBefore w:val="0"/>
              <w:widowControl/>
              <w:kinsoku/>
              <w:wordWrap/>
              <w:overflowPunct/>
              <w:topLinePunct w:val="0"/>
              <w:autoSpaceDE/>
              <w:autoSpaceDN/>
              <w:bidi w:val="0"/>
              <w:adjustRightInd/>
              <w:snapToGrid/>
              <w:spacing w:line="36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产品技术参数</w:t>
            </w:r>
          </w:p>
          <w:p w14:paraId="6C3CC8FB">
            <w:pPr>
              <w:keepNext w:val="0"/>
              <w:keepLines w:val="0"/>
              <w:pageBreakBefore w:val="0"/>
              <w:widowControl/>
              <w:kinsoku/>
              <w:wordWrap/>
              <w:overflowPunct/>
              <w:topLinePunct w:val="0"/>
              <w:autoSpaceDE/>
              <w:autoSpaceDN/>
              <w:bidi w:val="0"/>
              <w:adjustRightInd/>
              <w:snapToGrid/>
              <w:spacing w:line="36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(参数配置及设施设备配置均为最低要求，如有不完备，按采购人要求实施）</w:t>
            </w:r>
          </w:p>
        </w:tc>
        <w:tc>
          <w:tcPr>
            <w:tcW w:w="82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4454035">
            <w:pPr>
              <w:keepNext w:val="0"/>
              <w:keepLines w:val="0"/>
              <w:pageBreakBefore w:val="0"/>
              <w:widowControl/>
              <w:kinsoku/>
              <w:wordWrap/>
              <w:overflowPunct/>
              <w:topLinePunct w:val="0"/>
              <w:autoSpaceDE/>
              <w:autoSpaceDN/>
              <w:bidi w:val="0"/>
              <w:adjustRightInd/>
              <w:snapToGrid/>
              <w:spacing w:line="36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单位</w:t>
            </w:r>
          </w:p>
        </w:tc>
        <w:tc>
          <w:tcPr>
            <w:tcW w:w="78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077F2FF">
            <w:pPr>
              <w:keepNext w:val="0"/>
              <w:keepLines w:val="0"/>
              <w:pageBreakBefore w:val="0"/>
              <w:widowControl/>
              <w:kinsoku/>
              <w:wordWrap/>
              <w:overflowPunct/>
              <w:topLinePunct w:val="0"/>
              <w:autoSpaceDE/>
              <w:autoSpaceDN/>
              <w:bidi w:val="0"/>
              <w:adjustRightInd/>
              <w:snapToGrid/>
              <w:spacing w:line="360" w:lineRule="exact"/>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数量</w:t>
            </w:r>
          </w:p>
        </w:tc>
      </w:tr>
      <w:tr w14:paraId="7BA50A5A">
        <w:tblPrEx>
          <w:tblBorders>
            <w:top w:val="single" w:color="B8CCE4" w:sz="6" w:space="0"/>
            <w:left w:val="single" w:color="B8CCE4" w:sz="6" w:space="0"/>
            <w:bottom w:val="single" w:color="B8CCE4" w:sz="6" w:space="0"/>
            <w:right w:val="single" w:color="B8CCE4" w:sz="6" w:space="0"/>
            <w:insideH w:val="single" w:color="B8CCE4" w:sz="6" w:space="0"/>
            <w:insideV w:val="single" w:color="B8CCE4" w:sz="6" w:space="0"/>
          </w:tblBorders>
          <w:tblCellMar>
            <w:top w:w="0" w:type="dxa"/>
            <w:left w:w="108" w:type="dxa"/>
            <w:bottom w:w="0" w:type="dxa"/>
            <w:right w:w="108" w:type="dxa"/>
          </w:tblCellMar>
        </w:tblPrEx>
        <w:trPr>
          <w:trHeight w:val="280" w:hRule="atLeast"/>
          <w:jc w:val="center"/>
        </w:trPr>
        <w:tc>
          <w:tcPr>
            <w:tcW w:w="74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FA2399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bidi="ar"/>
              </w:rPr>
              <w:t>1</w:t>
            </w:r>
          </w:p>
        </w:tc>
        <w:tc>
          <w:tcPr>
            <w:tcW w:w="12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3E7B96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智能人脸晨检门禁</w:t>
            </w:r>
          </w:p>
        </w:tc>
        <w:tc>
          <w:tcPr>
            <w:tcW w:w="6114"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2CA9671">
            <w:pPr>
              <w:keepNext w:val="0"/>
              <w:keepLines w:val="0"/>
              <w:pageBreakBefore w:val="0"/>
              <w:widowControl/>
              <w:numPr>
                <w:ilvl w:val="0"/>
                <w:numId w:val="74"/>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功能描述：</w:t>
            </w:r>
          </w:p>
          <w:p w14:paraId="05461148">
            <w:pPr>
              <w:keepNext w:val="0"/>
              <w:keepLines w:val="0"/>
              <w:pageBreakBefore w:val="0"/>
              <w:widowControl/>
              <w:numPr>
                <w:ilvl w:val="0"/>
                <w:numId w:val="75"/>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实现每日自动晨检，并对晨检数据实时记录、自动存档，确保有效落实从业人员每日健康管理要求；</w:t>
            </w:r>
          </w:p>
          <w:p w14:paraId="1F744F8B">
            <w:pPr>
              <w:keepNext w:val="0"/>
              <w:keepLines w:val="0"/>
              <w:pageBreakBefore w:val="0"/>
              <w:widowControl/>
              <w:numPr>
                <w:ilvl w:val="0"/>
                <w:numId w:val="75"/>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通过人体无感测温、人脸健康证比对、手部检测识别、智能语音提醒，实现每日员工测温晨检；自动生成晨检、出勤记录；同时进行员工健康证状态提醒，节省人工管理成本，降低食堂人员证照风险，同时解决员工出入管控问题；</w:t>
            </w:r>
          </w:p>
          <w:p w14:paraId="6A410854">
            <w:pPr>
              <w:keepNext w:val="0"/>
              <w:keepLines w:val="0"/>
              <w:pageBreakBefore w:val="0"/>
              <w:widowControl/>
              <w:numPr>
                <w:ilvl w:val="0"/>
                <w:numId w:val="75"/>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自动生成晨检台账在手机APP端、电脑后台端可导出记录生成表格打印纸质晨检台账并最少保存2年数据；</w:t>
            </w:r>
          </w:p>
          <w:p w14:paraId="7611185B">
            <w:pPr>
              <w:keepNext w:val="0"/>
              <w:keepLines w:val="0"/>
              <w:pageBreakBefore w:val="0"/>
              <w:widowControl/>
              <w:numPr>
                <w:ilvl w:val="0"/>
                <w:numId w:val="74"/>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设备参数：</w:t>
            </w:r>
          </w:p>
          <w:p w14:paraId="2FA60ED0">
            <w:pPr>
              <w:keepNext w:val="0"/>
              <w:keepLines w:val="0"/>
              <w:pageBreakBefore w:val="0"/>
              <w:widowControl/>
              <w:numPr>
                <w:ilvl w:val="0"/>
                <w:numId w:val="76"/>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显示参数：</w:t>
            </w:r>
          </w:p>
          <w:p w14:paraId="6C6CA6CF">
            <w:pPr>
              <w:keepNext w:val="0"/>
              <w:keepLines w:val="0"/>
              <w:pageBreakBefore w:val="0"/>
              <w:widowControl/>
              <w:numPr>
                <w:ilvl w:val="0"/>
                <w:numId w:val="77"/>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操作系统：Linux操作系统；</w:t>
            </w:r>
          </w:p>
          <w:p w14:paraId="4120A71D">
            <w:pPr>
              <w:keepNext w:val="0"/>
              <w:keepLines w:val="0"/>
              <w:pageBreakBefore w:val="0"/>
              <w:widowControl/>
              <w:numPr>
                <w:ilvl w:val="0"/>
                <w:numId w:val="77"/>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处理器：不低于双核ARMCortex-A7andRISC-VMCU的性能；</w:t>
            </w:r>
          </w:p>
          <w:p w14:paraId="707323E1">
            <w:pPr>
              <w:keepNext w:val="0"/>
              <w:keepLines w:val="0"/>
              <w:pageBreakBefore w:val="0"/>
              <w:widowControl/>
              <w:numPr>
                <w:ilvl w:val="0"/>
                <w:numId w:val="77"/>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摄像头双目：210万有效像素，1920*1080；</w:t>
            </w:r>
          </w:p>
          <w:p w14:paraId="32D69860">
            <w:pPr>
              <w:keepNext w:val="0"/>
              <w:keepLines w:val="0"/>
              <w:pageBreakBefore w:val="0"/>
              <w:widowControl/>
              <w:numPr>
                <w:ilvl w:val="0"/>
                <w:numId w:val="77"/>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成像器件：1/2.8"；</w:t>
            </w:r>
          </w:p>
          <w:p w14:paraId="409F6FBE">
            <w:pPr>
              <w:keepNext w:val="0"/>
              <w:keepLines w:val="0"/>
              <w:pageBreakBefore w:val="0"/>
              <w:widowControl/>
              <w:numPr>
                <w:ilvl w:val="0"/>
                <w:numId w:val="77"/>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镜头：4.5mm焦距；</w:t>
            </w:r>
          </w:p>
          <w:p w14:paraId="16DAC34F">
            <w:pPr>
              <w:keepNext w:val="0"/>
              <w:keepLines w:val="0"/>
              <w:pageBreakBefore w:val="0"/>
              <w:widowControl/>
              <w:numPr>
                <w:ilvl w:val="0"/>
                <w:numId w:val="77"/>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扬声器：语音播放内容可定制；</w:t>
            </w:r>
          </w:p>
          <w:p w14:paraId="360AB3EF">
            <w:pPr>
              <w:keepNext w:val="0"/>
              <w:keepLines w:val="0"/>
              <w:pageBreakBefore w:val="0"/>
              <w:widowControl/>
              <w:numPr>
                <w:ilvl w:val="0"/>
                <w:numId w:val="77"/>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存储：1GB内存+8GBeMMC。</w:t>
            </w:r>
          </w:p>
          <w:p w14:paraId="0C2F780D">
            <w:pPr>
              <w:keepNext w:val="0"/>
              <w:keepLines w:val="0"/>
              <w:pageBreakBefore w:val="0"/>
              <w:widowControl/>
              <w:numPr>
                <w:ilvl w:val="0"/>
                <w:numId w:val="76"/>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性能参数：</w:t>
            </w:r>
          </w:p>
          <w:p w14:paraId="7C7D4D27">
            <w:pPr>
              <w:keepNext w:val="0"/>
              <w:keepLines w:val="0"/>
              <w:pageBreakBefore w:val="0"/>
              <w:widowControl/>
              <w:numPr>
                <w:ilvl w:val="0"/>
                <w:numId w:val="78"/>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识别高度：1.2~2.3米；</w:t>
            </w:r>
          </w:p>
          <w:p w14:paraId="39804DA2">
            <w:pPr>
              <w:keepNext w:val="0"/>
              <w:keepLines w:val="0"/>
              <w:pageBreakBefore w:val="0"/>
              <w:widowControl/>
              <w:numPr>
                <w:ilvl w:val="0"/>
                <w:numId w:val="78"/>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角度可调：识别距离0.5~1.5米，视镜头可变；</w:t>
            </w:r>
          </w:p>
          <w:p w14:paraId="77BAF3EE">
            <w:pPr>
              <w:keepNext w:val="0"/>
              <w:keepLines w:val="0"/>
              <w:pageBreakBefore w:val="0"/>
              <w:widowControl/>
              <w:numPr>
                <w:ilvl w:val="0"/>
                <w:numId w:val="78"/>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人脸角度：左右30度，上下30度；</w:t>
            </w:r>
          </w:p>
          <w:p w14:paraId="16C7AB31">
            <w:pPr>
              <w:keepNext w:val="0"/>
              <w:keepLines w:val="0"/>
              <w:pageBreakBefore w:val="0"/>
              <w:widowControl/>
              <w:numPr>
                <w:ilvl w:val="0"/>
                <w:numId w:val="78"/>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识别时间：小于0.3秒；</w:t>
            </w:r>
          </w:p>
          <w:p w14:paraId="66F85B53">
            <w:pPr>
              <w:keepNext w:val="0"/>
              <w:keepLines w:val="0"/>
              <w:pageBreakBefore w:val="0"/>
              <w:widowControl/>
              <w:numPr>
                <w:ilvl w:val="0"/>
                <w:numId w:val="78"/>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识别记录容量：69000；</w:t>
            </w:r>
          </w:p>
          <w:p w14:paraId="63FDCCC9">
            <w:pPr>
              <w:keepNext w:val="0"/>
              <w:keepLines w:val="0"/>
              <w:pageBreakBefore w:val="0"/>
              <w:widowControl/>
              <w:numPr>
                <w:ilvl w:val="0"/>
                <w:numId w:val="78"/>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人脸容量：24000张；</w:t>
            </w:r>
          </w:p>
          <w:p w14:paraId="04581411">
            <w:pPr>
              <w:keepNext w:val="0"/>
              <w:keepLines w:val="0"/>
              <w:pageBreakBefore w:val="0"/>
              <w:widowControl/>
              <w:numPr>
                <w:ilvl w:val="0"/>
                <w:numId w:val="76"/>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其他参数：</w:t>
            </w:r>
          </w:p>
          <w:p w14:paraId="25F40E12">
            <w:pPr>
              <w:keepNext w:val="0"/>
              <w:keepLines w:val="0"/>
              <w:pageBreakBefore w:val="0"/>
              <w:widowControl/>
              <w:numPr>
                <w:ilvl w:val="0"/>
                <w:numId w:val="79"/>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工作温度：-20℃-60℃（测温环境温度：+16℃-+40℃）；</w:t>
            </w:r>
          </w:p>
          <w:p w14:paraId="0CC4CD50">
            <w:pPr>
              <w:keepNext w:val="0"/>
              <w:keepLines w:val="0"/>
              <w:pageBreakBefore w:val="0"/>
              <w:widowControl/>
              <w:numPr>
                <w:ilvl w:val="0"/>
                <w:numId w:val="79"/>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工作湿度：0%～90%相对湿度，无冷凝；</w:t>
            </w:r>
          </w:p>
          <w:p w14:paraId="093964EA">
            <w:pPr>
              <w:keepNext w:val="0"/>
              <w:keepLines w:val="0"/>
              <w:pageBreakBefore w:val="0"/>
              <w:widowControl/>
              <w:numPr>
                <w:ilvl w:val="0"/>
                <w:numId w:val="79"/>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设备功率：20W(MAX)；</w:t>
            </w:r>
          </w:p>
          <w:p w14:paraId="092470F0">
            <w:pPr>
              <w:keepNext w:val="0"/>
              <w:keepLines w:val="0"/>
              <w:pageBreakBefore w:val="0"/>
              <w:widowControl/>
              <w:numPr>
                <w:ilvl w:val="0"/>
                <w:numId w:val="79"/>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盐雾等级：Rp6级以上；</w:t>
            </w:r>
          </w:p>
          <w:p w14:paraId="08935FCE">
            <w:pPr>
              <w:keepNext w:val="0"/>
              <w:keepLines w:val="0"/>
              <w:pageBreakBefore w:val="0"/>
              <w:widowControl/>
              <w:numPr>
                <w:ilvl w:val="0"/>
                <w:numId w:val="79"/>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ESD：接触±6KV，空气±8KV；</w:t>
            </w:r>
          </w:p>
          <w:p w14:paraId="4D6C5600">
            <w:pPr>
              <w:keepNext w:val="0"/>
              <w:keepLines w:val="0"/>
              <w:pageBreakBefore w:val="0"/>
              <w:widowControl/>
              <w:numPr>
                <w:ilvl w:val="0"/>
                <w:numId w:val="79"/>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供电：DC12V/2A；</w:t>
            </w:r>
          </w:p>
          <w:p w14:paraId="0D1FC756">
            <w:pPr>
              <w:keepNext w:val="0"/>
              <w:keepLines w:val="0"/>
              <w:pageBreakBefore w:val="0"/>
              <w:widowControl/>
              <w:numPr>
                <w:ilvl w:val="0"/>
                <w:numId w:val="79"/>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防护等级：IP42；</w:t>
            </w:r>
          </w:p>
          <w:p w14:paraId="6EF38CBC">
            <w:pPr>
              <w:keepNext w:val="0"/>
              <w:keepLines w:val="0"/>
              <w:pageBreakBefore w:val="0"/>
              <w:widowControl/>
              <w:numPr>
                <w:ilvl w:val="0"/>
                <w:numId w:val="79"/>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屏幕规格：8寸高清IPS屏，分辨率1280*800；</w:t>
            </w:r>
          </w:p>
          <w:p w14:paraId="03AFA66E">
            <w:pPr>
              <w:keepNext w:val="0"/>
              <w:keepLines w:val="0"/>
              <w:pageBreakBefore w:val="0"/>
              <w:widowControl/>
              <w:numPr>
                <w:ilvl w:val="0"/>
                <w:numId w:val="79"/>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设备尺寸：不低于261.97（长）*133（宽）*87.34（厚）mm；</w:t>
            </w:r>
          </w:p>
        </w:tc>
        <w:tc>
          <w:tcPr>
            <w:tcW w:w="824"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12A34E4">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套</w:t>
            </w:r>
          </w:p>
        </w:tc>
        <w:tc>
          <w:tcPr>
            <w:tcW w:w="781"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B561EB5">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按需配置并征得采购人书面同意</w:t>
            </w:r>
          </w:p>
        </w:tc>
      </w:tr>
      <w:tr w14:paraId="5B842092">
        <w:tblPrEx>
          <w:tblBorders>
            <w:top w:val="single" w:color="B8CCE4" w:sz="6" w:space="0"/>
            <w:left w:val="single" w:color="B8CCE4" w:sz="6" w:space="0"/>
            <w:bottom w:val="single" w:color="B8CCE4" w:sz="6" w:space="0"/>
            <w:right w:val="single" w:color="B8CCE4" w:sz="6" w:space="0"/>
            <w:insideH w:val="single" w:color="B8CCE4" w:sz="6" w:space="0"/>
            <w:insideV w:val="single" w:color="B8CCE4" w:sz="6" w:space="0"/>
          </w:tblBorders>
          <w:tblCellMar>
            <w:top w:w="0" w:type="dxa"/>
            <w:left w:w="108" w:type="dxa"/>
            <w:bottom w:w="0" w:type="dxa"/>
            <w:right w:w="108" w:type="dxa"/>
          </w:tblCellMar>
        </w:tblPrEx>
        <w:trPr>
          <w:trHeight w:val="280" w:hRule="atLeast"/>
          <w:jc w:val="center"/>
        </w:trPr>
        <w:tc>
          <w:tcPr>
            <w:tcW w:w="74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8C9CE6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bidi="ar"/>
              </w:rPr>
              <w:t>2</w:t>
            </w:r>
          </w:p>
        </w:tc>
        <w:tc>
          <w:tcPr>
            <w:tcW w:w="12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CA01F6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离人监管预警</w:t>
            </w:r>
          </w:p>
        </w:tc>
        <w:tc>
          <w:tcPr>
            <w:tcW w:w="6114"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4152994">
            <w:pPr>
              <w:keepNext w:val="0"/>
              <w:keepLines w:val="0"/>
              <w:pageBreakBefore w:val="0"/>
              <w:widowControl/>
              <w:numPr>
                <w:ilvl w:val="0"/>
                <w:numId w:val="80"/>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功能描述：</w:t>
            </w:r>
          </w:p>
          <w:p w14:paraId="6DA53724">
            <w:pPr>
              <w:keepNext w:val="0"/>
              <w:keepLines w:val="0"/>
              <w:pageBreakBefore w:val="0"/>
              <w:widowControl/>
              <w:numPr>
                <w:ilvl w:val="0"/>
                <w:numId w:val="81"/>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识别灶台中心温度和区域人员侦测，如灶台温度超过150度人员离开30秒即刻现场报警，同时摄像头拍照记录现场情况并上传数据；</w:t>
            </w:r>
          </w:p>
          <w:p w14:paraId="1D583FDB">
            <w:pPr>
              <w:keepNext w:val="0"/>
              <w:keepLines w:val="0"/>
              <w:pageBreakBefore w:val="0"/>
              <w:widowControl/>
              <w:numPr>
                <w:ilvl w:val="0"/>
                <w:numId w:val="81"/>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温度和人员离开时间可自定义设置；</w:t>
            </w:r>
          </w:p>
          <w:p w14:paraId="123ECB7D">
            <w:pPr>
              <w:keepNext w:val="0"/>
              <w:keepLines w:val="0"/>
              <w:pageBreakBefore w:val="0"/>
              <w:widowControl/>
              <w:numPr>
                <w:ilvl w:val="0"/>
                <w:numId w:val="81"/>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摄像头支持定制语音报警；</w:t>
            </w:r>
          </w:p>
          <w:p w14:paraId="05980216">
            <w:pPr>
              <w:keepNext w:val="0"/>
              <w:keepLines w:val="0"/>
              <w:pageBreakBefore w:val="0"/>
              <w:widowControl/>
              <w:numPr>
                <w:ilvl w:val="0"/>
                <w:numId w:val="81"/>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摄像头支持联动声光报警装置；</w:t>
            </w:r>
          </w:p>
          <w:p w14:paraId="02848229">
            <w:pPr>
              <w:keepNext w:val="0"/>
              <w:keepLines w:val="0"/>
              <w:pageBreakBefore w:val="0"/>
              <w:widowControl/>
              <w:numPr>
                <w:ilvl w:val="0"/>
                <w:numId w:val="80"/>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设备参数：</w:t>
            </w:r>
          </w:p>
          <w:p w14:paraId="38BD4D2B">
            <w:pPr>
              <w:keepNext w:val="0"/>
              <w:keepLines w:val="0"/>
              <w:pageBreakBefore w:val="0"/>
              <w:widowControl/>
              <w:numPr>
                <w:ilvl w:val="0"/>
                <w:numId w:val="82"/>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基本参数：</w:t>
            </w:r>
          </w:p>
          <w:p w14:paraId="7F20DC2E">
            <w:pPr>
              <w:keepNext w:val="0"/>
              <w:keepLines w:val="0"/>
              <w:pageBreakBefore w:val="0"/>
              <w:widowControl/>
              <w:numPr>
                <w:ilvl w:val="0"/>
                <w:numId w:val="83"/>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主板：算力不低于1.0Tops，内存不低于512MB，闪存不低于8GBEMMC；</w:t>
            </w:r>
          </w:p>
          <w:p w14:paraId="745A26A9">
            <w:pPr>
              <w:keepNext w:val="0"/>
              <w:keepLines w:val="0"/>
              <w:pageBreakBefore w:val="0"/>
              <w:widowControl/>
              <w:numPr>
                <w:ilvl w:val="0"/>
                <w:numId w:val="83"/>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探测器类型：氧化钒非制冷红外焦平面探测器；</w:t>
            </w:r>
          </w:p>
          <w:p w14:paraId="1D45D469">
            <w:pPr>
              <w:keepNext w:val="0"/>
              <w:keepLines w:val="0"/>
              <w:pageBreakBefore w:val="0"/>
              <w:widowControl/>
              <w:numPr>
                <w:ilvl w:val="0"/>
                <w:numId w:val="83"/>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成像器件：400万像素1/3CMOS，F1.6光圈，超低照度，星光级；</w:t>
            </w:r>
          </w:p>
          <w:p w14:paraId="292213CD">
            <w:pPr>
              <w:keepNext w:val="0"/>
              <w:keepLines w:val="0"/>
              <w:pageBreakBefore w:val="0"/>
              <w:widowControl/>
              <w:numPr>
                <w:ilvl w:val="0"/>
                <w:numId w:val="83"/>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有效像素：4MP有效像素（2560*1440）；</w:t>
            </w:r>
          </w:p>
          <w:p w14:paraId="5D8EE90A">
            <w:pPr>
              <w:keepNext w:val="0"/>
              <w:keepLines w:val="0"/>
              <w:pageBreakBefore w:val="0"/>
              <w:widowControl/>
              <w:numPr>
                <w:ilvl w:val="0"/>
                <w:numId w:val="83"/>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镜头类型：定焦；</w:t>
            </w:r>
          </w:p>
          <w:p w14:paraId="29F38891">
            <w:pPr>
              <w:keepNext w:val="0"/>
              <w:keepLines w:val="0"/>
              <w:pageBreakBefore w:val="0"/>
              <w:widowControl/>
              <w:numPr>
                <w:ilvl w:val="0"/>
                <w:numId w:val="83"/>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焦距：6mm；</w:t>
            </w:r>
          </w:p>
          <w:p w14:paraId="44E8C403">
            <w:pPr>
              <w:keepNext w:val="0"/>
              <w:keepLines w:val="0"/>
              <w:pageBreakBefore w:val="0"/>
              <w:widowControl/>
              <w:numPr>
                <w:ilvl w:val="0"/>
                <w:numId w:val="83"/>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补光：IR*4，白光LED*4；</w:t>
            </w:r>
          </w:p>
          <w:p w14:paraId="0E48956D">
            <w:pPr>
              <w:keepNext w:val="0"/>
              <w:keepLines w:val="0"/>
              <w:pageBreakBefore w:val="0"/>
              <w:widowControl/>
              <w:numPr>
                <w:ilvl w:val="0"/>
                <w:numId w:val="83"/>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光谱范围：8-14μm；</w:t>
            </w:r>
          </w:p>
          <w:p w14:paraId="0B8586DB">
            <w:pPr>
              <w:keepNext w:val="0"/>
              <w:keepLines w:val="0"/>
              <w:pageBreakBefore w:val="0"/>
              <w:widowControl/>
              <w:numPr>
                <w:ilvl w:val="0"/>
                <w:numId w:val="83"/>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原始分辨率：256×192；</w:t>
            </w:r>
          </w:p>
          <w:p w14:paraId="7ACEFA3F">
            <w:pPr>
              <w:keepNext w:val="0"/>
              <w:keepLines w:val="0"/>
              <w:pageBreakBefore w:val="0"/>
              <w:widowControl/>
              <w:numPr>
                <w:ilvl w:val="0"/>
                <w:numId w:val="82"/>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功能参数：</w:t>
            </w:r>
          </w:p>
          <w:p w14:paraId="1691488B">
            <w:pPr>
              <w:keepNext w:val="0"/>
              <w:keepLines w:val="0"/>
              <w:pageBreakBefore w:val="0"/>
              <w:widowControl/>
              <w:numPr>
                <w:ilvl w:val="0"/>
                <w:numId w:val="84"/>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实时高温检测：实时全屏测温，最高温、最低温、平均温；</w:t>
            </w:r>
          </w:p>
          <w:p w14:paraId="16432CAD">
            <w:pPr>
              <w:keepNext w:val="0"/>
              <w:keepLines w:val="0"/>
              <w:pageBreakBefore w:val="0"/>
              <w:widowControl/>
              <w:numPr>
                <w:ilvl w:val="0"/>
                <w:numId w:val="84"/>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自定义测温绘制：支持自定义20个点、线、面和区域测温，区间测温对比；</w:t>
            </w:r>
          </w:p>
          <w:p w14:paraId="166F60F3">
            <w:pPr>
              <w:keepNext w:val="0"/>
              <w:keepLines w:val="0"/>
              <w:pageBreakBefore w:val="0"/>
              <w:widowControl/>
              <w:numPr>
                <w:ilvl w:val="0"/>
                <w:numId w:val="84"/>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高温报警：高温异常语音报警、白光灯报警；</w:t>
            </w:r>
          </w:p>
        </w:tc>
        <w:tc>
          <w:tcPr>
            <w:tcW w:w="824"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84FC4A2">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套</w:t>
            </w:r>
          </w:p>
        </w:tc>
        <w:tc>
          <w:tcPr>
            <w:tcW w:w="781"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0B028E6">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按需配置并征得采购人书面同意</w:t>
            </w:r>
          </w:p>
        </w:tc>
      </w:tr>
      <w:tr w14:paraId="48BD9855">
        <w:tblPrEx>
          <w:tblBorders>
            <w:top w:val="single" w:color="B8CCE4" w:sz="6" w:space="0"/>
            <w:left w:val="single" w:color="B8CCE4" w:sz="6" w:space="0"/>
            <w:bottom w:val="single" w:color="B8CCE4" w:sz="6" w:space="0"/>
            <w:right w:val="single" w:color="B8CCE4" w:sz="6" w:space="0"/>
            <w:insideH w:val="single" w:color="B8CCE4" w:sz="6" w:space="0"/>
            <w:insideV w:val="single" w:color="B8CCE4" w:sz="6" w:space="0"/>
          </w:tblBorders>
          <w:tblCellMar>
            <w:top w:w="0" w:type="dxa"/>
            <w:left w:w="108" w:type="dxa"/>
            <w:bottom w:w="0" w:type="dxa"/>
            <w:right w:w="108" w:type="dxa"/>
          </w:tblCellMar>
        </w:tblPrEx>
        <w:trPr>
          <w:trHeight w:val="280" w:hRule="atLeast"/>
          <w:jc w:val="center"/>
        </w:trPr>
        <w:tc>
          <w:tcPr>
            <w:tcW w:w="74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CA0970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bidi="ar"/>
              </w:rPr>
              <w:t>3</w:t>
            </w:r>
          </w:p>
        </w:tc>
        <w:tc>
          <w:tcPr>
            <w:tcW w:w="12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A17F05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智能AI留样秤</w:t>
            </w:r>
          </w:p>
        </w:tc>
        <w:tc>
          <w:tcPr>
            <w:tcW w:w="6114"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B111100">
            <w:pPr>
              <w:keepNext w:val="0"/>
              <w:keepLines w:val="0"/>
              <w:pageBreakBefore w:val="0"/>
              <w:widowControl/>
              <w:numPr>
                <w:ilvl w:val="0"/>
                <w:numId w:val="85"/>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功能描述：</w:t>
            </w:r>
          </w:p>
          <w:p w14:paraId="6DA67A8A">
            <w:pPr>
              <w:keepNext w:val="0"/>
              <w:keepLines w:val="0"/>
              <w:pageBreakBefore w:val="0"/>
              <w:widowControl/>
              <w:numPr>
                <w:ilvl w:val="0"/>
                <w:numId w:val="86"/>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实现智能AI菜品名称自动识别功能，同时拍照系统留存保证留样真实性并称重显示克重，如克重不满足条件不允许打印标签留样；</w:t>
            </w:r>
          </w:p>
          <w:p w14:paraId="0A5B4AAF">
            <w:pPr>
              <w:keepNext w:val="0"/>
              <w:keepLines w:val="0"/>
              <w:pageBreakBefore w:val="0"/>
              <w:widowControl/>
              <w:numPr>
                <w:ilvl w:val="0"/>
                <w:numId w:val="86"/>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实现留样标签自动生成打印展示留样菜品名称、克重、档口名称、留样员、留样时间；</w:t>
            </w:r>
          </w:p>
          <w:p w14:paraId="3E50C261">
            <w:pPr>
              <w:keepNext w:val="0"/>
              <w:keepLines w:val="0"/>
              <w:pageBreakBefore w:val="0"/>
              <w:widowControl/>
              <w:numPr>
                <w:ilvl w:val="0"/>
                <w:numId w:val="86"/>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自动生成留样台账在手机APP端、电脑后台端可导出记录生成表格打印纸质留样台账并最少保存2年数据；</w:t>
            </w:r>
          </w:p>
          <w:p w14:paraId="309F4359">
            <w:pPr>
              <w:keepNext w:val="0"/>
              <w:keepLines w:val="0"/>
              <w:pageBreakBefore w:val="0"/>
              <w:widowControl/>
              <w:numPr>
                <w:ilvl w:val="0"/>
                <w:numId w:val="85"/>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设备参数：</w:t>
            </w:r>
          </w:p>
          <w:p w14:paraId="6E2CAB5E">
            <w:pPr>
              <w:keepNext w:val="0"/>
              <w:keepLines w:val="0"/>
              <w:pageBreakBefore w:val="0"/>
              <w:widowControl/>
              <w:numPr>
                <w:ilvl w:val="0"/>
                <w:numId w:val="87"/>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基本参数：</w:t>
            </w:r>
          </w:p>
          <w:p w14:paraId="6CD38A99">
            <w:pPr>
              <w:keepNext w:val="0"/>
              <w:keepLines w:val="0"/>
              <w:pageBreakBefore w:val="0"/>
              <w:widowControl/>
              <w:numPr>
                <w:ilvl w:val="0"/>
                <w:numId w:val="88"/>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摄像头：800万或以上摄像头带补光灯；</w:t>
            </w:r>
          </w:p>
          <w:p w14:paraId="62690B72">
            <w:pPr>
              <w:keepNext w:val="0"/>
              <w:keepLines w:val="0"/>
              <w:pageBreakBefore w:val="0"/>
              <w:widowControl/>
              <w:numPr>
                <w:ilvl w:val="0"/>
                <w:numId w:val="88"/>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摄像头像素：800万USB摄像头，分辨率3246*2448；</w:t>
            </w:r>
          </w:p>
          <w:p w14:paraId="2FAF46B8">
            <w:pPr>
              <w:keepNext w:val="0"/>
              <w:keepLines w:val="0"/>
              <w:pageBreakBefore w:val="0"/>
              <w:widowControl/>
              <w:numPr>
                <w:ilvl w:val="0"/>
                <w:numId w:val="88"/>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主屏15.6寸1920*1080分辨率，液晶带电容触控屏；</w:t>
            </w:r>
          </w:p>
          <w:p w14:paraId="0943ED7F">
            <w:pPr>
              <w:keepNext w:val="0"/>
              <w:keepLines w:val="0"/>
              <w:pageBreakBefore w:val="0"/>
              <w:widowControl/>
              <w:numPr>
                <w:ilvl w:val="0"/>
                <w:numId w:val="87"/>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性能参数：</w:t>
            </w:r>
          </w:p>
          <w:p w14:paraId="07988854">
            <w:pPr>
              <w:keepNext w:val="0"/>
              <w:keepLines w:val="0"/>
              <w:pageBreakBefore w:val="0"/>
              <w:widowControl/>
              <w:numPr>
                <w:ilvl w:val="0"/>
                <w:numId w:val="89"/>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主机内核：不低于四核64位A55处理器2.0GHz、2GB内存+32GBEMMCWIFI的性能；</w:t>
            </w:r>
          </w:p>
          <w:p w14:paraId="611711FB">
            <w:pPr>
              <w:keepNext w:val="0"/>
              <w:keepLines w:val="0"/>
              <w:pageBreakBefore w:val="0"/>
              <w:widowControl/>
              <w:numPr>
                <w:ilvl w:val="0"/>
                <w:numId w:val="89"/>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操作系统：Android；</w:t>
            </w:r>
          </w:p>
          <w:p w14:paraId="1F8C4A00">
            <w:pPr>
              <w:keepNext w:val="0"/>
              <w:keepLines w:val="0"/>
              <w:pageBreakBefore w:val="0"/>
              <w:widowControl/>
              <w:numPr>
                <w:ilvl w:val="0"/>
                <w:numId w:val="87"/>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功能参数：</w:t>
            </w:r>
          </w:p>
          <w:p w14:paraId="74EAB992">
            <w:pPr>
              <w:keepNext w:val="0"/>
              <w:keepLines w:val="0"/>
              <w:pageBreakBefore w:val="0"/>
              <w:widowControl/>
              <w:numPr>
                <w:ilvl w:val="0"/>
                <w:numId w:val="90"/>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最大量程：Max=15kg；</w:t>
            </w:r>
          </w:p>
          <w:p w14:paraId="40C237F0">
            <w:pPr>
              <w:keepNext w:val="0"/>
              <w:keepLines w:val="0"/>
              <w:pageBreakBefore w:val="0"/>
              <w:widowControl/>
              <w:numPr>
                <w:ilvl w:val="0"/>
                <w:numId w:val="90"/>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分度数：3000；</w:t>
            </w:r>
          </w:p>
          <w:p w14:paraId="15CD0791">
            <w:pPr>
              <w:keepNext w:val="0"/>
              <w:keepLines w:val="0"/>
              <w:pageBreakBefore w:val="0"/>
              <w:widowControl/>
              <w:numPr>
                <w:ilvl w:val="0"/>
                <w:numId w:val="90"/>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分度值：5g；</w:t>
            </w:r>
          </w:p>
          <w:p w14:paraId="3B8D2EB0">
            <w:pPr>
              <w:keepNext w:val="0"/>
              <w:keepLines w:val="0"/>
              <w:pageBreakBefore w:val="0"/>
              <w:widowControl/>
              <w:numPr>
                <w:ilvl w:val="0"/>
                <w:numId w:val="90"/>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最小称量：100g；</w:t>
            </w:r>
          </w:p>
          <w:p w14:paraId="2E41CF0B">
            <w:pPr>
              <w:keepNext w:val="0"/>
              <w:keepLines w:val="0"/>
              <w:pageBreakBefore w:val="0"/>
              <w:widowControl/>
              <w:numPr>
                <w:ilvl w:val="0"/>
                <w:numId w:val="87"/>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其他参数:</w:t>
            </w:r>
          </w:p>
          <w:p w14:paraId="529BECFC">
            <w:pPr>
              <w:keepNext w:val="0"/>
              <w:keepLines w:val="0"/>
              <w:pageBreakBefore w:val="0"/>
              <w:widowControl/>
              <w:numPr>
                <w:ilvl w:val="0"/>
                <w:numId w:val="91"/>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计重秤显：62mm*8mm可视LED5位重量显示RS232串口通讯；</w:t>
            </w:r>
          </w:p>
          <w:p w14:paraId="27D65B1B">
            <w:pPr>
              <w:keepNext w:val="0"/>
              <w:keepLines w:val="0"/>
              <w:pageBreakBefore w:val="0"/>
              <w:widowControl/>
              <w:numPr>
                <w:ilvl w:val="0"/>
                <w:numId w:val="91"/>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四按键：秤体开关、设置、置零、去皮；</w:t>
            </w:r>
          </w:p>
          <w:p w14:paraId="436BCBC8">
            <w:pPr>
              <w:keepNext w:val="0"/>
              <w:keepLines w:val="0"/>
              <w:pageBreakBefore w:val="0"/>
              <w:widowControl/>
              <w:numPr>
                <w:ilvl w:val="0"/>
                <w:numId w:val="91"/>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内置打印机：内置58mm以下宽度标签打印；</w:t>
            </w:r>
          </w:p>
          <w:p w14:paraId="0F3659AB">
            <w:pPr>
              <w:keepNext w:val="0"/>
              <w:keepLines w:val="0"/>
              <w:pageBreakBefore w:val="0"/>
              <w:widowControl/>
              <w:numPr>
                <w:ilvl w:val="0"/>
                <w:numId w:val="91"/>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打印留样票据支持自定义格式，可更改留样票据上的各个类目；</w:t>
            </w:r>
          </w:p>
          <w:p w14:paraId="16B8D123">
            <w:pPr>
              <w:keepNext w:val="0"/>
              <w:keepLines w:val="0"/>
              <w:pageBreakBefore w:val="0"/>
              <w:widowControl/>
              <w:numPr>
                <w:ilvl w:val="0"/>
                <w:numId w:val="91"/>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可在一个画面下0.5秒内同时识别10个菜品目标。</w:t>
            </w:r>
          </w:p>
          <w:p w14:paraId="511F1F39">
            <w:pPr>
              <w:keepNext w:val="0"/>
              <w:keepLines w:val="0"/>
              <w:pageBreakBefore w:val="0"/>
              <w:widowControl/>
              <w:numPr>
                <w:ilvl w:val="0"/>
                <w:numId w:val="91"/>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支持同时检测多个样品，还具备去皮功能，能够精确计算每个菜品的净重，实现高效的重量管理和分析。</w:t>
            </w:r>
          </w:p>
          <w:p w14:paraId="6A354EB3">
            <w:pPr>
              <w:keepNext w:val="0"/>
              <w:keepLines w:val="0"/>
              <w:pageBreakBefore w:val="0"/>
              <w:widowControl/>
              <w:numPr>
                <w:ilvl w:val="0"/>
                <w:numId w:val="91"/>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单机留存菜品库标准比对图片2000张以上。</w:t>
            </w:r>
          </w:p>
          <w:p w14:paraId="39CFE134">
            <w:pPr>
              <w:keepNext w:val="0"/>
              <w:keepLines w:val="0"/>
              <w:pageBreakBefore w:val="0"/>
              <w:widowControl/>
              <w:numPr>
                <w:ilvl w:val="0"/>
                <w:numId w:val="91"/>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打印留样票据支持自定义格式，可更改留样票据上的各个类目。</w:t>
            </w:r>
          </w:p>
          <w:p w14:paraId="10ADD63F">
            <w:pPr>
              <w:keepNext w:val="0"/>
              <w:keepLines w:val="0"/>
              <w:pageBreakBefore w:val="0"/>
              <w:widowControl/>
              <w:numPr>
                <w:ilvl w:val="0"/>
                <w:numId w:val="91"/>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留样台账支持自动生成，且保持5年以上。</w:t>
            </w:r>
          </w:p>
        </w:tc>
        <w:tc>
          <w:tcPr>
            <w:tcW w:w="824"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A6A94A7">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套</w:t>
            </w:r>
          </w:p>
        </w:tc>
        <w:tc>
          <w:tcPr>
            <w:tcW w:w="781"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CECBB60">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按需配置并征得采购人书面同意</w:t>
            </w:r>
          </w:p>
        </w:tc>
      </w:tr>
      <w:tr w14:paraId="258FDFBB">
        <w:tblPrEx>
          <w:tblBorders>
            <w:top w:val="single" w:color="B8CCE4" w:sz="6" w:space="0"/>
            <w:left w:val="single" w:color="B8CCE4" w:sz="6" w:space="0"/>
            <w:bottom w:val="single" w:color="B8CCE4" w:sz="6" w:space="0"/>
            <w:right w:val="single" w:color="B8CCE4" w:sz="6" w:space="0"/>
            <w:insideH w:val="single" w:color="B8CCE4" w:sz="6" w:space="0"/>
            <w:insideV w:val="single" w:color="B8CCE4" w:sz="6" w:space="0"/>
          </w:tblBorders>
          <w:tblCellMar>
            <w:top w:w="0" w:type="dxa"/>
            <w:left w:w="108" w:type="dxa"/>
            <w:bottom w:w="0" w:type="dxa"/>
            <w:right w:w="108" w:type="dxa"/>
          </w:tblCellMar>
        </w:tblPrEx>
        <w:trPr>
          <w:trHeight w:val="280" w:hRule="atLeast"/>
          <w:jc w:val="center"/>
        </w:trPr>
        <w:tc>
          <w:tcPr>
            <w:tcW w:w="74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E31572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bidi="ar"/>
              </w:rPr>
              <w:t>4</w:t>
            </w:r>
          </w:p>
        </w:tc>
        <w:tc>
          <w:tcPr>
            <w:tcW w:w="12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8E257C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仓库物联监管套装</w:t>
            </w:r>
          </w:p>
        </w:tc>
        <w:tc>
          <w:tcPr>
            <w:tcW w:w="6114"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AC8020C">
            <w:pPr>
              <w:keepNext w:val="0"/>
              <w:keepLines w:val="0"/>
              <w:pageBreakBefore w:val="0"/>
              <w:widowControl/>
              <w:numPr>
                <w:ilvl w:val="0"/>
                <w:numId w:val="92"/>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功能描述：</w:t>
            </w:r>
          </w:p>
          <w:p w14:paraId="6F07E43B">
            <w:pPr>
              <w:keepNext w:val="0"/>
              <w:keepLines w:val="0"/>
              <w:pageBreakBefore w:val="0"/>
              <w:widowControl/>
              <w:numPr>
                <w:ilvl w:val="0"/>
                <w:numId w:val="93"/>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挡鼠板未闭合超过预设时间可声光报警；</w:t>
            </w:r>
          </w:p>
          <w:p w14:paraId="019D5124">
            <w:pPr>
              <w:keepNext w:val="0"/>
              <w:keepLines w:val="0"/>
              <w:pageBreakBefore w:val="0"/>
              <w:widowControl/>
              <w:numPr>
                <w:ilvl w:val="0"/>
                <w:numId w:val="93"/>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食材隔墙离地未规范达标，红外感应装置现场声光报警；</w:t>
            </w:r>
          </w:p>
          <w:p w14:paraId="7E6D8733">
            <w:pPr>
              <w:keepNext w:val="0"/>
              <w:keepLines w:val="0"/>
              <w:pageBreakBefore w:val="0"/>
              <w:widowControl/>
              <w:numPr>
                <w:ilvl w:val="0"/>
                <w:numId w:val="93"/>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仓库温湿度超标现场声光报警；</w:t>
            </w:r>
          </w:p>
          <w:p w14:paraId="1F77AD8A">
            <w:pPr>
              <w:keepNext w:val="0"/>
              <w:keepLines w:val="0"/>
              <w:pageBreakBefore w:val="0"/>
              <w:widowControl/>
              <w:numPr>
                <w:ilvl w:val="0"/>
                <w:numId w:val="93"/>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支持后台查看仓库设备状态数据、物联预警事件数据；</w:t>
            </w:r>
          </w:p>
          <w:p w14:paraId="78AF98FD">
            <w:pPr>
              <w:keepNext w:val="0"/>
              <w:keepLines w:val="0"/>
              <w:pageBreakBefore w:val="0"/>
              <w:widowControl/>
              <w:numPr>
                <w:ilvl w:val="0"/>
                <w:numId w:val="93"/>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各类设备状态或报警数据可在大屏端显示；</w:t>
            </w:r>
          </w:p>
          <w:p w14:paraId="234CA761">
            <w:pPr>
              <w:keepNext w:val="0"/>
              <w:keepLines w:val="0"/>
              <w:pageBreakBefore w:val="0"/>
              <w:widowControl/>
              <w:numPr>
                <w:ilvl w:val="0"/>
                <w:numId w:val="92"/>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物联中控屏设备参数：</w:t>
            </w:r>
          </w:p>
          <w:p w14:paraId="1DCDBAA6">
            <w:pPr>
              <w:keepNext w:val="0"/>
              <w:keepLines w:val="0"/>
              <w:pageBreakBefore w:val="0"/>
              <w:numPr>
                <w:ilvl w:val="0"/>
                <w:numId w:val="94"/>
              </w:numPr>
              <w:kinsoku/>
              <w:wordWrap/>
              <w:overflowPunct/>
              <w:topLinePunct w:val="0"/>
              <w:autoSpaceDE/>
              <w:autoSpaceDN/>
              <w:bidi w:val="0"/>
              <w:adjustRightInd/>
              <w:snapToGrid/>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主要参数：</w:t>
            </w:r>
          </w:p>
          <w:p w14:paraId="68442C6D">
            <w:pPr>
              <w:keepNext w:val="0"/>
              <w:keepLines w:val="0"/>
              <w:pageBreakBefore w:val="0"/>
              <w:widowControl/>
              <w:numPr>
                <w:ilvl w:val="0"/>
                <w:numId w:val="95"/>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外壳：前置钢化玻璃+塑胶外壳；</w:t>
            </w:r>
          </w:p>
          <w:p w14:paraId="74EECAB7">
            <w:pPr>
              <w:keepNext w:val="0"/>
              <w:keepLines w:val="0"/>
              <w:pageBreakBefore w:val="0"/>
              <w:widowControl/>
              <w:numPr>
                <w:ilvl w:val="0"/>
                <w:numId w:val="95"/>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保护面板：钢化玻璃；</w:t>
            </w:r>
          </w:p>
          <w:p w14:paraId="2337B64A">
            <w:pPr>
              <w:keepNext w:val="0"/>
              <w:keepLines w:val="0"/>
              <w:pageBreakBefore w:val="0"/>
              <w:widowControl/>
              <w:numPr>
                <w:ilvl w:val="0"/>
                <w:numId w:val="95"/>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尺寸：不低于10.1寸；</w:t>
            </w:r>
          </w:p>
          <w:p w14:paraId="3B766D74">
            <w:pPr>
              <w:keepNext w:val="0"/>
              <w:keepLines w:val="0"/>
              <w:pageBreakBefore w:val="0"/>
              <w:widowControl/>
              <w:numPr>
                <w:ilvl w:val="0"/>
                <w:numId w:val="95"/>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屏幕比例：16:9；</w:t>
            </w:r>
          </w:p>
          <w:p w14:paraId="1AD95118">
            <w:pPr>
              <w:keepNext w:val="0"/>
              <w:keepLines w:val="0"/>
              <w:pageBreakBefore w:val="0"/>
              <w:widowControl/>
              <w:numPr>
                <w:ilvl w:val="0"/>
                <w:numId w:val="95"/>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摄像头像素：100W；</w:t>
            </w:r>
          </w:p>
          <w:p w14:paraId="17E133A8">
            <w:pPr>
              <w:keepNext w:val="0"/>
              <w:keepLines w:val="0"/>
              <w:pageBreakBefore w:val="0"/>
              <w:widowControl/>
              <w:numPr>
                <w:ilvl w:val="0"/>
                <w:numId w:val="95"/>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像素间距：0.17925×0.17925mm；</w:t>
            </w:r>
          </w:p>
          <w:p w14:paraId="2971B023">
            <w:pPr>
              <w:keepNext w:val="0"/>
              <w:keepLines w:val="0"/>
              <w:pageBreakBefore w:val="0"/>
              <w:widowControl/>
              <w:numPr>
                <w:ilvl w:val="0"/>
                <w:numId w:val="95"/>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亮度：350cd/m²可视角度85/85/85/85（左/右/上/下)；</w:t>
            </w:r>
          </w:p>
          <w:p w14:paraId="59A58ED8">
            <w:pPr>
              <w:keepNext w:val="0"/>
              <w:keepLines w:val="0"/>
              <w:pageBreakBefore w:val="0"/>
              <w:widowControl/>
              <w:numPr>
                <w:ilvl w:val="0"/>
                <w:numId w:val="95"/>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对比度：1000:1；</w:t>
            </w:r>
          </w:p>
          <w:p w14:paraId="49E70469">
            <w:pPr>
              <w:keepNext w:val="0"/>
              <w:keepLines w:val="0"/>
              <w:pageBreakBefore w:val="0"/>
              <w:widowControl/>
              <w:numPr>
                <w:ilvl w:val="0"/>
                <w:numId w:val="95"/>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颜色数：16.7M；</w:t>
            </w:r>
          </w:p>
          <w:p w14:paraId="7518CAD8">
            <w:pPr>
              <w:keepNext w:val="0"/>
              <w:keepLines w:val="0"/>
              <w:pageBreakBefore w:val="0"/>
              <w:widowControl/>
              <w:numPr>
                <w:ilvl w:val="0"/>
                <w:numId w:val="95"/>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灯管寿命：超过50000小时；</w:t>
            </w:r>
          </w:p>
          <w:p w14:paraId="6D0113F7">
            <w:pPr>
              <w:keepNext w:val="0"/>
              <w:keepLines w:val="0"/>
              <w:pageBreakBefore w:val="0"/>
              <w:widowControl/>
              <w:numPr>
                <w:ilvl w:val="0"/>
                <w:numId w:val="95"/>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操作系统：Android7.1.2；</w:t>
            </w:r>
          </w:p>
          <w:p w14:paraId="21F7FF39">
            <w:pPr>
              <w:keepNext w:val="0"/>
              <w:keepLines w:val="0"/>
              <w:pageBreakBefore w:val="0"/>
              <w:widowControl/>
              <w:numPr>
                <w:ilvl w:val="0"/>
                <w:numId w:val="95"/>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CPU：RK3288，四核；</w:t>
            </w:r>
          </w:p>
          <w:p w14:paraId="10960CDB">
            <w:pPr>
              <w:keepNext w:val="0"/>
              <w:keepLines w:val="0"/>
              <w:pageBreakBefore w:val="0"/>
              <w:widowControl/>
              <w:numPr>
                <w:ilvl w:val="0"/>
                <w:numId w:val="95"/>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CPU主频：1.8GHz；</w:t>
            </w:r>
          </w:p>
          <w:p w14:paraId="00174B9C">
            <w:pPr>
              <w:keepNext w:val="0"/>
              <w:keepLines w:val="0"/>
              <w:pageBreakBefore w:val="0"/>
              <w:widowControl/>
              <w:numPr>
                <w:ilvl w:val="0"/>
                <w:numId w:val="95"/>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内存：DDR32G；</w:t>
            </w:r>
          </w:p>
          <w:p w14:paraId="735092E3">
            <w:pPr>
              <w:keepNext w:val="0"/>
              <w:keepLines w:val="0"/>
              <w:pageBreakBefore w:val="0"/>
              <w:widowControl/>
              <w:numPr>
                <w:ilvl w:val="0"/>
                <w:numId w:val="95"/>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内置存储容量：EMMC8G；</w:t>
            </w:r>
          </w:p>
          <w:p w14:paraId="6B785D90">
            <w:pPr>
              <w:keepNext w:val="0"/>
              <w:keepLines w:val="0"/>
              <w:pageBreakBefore w:val="0"/>
              <w:widowControl/>
              <w:numPr>
                <w:ilvl w:val="0"/>
                <w:numId w:val="95"/>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喇叭：8Ω2W；</w:t>
            </w:r>
          </w:p>
          <w:p w14:paraId="04E0CECD">
            <w:pPr>
              <w:keepNext w:val="0"/>
              <w:keepLines w:val="0"/>
              <w:pageBreakBefore w:val="0"/>
              <w:widowControl/>
              <w:numPr>
                <w:ilvl w:val="0"/>
                <w:numId w:val="95"/>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网络：支持WiFi、BT；</w:t>
            </w:r>
          </w:p>
          <w:p w14:paraId="2B2D4A97">
            <w:pPr>
              <w:keepNext w:val="0"/>
              <w:keepLines w:val="0"/>
              <w:pageBreakBefore w:val="0"/>
              <w:widowControl/>
              <w:numPr>
                <w:ilvl w:val="0"/>
                <w:numId w:val="95"/>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接口：I/O:2*USB，可扩展2*USB；</w:t>
            </w:r>
          </w:p>
          <w:p w14:paraId="6EF61E7C">
            <w:pPr>
              <w:keepNext w:val="0"/>
              <w:keepLines w:val="0"/>
              <w:pageBreakBefore w:val="0"/>
              <w:widowControl/>
              <w:numPr>
                <w:ilvl w:val="0"/>
                <w:numId w:val="95"/>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工作环境温度：0～50摄氏度；</w:t>
            </w:r>
          </w:p>
          <w:p w14:paraId="6DB5BABD">
            <w:pPr>
              <w:keepNext w:val="0"/>
              <w:keepLines w:val="0"/>
              <w:pageBreakBefore w:val="0"/>
              <w:widowControl/>
              <w:numPr>
                <w:ilvl w:val="0"/>
                <w:numId w:val="95"/>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触摸精度：±2mm；</w:t>
            </w:r>
          </w:p>
          <w:p w14:paraId="0B5D7EA5">
            <w:pPr>
              <w:keepNext w:val="0"/>
              <w:keepLines w:val="0"/>
              <w:pageBreakBefore w:val="0"/>
              <w:widowControl/>
              <w:numPr>
                <w:ilvl w:val="0"/>
                <w:numId w:val="95"/>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响应时间：25ms~30ms；</w:t>
            </w:r>
          </w:p>
          <w:p w14:paraId="0F354770">
            <w:pPr>
              <w:keepNext w:val="0"/>
              <w:keepLines w:val="0"/>
              <w:pageBreakBefore w:val="0"/>
              <w:widowControl/>
              <w:numPr>
                <w:ilvl w:val="0"/>
                <w:numId w:val="95"/>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可识别物体：手指或者专用触摸笔；</w:t>
            </w:r>
          </w:p>
          <w:p w14:paraId="242D9C51">
            <w:pPr>
              <w:keepNext w:val="0"/>
              <w:keepLines w:val="0"/>
              <w:pageBreakBefore w:val="0"/>
              <w:widowControl/>
              <w:numPr>
                <w:ilvl w:val="0"/>
                <w:numId w:val="95"/>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透明度：≥85％±2％；</w:t>
            </w:r>
          </w:p>
          <w:p w14:paraId="1216B836">
            <w:pPr>
              <w:keepNext w:val="0"/>
              <w:keepLines w:val="0"/>
              <w:pageBreakBefore w:val="0"/>
              <w:widowControl/>
              <w:numPr>
                <w:ilvl w:val="0"/>
                <w:numId w:val="95"/>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温度范围：工作温度：-10℃~60℃；</w:t>
            </w:r>
          </w:p>
          <w:p w14:paraId="36218423">
            <w:pPr>
              <w:keepNext w:val="0"/>
              <w:keepLines w:val="0"/>
              <w:pageBreakBefore w:val="0"/>
              <w:widowControl/>
              <w:numPr>
                <w:ilvl w:val="0"/>
                <w:numId w:val="95"/>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供电方式：外置12V/2A适配器；</w:t>
            </w:r>
          </w:p>
          <w:p w14:paraId="59C9802D">
            <w:pPr>
              <w:keepNext w:val="0"/>
              <w:keepLines w:val="0"/>
              <w:pageBreakBefore w:val="0"/>
              <w:widowControl/>
              <w:numPr>
                <w:ilvl w:val="0"/>
                <w:numId w:val="95"/>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整机功率：15W；</w:t>
            </w:r>
          </w:p>
          <w:p w14:paraId="4AE553B2">
            <w:pPr>
              <w:keepNext w:val="0"/>
              <w:keepLines w:val="0"/>
              <w:pageBreakBefore w:val="0"/>
              <w:widowControl/>
              <w:numPr>
                <w:ilvl w:val="0"/>
                <w:numId w:val="95"/>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安装方式：壁挂式；</w:t>
            </w:r>
          </w:p>
          <w:p w14:paraId="334BDD3B">
            <w:pPr>
              <w:keepNext w:val="0"/>
              <w:keepLines w:val="0"/>
              <w:pageBreakBefore w:val="0"/>
              <w:widowControl/>
              <w:numPr>
                <w:ilvl w:val="0"/>
                <w:numId w:val="92"/>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IO通讯模块设备参数：</w:t>
            </w:r>
          </w:p>
          <w:p w14:paraId="07C4849A">
            <w:pPr>
              <w:keepNext w:val="0"/>
              <w:keepLines w:val="0"/>
              <w:pageBreakBefore w:val="0"/>
              <w:numPr>
                <w:ilvl w:val="0"/>
                <w:numId w:val="96"/>
              </w:numPr>
              <w:kinsoku/>
              <w:wordWrap/>
              <w:overflowPunct/>
              <w:topLinePunct w:val="0"/>
              <w:autoSpaceDE/>
              <w:autoSpaceDN/>
              <w:bidi w:val="0"/>
              <w:adjustRightInd/>
              <w:snapToGrid/>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主要参数：</w:t>
            </w:r>
          </w:p>
          <w:p w14:paraId="392A7CA0">
            <w:pPr>
              <w:keepNext w:val="0"/>
              <w:keepLines w:val="0"/>
              <w:pageBreakBefore w:val="0"/>
              <w:widowControl/>
              <w:numPr>
                <w:ilvl w:val="0"/>
                <w:numId w:val="97"/>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4路继电器控制输出，触点容量250VAC10A/DC30V10A；</w:t>
            </w:r>
          </w:p>
          <w:p w14:paraId="2716755F">
            <w:pPr>
              <w:keepNext w:val="0"/>
              <w:keepLines w:val="0"/>
              <w:pageBreakBefore w:val="0"/>
              <w:widowControl/>
              <w:numPr>
                <w:ilvl w:val="0"/>
                <w:numId w:val="97"/>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4路数字量输入，隔离输入，抗浪涌等级1500V，有源无源均支持；</w:t>
            </w:r>
          </w:p>
          <w:p w14:paraId="2B0A094B">
            <w:pPr>
              <w:keepNext w:val="0"/>
              <w:keepLines w:val="0"/>
              <w:pageBreakBefore w:val="0"/>
              <w:widowControl/>
              <w:numPr>
                <w:ilvl w:val="0"/>
                <w:numId w:val="97"/>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1路RS485接口，支持连接485接口Modbus协议仪表或传感器；</w:t>
            </w:r>
          </w:p>
          <w:p w14:paraId="1757D281">
            <w:pPr>
              <w:keepNext w:val="0"/>
              <w:keepLines w:val="0"/>
              <w:pageBreakBefore w:val="0"/>
              <w:widowControl/>
              <w:numPr>
                <w:ilvl w:val="0"/>
                <w:numId w:val="97"/>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以太网通讯接口，10/100M自适应；</w:t>
            </w:r>
          </w:p>
          <w:p w14:paraId="5E03C1CE">
            <w:pPr>
              <w:keepNext w:val="0"/>
              <w:keepLines w:val="0"/>
              <w:pageBreakBefore w:val="0"/>
              <w:widowControl/>
              <w:numPr>
                <w:ilvl w:val="0"/>
                <w:numId w:val="97"/>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支持MQTT通讯，参数可配置；</w:t>
            </w:r>
          </w:p>
          <w:p w14:paraId="057354E0">
            <w:pPr>
              <w:keepNext w:val="0"/>
              <w:keepLines w:val="0"/>
              <w:pageBreakBefore w:val="0"/>
              <w:widowControl/>
              <w:numPr>
                <w:ilvl w:val="0"/>
                <w:numId w:val="97"/>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通信波特率，bps：1200～115200bps；</w:t>
            </w:r>
          </w:p>
          <w:p w14:paraId="2FDFB3C2">
            <w:pPr>
              <w:keepNext w:val="0"/>
              <w:keepLines w:val="0"/>
              <w:pageBreakBefore w:val="0"/>
              <w:widowControl/>
              <w:numPr>
                <w:ilvl w:val="0"/>
                <w:numId w:val="97"/>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通信协议ModbusTCP；</w:t>
            </w:r>
          </w:p>
          <w:p w14:paraId="08076945">
            <w:pPr>
              <w:keepNext w:val="0"/>
              <w:keepLines w:val="0"/>
              <w:pageBreakBefore w:val="0"/>
              <w:widowControl/>
              <w:numPr>
                <w:ilvl w:val="0"/>
                <w:numId w:val="97"/>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工作电压范围DC7-40V宽压；静态工作电流≤100ma；支持定点/星期/时段控制，可设置定时规则不少于100条；</w:t>
            </w:r>
          </w:p>
          <w:p w14:paraId="6DB5DC6A">
            <w:pPr>
              <w:keepNext w:val="0"/>
              <w:keepLines w:val="0"/>
              <w:pageBreakBefore w:val="0"/>
              <w:widowControl/>
              <w:numPr>
                <w:ilvl w:val="0"/>
                <w:numId w:val="97"/>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支持自定义设置四路继电器输出之间互锁联动；规则不少于70条；</w:t>
            </w:r>
          </w:p>
          <w:p w14:paraId="2F08ED86">
            <w:pPr>
              <w:keepNext w:val="0"/>
              <w:keepLines w:val="0"/>
              <w:pageBreakBefore w:val="0"/>
              <w:widowControl/>
              <w:numPr>
                <w:ilvl w:val="0"/>
                <w:numId w:val="97"/>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支持数字量输入联动控制输出，可一路输入联动多路输出，也可多路输入联动一路输出；规则不少于70条；</w:t>
            </w:r>
          </w:p>
          <w:p w14:paraId="191B4CCE">
            <w:pPr>
              <w:keepNext w:val="0"/>
              <w:keepLines w:val="0"/>
              <w:pageBreakBefore w:val="0"/>
              <w:widowControl/>
              <w:numPr>
                <w:ilvl w:val="0"/>
                <w:numId w:val="97"/>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支持自定义传感器上下限，区间阈值联动控制一路或多路输出；规则不少于70条；</w:t>
            </w:r>
          </w:p>
          <w:p w14:paraId="0D403E75">
            <w:pPr>
              <w:keepNext w:val="0"/>
              <w:keepLines w:val="0"/>
              <w:pageBreakBefore w:val="0"/>
              <w:widowControl/>
              <w:numPr>
                <w:ilvl w:val="0"/>
                <w:numId w:val="97"/>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工作环境温度-40～80℃，环境湿度为0～95%无凝露；</w:t>
            </w:r>
          </w:p>
          <w:p w14:paraId="337901D0">
            <w:pPr>
              <w:keepNext w:val="0"/>
              <w:keepLines w:val="0"/>
              <w:pageBreakBefore w:val="0"/>
              <w:widowControl/>
              <w:numPr>
                <w:ilvl w:val="0"/>
                <w:numId w:val="92"/>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温湿度探测器（485版）设备参数：</w:t>
            </w:r>
          </w:p>
          <w:p w14:paraId="3992C82B">
            <w:pPr>
              <w:keepNext w:val="0"/>
              <w:keepLines w:val="0"/>
              <w:pageBreakBefore w:val="0"/>
              <w:numPr>
                <w:ilvl w:val="0"/>
                <w:numId w:val="98"/>
              </w:numPr>
              <w:kinsoku/>
              <w:wordWrap/>
              <w:overflowPunct/>
              <w:topLinePunct w:val="0"/>
              <w:autoSpaceDE/>
              <w:autoSpaceDN/>
              <w:bidi w:val="0"/>
              <w:adjustRightInd/>
              <w:snapToGrid/>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主要参数：</w:t>
            </w:r>
          </w:p>
          <w:p w14:paraId="468AD391">
            <w:pPr>
              <w:keepNext w:val="0"/>
              <w:keepLines w:val="0"/>
              <w:pageBreakBefore w:val="0"/>
              <w:widowControl/>
              <w:numPr>
                <w:ilvl w:val="0"/>
                <w:numId w:val="99"/>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精度湿度：±3%RH(60%RH，25℃)；</w:t>
            </w:r>
          </w:p>
          <w:p w14:paraId="249372A7">
            <w:pPr>
              <w:keepNext w:val="0"/>
              <w:keepLines w:val="0"/>
              <w:pageBreakBefore w:val="0"/>
              <w:widowControl/>
              <w:numPr>
                <w:ilvl w:val="0"/>
                <w:numId w:val="99"/>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温度：±0.5℃（25℃）；</w:t>
            </w:r>
          </w:p>
          <w:p w14:paraId="1BC9D2F5">
            <w:pPr>
              <w:keepNext w:val="0"/>
              <w:keepLines w:val="0"/>
              <w:pageBreakBefore w:val="0"/>
              <w:widowControl/>
              <w:numPr>
                <w:ilvl w:val="0"/>
                <w:numId w:val="99"/>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探测器电路工作温度：-40℃~+60℃，0%RH~80%RH；</w:t>
            </w:r>
          </w:p>
          <w:p w14:paraId="39C52560">
            <w:pPr>
              <w:keepNext w:val="0"/>
              <w:keepLines w:val="0"/>
              <w:pageBreakBefore w:val="0"/>
              <w:widowControl/>
              <w:numPr>
                <w:ilvl w:val="0"/>
                <w:numId w:val="99"/>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探头工作温度：-40℃~+120℃，默认-40℃~+80℃；</w:t>
            </w:r>
          </w:p>
          <w:p w14:paraId="3885D58A">
            <w:pPr>
              <w:keepNext w:val="0"/>
              <w:keepLines w:val="0"/>
              <w:pageBreakBefore w:val="0"/>
              <w:widowControl/>
              <w:numPr>
                <w:ilvl w:val="0"/>
                <w:numId w:val="99"/>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探头工作湿度：0%RH-100%RH；</w:t>
            </w:r>
          </w:p>
          <w:p w14:paraId="7C00424B">
            <w:pPr>
              <w:keepNext w:val="0"/>
              <w:keepLines w:val="0"/>
              <w:pageBreakBefore w:val="0"/>
              <w:widowControl/>
              <w:numPr>
                <w:ilvl w:val="0"/>
                <w:numId w:val="99"/>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温度显示分辨率：0.1℃；</w:t>
            </w:r>
          </w:p>
          <w:p w14:paraId="062804C2">
            <w:pPr>
              <w:keepNext w:val="0"/>
              <w:keepLines w:val="0"/>
              <w:pageBreakBefore w:val="0"/>
              <w:widowControl/>
              <w:numPr>
                <w:ilvl w:val="0"/>
                <w:numId w:val="99"/>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湿度显示分辨率：0.1%RH；</w:t>
            </w:r>
          </w:p>
          <w:p w14:paraId="0DC7EEC7">
            <w:pPr>
              <w:keepNext w:val="0"/>
              <w:keepLines w:val="0"/>
              <w:pageBreakBefore w:val="0"/>
              <w:widowControl/>
              <w:numPr>
                <w:ilvl w:val="0"/>
                <w:numId w:val="99"/>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温湿度刷新时间：1S；</w:t>
            </w:r>
          </w:p>
          <w:p w14:paraId="249E11EC">
            <w:pPr>
              <w:keepNext w:val="0"/>
              <w:keepLines w:val="0"/>
              <w:pageBreakBefore w:val="0"/>
              <w:widowControl/>
              <w:numPr>
                <w:ilvl w:val="0"/>
                <w:numId w:val="99"/>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直流供电（默认）：DC10-30V；</w:t>
            </w:r>
          </w:p>
          <w:p w14:paraId="4E35C818">
            <w:pPr>
              <w:keepNext w:val="0"/>
              <w:keepLines w:val="0"/>
              <w:pageBreakBefore w:val="0"/>
              <w:widowControl/>
              <w:numPr>
                <w:ilvl w:val="0"/>
                <w:numId w:val="99"/>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最大功耗：0.1W；</w:t>
            </w:r>
          </w:p>
          <w:p w14:paraId="743DC86B">
            <w:pPr>
              <w:keepNext w:val="0"/>
              <w:keepLines w:val="0"/>
              <w:pageBreakBefore w:val="0"/>
              <w:widowControl/>
              <w:numPr>
                <w:ilvl w:val="0"/>
                <w:numId w:val="99"/>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输出信号：485(Modbus协议）；</w:t>
            </w:r>
          </w:p>
          <w:p w14:paraId="7E8E8012">
            <w:pPr>
              <w:keepNext w:val="0"/>
              <w:keepLines w:val="0"/>
              <w:pageBreakBefore w:val="0"/>
              <w:widowControl/>
              <w:numPr>
                <w:ilvl w:val="0"/>
                <w:numId w:val="99"/>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安装方式：壁挂式；</w:t>
            </w:r>
          </w:p>
          <w:p w14:paraId="3CE4DDE8">
            <w:pPr>
              <w:keepNext w:val="0"/>
              <w:keepLines w:val="0"/>
              <w:pageBreakBefore w:val="0"/>
              <w:widowControl/>
              <w:numPr>
                <w:ilvl w:val="0"/>
                <w:numId w:val="99"/>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尺寸：不低于110×85×44mm；</w:t>
            </w:r>
          </w:p>
          <w:p w14:paraId="45734E0E">
            <w:pPr>
              <w:keepNext w:val="0"/>
              <w:keepLines w:val="0"/>
              <w:pageBreakBefore w:val="0"/>
              <w:widowControl/>
              <w:numPr>
                <w:ilvl w:val="0"/>
                <w:numId w:val="92"/>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挡鼠板门磁设备参数：</w:t>
            </w:r>
          </w:p>
          <w:p w14:paraId="7DE6FC88">
            <w:pPr>
              <w:keepNext w:val="0"/>
              <w:keepLines w:val="0"/>
              <w:pageBreakBefore w:val="0"/>
              <w:numPr>
                <w:ilvl w:val="0"/>
                <w:numId w:val="100"/>
              </w:numPr>
              <w:kinsoku/>
              <w:wordWrap/>
              <w:overflowPunct/>
              <w:topLinePunct w:val="0"/>
              <w:autoSpaceDE/>
              <w:autoSpaceDN/>
              <w:bidi w:val="0"/>
              <w:adjustRightInd/>
              <w:snapToGrid/>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主要参数：</w:t>
            </w:r>
          </w:p>
          <w:p w14:paraId="4B3F2599">
            <w:pPr>
              <w:keepNext w:val="0"/>
              <w:keepLines w:val="0"/>
              <w:pageBreakBefore w:val="0"/>
              <w:widowControl/>
              <w:numPr>
                <w:ilvl w:val="0"/>
                <w:numId w:val="101"/>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感应距离：25-35MM；</w:t>
            </w:r>
          </w:p>
          <w:p w14:paraId="04AAAA57">
            <w:pPr>
              <w:keepNext w:val="0"/>
              <w:keepLines w:val="0"/>
              <w:pageBreakBefore w:val="0"/>
              <w:widowControl/>
              <w:numPr>
                <w:ilvl w:val="0"/>
                <w:numId w:val="101"/>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孔距离：33MM；</w:t>
            </w:r>
          </w:p>
          <w:p w14:paraId="7A166FAD">
            <w:pPr>
              <w:keepNext w:val="0"/>
              <w:keepLines w:val="0"/>
              <w:pageBreakBefore w:val="0"/>
              <w:widowControl/>
              <w:numPr>
                <w:ilvl w:val="0"/>
                <w:numId w:val="101"/>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开关形式：常闭；</w:t>
            </w:r>
          </w:p>
          <w:p w14:paraId="29B4EA87">
            <w:pPr>
              <w:keepNext w:val="0"/>
              <w:keepLines w:val="0"/>
              <w:pageBreakBefore w:val="0"/>
              <w:widowControl/>
              <w:numPr>
                <w:ilvl w:val="0"/>
                <w:numId w:val="101"/>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参数：最大功率10W，最高电压100V，最大电流0.5A；</w:t>
            </w:r>
          </w:p>
          <w:p w14:paraId="574276AF">
            <w:pPr>
              <w:keepNext w:val="0"/>
              <w:keepLines w:val="0"/>
              <w:pageBreakBefore w:val="0"/>
              <w:widowControl/>
              <w:numPr>
                <w:ilvl w:val="0"/>
                <w:numId w:val="101"/>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外壳材质：锌合金，银灰电镀；</w:t>
            </w:r>
          </w:p>
          <w:p w14:paraId="3B9E6393">
            <w:pPr>
              <w:keepNext w:val="0"/>
              <w:keepLines w:val="0"/>
              <w:pageBreakBefore w:val="0"/>
              <w:widowControl/>
              <w:numPr>
                <w:ilvl w:val="0"/>
                <w:numId w:val="92"/>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智能防潮光栅（1M）设备参数：</w:t>
            </w:r>
          </w:p>
          <w:p w14:paraId="6082A925">
            <w:pPr>
              <w:keepNext w:val="0"/>
              <w:keepLines w:val="0"/>
              <w:pageBreakBefore w:val="0"/>
              <w:numPr>
                <w:ilvl w:val="0"/>
                <w:numId w:val="102"/>
              </w:numPr>
              <w:kinsoku/>
              <w:wordWrap/>
              <w:overflowPunct/>
              <w:topLinePunct w:val="0"/>
              <w:autoSpaceDE/>
              <w:autoSpaceDN/>
              <w:bidi w:val="0"/>
              <w:adjustRightInd/>
              <w:snapToGrid/>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主要参数：</w:t>
            </w:r>
          </w:p>
          <w:p w14:paraId="40CD8E96">
            <w:pPr>
              <w:keepNext w:val="0"/>
              <w:keepLines w:val="0"/>
              <w:pageBreakBefore w:val="0"/>
              <w:widowControl/>
              <w:numPr>
                <w:ilvl w:val="0"/>
                <w:numId w:val="103"/>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警戒距离：同步工作0-100米，异步工作10-80米；</w:t>
            </w:r>
          </w:p>
          <w:p w14:paraId="5BD30AA5">
            <w:pPr>
              <w:keepNext w:val="0"/>
              <w:keepLines w:val="0"/>
              <w:pageBreakBefore w:val="0"/>
              <w:widowControl/>
              <w:numPr>
                <w:ilvl w:val="0"/>
                <w:numId w:val="103"/>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光束：2/4/6/8/10/12光束；</w:t>
            </w:r>
          </w:p>
          <w:p w14:paraId="1812D156">
            <w:pPr>
              <w:keepNext w:val="0"/>
              <w:keepLines w:val="0"/>
              <w:pageBreakBefore w:val="0"/>
              <w:widowControl/>
              <w:numPr>
                <w:ilvl w:val="0"/>
                <w:numId w:val="103"/>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消耗电流：50-120mA；</w:t>
            </w:r>
          </w:p>
          <w:p w14:paraId="4FBDB79C">
            <w:pPr>
              <w:keepNext w:val="0"/>
              <w:keepLines w:val="0"/>
              <w:pageBreakBefore w:val="0"/>
              <w:widowControl/>
              <w:numPr>
                <w:ilvl w:val="0"/>
                <w:numId w:val="103"/>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电源电压：DC12一18V；</w:t>
            </w:r>
          </w:p>
          <w:p w14:paraId="050E6BF5">
            <w:pPr>
              <w:keepNext w:val="0"/>
              <w:keepLines w:val="0"/>
              <w:pageBreakBefore w:val="0"/>
              <w:widowControl/>
              <w:numPr>
                <w:ilvl w:val="0"/>
                <w:numId w:val="103"/>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环境温度：-30℃一+70℃；</w:t>
            </w:r>
          </w:p>
          <w:p w14:paraId="65555A9B">
            <w:pPr>
              <w:keepNext w:val="0"/>
              <w:keepLines w:val="0"/>
              <w:pageBreakBefore w:val="0"/>
              <w:widowControl/>
              <w:numPr>
                <w:ilvl w:val="0"/>
                <w:numId w:val="103"/>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报警输出：常开常闭可选（出厂默认常闭）；接点容盘：30V2A；</w:t>
            </w:r>
          </w:p>
          <w:p w14:paraId="0304935A">
            <w:pPr>
              <w:keepNext w:val="0"/>
              <w:keepLines w:val="0"/>
              <w:pageBreakBefore w:val="0"/>
              <w:widowControl/>
              <w:numPr>
                <w:ilvl w:val="0"/>
                <w:numId w:val="103"/>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反应速度：≤40ms；</w:t>
            </w:r>
          </w:p>
          <w:p w14:paraId="6B3F8C07">
            <w:pPr>
              <w:keepNext w:val="0"/>
              <w:keepLines w:val="0"/>
              <w:pageBreakBefore w:val="0"/>
              <w:widowControl/>
              <w:numPr>
                <w:ilvl w:val="0"/>
                <w:numId w:val="103"/>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bidi="ar"/>
              </w:rPr>
              <w:t>报警持续时间：≥1S；</w:t>
            </w:r>
          </w:p>
        </w:tc>
        <w:tc>
          <w:tcPr>
            <w:tcW w:w="824"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92CEAF7">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套</w:t>
            </w:r>
          </w:p>
        </w:tc>
        <w:tc>
          <w:tcPr>
            <w:tcW w:w="781"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3B36602">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按需配置并征得采购人书面同意</w:t>
            </w:r>
          </w:p>
        </w:tc>
      </w:tr>
      <w:tr w14:paraId="66A6E771">
        <w:tblPrEx>
          <w:tblBorders>
            <w:top w:val="single" w:color="B8CCE4" w:sz="6" w:space="0"/>
            <w:left w:val="single" w:color="B8CCE4" w:sz="6" w:space="0"/>
            <w:bottom w:val="single" w:color="B8CCE4" w:sz="6" w:space="0"/>
            <w:right w:val="single" w:color="B8CCE4" w:sz="6" w:space="0"/>
            <w:insideH w:val="single" w:color="B8CCE4" w:sz="6" w:space="0"/>
            <w:insideV w:val="single" w:color="B8CCE4" w:sz="6" w:space="0"/>
          </w:tblBorders>
          <w:tblCellMar>
            <w:top w:w="0" w:type="dxa"/>
            <w:left w:w="108" w:type="dxa"/>
            <w:bottom w:w="0" w:type="dxa"/>
            <w:right w:w="108" w:type="dxa"/>
          </w:tblCellMar>
        </w:tblPrEx>
        <w:trPr>
          <w:trHeight w:val="280" w:hRule="atLeast"/>
          <w:jc w:val="center"/>
        </w:trPr>
        <w:tc>
          <w:tcPr>
            <w:tcW w:w="74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BEF3AC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bidi="ar"/>
              </w:rPr>
              <w:t xml:space="preserve"> 5</w:t>
            </w:r>
          </w:p>
        </w:tc>
        <w:tc>
          <w:tcPr>
            <w:tcW w:w="12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86EDF29">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备餐间消毒网关套装</w:t>
            </w:r>
          </w:p>
        </w:tc>
        <w:tc>
          <w:tcPr>
            <w:tcW w:w="6114"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A0F9CEE">
            <w:pPr>
              <w:keepNext w:val="0"/>
              <w:keepLines w:val="0"/>
              <w:pageBreakBefore w:val="0"/>
              <w:widowControl/>
              <w:numPr>
                <w:ilvl w:val="0"/>
                <w:numId w:val="104"/>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功能描述：</w:t>
            </w:r>
          </w:p>
          <w:p w14:paraId="28D775CF">
            <w:pPr>
              <w:keepNext w:val="0"/>
              <w:keepLines w:val="0"/>
              <w:pageBreakBefore w:val="0"/>
              <w:widowControl/>
              <w:numPr>
                <w:ilvl w:val="0"/>
                <w:numId w:val="105"/>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支持设定多个规则实现定时开启、关闭紫外线灯，进行消毒操作；</w:t>
            </w:r>
          </w:p>
          <w:p w14:paraId="29C539DE">
            <w:pPr>
              <w:keepNext w:val="0"/>
              <w:keepLines w:val="0"/>
              <w:pageBreakBefore w:val="0"/>
              <w:widowControl/>
              <w:numPr>
                <w:ilvl w:val="0"/>
                <w:numId w:val="105"/>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支持远程控制，开启关闭紫外线灯；</w:t>
            </w:r>
          </w:p>
          <w:p w14:paraId="216E7588">
            <w:pPr>
              <w:keepNext w:val="0"/>
              <w:keepLines w:val="0"/>
              <w:pageBreakBefore w:val="0"/>
              <w:widowControl/>
              <w:numPr>
                <w:ilvl w:val="0"/>
                <w:numId w:val="105"/>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支持实现自动感应人员进入并关闭紫外线灯，避免人员伤害；</w:t>
            </w:r>
          </w:p>
          <w:p w14:paraId="72CDEB7E">
            <w:pPr>
              <w:keepNext w:val="0"/>
              <w:keepLines w:val="0"/>
              <w:pageBreakBefore w:val="0"/>
              <w:widowControl/>
              <w:numPr>
                <w:ilvl w:val="0"/>
                <w:numId w:val="105"/>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自动生成消毒台账在手机APP端、电脑后台端可导出记录生成表格打印纸质消毒台账并最少保存2年数据；</w:t>
            </w:r>
          </w:p>
          <w:p w14:paraId="5F7D4C35">
            <w:pPr>
              <w:keepNext w:val="0"/>
              <w:keepLines w:val="0"/>
              <w:pageBreakBefore w:val="0"/>
              <w:widowControl/>
              <w:numPr>
                <w:ilvl w:val="0"/>
                <w:numId w:val="104"/>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物联中控屏设备参数：</w:t>
            </w:r>
          </w:p>
          <w:p w14:paraId="7CFAC297">
            <w:pPr>
              <w:keepNext w:val="0"/>
              <w:keepLines w:val="0"/>
              <w:pageBreakBefore w:val="0"/>
              <w:numPr>
                <w:ilvl w:val="0"/>
                <w:numId w:val="106"/>
              </w:numPr>
              <w:kinsoku/>
              <w:wordWrap/>
              <w:overflowPunct/>
              <w:topLinePunct w:val="0"/>
              <w:autoSpaceDE/>
              <w:autoSpaceDN/>
              <w:bidi w:val="0"/>
              <w:adjustRightInd/>
              <w:snapToGrid/>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主要参数：</w:t>
            </w:r>
          </w:p>
          <w:p w14:paraId="2DACFE5D">
            <w:pPr>
              <w:keepNext w:val="0"/>
              <w:keepLines w:val="0"/>
              <w:pageBreakBefore w:val="0"/>
              <w:widowControl/>
              <w:numPr>
                <w:ilvl w:val="0"/>
                <w:numId w:val="10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外壳：前置钢化玻璃+塑胶外壳；</w:t>
            </w:r>
          </w:p>
          <w:p w14:paraId="50076D26">
            <w:pPr>
              <w:keepNext w:val="0"/>
              <w:keepLines w:val="0"/>
              <w:pageBreakBefore w:val="0"/>
              <w:widowControl/>
              <w:numPr>
                <w:ilvl w:val="0"/>
                <w:numId w:val="10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保护面板：钢化玻璃；</w:t>
            </w:r>
          </w:p>
          <w:p w14:paraId="68B9950B">
            <w:pPr>
              <w:keepNext w:val="0"/>
              <w:keepLines w:val="0"/>
              <w:pageBreakBefore w:val="0"/>
              <w:widowControl/>
              <w:numPr>
                <w:ilvl w:val="0"/>
                <w:numId w:val="10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尺寸：不低于10.1寸；</w:t>
            </w:r>
          </w:p>
          <w:p w14:paraId="63026A32">
            <w:pPr>
              <w:keepNext w:val="0"/>
              <w:keepLines w:val="0"/>
              <w:pageBreakBefore w:val="0"/>
              <w:widowControl/>
              <w:numPr>
                <w:ilvl w:val="0"/>
                <w:numId w:val="10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屏幕比例：16:9；</w:t>
            </w:r>
          </w:p>
          <w:p w14:paraId="2D9E89C6">
            <w:pPr>
              <w:keepNext w:val="0"/>
              <w:keepLines w:val="0"/>
              <w:pageBreakBefore w:val="0"/>
              <w:widowControl/>
              <w:numPr>
                <w:ilvl w:val="0"/>
                <w:numId w:val="10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摄像头像素：100W；</w:t>
            </w:r>
          </w:p>
          <w:p w14:paraId="110D917F">
            <w:pPr>
              <w:keepNext w:val="0"/>
              <w:keepLines w:val="0"/>
              <w:pageBreakBefore w:val="0"/>
              <w:widowControl/>
              <w:numPr>
                <w:ilvl w:val="0"/>
                <w:numId w:val="10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像素间距：0.17925×0.17925mm；</w:t>
            </w:r>
          </w:p>
          <w:p w14:paraId="511C68AD">
            <w:pPr>
              <w:keepNext w:val="0"/>
              <w:keepLines w:val="0"/>
              <w:pageBreakBefore w:val="0"/>
              <w:widowControl/>
              <w:numPr>
                <w:ilvl w:val="0"/>
                <w:numId w:val="10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亮度：350cd/m²可视角度85/85/85/85（左/右/上/下）；</w:t>
            </w:r>
          </w:p>
          <w:p w14:paraId="4506A7DB">
            <w:pPr>
              <w:keepNext w:val="0"/>
              <w:keepLines w:val="0"/>
              <w:pageBreakBefore w:val="0"/>
              <w:widowControl/>
              <w:numPr>
                <w:ilvl w:val="0"/>
                <w:numId w:val="10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对比度：1000:1；</w:t>
            </w:r>
          </w:p>
          <w:p w14:paraId="5537734C">
            <w:pPr>
              <w:keepNext w:val="0"/>
              <w:keepLines w:val="0"/>
              <w:pageBreakBefore w:val="0"/>
              <w:widowControl/>
              <w:numPr>
                <w:ilvl w:val="0"/>
                <w:numId w:val="10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颜色数：16.7M；</w:t>
            </w:r>
          </w:p>
          <w:p w14:paraId="7A5398A4">
            <w:pPr>
              <w:keepNext w:val="0"/>
              <w:keepLines w:val="0"/>
              <w:pageBreakBefore w:val="0"/>
              <w:widowControl/>
              <w:numPr>
                <w:ilvl w:val="0"/>
                <w:numId w:val="10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灯管寿命：超过50000小时；</w:t>
            </w:r>
          </w:p>
          <w:p w14:paraId="7E9E9A0E">
            <w:pPr>
              <w:keepNext w:val="0"/>
              <w:keepLines w:val="0"/>
              <w:pageBreakBefore w:val="0"/>
              <w:widowControl/>
              <w:numPr>
                <w:ilvl w:val="0"/>
                <w:numId w:val="10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操作系统：Android7.1.2；</w:t>
            </w:r>
          </w:p>
          <w:p w14:paraId="4B2849C1">
            <w:pPr>
              <w:keepNext w:val="0"/>
              <w:keepLines w:val="0"/>
              <w:pageBreakBefore w:val="0"/>
              <w:widowControl/>
              <w:numPr>
                <w:ilvl w:val="0"/>
                <w:numId w:val="10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CPU：RK3288，四核；</w:t>
            </w:r>
          </w:p>
          <w:p w14:paraId="7E7E7B6A">
            <w:pPr>
              <w:keepNext w:val="0"/>
              <w:keepLines w:val="0"/>
              <w:pageBreakBefore w:val="0"/>
              <w:widowControl/>
              <w:numPr>
                <w:ilvl w:val="0"/>
                <w:numId w:val="10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CPU主频：1.8GHz；</w:t>
            </w:r>
          </w:p>
          <w:p w14:paraId="444EC7F4">
            <w:pPr>
              <w:keepNext w:val="0"/>
              <w:keepLines w:val="0"/>
              <w:pageBreakBefore w:val="0"/>
              <w:widowControl/>
              <w:numPr>
                <w:ilvl w:val="0"/>
                <w:numId w:val="10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内存：DDR32G；</w:t>
            </w:r>
          </w:p>
          <w:p w14:paraId="3FF2C52C">
            <w:pPr>
              <w:keepNext w:val="0"/>
              <w:keepLines w:val="0"/>
              <w:pageBreakBefore w:val="0"/>
              <w:widowControl/>
              <w:numPr>
                <w:ilvl w:val="0"/>
                <w:numId w:val="10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内置存储容量：EMMC8G；</w:t>
            </w:r>
          </w:p>
          <w:p w14:paraId="38B9B8E9">
            <w:pPr>
              <w:keepNext w:val="0"/>
              <w:keepLines w:val="0"/>
              <w:pageBreakBefore w:val="0"/>
              <w:widowControl/>
              <w:numPr>
                <w:ilvl w:val="0"/>
                <w:numId w:val="10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喇叭：8Ω2W；</w:t>
            </w:r>
          </w:p>
          <w:p w14:paraId="0E513E02">
            <w:pPr>
              <w:keepNext w:val="0"/>
              <w:keepLines w:val="0"/>
              <w:pageBreakBefore w:val="0"/>
              <w:widowControl/>
              <w:numPr>
                <w:ilvl w:val="0"/>
                <w:numId w:val="10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网络：支持WiFi、BT；</w:t>
            </w:r>
          </w:p>
          <w:p w14:paraId="47E4BE00">
            <w:pPr>
              <w:keepNext w:val="0"/>
              <w:keepLines w:val="0"/>
              <w:pageBreakBefore w:val="0"/>
              <w:widowControl/>
              <w:numPr>
                <w:ilvl w:val="0"/>
                <w:numId w:val="10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接口：I/O:2*USB，可扩展2*USB；</w:t>
            </w:r>
          </w:p>
          <w:p w14:paraId="01D87D6F">
            <w:pPr>
              <w:keepNext w:val="0"/>
              <w:keepLines w:val="0"/>
              <w:pageBreakBefore w:val="0"/>
              <w:widowControl/>
              <w:numPr>
                <w:ilvl w:val="0"/>
                <w:numId w:val="10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工作环境温度：0～50摄氏度；</w:t>
            </w:r>
          </w:p>
          <w:p w14:paraId="7B034A6A">
            <w:pPr>
              <w:keepNext w:val="0"/>
              <w:keepLines w:val="0"/>
              <w:pageBreakBefore w:val="0"/>
              <w:widowControl/>
              <w:numPr>
                <w:ilvl w:val="0"/>
                <w:numId w:val="10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触摸精度：±2mm；</w:t>
            </w:r>
          </w:p>
          <w:p w14:paraId="457FFDFE">
            <w:pPr>
              <w:keepNext w:val="0"/>
              <w:keepLines w:val="0"/>
              <w:pageBreakBefore w:val="0"/>
              <w:widowControl/>
              <w:numPr>
                <w:ilvl w:val="0"/>
                <w:numId w:val="10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响应时间：25ms~30ms；</w:t>
            </w:r>
          </w:p>
          <w:p w14:paraId="2B24C950">
            <w:pPr>
              <w:keepNext w:val="0"/>
              <w:keepLines w:val="0"/>
              <w:pageBreakBefore w:val="0"/>
              <w:widowControl/>
              <w:numPr>
                <w:ilvl w:val="0"/>
                <w:numId w:val="10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可识别物体：手指或者专用触摸笔；</w:t>
            </w:r>
          </w:p>
          <w:p w14:paraId="65204405">
            <w:pPr>
              <w:keepNext w:val="0"/>
              <w:keepLines w:val="0"/>
              <w:pageBreakBefore w:val="0"/>
              <w:widowControl/>
              <w:numPr>
                <w:ilvl w:val="0"/>
                <w:numId w:val="10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透明度：≥85％±2％；</w:t>
            </w:r>
          </w:p>
          <w:p w14:paraId="18AD9600">
            <w:pPr>
              <w:keepNext w:val="0"/>
              <w:keepLines w:val="0"/>
              <w:pageBreakBefore w:val="0"/>
              <w:widowControl/>
              <w:numPr>
                <w:ilvl w:val="0"/>
                <w:numId w:val="10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温度范围：工作温度：-10℃~60℃；</w:t>
            </w:r>
          </w:p>
          <w:p w14:paraId="79781CC5">
            <w:pPr>
              <w:keepNext w:val="0"/>
              <w:keepLines w:val="0"/>
              <w:pageBreakBefore w:val="0"/>
              <w:widowControl/>
              <w:numPr>
                <w:ilvl w:val="0"/>
                <w:numId w:val="10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供电方式：外置12V/2A适配器；</w:t>
            </w:r>
          </w:p>
          <w:p w14:paraId="169DDD6E">
            <w:pPr>
              <w:keepNext w:val="0"/>
              <w:keepLines w:val="0"/>
              <w:pageBreakBefore w:val="0"/>
              <w:widowControl/>
              <w:numPr>
                <w:ilvl w:val="0"/>
                <w:numId w:val="10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整机功率：15W；</w:t>
            </w:r>
          </w:p>
          <w:p w14:paraId="3C0F3BCA">
            <w:pPr>
              <w:keepNext w:val="0"/>
              <w:keepLines w:val="0"/>
              <w:pageBreakBefore w:val="0"/>
              <w:widowControl/>
              <w:numPr>
                <w:ilvl w:val="0"/>
                <w:numId w:val="10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安装方式：壁挂式；</w:t>
            </w:r>
          </w:p>
          <w:p w14:paraId="7B069FC5">
            <w:pPr>
              <w:keepNext w:val="0"/>
              <w:keepLines w:val="0"/>
              <w:pageBreakBefore w:val="0"/>
              <w:widowControl/>
              <w:numPr>
                <w:ilvl w:val="0"/>
                <w:numId w:val="104"/>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IO通讯模块设备参数：</w:t>
            </w:r>
          </w:p>
          <w:p w14:paraId="6A4B3BC4">
            <w:pPr>
              <w:keepNext w:val="0"/>
              <w:keepLines w:val="0"/>
              <w:pageBreakBefore w:val="0"/>
              <w:numPr>
                <w:ilvl w:val="0"/>
                <w:numId w:val="108"/>
              </w:numPr>
              <w:kinsoku/>
              <w:wordWrap/>
              <w:overflowPunct/>
              <w:topLinePunct w:val="0"/>
              <w:autoSpaceDE/>
              <w:autoSpaceDN/>
              <w:bidi w:val="0"/>
              <w:adjustRightInd/>
              <w:snapToGrid/>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主要参数：</w:t>
            </w:r>
          </w:p>
          <w:p w14:paraId="2596EB35">
            <w:pPr>
              <w:keepNext w:val="0"/>
              <w:keepLines w:val="0"/>
              <w:pageBreakBefore w:val="0"/>
              <w:widowControl/>
              <w:numPr>
                <w:ilvl w:val="0"/>
                <w:numId w:val="109"/>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2路继电器控制输出，触点容250VAC10A/DC30V10A；</w:t>
            </w:r>
          </w:p>
          <w:p w14:paraId="5CD45B14">
            <w:pPr>
              <w:keepNext w:val="0"/>
              <w:keepLines w:val="0"/>
              <w:pageBreakBefore w:val="0"/>
              <w:widowControl/>
              <w:numPr>
                <w:ilvl w:val="0"/>
                <w:numId w:val="109"/>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2路数字量输入，隔离输入，抗浪涌等级1500V，有源无源均支持；</w:t>
            </w:r>
          </w:p>
          <w:p w14:paraId="70E285B1">
            <w:pPr>
              <w:keepNext w:val="0"/>
              <w:keepLines w:val="0"/>
              <w:pageBreakBefore w:val="0"/>
              <w:widowControl/>
              <w:numPr>
                <w:ilvl w:val="0"/>
                <w:numId w:val="109"/>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以太网通讯接口，10/100M自适应；</w:t>
            </w:r>
          </w:p>
          <w:p w14:paraId="0CF0F957">
            <w:pPr>
              <w:keepNext w:val="0"/>
              <w:keepLines w:val="0"/>
              <w:pageBreakBefore w:val="0"/>
              <w:widowControl/>
              <w:numPr>
                <w:ilvl w:val="0"/>
                <w:numId w:val="109"/>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支持MQTT通讯，参数可配置；</w:t>
            </w:r>
          </w:p>
          <w:p w14:paraId="52D7D78A">
            <w:pPr>
              <w:keepNext w:val="0"/>
              <w:keepLines w:val="0"/>
              <w:pageBreakBefore w:val="0"/>
              <w:widowControl/>
              <w:numPr>
                <w:ilvl w:val="0"/>
                <w:numId w:val="109"/>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通信波特率，bps：1200～115200bps；</w:t>
            </w:r>
          </w:p>
          <w:p w14:paraId="6A3A5CB4">
            <w:pPr>
              <w:keepNext w:val="0"/>
              <w:keepLines w:val="0"/>
              <w:pageBreakBefore w:val="0"/>
              <w:widowControl/>
              <w:numPr>
                <w:ilvl w:val="0"/>
                <w:numId w:val="109"/>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通信协议ModbusTCP；</w:t>
            </w:r>
          </w:p>
          <w:p w14:paraId="47DA8A70">
            <w:pPr>
              <w:keepNext w:val="0"/>
              <w:keepLines w:val="0"/>
              <w:pageBreakBefore w:val="0"/>
              <w:widowControl/>
              <w:numPr>
                <w:ilvl w:val="0"/>
                <w:numId w:val="109"/>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工作电压范围DC7-40V宽压；静态工作电流≤100ma；</w:t>
            </w:r>
          </w:p>
          <w:p w14:paraId="3083A79F">
            <w:pPr>
              <w:keepNext w:val="0"/>
              <w:keepLines w:val="0"/>
              <w:pageBreakBefore w:val="0"/>
              <w:widowControl/>
              <w:numPr>
                <w:ilvl w:val="0"/>
                <w:numId w:val="104"/>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中间继电器（220V）设备参数：</w:t>
            </w:r>
          </w:p>
          <w:p w14:paraId="3F9D88B5">
            <w:pPr>
              <w:keepNext w:val="0"/>
              <w:keepLines w:val="0"/>
              <w:pageBreakBefore w:val="0"/>
              <w:numPr>
                <w:ilvl w:val="0"/>
                <w:numId w:val="110"/>
              </w:numPr>
              <w:kinsoku/>
              <w:wordWrap/>
              <w:overflowPunct/>
              <w:topLinePunct w:val="0"/>
              <w:autoSpaceDE/>
              <w:autoSpaceDN/>
              <w:bidi w:val="0"/>
              <w:adjustRightInd/>
              <w:snapToGrid/>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主要参数：</w:t>
            </w:r>
          </w:p>
          <w:p w14:paraId="45F68662">
            <w:pPr>
              <w:keepNext w:val="0"/>
              <w:keepLines w:val="0"/>
              <w:pageBreakBefore w:val="0"/>
              <w:numPr>
                <w:ilvl w:val="0"/>
                <w:numId w:val="111"/>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额定电流：5A/10A；</w:t>
            </w:r>
          </w:p>
          <w:p w14:paraId="2253D256">
            <w:pPr>
              <w:keepNext w:val="0"/>
              <w:keepLines w:val="0"/>
              <w:pageBreakBefore w:val="0"/>
              <w:numPr>
                <w:ilvl w:val="0"/>
                <w:numId w:val="111"/>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额定频率：50Hz/60Hz；</w:t>
            </w:r>
          </w:p>
          <w:p w14:paraId="3BAE81DA">
            <w:pPr>
              <w:keepNext w:val="0"/>
              <w:keepLines w:val="0"/>
              <w:pageBreakBefore w:val="0"/>
              <w:numPr>
                <w:ilvl w:val="0"/>
                <w:numId w:val="111"/>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引脚：细脚、宽脚；</w:t>
            </w:r>
          </w:p>
          <w:p w14:paraId="5F4186DD">
            <w:pPr>
              <w:keepNext w:val="0"/>
              <w:keepLines w:val="0"/>
              <w:pageBreakBefore w:val="0"/>
              <w:numPr>
                <w:ilvl w:val="0"/>
                <w:numId w:val="111"/>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触点形式：二开二闭；</w:t>
            </w:r>
          </w:p>
          <w:p w14:paraId="50708DCB">
            <w:pPr>
              <w:keepNext w:val="0"/>
              <w:keepLines w:val="0"/>
              <w:pageBreakBefore w:val="0"/>
              <w:widowControl/>
              <w:numPr>
                <w:ilvl w:val="0"/>
                <w:numId w:val="111"/>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电压规格：交流AC:12、24、36、48、110、220；</w:t>
            </w:r>
          </w:p>
          <w:p w14:paraId="27306E0C">
            <w:pPr>
              <w:keepNext w:val="0"/>
              <w:keepLines w:val="0"/>
              <w:pageBreakBefore w:val="0"/>
              <w:widowControl/>
              <w:numPr>
                <w:ilvl w:val="0"/>
                <w:numId w:val="104"/>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人体感应器设备参数：</w:t>
            </w:r>
          </w:p>
          <w:p w14:paraId="31E88EEE">
            <w:pPr>
              <w:keepNext w:val="0"/>
              <w:keepLines w:val="0"/>
              <w:pageBreakBefore w:val="0"/>
              <w:numPr>
                <w:ilvl w:val="0"/>
                <w:numId w:val="112"/>
              </w:numPr>
              <w:kinsoku/>
              <w:wordWrap/>
              <w:overflowPunct/>
              <w:topLinePunct w:val="0"/>
              <w:autoSpaceDE/>
              <w:autoSpaceDN/>
              <w:bidi w:val="0"/>
              <w:adjustRightInd/>
              <w:snapToGrid/>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主要参数：</w:t>
            </w:r>
          </w:p>
          <w:p w14:paraId="4B592446">
            <w:pPr>
              <w:keepNext w:val="0"/>
              <w:keepLines w:val="0"/>
              <w:pageBreakBefore w:val="0"/>
              <w:numPr>
                <w:ilvl w:val="0"/>
                <w:numId w:val="113"/>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感应原理：红外线感应；</w:t>
            </w:r>
          </w:p>
          <w:p w14:paraId="6FB44995">
            <w:pPr>
              <w:keepNext w:val="0"/>
              <w:keepLines w:val="0"/>
              <w:pageBreakBefore w:val="0"/>
              <w:numPr>
                <w:ilvl w:val="0"/>
                <w:numId w:val="113"/>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感应范围：3—5m；</w:t>
            </w:r>
          </w:p>
          <w:p w14:paraId="2DC3095C">
            <w:pPr>
              <w:keepNext w:val="0"/>
              <w:keepLines w:val="0"/>
              <w:pageBreakBefore w:val="0"/>
              <w:numPr>
                <w:ilvl w:val="0"/>
                <w:numId w:val="113"/>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负载功率：10W；</w:t>
            </w:r>
          </w:p>
          <w:p w14:paraId="2777914E">
            <w:pPr>
              <w:keepNext w:val="0"/>
              <w:keepLines w:val="0"/>
              <w:pageBreakBefore w:val="0"/>
              <w:numPr>
                <w:ilvl w:val="0"/>
                <w:numId w:val="113"/>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延时关闭时间：50±10s；</w:t>
            </w:r>
          </w:p>
          <w:p w14:paraId="312BC406">
            <w:pPr>
              <w:keepNext w:val="0"/>
              <w:keepLines w:val="0"/>
              <w:pageBreakBefore w:val="0"/>
              <w:numPr>
                <w:ilvl w:val="0"/>
                <w:numId w:val="113"/>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颜色：雅白色；</w:t>
            </w:r>
          </w:p>
          <w:p w14:paraId="15BB75A5">
            <w:pPr>
              <w:keepNext w:val="0"/>
              <w:keepLines w:val="0"/>
              <w:pageBreakBefore w:val="0"/>
              <w:numPr>
                <w:ilvl w:val="0"/>
                <w:numId w:val="113"/>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工作电压：220（V）；</w:t>
            </w:r>
          </w:p>
          <w:p w14:paraId="5B0FBFF2">
            <w:pPr>
              <w:keepNext w:val="0"/>
              <w:keepLines w:val="0"/>
              <w:pageBreakBefore w:val="0"/>
              <w:numPr>
                <w:ilvl w:val="0"/>
                <w:numId w:val="113"/>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3C额定电压范围：440V以上；</w:t>
            </w:r>
          </w:p>
          <w:p w14:paraId="2813C707">
            <w:pPr>
              <w:keepNext w:val="0"/>
              <w:keepLines w:val="0"/>
              <w:pageBreakBefore w:val="0"/>
              <w:widowControl/>
              <w:numPr>
                <w:ilvl w:val="0"/>
                <w:numId w:val="113"/>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可联动继电器检测人员经过关闭紫外线消毒灯；</w:t>
            </w:r>
          </w:p>
        </w:tc>
        <w:tc>
          <w:tcPr>
            <w:tcW w:w="824"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41CCFA6">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套</w:t>
            </w:r>
          </w:p>
        </w:tc>
        <w:tc>
          <w:tcPr>
            <w:tcW w:w="781"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2FBDE76">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按需配置并征得采购人书面同意</w:t>
            </w:r>
          </w:p>
        </w:tc>
      </w:tr>
      <w:tr w14:paraId="1BB140AF">
        <w:tblPrEx>
          <w:tblBorders>
            <w:top w:val="single" w:color="B8CCE4" w:sz="6" w:space="0"/>
            <w:left w:val="single" w:color="B8CCE4" w:sz="6" w:space="0"/>
            <w:bottom w:val="single" w:color="B8CCE4" w:sz="6" w:space="0"/>
            <w:right w:val="single" w:color="B8CCE4" w:sz="6" w:space="0"/>
            <w:insideH w:val="single" w:color="B8CCE4" w:sz="6" w:space="0"/>
            <w:insideV w:val="single" w:color="B8CCE4" w:sz="6" w:space="0"/>
          </w:tblBorders>
          <w:tblCellMar>
            <w:top w:w="0" w:type="dxa"/>
            <w:left w:w="108" w:type="dxa"/>
            <w:bottom w:w="0" w:type="dxa"/>
            <w:right w:w="108" w:type="dxa"/>
          </w:tblCellMar>
        </w:tblPrEx>
        <w:trPr>
          <w:trHeight w:val="227" w:hRule="atLeast"/>
          <w:jc w:val="center"/>
        </w:trPr>
        <w:tc>
          <w:tcPr>
            <w:tcW w:w="74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70B1C12">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6</w:t>
            </w:r>
          </w:p>
        </w:tc>
        <w:tc>
          <w:tcPr>
            <w:tcW w:w="12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1502BA3">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AI行为识别摄像机</w:t>
            </w:r>
          </w:p>
        </w:tc>
        <w:tc>
          <w:tcPr>
            <w:tcW w:w="6114"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459970F">
            <w:pPr>
              <w:keepNext w:val="0"/>
              <w:keepLines w:val="0"/>
              <w:pageBreakBefore w:val="0"/>
              <w:numPr>
                <w:ilvl w:val="0"/>
                <w:numId w:val="114"/>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功能</w:t>
            </w:r>
            <w:r>
              <w:rPr>
                <w:rFonts w:hint="eastAsia" w:ascii="宋体" w:hAnsi="宋体" w:eastAsia="宋体" w:cs="宋体"/>
                <w:color w:val="auto"/>
                <w:kern w:val="0"/>
                <w:sz w:val="24"/>
                <w:szCs w:val="24"/>
                <w:lang w:bidi="ar"/>
              </w:rPr>
              <w:t>描述：</w:t>
            </w:r>
          </w:p>
          <w:p w14:paraId="1F1F062C">
            <w:pPr>
              <w:keepNext w:val="0"/>
              <w:keepLines w:val="0"/>
              <w:pageBreakBefore w:val="0"/>
              <w:numPr>
                <w:ilvl w:val="0"/>
                <w:numId w:val="115"/>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支持口罩、工服、工帽三白预警抓拍并现场定制语音实施报警；</w:t>
            </w:r>
          </w:p>
          <w:p w14:paraId="27178396">
            <w:pPr>
              <w:keepNext w:val="0"/>
              <w:keepLines w:val="0"/>
              <w:pageBreakBefore w:val="0"/>
              <w:numPr>
                <w:ilvl w:val="0"/>
                <w:numId w:val="115"/>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支持特定颜色工服、工帽识别预警；</w:t>
            </w:r>
          </w:p>
          <w:p w14:paraId="4A391B10">
            <w:pPr>
              <w:keepNext w:val="0"/>
              <w:keepLines w:val="0"/>
              <w:pageBreakBefore w:val="0"/>
              <w:numPr>
                <w:ilvl w:val="0"/>
                <w:numId w:val="114"/>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AI行为识别摄像机设备</w:t>
            </w:r>
            <w:r>
              <w:rPr>
                <w:rFonts w:hint="eastAsia" w:ascii="宋体" w:hAnsi="宋体" w:eastAsia="宋体" w:cs="宋体"/>
                <w:color w:val="auto"/>
                <w:sz w:val="24"/>
                <w:szCs w:val="24"/>
              </w:rPr>
              <w:t>参数：</w:t>
            </w:r>
          </w:p>
          <w:p w14:paraId="41A104C2">
            <w:pPr>
              <w:keepNext w:val="0"/>
              <w:keepLines w:val="0"/>
              <w:pageBreakBefore w:val="0"/>
              <w:numPr>
                <w:ilvl w:val="0"/>
                <w:numId w:val="116"/>
              </w:numPr>
              <w:kinsoku/>
              <w:wordWrap/>
              <w:overflowPunct/>
              <w:topLinePunct w:val="0"/>
              <w:autoSpaceDE/>
              <w:autoSpaceDN/>
              <w:bidi w:val="0"/>
              <w:adjustRightInd/>
              <w:snapToGrid/>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主要参数：</w:t>
            </w:r>
          </w:p>
          <w:p w14:paraId="02691980">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主板性能：算力2.0Tops,内存：8Gbit,闪存：8GBEMMC；</w:t>
            </w:r>
          </w:p>
          <w:p w14:paraId="31C6912E">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传感器类型：1/3"CMOS；</w:t>
            </w:r>
          </w:p>
          <w:p w14:paraId="238D0B37">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镜头类型：定焦；</w:t>
            </w:r>
          </w:p>
          <w:p w14:paraId="40FD78BD">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视场角：（H）47.6°(D)59.4°；</w:t>
            </w:r>
          </w:p>
          <w:p w14:paraId="435B53B2">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光圈：F1.6；</w:t>
            </w:r>
          </w:p>
          <w:p w14:paraId="5E4EE39E">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焦距：6mm；</w:t>
            </w:r>
          </w:p>
          <w:p w14:paraId="3B2FBA66">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红外灯：最大补光距离40米；</w:t>
            </w:r>
          </w:p>
          <w:p w14:paraId="0B542205">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白光灯：最大补光距离10米；</w:t>
            </w:r>
          </w:p>
          <w:p w14:paraId="55D3C9BA">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灯光控制：自动/手动，亮度可调；</w:t>
            </w:r>
          </w:p>
          <w:p w14:paraId="4FB31901">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图像设置：亮度、对比度、饱和度、锐度；</w:t>
            </w:r>
          </w:p>
          <w:p w14:paraId="2FEAD0EC">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最低照度：0.001Lux（彩色模式）,0.001Lux（黑白模式）,0Lux（补光灯开启）；</w:t>
            </w:r>
          </w:p>
          <w:p w14:paraId="3BD56048">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白平衡：自动/手动；</w:t>
            </w:r>
          </w:p>
          <w:p w14:paraId="1FDB9906">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强光抑制：支持；</w:t>
            </w:r>
          </w:p>
          <w:p w14:paraId="56DF9EDB">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背光补偿；支持；</w:t>
            </w:r>
          </w:p>
          <w:p w14:paraId="178DB66F">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降噪：支持2D/3D数字降噪；</w:t>
            </w:r>
          </w:p>
          <w:p w14:paraId="75AB0A9D">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宽动态：支持；</w:t>
            </w:r>
          </w:p>
          <w:p w14:paraId="250FCCCD">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信噪比：≥56db；</w:t>
            </w:r>
          </w:p>
          <w:p w14:paraId="0CA13131">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增益控制：自动/快门优先/增益优先/手动；</w:t>
            </w:r>
          </w:p>
          <w:p w14:paraId="23755D59">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视频压缩标准：H.265、H.264、H.264H、H.264B、MJPEG；</w:t>
            </w:r>
          </w:p>
          <w:p w14:paraId="7AA7186B">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分辨率：码流一：2560x14401920x10801280*720；码流二：1960*544704x576640*360；</w:t>
            </w:r>
          </w:p>
          <w:p w14:paraId="148C9E44">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视频制式PAL(25fps)/NTSC(30fps)；</w:t>
            </w:r>
          </w:p>
          <w:p w14:paraId="298F3865">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码率控制：CBR/VBR；</w:t>
            </w:r>
          </w:p>
          <w:p w14:paraId="643892DD">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默认码流：4096kbps(2560×1440)；</w:t>
            </w:r>
          </w:p>
          <w:p w14:paraId="1948CAD6">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码率调节范围：主、辅30Kbps~16Mbps连续可调；</w:t>
            </w:r>
          </w:p>
          <w:p w14:paraId="1BD1CEBB">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音频压缩标准：G.711A,G.711U,G.726,AAC；</w:t>
            </w:r>
          </w:p>
          <w:p w14:paraId="6DEDA3C8">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网络协议：HTTP,TCP,RTSP,RTP,UDP,RTCP,SMTP,FTP,DHCP,DNS,DDNS,PPPoE,IPv4/v6,UPnP,NTP；</w:t>
            </w:r>
          </w:p>
          <w:p w14:paraId="2E08FE97">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协议：支持Onvif,GB28181,GA/T1400,MQTT；</w:t>
            </w:r>
          </w:p>
          <w:p w14:paraId="4CDDB908">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5.功能特性参数：</w:t>
            </w:r>
          </w:p>
          <w:p w14:paraId="7E8D4084">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通用行为分析：区域入侵,绊线入侵；</w:t>
            </w:r>
          </w:p>
          <w:p w14:paraId="5C33C1AE">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报警功能：声光报警,隐私遮挡报警,移动侦测报警,网络故障报警,语音播报；</w:t>
            </w:r>
          </w:p>
          <w:p w14:paraId="664C4C5D">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录像模式：手动录像,视频事件检测录像,定时录像,报警录像；</w:t>
            </w:r>
          </w:p>
          <w:p w14:paraId="1B111BEB">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OSD信息叠加时间,通道标题,设备名称,支持自定义；</w:t>
            </w:r>
          </w:p>
          <w:p w14:paraId="4B5AB570">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日夜模式：白天、夜晚,支持定时转换,手动转换,自动转换；</w:t>
            </w:r>
          </w:p>
          <w:p w14:paraId="3C70E636">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隐私遮蔽：支持4个区域设置；</w:t>
            </w:r>
          </w:p>
          <w:p w14:paraId="4BD4F09D">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镜像：支持90°/180°图像翻转；</w:t>
            </w:r>
          </w:p>
          <w:p w14:paraId="278D840C">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ROI：支持；</w:t>
            </w:r>
          </w:p>
          <w:p w14:paraId="05E14E0C">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检测类型：厨师帽，厨师服，猫、狗，鼠，抽烟，打电话，口罩检测；</w:t>
            </w:r>
          </w:p>
          <w:p w14:paraId="2184FA88">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检测区域：支持自定义；</w:t>
            </w:r>
          </w:p>
          <w:p w14:paraId="50561399">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抓拍模式：支持离开后抓拍、实时抓拍、间隔抓拍、实时抓拍+离开后抓拍、实时抓拍+间隔抓拍；</w:t>
            </w:r>
          </w:p>
          <w:p w14:paraId="7ED24E2E">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检测范围：支持最小/最大检测目标可调；</w:t>
            </w:r>
          </w:p>
          <w:p w14:paraId="312FE4A9">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图片类型：目标图,全景图；</w:t>
            </w:r>
          </w:p>
          <w:p w14:paraId="6E5E0465">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图片格式：JPG；</w:t>
            </w:r>
          </w:p>
          <w:p w14:paraId="2163602C">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网络接口：1个RJ45，10/100M自适应以太网口，支持PoE供电；</w:t>
            </w:r>
          </w:p>
          <w:p w14:paraId="0F2949E8">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电源接口：DC12V(-15%~+10%)；</w:t>
            </w:r>
          </w:p>
          <w:p w14:paraId="240A3412">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报警接口：1进1出；</w:t>
            </w:r>
          </w:p>
          <w:p w14:paraId="47B6FD2B">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音频接口；1路音频输入/1路音频输出（RCA头），内置MIC/扬声器；</w:t>
            </w:r>
          </w:p>
          <w:p w14:paraId="6E330D20">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SD卡接口：最大容量256GB；</w:t>
            </w:r>
          </w:p>
          <w:p w14:paraId="7D1E6AED">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RS485：预留；</w:t>
            </w:r>
          </w:p>
          <w:p w14:paraId="23AD66FB">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复位：软件复位，硬件复位；</w:t>
            </w:r>
          </w:p>
          <w:p w14:paraId="7780D38B">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安装方式：壁装，吊装；</w:t>
            </w:r>
          </w:p>
          <w:p w14:paraId="21721181">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工作电压：DC12V(-15%~+10%)/PoE(802.3af选配）；</w:t>
            </w:r>
          </w:p>
          <w:p w14:paraId="0AE9C8A9">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功耗&lt;8W；</w:t>
            </w:r>
          </w:p>
          <w:p w14:paraId="4150E874">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工作温度：-30℃-+60℃；</w:t>
            </w:r>
          </w:p>
          <w:p w14:paraId="71E43574">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工作湿度：0%~95%RH（无凝结）；</w:t>
            </w:r>
          </w:p>
          <w:p w14:paraId="22335493">
            <w:pPr>
              <w:keepNext w:val="0"/>
              <w:keepLines w:val="0"/>
              <w:pageBreakBefore w:val="0"/>
              <w:numPr>
                <w:ilvl w:val="0"/>
                <w:numId w:val="11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防护等级：IP66；</w:t>
            </w:r>
          </w:p>
          <w:p w14:paraId="7FD9D859">
            <w:pPr>
              <w:keepNext w:val="0"/>
              <w:keepLines w:val="0"/>
              <w:pageBreakBefore w:val="0"/>
              <w:numPr>
                <w:ilvl w:val="0"/>
                <w:numId w:val="114"/>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音柱设备设备参数：</w:t>
            </w:r>
          </w:p>
          <w:p w14:paraId="0AC16DE6">
            <w:pPr>
              <w:keepNext w:val="0"/>
              <w:keepLines w:val="0"/>
              <w:pageBreakBefore w:val="0"/>
              <w:numPr>
                <w:ilvl w:val="0"/>
                <w:numId w:val="118"/>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主要参数：</w:t>
            </w:r>
          </w:p>
          <w:p w14:paraId="322FF8A9">
            <w:pPr>
              <w:keepNext w:val="0"/>
              <w:keepLines w:val="0"/>
              <w:pageBreakBefore w:val="0"/>
              <w:numPr>
                <w:ilvl w:val="0"/>
                <w:numId w:val="11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机身采用纯铝合金打造，防水性能强，可以直接在户外使用；</w:t>
            </w:r>
          </w:p>
          <w:p w14:paraId="0EE81A88">
            <w:pPr>
              <w:keepNext w:val="0"/>
              <w:keepLines w:val="0"/>
              <w:pageBreakBefore w:val="0"/>
              <w:numPr>
                <w:ilvl w:val="0"/>
                <w:numId w:val="11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内置高效率全频带单元、高灵敏度、声音清晰明亮；</w:t>
            </w:r>
          </w:p>
          <w:p w14:paraId="044A8BC4">
            <w:pPr>
              <w:keepNext w:val="0"/>
              <w:keepLines w:val="0"/>
              <w:pageBreakBefore w:val="0"/>
              <w:numPr>
                <w:ilvl w:val="0"/>
                <w:numId w:val="11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采用进口功放电路、性能高效、低失真、低损耗；</w:t>
            </w:r>
          </w:p>
          <w:p w14:paraId="6AB46884">
            <w:pPr>
              <w:keepNext w:val="0"/>
              <w:keepLines w:val="0"/>
              <w:pageBreakBefore w:val="0"/>
              <w:numPr>
                <w:ilvl w:val="0"/>
                <w:numId w:val="11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具有1路非平衡信号输入、插拔式端子；</w:t>
            </w:r>
          </w:p>
          <w:p w14:paraId="7E2B9227">
            <w:pPr>
              <w:keepNext w:val="0"/>
              <w:keepLines w:val="0"/>
              <w:pageBreakBefore w:val="0"/>
              <w:numPr>
                <w:ilvl w:val="0"/>
                <w:numId w:val="11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具有1组短路控制线，控制内存6首歌曲，内置16M音频存储空间，可以通过外置USB接口擦除拷贝6首音乐，通过拨码开关选择预设音乐信号，通过触发播放预设语音节目；</w:t>
            </w:r>
          </w:p>
          <w:p w14:paraId="37F74695">
            <w:pPr>
              <w:keepNext w:val="0"/>
              <w:keepLines w:val="0"/>
              <w:pageBreakBefore w:val="0"/>
              <w:numPr>
                <w:ilvl w:val="0"/>
                <w:numId w:val="11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适合于室外背景音乐场所、壁挂式安装；</w:t>
            </w:r>
          </w:p>
          <w:p w14:paraId="30B8FC63">
            <w:pPr>
              <w:keepNext w:val="0"/>
              <w:keepLines w:val="0"/>
              <w:pageBreakBefore w:val="0"/>
              <w:numPr>
                <w:ilvl w:val="0"/>
                <w:numId w:val="11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额定功率：20W；</w:t>
            </w:r>
          </w:p>
          <w:p w14:paraId="129F1030">
            <w:pPr>
              <w:keepNext w:val="0"/>
              <w:keepLines w:val="0"/>
              <w:pageBreakBefore w:val="0"/>
              <w:numPr>
                <w:ilvl w:val="0"/>
                <w:numId w:val="11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线路输入：10kohms(Ω)300Mv非平衡信号；</w:t>
            </w:r>
          </w:p>
          <w:p w14:paraId="1FFF9D64">
            <w:pPr>
              <w:keepNext w:val="0"/>
              <w:keepLines w:val="0"/>
              <w:pageBreakBefore w:val="0"/>
              <w:numPr>
                <w:ilvl w:val="0"/>
                <w:numId w:val="11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频响：100Hz-18KHz（±3dB）；</w:t>
            </w:r>
          </w:p>
          <w:p w14:paraId="79A330FC">
            <w:pPr>
              <w:keepNext w:val="0"/>
              <w:keepLines w:val="0"/>
              <w:pageBreakBefore w:val="0"/>
              <w:numPr>
                <w:ilvl w:val="0"/>
                <w:numId w:val="11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非线性失真THD：&lt;1%at1kHz，1/3额定输出功率；</w:t>
            </w:r>
          </w:p>
          <w:p w14:paraId="11C8D5FD">
            <w:pPr>
              <w:keepNext w:val="0"/>
              <w:keepLines w:val="0"/>
              <w:pageBreakBefore w:val="0"/>
              <w:numPr>
                <w:ilvl w:val="0"/>
                <w:numId w:val="11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信噪比S/N：&gt;70dB；</w:t>
            </w:r>
          </w:p>
          <w:p w14:paraId="73ED94B9">
            <w:pPr>
              <w:keepNext w:val="0"/>
              <w:keepLines w:val="0"/>
              <w:pageBreakBefore w:val="0"/>
              <w:numPr>
                <w:ilvl w:val="0"/>
                <w:numId w:val="11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喇叭单元：4"防水全频单元*1；2"高音*1保护：内置贴片保险丝；</w:t>
            </w:r>
          </w:p>
          <w:p w14:paraId="6B2432BF">
            <w:pPr>
              <w:keepNext w:val="0"/>
              <w:keepLines w:val="0"/>
              <w:pageBreakBefore w:val="0"/>
              <w:numPr>
                <w:ilvl w:val="0"/>
                <w:numId w:val="11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安装形式：支架式安装；</w:t>
            </w:r>
          </w:p>
          <w:p w14:paraId="697CD31D">
            <w:pPr>
              <w:keepNext w:val="0"/>
              <w:keepLines w:val="0"/>
              <w:pageBreakBefore w:val="0"/>
              <w:numPr>
                <w:ilvl w:val="0"/>
                <w:numId w:val="11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供电电压：AC220V/50Hz；</w:t>
            </w:r>
          </w:p>
          <w:p w14:paraId="01DA193D">
            <w:pPr>
              <w:keepNext w:val="0"/>
              <w:keepLines w:val="0"/>
              <w:pageBreakBefore w:val="0"/>
              <w:numPr>
                <w:ilvl w:val="0"/>
                <w:numId w:val="11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外壳尺寸：</w:t>
            </w:r>
            <w:r>
              <w:rPr>
                <w:rFonts w:hint="eastAsia" w:ascii="宋体" w:hAnsi="宋体" w:eastAsia="宋体" w:cs="宋体"/>
                <w:color w:val="auto"/>
                <w:kern w:val="0"/>
                <w:sz w:val="24"/>
                <w:szCs w:val="24"/>
                <w:lang w:bidi="ar"/>
              </w:rPr>
              <w:t>不低于</w:t>
            </w:r>
            <w:r>
              <w:rPr>
                <w:rFonts w:hint="eastAsia" w:ascii="宋体" w:hAnsi="宋体" w:eastAsia="宋体" w:cs="宋体"/>
                <w:color w:val="auto"/>
                <w:sz w:val="24"/>
                <w:szCs w:val="24"/>
              </w:rPr>
              <w:t>小于150×96×336mm；</w:t>
            </w:r>
          </w:p>
        </w:tc>
        <w:tc>
          <w:tcPr>
            <w:tcW w:w="824"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4236363">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台</w:t>
            </w:r>
          </w:p>
        </w:tc>
        <w:tc>
          <w:tcPr>
            <w:tcW w:w="781"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C0E7487">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按需配置并征得采购人书面同意</w:t>
            </w:r>
          </w:p>
        </w:tc>
      </w:tr>
      <w:tr w14:paraId="6F6E89CA">
        <w:tblPrEx>
          <w:tblBorders>
            <w:top w:val="single" w:color="B8CCE4" w:sz="6" w:space="0"/>
            <w:left w:val="single" w:color="B8CCE4" w:sz="6" w:space="0"/>
            <w:bottom w:val="single" w:color="B8CCE4" w:sz="6" w:space="0"/>
            <w:right w:val="single" w:color="B8CCE4" w:sz="6" w:space="0"/>
            <w:insideH w:val="single" w:color="B8CCE4" w:sz="6" w:space="0"/>
            <w:insideV w:val="single" w:color="B8CCE4" w:sz="6" w:space="0"/>
          </w:tblBorders>
          <w:tblCellMar>
            <w:top w:w="0" w:type="dxa"/>
            <w:left w:w="108" w:type="dxa"/>
            <w:bottom w:w="0" w:type="dxa"/>
            <w:right w:w="108" w:type="dxa"/>
          </w:tblCellMar>
        </w:tblPrEx>
        <w:trPr>
          <w:trHeight w:val="227" w:hRule="atLeast"/>
          <w:jc w:val="center"/>
        </w:trPr>
        <w:tc>
          <w:tcPr>
            <w:tcW w:w="74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24F648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7</w:t>
            </w:r>
          </w:p>
        </w:tc>
        <w:tc>
          <w:tcPr>
            <w:tcW w:w="12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94D6892">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AI盒子</w:t>
            </w:r>
          </w:p>
        </w:tc>
        <w:tc>
          <w:tcPr>
            <w:tcW w:w="6114"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BDB7FCD">
            <w:pPr>
              <w:keepNext w:val="0"/>
              <w:keepLines w:val="0"/>
              <w:pageBreakBefore w:val="0"/>
              <w:numPr>
                <w:ilvl w:val="0"/>
                <w:numId w:val="120"/>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功能</w:t>
            </w:r>
            <w:r>
              <w:rPr>
                <w:rFonts w:hint="eastAsia" w:ascii="宋体" w:hAnsi="宋体" w:eastAsia="宋体" w:cs="宋体"/>
                <w:color w:val="auto"/>
                <w:kern w:val="0"/>
                <w:sz w:val="24"/>
                <w:szCs w:val="24"/>
                <w:lang w:bidi="ar"/>
              </w:rPr>
              <w:t>描述：</w:t>
            </w:r>
          </w:p>
          <w:p w14:paraId="669BDEE8">
            <w:pPr>
              <w:keepNext w:val="0"/>
              <w:keepLines w:val="0"/>
              <w:pageBreakBefore w:val="0"/>
              <w:widowControl/>
              <w:numPr>
                <w:ilvl w:val="0"/>
                <w:numId w:val="121"/>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实现有害生物抓拍并上传系统预警；</w:t>
            </w:r>
          </w:p>
          <w:p w14:paraId="08EF7FDD">
            <w:pPr>
              <w:keepNext w:val="0"/>
              <w:keepLines w:val="0"/>
              <w:pageBreakBefore w:val="0"/>
              <w:widowControl/>
              <w:numPr>
                <w:ilvl w:val="0"/>
                <w:numId w:val="121"/>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支持利旧普通摄像头做识别分析；</w:t>
            </w:r>
          </w:p>
          <w:p w14:paraId="45ACA9C7">
            <w:pPr>
              <w:keepNext w:val="0"/>
              <w:keepLines w:val="0"/>
              <w:pageBreakBefore w:val="0"/>
              <w:widowControl/>
              <w:numPr>
                <w:ilvl w:val="0"/>
                <w:numId w:val="121"/>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支持口罩、工服、工帽三白预警抓拍；</w:t>
            </w:r>
          </w:p>
          <w:p w14:paraId="1D85B96D">
            <w:pPr>
              <w:keepNext w:val="0"/>
              <w:keepLines w:val="0"/>
              <w:pageBreakBefore w:val="0"/>
              <w:numPr>
                <w:ilvl w:val="0"/>
                <w:numId w:val="120"/>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设备参数：</w:t>
            </w:r>
          </w:p>
          <w:p w14:paraId="4CCAC241">
            <w:pPr>
              <w:keepNext w:val="0"/>
              <w:keepLines w:val="0"/>
              <w:pageBreakBefore w:val="0"/>
              <w:numPr>
                <w:ilvl w:val="0"/>
                <w:numId w:val="122"/>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基本参数：</w:t>
            </w:r>
          </w:p>
          <w:p w14:paraId="7099B275">
            <w:pPr>
              <w:keepNext w:val="0"/>
              <w:keepLines w:val="0"/>
              <w:pageBreakBefore w:val="0"/>
              <w:widowControl/>
              <w:numPr>
                <w:ilvl w:val="0"/>
                <w:numId w:val="123"/>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处理器：六核处理器，双Cortex-A72+四Cortex-A53大小核CPU结构，频率不低于1.8GHz；</w:t>
            </w:r>
          </w:p>
          <w:p w14:paraId="79DEE917">
            <w:pPr>
              <w:keepNext w:val="0"/>
              <w:keepLines w:val="0"/>
              <w:pageBreakBefore w:val="0"/>
              <w:widowControl/>
              <w:numPr>
                <w:ilvl w:val="0"/>
                <w:numId w:val="123"/>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GPU：四核GPU，支持OpenGLES1.1/2.0/3.0/3.1，OpenVG1.1，OpenCL；</w:t>
            </w:r>
          </w:p>
          <w:p w14:paraId="7260622E">
            <w:pPr>
              <w:keepNext w:val="0"/>
              <w:keepLines w:val="0"/>
              <w:pageBreakBefore w:val="0"/>
              <w:numPr>
                <w:ilvl w:val="0"/>
                <w:numId w:val="122"/>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接口参数：</w:t>
            </w:r>
          </w:p>
          <w:p w14:paraId="3747B0AE">
            <w:pPr>
              <w:keepNext w:val="0"/>
              <w:keepLines w:val="0"/>
              <w:pageBreakBefore w:val="0"/>
              <w:widowControl/>
              <w:numPr>
                <w:ilvl w:val="0"/>
                <w:numId w:val="124"/>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USB接口：USBx2；</w:t>
            </w:r>
          </w:p>
          <w:p w14:paraId="61826A2C">
            <w:pPr>
              <w:keepNext w:val="0"/>
              <w:keepLines w:val="0"/>
              <w:pageBreakBefore w:val="0"/>
              <w:widowControl/>
              <w:numPr>
                <w:ilvl w:val="0"/>
                <w:numId w:val="124"/>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物联网接口：支持1个RS485；</w:t>
            </w:r>
          </w:p>
          <w:p w14:paraId="206C19F1">
            <w:pPr>
              <w:keepNext w:val="0"/>
              <w:keepLines w:val="0"/>
              <w:pageBreakBefore w:val="0"/>
              <w:numPr>
                <w:ilvl w:val="0"/>
                <w:numId w:val="122"/>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其他参数：</w:t>
            </w:r>
          </w:p>
          <w:p w14:paraId="02A2713E">
            <w:pPr>
              <w:keepNext w:val="0"/>
              <w:keepLines w:val="0"/>
              <w:pageBreakBefore w:val="0"/>
              <w:widowControl/>
              <w:numPr>
                <w:ilvl w:val="0"/>
                <w:numId w:val="125"/>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DX11，支持AFBC（帧缓冲压缩）；</w:t>
            </w:r>
          </w:p>
          <w:p w14:paraId="031EEEEE">
            <w:pPr>
              <w:keepNext w:val="0"/>
              <w:keepLines w:val="0"/>
              <w:pageBreakBefore w:val="0"/>
              <w:widowControl/>
              <w:numPr>
                <w:ilvl w:val="0"/>
                <w:numId w:val="125"/>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内存与flash：4G内存、64G芯片存储；</w:t>
            </w:r>
          </w:p>
          <w:p w14:paraId="439ADA1F">
            <w:pPr>
              <w:keepNext w:val="0"/>
              <w:keepLines w:val="0"/>
              <w:pageBreakBefore w:val="0"/>
              <w:widowControl/>
              <w:numPr>
                <w:ilvl w:val="0"/>
                <w:numId w:val="125"/>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存储：内置监控级硬盘，最大支持16TB；</w:t>
            </w:r>
          </w:p>
          <w:p w14:paraId="099F3969">
            <w:pPr>
              <w:keepNext w:val="0"/>
              <w:keepLines w:val="0"/>
              <w:pageBreakBefore w:val="0"/>
              <w:widowControl/>
              <w:numPr>
                <w:ilvl w:val="0"/>
                <w:numId w:val="125"/>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报警输入输出：GPIO口：2进1出，可接开关量报警探头和联动输出电路控制设备；</w:t>
            </w:r>
          </w:p>
          <w:p w14:paraId="25C00E97">
            <w:pPr>
              <w:keepNext w:val="0"/>
              <w:keepLines w:val="0"/>
              <w:pageBreakBefore w:val="0"/>
              <w:widowControl/>
              <w:numPr>
                <w:ilvl w:val="0"/>
                <w:numId w:val="125"/>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音频输入输出：RCA接口1进1出，外部MIC插孔（3.5MM）1个；</w:t>
            </w:r>
          </w:p>
          <w:p w14:paraId="2FDAC7C9">
            <w:pPr>
              <w:keepNext w:val="0"/>
              <w:keepLines w:val="0"/>
              <w:pageBreakBefore w:val="0"/>
              <w:widowControl/>
              <w:numPr>
                <w:ilvl w:val="0"/>
                <w:numId w:val="125"/>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视频输出：HDMIx1；</w:t>
            </w:r>
          </w:p>
          <w:p w14:paraId="3CD5153E">
            <w:pPr>
              <w:keepNext w:val="0"/>
              <w:keepLines w:val="0"/>
              <w:pageBreakBefore w:val="0"/>
              <w:widowControl/>
              <w:numPr>
                <w:ilvl w:val="0"/>
                <w:numId w:val="125"/>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WiFi/4G/5G:WiFi/4G/5G；</w:t>
            </w:r>
          </w:p>
          <w:p w14:paraId="3A9F245E">
            <w:pPr>
              <w:keepNext w:val="0"/>
              <w:keepLines w:val="0"/>
              <w:pageBreakBefore w:val="0"/>
              <w:widowControl/>
              <w:numPr>
                <w:ilvl w:val="0"/>
                <w:numId w:val="125"/>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工作湿度：≤90%；</w:t>
            </w:r>
          </w:p>
          <w:p w14:paraId="56EFCD2D">
            <w:pPr>
              <w:keepNext w:val="0"/>
              <w:keepLines w:val="0"/>
              <w:pageBreakBefore w:val="0"/>
              <w:widowControl/>
              <w:numPr>
                <w:ilvl w:val="0"/>
                <w:numId w:val="125"/>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工作温度：-10℃~+50℃；</w:t>
            </w:r>
          </w:p>
          <w:p w14:paraId="24F86428">
            <w:pPr>
              <w:keepNext w:val="0"/>
              <w:keepLines w:val="0"/>
              <w:pageBreakBefore w:val="0"/>
              <w:widowControl/>
              <w:numPr>
                <w:ilvl w:val="0"/>
                <w:numId w:val="125"/>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电源：DC12V5A；</w:t>
            </w:r>
          </w:p>
          <w:p w14:paraId="00E47335">
            <w:pPr>
              <w:keepNext w:val="0"/>
              <w:keepLines w:val="0"/>
              <w:pageBreakBefore w:val="0"/>
              <w:widowControl/>
              <w:numPr>
                <w:ilvl w:val="0"/>
                <w:numId w:val="125"/>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sz w:val="24"/>
                <w:szCs w:val="24"/>
              </w:rPr>
            </w:pPr>
            <w:r>
              <w:rPr>
                <w:rFonts w:hint="eastAsia" w:ascii="宋体" w:hAnsi="宋体" w:eastAsia="宋体" w:cs="宋体"/>
                <w:color w:val="auto"/>
                <w:sz w:val="24"/>
                <w:szCs w:val="24"/>
              </w:rPr>
              <w:t>尺寸：</w:t>
            </w:r>
            <w:r>
              <w:rPr>
                <w:rFonts w:hint="eastAsia" w:ascii="宋体" w:hAnsi="宋体" w:eastAsia="宋体" w:cs="宋体"/>
                <w:color w:val="auto"/>
                <w:kern w:val="0"/>
                <w:sz w:val="24"/>
                <w:szCs w:val="24"/>
                <w:lang w:bidi="ar"/>
              </w:rPr>
              <w:t>不低于</w:t>
            </w:r>
            <w:r>
              <w:rPr>
                <w:rFonts w:hint="eastAsia" w:ascii="宋体" w:hAnsi="宋体" w:eastAsia="宋体" w:cs="宋体"/>
                <w:color w:val="auto"/>
                <w:sz w:val="24"/>
                <w:szCs w:val="24"/>
              </w:rPr>
              <w:t>320mm×214mm×40mm（长宽高）；</w:t>
            </w:r>
          </w:p>
        </w:tc>
        <w:tc>
          <w:tcPr>
            <w:tcW w:w="824"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10BF51B">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台</w:t>
            </w:r>
          </w:p>
        </w:tc>
        <w:tc>
          <w:tcPr>
            <w:tcW w:w="781"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7BBB9E2">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按需配置并征得采购人书面同意</w:t>
            </w:r>
          </w:p>
        </w:tc>
      </w:tr>
      <w:tr w14:paraId="198E0E78">
        <w:tblPrEx>
          <w:tblBorders>
            <w:top w:val="single" w:color="B8CCE4" w:sz="6" w:space="0"/>
            <w:left w:val="single" w:color="B8CCE4" w:sz="6" w:space="0"/>
            <w:bottom w:val="single" w:color="B8CCE4" w:sz="6" w:space="0"/>
            <w:right w:val="single" w:color="B8CCE4" w:sz="6" w:space="0"/>
            <w:insideH w:val="single" w:color="B8CCE4" w:sz="6" w:space="0"/>
            <w:insideV w:val="single" w:color="B8CCE4" w:sz="6" w:space="0"/>
          </w:tblBorders>
          <w:tblCellMar>
            <w:top w:w="0" w:type="dxa"/>
            <w:left w:w="108" w:type="dxa"/>
            <w:bottom w:w="0" w:type="dxa"/>
            <w:right w:w="108" w:type="dxa"/>
          </w:tblCellMar>
        </w:tblPrEx>
        <w:trPr>
          <w:trHeight w:val="227" w:hRule="atLeast"/>
          <w:jc w:val="center"/>
        </w:trPr>
        <w:tc>
          <w:tcPr>
            <w:tcW w:w="74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7EFF664">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8</w:t>
            </w:r>
          </w:p>
        </w:tc>
        <w:tc>
          <w:tcPr>
            <w:tcW w:w="12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E40DEA2">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数据驾驶舱</w:t>
            </w:r>
          </w:p>
        </w:tc>
        <w:tc>
          <w:tcPr>
            <w:tcW w:w="611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BDF753D">
            <w:pPr>
              <w:keepNext w:val="0"/>
              <w:keepLines w:val="0"/>
              <w:pageBreakBefore w:val="0"/>
              <w:numPr>
                <w:ilvl w:val="0"/>
                <w:numId w:val="126"/>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功能</w:t>
            </w:r>
            <w:r>
              <w:rPr>
                <w:rFonts w:hint="eastAsia" w:ascii="宋体" w:hAnsi="宋体" w:eastAsia="宋体" w:cs="宋体"/>
                <w:color w:val="auto"/>
                <w:kern w:val="0"/>
                <w:sz w:val="24"/>
                <w:szCs w:val="24"/>
                <w:lang w:bidi="ar"/>
              </w:rPr>
              <w:t>描述：</w:t>
            </w:r>
          </w:p>
          <w:p w14:paraId="166B3F86">
            <w:pPr>
              <w:keepNext w:val="0"/>
              <w:keepLines w:val="0"/>
              <w:pageBreakBefore w:val="0"/>
              <w:numPr>
                <w:ilvl w:val="0"/>
                <w:numId w:val="12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食堂信息公示：食堂证件、经营范围；</w:t>
            </w:r>
          </w:p>
          <w:p w14:paraId="20144699">
            <w:pPr>
              <w:keepNext w:val="0"/>
              <w:keepLines w:val="0"/>
              <w:pageBreakBefore w:val="0"/>
              <w:numPr>
                <w:ilvl w:val="0"/>
                <w:numId w:val="12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人员健康安全：食堂人员安全：食堂基础信息、出勤晨检、着装行为监管、人员健康安全、烹饪行为监管、意见与反馈等六个维护公示；</w:t>
            </w:r>
          </w:p>
          <w:p w14:paraId="25F70A13">
            <w:pPr>
              <w:keepNext w:val="0"/>
              <w:keepLines w:val="0"/>
              <w:pageBreakBefore w:val="0"/>
              <w:numPr>
                <w:ilvl w:val="0"/>
                <w:numId w:val="12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菜品、存储环境、添加剂、供货商、农残、留样等六个维度公示；</w:t>
            </w:r>
          </w:p>
          <w:p w14:paraId="5E83C8CE">
            <w:pPr>
              <w:keepNext w:val="0"/>
              <w:keepLines w:val="0"/>
              <w:pageBreakBefore w:val="0"/>
              <w:numPr>
                <w:ilvl w:val="0"/>
                <w:numId w:val="12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智能监管状态公示：设备状态公示；</w:t>
            </w:r>
          </w:p>
          <w:p w14:paraId="49D74DCD">
            <w:pPr>
              <w:keepNext w:val="0"/>
              <w:keepLines w:val="0"/>
              <w:pageBreakBefore w:val="0"/>
              <w:numPr>
                <w:ilvl w:val="0"/>
                <w:numId w:val="12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食堂日管控执行进度公示；</w:t>
            </w:r>
          </w:p>
          <w:p w14:paraId="4D5392F5">
            <w:pPr>
              <w:keepNext w:val="0"/>
              <w:keepLines w:val="0"/>
              <w:pageBreakBefore w:val="0"/>
              <w:numPr>
                <w:ilvl w:val="0"/>
                <w:numId w:val="12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食堂留样公示：留样记录、图片、冰箱状态；</w:t>
            </w:r>
          </w:p>
          <w:p w14:paraId="50B1F085">
            <w:pPr>
              <w:keepNext w:val="0"/>
              <w:keepLines w:val="0"/>
              <w:pageBreakBefore w:val="0"/>
              <w:numPr>
                <w:ilvl w:val="0"/>
                <w:numId w:val="12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后厨食安监管：数智场景数据公示；</w:t>
            </w:r>
          </w:p>
          <w:p w14:paraId="73C69CF6">
            <w:pPr>
              <w:keepNext w:val="0"/>
              <w:keepLines w:val="0"/>
              <w:pageBreakBefore w:val="0"/>
              <w:numPr>
                <w:ilvl w:val="0"/>
                <w:numId w:val="12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消毒台账公示：环境消毒、餐饮具消毒台账公示；</w:t>
            </w:r>
          </w:p>
          <w:p w14:paraId="066E1F0A">
            <w:pPr>
              <w:keepNext w:val="0"/>
              <w:keepLines w:val="0"/>
              <w:pageBreakBefore w:val="0"/>
              <w:numPr>
                <w:ilvl w:val="0"/>
                <w:numId w:val="12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意见与反馈公示：负责人联系方式公示</w:t>
            </w:r>
          </w:p>
          <w:p w14:paraId="721D5B4B">
            <w:pPr>
              <w:keepNext w:val="0"/>
              <w:keepLines w:val="0"/>
              <w:pageBreakBefore w:val="0"/>
              <w:numPr>
                <w:ilvl w:val="0"/>
                <w:numId w:val="126"/>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数据驾驶舱方案：</w:t>
            </w:r>
          </w:p>
          <w:p w14:paraId="3787A6B3">
            <w:pPr>
              <w:keepNext w:val="0"/>
              <w:keepLines w:val="0"/>
              <w:pageBreakBefore w:val="0"/>
              <w:numPr>
                <w:ilvl w:val="0"/>
                <w:numId w:val="128"/>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支持显示出勤信息公示：出勤统计，测温统计，出勤明细，测温明细；</w:t>
            </w:r>
          </w:p>
          <w:p w14:paraId="45C6E060">
            <w:pPr>
              <w:keepNext w:val="0"/>
              <w:keepLines w:val="0"/>
              <w:pageBreakBefore w:val="0"/>
              <w:numPr>
                <w:ilvl w:val="0"/>
                <w:numId w:val="128"/>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支持显示食堂证照信息公示：食堂评分，服务许可证，员工健康证；</w:t>
            </w:r>
          </w:p>
          <w:p w14:paraId="1040841C">
            <w:pPr>
              <w:keepNext w:val="0"/>
              <w:keepLines w:val="0"/>
              <w:pageBreakBefore w:val="0"/>
              <w:numPr>
                <w:ilvl w:val="0"/>
                <w:numId w:val="128"/>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支持显示数智管控公示：备餐间空气紫外线消毒状态，餐饮具消毒状态，刀具砧板消毒状态，仓库挡鼠板、红外光栅工作状态，自动灭火工作状态，后厨人员行为管控状态；</w:t>
            </w:r>
          </w:p>
          <w:p w14:paraId="0AFC9FC5">
            <w:pPr>
              <w:keepNext w:val="0"/>
              <w:keepLines w:val="0"/>
              <w:pageBreakBefore w:val="0"/>
              <w:numPr>
                <w:ilvl w:val="0"/>
                <w:numId w:val="128"/>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支持显示食堂留样公示：食堂留样信息；</w:t>
            </w:r>
          </w:p>
          <w:p w14:paraId="41A4EBD9">
            <w:pPr>
              <w:keepNext w:val="0"/>
              <w:keepLines w:val="0"/>
              <w:pageBreakBefore w:val="0"/>
              <w:numPr>
                <w:ilvl w:val="0"/>
                <w:numId w:val="128"/>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支持显示食堂交流公示：食客建议信息，食堂服务提升回复信息，营业时间，食堂负责人信息；</w:t>
            </w:r>
          </w:p>
          <w:p w14:paraId="2F74BF51">
            <w:pPr>
              <w:keepNext w:val="0"/>
              <w:keepLines w:val="0"/>
              <w:pageBreakBefore w:val="0"/>
              <w:numPr>
                <w:ilvl w:val="0"/>
                <w:numId w:val="128"/>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支持显示食堂检测公示：农药残留检测信息，添加剂使用检测信息；</w:t>
            </w:r>
          </w:p>
          <w:p w14:paraId="5ABE1E4A">
            <w:pPr>
              <w:keepNext w:val="0"/>
              <w:keepLines w:val="0"/>
              <w:pageBreakBefore w:val="0"/>
              <w:numPr>
                <w:ilvl w:val="0"/>
                <w:numId w:val="128"/>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支持显示环境公示：用餐大厅温湿度，主食/副食仓库温湿度，备餐间温湿度，食堂主要区域视频播放（明厨亮灶）；</w:t>
            </w:r>
          </w:p>
          <w:p w14:paraId="46BD0D52">
            <w:pPr>
              <w:keepNext w:val="0"/>
              <w:keepLines w:val="0"/>
              <w:pageBreakBefore w:val="0"/>
              <w:numPr>
                <w:ilvl w:val="0"/>
                <w:numId w:val="126"/>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75寸屏幕设备参数：</w:t>
            </w:r>
          </w:p>
          <w:p w14:paraId="5E80F7F9">
            <w:pPr>
              <w:keepNext w:val="0"/>
              <w:keepLines w:val="0"/>
              <w:pageBreakBefore w:val="0"/>
              <w:numPr>
                <w:ilvl w:val="0"/>
                <w:numId w:val="116"/>
              </w:numPr>
              <w:kinsoku/>
              <w:wordWrap/>
              <w:overflowPunct/>
              <w:topLinePunct w:val="0"/>
              <w:autoSpaceDE/>
              <w:autoSpaceDN/>
              <w:bidi w:val="0"/>
              <w:adjustRightInd/>
              <w:snapToGrid/>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主要参数：</w:t>
            </w:r>
          </w:p>
          <w:p w14:paraId="7E006CCF">
            <w:pPr>
              <w:keepNext w:val="0"/>
              <w:keepLines w:val="0"/>
              <w:pageBreakBefore w:val="0"/>
              <w:numPr>
                <w:ilvl w:val="0"/>
                <w:numId w:val="12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背光类型：LED；</w:t>
            </w:r>
          </w:p>
          <w:p w14:paraId="5154BDC8">
            <w:pPr>
              <w:keepNext w:val="0"/>
              <w:keepLines w:val="0"/>
              <w:pageBreakBefore w:val="0"/>
              <w:numPr>
                <w:ilvl w:val="0"/>
                <w:numId w:val="12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屏幕分辨率：3840（H）*2160（V）；</w:t>
            </w:r>
          </w:p>
          <w:p w14:paraId="2CC07A68">
            <w:pPr>
              <w:keepNext w:val="0"/>
              <w:keepLines w:val="0"/>
              <w:pageBreakBefore w:val="0"/>
              <w:numPr>
                <w:ilvl w:val="0"/>
                <w:numId w:val="12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视角：178°；</w:t>
            </w:r>
          </w:p>
          <w:p w14:paraId="5585727B">
            <w:pPr>
              <w:keepNext w:val="0"/>
              <w:keepLines w:val="0"/>
              <w:pageBreakBefore w:val="0"/>
              <w:numPr>
                <w:ilvl w:val="0"/>
                <w:numId w:val="12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颜色：66.8m；</w:t>
            </w:r>
          </w:p>
          <w:p w14:paraId="3A2158EC">
            <w:pPr>
              <w:keepNext w:val="0"/>
              <w:keepLines w:val="0"/>
              <w:pageBreakBefore w:val="0"/>
              <w:numPr>
                <w:ilvl w:val="0"/>
                <w:numId w:val="12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亮度：350（cd/m2）10±；</w:t>
            </w:r>
          </w:p>
          <w:p w14:paraId="2EE9D257">
            <w:pPr>
              <w:keepNext w:val="0"/>
              <w:keepLines w:val="0"/>
              <w:pageBreakBefore w:val="0"/>
              <w:numPr>
                <w:ilvl w:val="0"/>
                <w:numId w:val="12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对比度：4000:1；</w:t>
            </w:r>
          </w:p>
          <w:p w14:paraId="204ABBAE">
            <w:pPr>
              <w:keepNext w:val="0"/>
              <w:keepLines w:val="0"/>
              <w:pageBreakBefore w:val="0"/>
              <w:numPr>
                <w:ilvl w:val="0"/>
                <w:numId w:val="12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响应时间：6ms；</w:t>
            </w:r>
          </w:p>
          <w:p w14:paraId="6517F429">
            <w:pPr>
              <w:keepNext w:val="0"/>
              <w:keepLines w:val="0"/>
              <w:pageBreakBefore w:val="0"/>
              <w:numPr>
                <w:ilvl w:val="0"/>
                <w:numId w:val="12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高清视频输入（HDMI）端口：二组；</w:t>
            </w:r>
          </w:p>
          <w:p w14:paraId="67059296">
            <w:pPr>
              <w:keepNext w:val="0"/>
              <w:keepLines w:val="0"/>
              <w:pageBreakBefore w:val="0"/>
              <w:numPr>
                <w:ilvl w:val="0"/>
                <w:numId w:val="12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模拟信号输入（RF）端口：一组；</w:t>
            </w:r>
          </w:p>
          <w:p w14:paraId="0BA3806D">
            <w:pPr>
              <w:keepNext w:val="0"/>
              <w:keepLines w:val="0"/>
              <w:pageBreakBefore w:val="0"/>
              <w:numPr>
                <w:ilvl w:val="0"/>
                <w:numId w:val="12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标准视频输入（AV）端口：二组；</w:t>
            </w:r>
          </w:p>
          <w:p w14:paraId="4C78C0E4">
            <w:pPr>
              <w:keepNext w:val="0"/>
              <w:keepLines w:val="0"/>
              <w:pageBreakBefore w:val="0"/>
              <w:numPr>
                <w:ilvl w:val="0"/>
                <w:numId w:val="12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音频输出（EARPHONE　OUT）端口：一组；</w:t>
            </w:r>
          </w:p>
          <w:p w14:paraId="739CEA3D">
            <w:pPr>
              <w:keepNext w:val="0"/>
              <w:keepLines w:val="0"/>
              <w:pageBreakBefore w:val="0"/>
              <w:numPr>
                <w:ilvl w:val="0"/>
                <w:numId w:val="12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运行内存：1G，机身内存8G；</w:t>
            </w:r>
          </w:p>
          <w:p w14:paraId="497CB3C3">
            <w:pPr>
              <w:keepNext w:val="0"/>
              <w:keepLines w:val="0"/>
              <w:pageBreakBefore w:val="0"/>
              <w:numPr>
                <w:ilvl w:val="0"/>
                <w:numId w:val="12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多媒体（USB3.0）端口：一组；</w:t>
            </w:r>
          </w:p>
          <w:p w14:paraId="674426AF">
            <w:pPr>
              <w:keepNext w:val="0"/>
              <w:keepLines w:val="0"/>
              <w:pageBreakBefore w:val="0"/>
              <w:numPr>
                <w:ilvl w:val="0"/>
                <w:numId w:val="12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电视系统：安卓系统</w:t>
            </w:r>
            <w:r>
              <w:rPr>
                <w:rFonts w:hint="eastAsia" w:ascii="宋体" w:hAnsi="宋体" w:eastAsia="宋体" w:cs="宋体"/>
                <w:color w:val="auto"/>
                <w:sz w:val="24"/>
                <w:szCs w:val="24"/>
              </w:rPr>
              <w:tab/>
            </w:r>
            <w:r>
              <w:rPr>
                <w:rFonts w:hint="eastAsia" w:ascii="宋体" w:hAnsi="宋体" w:eastAsia="宋体" w:cs="宋体"/>
                <w:color w:val="auto"/>
                <w:sz w:val="24"/>
                <w:szCs w:val="24"/>
              </w:rPr>
              <w:t>9；</w:t>
            </w:r>
          </w:p>
          <w:p w14:paraId="4DEF4671">
            <w:pPr>
              <w:keepNext w:val="0"/>
              <w:keepLines w:val="0"/>
              <w:pageBreakBefore w:val="0"/>
              <w:numPr>
                <w:ilvl w:val="0"/>
                <w:numId w:val="12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图像制式：PAL/NTSC/SECAM；</w:t>
            </w:r>
          </w:p>
          <w:p w14:paraId="791DEC4C">
            <w:pPr>
              <w:keepNext w:val="0"/>
              <w:keepLines w:val="0"/>
              <w:pageBreakBefore w:val="0"/>
              <w:numPr>
                <w:ilvl w:val="0"/>
                <w:numId w:val="12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声音制式：DK/I/BG；</w:t>
            </w:r>
          </w:p>
          <w:p w14:paraId="52263B7A">
            <w:pPr>
              <w:keepNext w:val="0"/>
              <w:keepLines w:val="0"/>
              <w:pageBreakBefore w:val="0"/>
              <w:numPr>
                <w:ilvl w:val="0"/>
                <w:numId w:val="12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喇叭类型：内置喇叭高低音；</w:t>
            </w:r>
          </w:p>
          <w:p w14:paraId="743C0F7B">
            <w:pPr>
              <w:keepNext w:val="0"/>
              <w:keepLines w:val="0"/>
              <w:pageBreakBefore w:val="0"/>
              <w:numPr>
                <w:ilvl w:val="0"/>
                <w:numId w:val="12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喇叭功率：8Ω10W；</w:t>
            </w:r>
          </w:p>
          <w:p w14:paraId="40204AB7">
            <w:pPr>
              <w:keepNext w:val="0"/>
              <w:keepLines w:val="0"/>
              <w:pageBreakBefore w:val="0"/>
              <w:numPr>
                <w:ilvl w:val="0"/>
                <w:numId w:val="12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相对湿度：≤80%；</w:t>
            </w:r>
          </w:p>
          <w:p w14:paraId="64F9E2FA">
            <w:pPr>
              <w:keepNext w:val="0"/>
              <w:keepLines w:val="0"/>
              <w:pageBreakBefore w:val="0"/>
              <w:numPr>
                <w:ilvl w:val="0"/>
                <w:numId w:val="12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存储湿度：-10～60℃；</w:t>
            </w:r>
          </w:p>
          <w:p w14:paraId="2DB3E726">
            <w:pPr>
              <w:keepNext w:val="0"/>
              <w:keepLines w:val="0"/>
              <w:pageBreakBefore w:val="0"/>
              <w:numPr>
                <w:ilvl w:val="0"/>
                <w:numId w:val="12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使用湿度：0～40℃；</w:t>
            </w:r>
          </w:p>
          <w:p w14:paraId="40EC80BE">
            <w:pPr>
              <w:keepNext w:val="0"/>
              <w:keepLines w:val="0"/>
              <w:pageBreakBefore w:val="0"/>
              <w:numPr>
                <w:ilvl w:val="0"/>
                <w:numId w:val="12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输入电压：交流电110～240V50/60Hz；</w:t>
            </w:r>
          </w:p>
          <w:p w14:paraId="459E6EB1">
            <w:pPr>
              <w:keepNext w:val="0"/>
              <w:keepLines w:val="0"/>
              <w:pageBreakBefore w:val="0"/>
              <w:numPr>
                <w:ilvl w:val="0"/>
                <w:numId w:val="12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功耗：280W；</w:t>
            </w:r>
          </w:p>
          <w:p w14:paraId="42446E50">
            <w:pPr>
              <w:keepNext w:val="0"/>
              <w:keepLines w:val="0"/>
              <w:pageBreakBefore w:val="0"/>
              <w:numPr>
                <w:ilvl w:val="0"/>
                <w:numId w:val="12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中国能效标识等级：3级；</w:t>
            </w:r>
          </w:p>
          <w:p w14:paraId="2E56B1DD">
            <w:pPr>
              <w:keepNext w:val="0"/>
              <w:keepLines w:val="0"/>
              <w:pageBreakBefore w:val="0"/>
              <w:numPr>
                <w:ilvl w:val="0"/>
                <w:numId w:val="12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电源规格：三合一电源（主板+背光+电源）；</w:t>
            </w:r>
          </w:p>
          <w:p w14:paraId="1617EFBC">
            <w:pPr>
              <w:keepNext w:val="0"/>
              <w:keepLines w:val="0"/>
              <w:pageBreakBefore w:val="0"/>
              <w:numPr>
                <w:ilvl w:val="0"/>
                <w:numId w:val="12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待机功率：＜0.5W；</w:t>
            </w:r>
          </w:p>
        </w:tc>
        <w:tc>
          <w:tcPr>
            <w:tcW w:w="82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EBF6870">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套</w:t>
            </w:r>
          </w:p>
        </w:tc>
        <w:tc>
          <w:tcPr>
            <w:tcW w:w="78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A0FA121">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按需配置并征得采购人书面同意</w:t>
            </w:r>
          </w:p>
        </w:tc>
      </w:tr>
      <w:tr w14:paraId="71E3F93E">
        <w:tblPrEx>
          <w:tblBorders>
            <w:top w:val="single" w:color="B8CCE4" w:sz="6" w:space="0"/>
            <w:left w:val="single" w:color="B8CCE4" w:sz="6" w:space="0"/>
            <w:bottom w:val="single" w:color="B8CCE4" w:sz="6" w:space="0"/>
            <w:right w:val="single" w:color="B8CCE4" w:sz="6" w:space="0"/>
            <w:insideH w:val="single" w:color="B8CCE4" w:sz="6" w:space="0"/>
            <w:insideV w:val="single" w:color="B8CCE4" w:sz="6" w:space="0"/>
          </w:tblBorders>
          <w:tblCellMar>
            <w:top w:w="0" w:type="dxa"/>
            <w:left w:w="108" w:type="dxa"/>
            <w:bottom w:w="0" w:type="dxa"/>
            <w:right w:w="108" w:type="dxa"/>
          </w:tblCellMar>
        </w:tblPrEx>
        <w:trPr>
          <w:trHeight w:val="227" w:hRule="atLeast"/>
          <w:jc w:val="center"/>
        </w:trPr>
        <w:tc>
          <w:tcPr>
            <w:tcW w:w="74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5B572B7">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9</w:t>
            </w:r>
          </w:p>
        </w:tc>
        <w:tc>
          <w:tcPr>
            <w:tcW w:w="12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2E998DF">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食安服务终端</w:t>
            </w:r>
          </w:p>
        </w:tc>
        <w:tc>
          <w:tcPr>
            <w:tcW w:w="611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04A2442">
            <w:pPr>
              <w:keepNext w:val="0"/>
              <w:keepLines w:val="0"/>
              <w:pageBreakBefore w:val="0"/>
              <w:numPr>
                <w:ilvl w:val="0"/>
                <w:numId w:val="130"/>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功能</w:t>
            </w:r>
            <w:r>
              <w:rPr>
                <w:rFonts w:hint="eastAsia" w:ascii="宋体" w:hAnsi="宋体" w:eastAsia="宋体" w:cs="宋体"/>
                <w:color w:val="auto"/>
                <w:kern w:val="0"/>
                <w:sz w:val="24"/>
                <w:szCs w:val="24"/>
                <w:lang w:bidi="ar"/>
              </w:rPr>
              <w:t>描述：</w:t>
            </w:r>
          </w:p>
          <w:p w14:paraId="1BCE88FC">
            <w:pPr>
              <w:keepNext w:val="0"/>
              <w:keepLines w:val="0"/>
              <w:pageBreakBefore w:val="0"/>
              <w:numPr>
                <w:ilvl w:val="0"/>
                <w:numId w:val="131"/>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可进行食堂菜品宣传、电子台账、明厨亮灶视频展示，可进行评价点评；</w:t>
            </w:r>
          </w:p>
          <w:p w14:paraId="45B7E0ED">
            <w:pPr>
              <w:keepNext w:val="0"/>
              <w:keepLines w:val="0"/>
              <w:pageBreakBefore w:val="0"/>
              <w:numPr>
                <w:ilvl w:val="0"/>
                <w:numId w:val="131"/>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用餐人员用餐反馈意见收集，统一渠道收集/答复食堂信息；</w:t>
            </w:r>
          </w:p>
          <w:p w14:paraId="25AD06A9">
            <w:pPr>
              <w:keepNext w:val="0"/>
              <w:keepLines w:val="0"/>
              <w:pageBreakBefore w:val="0"/>
              <w:numPr>
                <w:ilvl w:val="0"/>
                <w:numId w:val="130"/>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设备参数</w:t>
            </w:r>
          </w:p>
          <w:p w14:paraId="43871C34">
            <w:pPr>
              <w:keepNext w:val="0"/>
              <w:keepLines w:val="0"/>
              <w:pageBreakBefore w:val="0"/>
              <w:numPr>
                <w:ilvl w:val="0"/>
                <w:numId w:val="132"/>
              </w:numPr>
              <w:kinsoku/>
              <w:wordWrap/>
              <w:overflowPunct/>
              <w:topLinePunct w:val="0"/>
              <w:autoSpaceDE/>
              <w:autoSpaceDN/>
              <w:bidi w:val="0"/>
              <w:adjustRightInd/>
              <w:snapToGrid/>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显示/触摸参数：</w:t>
            </w:r>
          </w:p>
          <w:p w14:paraId="386A210B">
            <w:pPr>
              <w:keepNext w:val="0"/>
              <w:keepLines w:val="0"/>
              <w:pageBreakBefore w:val="0"/>
              <w:numPr>
                <w:ilvl w:val="0"/>
                <w:numId w:val="133"/>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液晶等级：全新A+品牌液晶面板</w:t>
            </w:r>
          </w:p>
          <w:p w14:paraId="27291A99">
            <w:pPr>
              <w:keepNext w:val="0"/>
              <w:keepLines w:val="0"/>
              <w:pageBreakBefore w:val="0"/>
              <w:numPr>
                <w:ilvl w:val="0"/>
                <w:numId w:val="133"/>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液晶尺寸：不小于43英寸；</w:t>
            </w:r>
          </w:p>
          <w:p w14:paraId="6755245A">
            <w:pPr>
              <w:keepNext w:val="0"/>
              <w:keepLines w:val="0"/>
              <w:pageBreakBefore w:val="0"/>
              <w:numPr>
                <w:ilvl w:val="0"/>
                <w:numId w:val="133"/>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背光类型：E-LED；</w:t>
            </w:r>
          </w:p>
          <w:p w14:paraId="4530148F">
            <w:pPr>
              <w:keepNext w:val="0"/>
              <w:keepLines w:val="0"/>
              <w:pageBreakBefore w:val="0"/>
              <w:numPr>
                <w:ilvl w:val="0"/>
                <w:numId w:val="133"/>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分辨率：1920*1080；</w:t>
            </w:r>
          </w:p>
          <w:p w14:paraId="281DAD4D">
            <w:pPr>
              <w:keepNext w:val="0"/>
              <w:keepLines w:val="0"/>
              <w:pageBreakBefore w:val="0"/>
              <w:numPr>
                <w:ilvl w:val="0"/>
                <w:numId w:val="133"/>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显示亮度：≥350cd；</w:t>
            </w:r>
          </w:p>
          <w:p w14:paraId="037B6A76">
            <w:pPr>
              <w:keepNext w:val="0"/>
              <w:keepLines w:val="0"/>
              <w:pageBreakBefore w:val="0"/>
              <w:numPr>
                <w:ilvl w:val="0"/>
                <w:numId w:val="133"/>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触摸方案：电容G+G；</w:t>
            </w:r>
          </w:p>
          <w:p w14:paraId="51B78AE8">
            <w:pPr>
              <w:keepNext w:val="0"/>
              <w:keepLines w:val="0"/>
              <w:pageBreakBefore w:val="0"/>
              <w:numPr>
                <w:ilvl w:val="0"/>
                <w:numId w:val="132"/>
              </w:numPr>
              <w:kinsoku/>
              <w:wordWrap/>
              <w:overflowPunct/>
              <w:topLinePunct w:val="0"/>
              <w:autoSpaceDE/>
              <w:autoSpaceDN/>
              <w:bidi w:val="0"/>
              <w:adjustRightInd/>
              <w:snapToGrid/>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系统参数：</w:t>
            </w:r>
          </w:p>
          <w:p w14:paraId="6BACCC03">
            <w:pPr>
              <w:keepNext w:val="0"/>
              <w:keepLines w:val="0"/>
              <w:pageBreakBefore w:val="0"/>
              <w:numPr>
                <w:ilvl w:val="0"/>
                <w:numId w:val="134"/>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CPU：四核，主频不低于2.0GHz；</w:t>
            </w:r>
          </w:p>
          <w:p w14:paraId="1D447AF5">
            <w:pPr>
              <w:keepNext w:val="0"/>
              <w:keepLines w:val="0"/>
              <w:pageBreakBefore w:val="0"/>
              <w:numPr>
                <w:ilvl w:val="0"/>
                <w:numId w:val="134"/>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内存：2+16GB；</w:t>
            </w:r>
          </w:p>
          <w:p w14:paraId="32229204">
            <w:pPr>
              <w:keepNext w:val="0"/>
              <w:keepLines w:val="0"/>
              <w:pageBreakBefore w:val="0"/>
              <w:numPr>
                <w:ilvl w:val="0"/>
                <w:numId w:val="134"/>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NPU：支持1Tops算力；</w:t>
            </w:r>
          </w:p>
          <w:p w14:paraId="792C834A">
            <w:pPr>
              <w:keepNext w:val="0"/>
              <w:keepLines w:val="0"/>
              <w:pageBreakBefore w:val="0"/>
              <w:numPr>
                <w:ilvl w:val="0"/>
                <w:numId w:val="134"/>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操作系统：安卓11；</w:t>
            </w:r>
          </w:p>
          <w:p w14:paraId="10809998">
            <w:pPr>
              <w:keepNext w:val="0"/>
              <w:keepLines w:val="0"/>
              <w:pageBreakBefore w:val="0"/>
              <w:numPr>
                <w:ilvl w:val="0"/>
                <w:numId w:val="134"/>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网络通讯：以太网+WiFi；</w:t>
            </w:r>
          </w:p>
          <w:p w14:paraId="7EFA792E">
            <w:pPr>
              <w:keepNext w:val="0"/>
              <w:keepLines w:val="0"/>
              <w:pageBreakBefore w:val="0"/>
              <w:numPr>
                <w:ilvl w:val="0"/>
                <w:numId w:val="134"/>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音频功放：内置2路8欧5瓦优质喇叭；</w:t>
            </w:r>
          </w:p>
          <w:p w14:paraId="30668267">
            <w:pPr>
              <w:keepNext w:val="0"/>
              <w:keepLines w:val="0"/>
              <w:pageBreakBefore w:val="0"/>
              <w:numPr>
                <w:ilvl w:val="0"/>
                <w:numId w:val="134"/>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开关设备：支持定时开关、遥控开关、通电自启等方式开关机；</w:t>
            </w:r>
          </w:p>
          <w:p w14:paraId="2D1C31D5">
            <w:pPr>
              <w:keepNext w:val="0"/>
              <w:keepLines w:val="0"/>
              <w:pageBreakBefore w:val="0"/>
              <w:numPr>
                <w:ilvl w:val="0"/>
                <w:numId w:val="132"/>
              </w:numPr>
              <w:kinsoku/>
              <w:wordWrap/>
              <w:overflowPunct/>
              <w:topLinePunct w:val="0"/>
              <w:autoSpaceDE/>
              <w:autoSpaceDN/>
              <w:bidi w:val="0"/>
              <w:adjustRightInd/>
              <w:snapToGrid/>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机身参数：</w:t>
            </w:r>
          </w:p>
          <w:p w14:paraId="3D40E8A9">
            <w:pPr>
              <w:keepNext w:val="0"/>
              <w:keepLines w:val="0"/>
              <w:pageBreakBefore w:val="0"/>
              <w:numPr>
                <w:ilvl w:val="0"/>
                <w:numId w:val="135"/>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边框材质：铝型材（氧化拉丝工艺）；</w:t>
            </w:r>
          </w:p>
          <w:p w14:paraId="7922D697">
            <w:pPr>
              <w:keepNext w:val="0"/>
              <w:keepLines w:val="0"/>
              <w:pageBreakBefore w:val="0"/>
              <w:numPr>
                <w:ilvl w:val="0"/>
                <w:numId w:val="135"/>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机身材质：镀锌板（金属喷涂工艺）；</w:t>
            </w:r>
          </w:p>
          <w:p w14:paraId="18F62BED">
            <w:pPr>
              <w:keepNext w:val="0"/>
              <w:keepLines w:val="0"/>
              <w:pageBreakBefore w:val="0"/>
              <w:numPr>
                <w:ilvl w:val="0"/>
                <w:numId w:val="135"/>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表面材质：钢化玻璃（物理钢化工艺）；</w:t>
            </w:r>
          </w:p>
          <w:p w14:paraId="7D99B172">
            <w:pPr>
              <w:keepNext w:val="0"/>
              <w:keepLines w:val="0"/>
              <w:pageBreakBefore w:val="0"/>
              <w:numPr>
                <w:ilvl w:val="0"/>
                <w:numId w:val="135"/>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机身尺寸：不大于981.6*569.6*64mm；</w:t>
            </w:r>
          </w:p>
          <w:p w14:paraId="3C77594A">
            <w:pPr>
              <w:keepNext w:val="0"/>
              <w:keepLines w:val="0"/>
              <w:pageBreakBefore w:val="0"/>
              <w:numPr>
                <w:ilvl w:val="0"/>
                <w:numId w:val="132"/>
              </w:numPr>
              <w:kinsoku/>
              <w:wordWrap/>
              <w:overflowPunct/>
              <w:topLinePunct w:val="0"/>
              <w:autoSpaceDE/>
              <w:autoSpaceDN/>
              <w:bidi w:val="0"/>
              <w:adjustRightInd/>
              <w:snapToGrid/>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底座参数：</w:t>
            </w:r>
          </w:p>
          <w:p w14:paraId="24CFCCEB">
            <w:pPr>
              <w:keepNext w:val="0"/>
              <w:keepLines w:val="0"/>
              <w:pageBreakBefore w:val="0"/>
              <w:numPr>
                <w:ilvl w:val="0"/>
                <w:numId w:val="136"/>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材质：镀锌板；</w:t>
            </w:r>
          </w:p>
          <w:p w14:paraId="36AE18A5">
            <w:pPr>
              <w:keepNext w:val="0"/>
              <w:keepLines w:val="0"/>
              <w:pageBreakBefore w:val="0"/>
              <w:numPr>
                <w:ilvl w:val="0"/>
                <w:numId w:val="136"/>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安装孔位：400*200mm；</w:t>
            </w:r>
          </w:p>
          <w:p w14:paraId="160EC85D">
            <w:pPr>
              <w:keepNext w:val="0"/>
              <w:keepLines w:val="0"/>
              <w:pageBreakBefore w:val="0"/>
              <w:numPr>
                <w:ilvl w:val="0"/>
                <w:numId w:val="136"/>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底座重量：8KG；</w:t>
            </w:r>
          </w:p>
          <w:p w14:paraId="510DA244">
            <w:pPr>
              <w:keepNext w:val="0"/>
              <w:keepLines w:val="0"/>
              <w:pageBreakBefore w:val="0"/>
              <w:numPr>
                <w:ilvl w:val="0"/>
                <w:numId w:val="136"/>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配件：调节脚杯*4个；</w:t>
            </w:r>
          </w:p>
          <w:p w14:paraId="19A9947E">
            <w:pPr>
              <w:keepNext w:val="0"/>
              <w:keepLines w:val="0"/>
              <w:pageBreakBefore w:val="0"/>
              <w:numPr>
                <w:ilvl w:val="0"/>
                <w:numId w:val="136"/>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M8螺丝*4颗；</w:t>
            </w:r>
          </w:p>
          <w:p w14:paraId="404A9105">
            <w:pPr>
              <w:keepNext w:val="0"/>
              <w:keepLines w:val="0"/>
              <w:pageBreakBefore w:val="0"/>
              <w:numPr>
                <w:ilvl w:val="0"/>
                <w:numId w:val="132"/>
              </w:numPr>
              <w:kinsoku/>
              <w:wordWrap/>
              <w:overflowPunct/>
              <w:topLinePunct w:val="0"/>
              <w:autoSpaceDE/>
              <w:autoSpaceDN/>
              <w:bidi w:val="0"/>
              <w:adjustRightInd/>
              <w:snapToGrid/>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电气性能：</w:t>
            </w:r>
          </w:p>
          <w:p w14:paraId="278A9217">
            <w:pPr>
              <w:keepNext w:val="0"/>
              <w:keepLines w:val="0"/>
              <w:pageBreakBefore w:val="0"/>
              <w:numPr>
                <w:ilvl w:val="0"/>
                <w:numId w:val="13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输入电压：AC110-220V；</w:t>
            </w:r>
          </w:p>
          <w:p w14:paraId="0432BFB8">
            <w:pPr>
              <w:keepNext w:val="0"/>
              <w:keepLines w:val="0"/>
              <w:pageBreakBefore w:val="0"/>
              <w:numPr>
                <w:ilvl w:val="0"/>
                <w:numId w:val="13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待机功率：≦1W；</w:t>
            </w:r>
          </w:p>
          <w:p w14:paraId="062F16F5">
            <w:pPr>
              <w:keepNext w:val="0"/>
              <w:keepLines w:val="0"/>
              <w:pageBreakBefore w:val="0"/>
              <w:numPr>
                <w:ilvl w:val="0"/>
                <w:numId w:val="13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额定功率：≦55W；</w:t>
            </w:r>
          </w:p>
          <w:p w14:paraId="6BB3D177">
            <w:pPr>
              <w:keepNext w:val="0"/>
              <w:keepLines w:val="0"/>
              <w:pageBreakBefore w:val="0"/>
              <w:numPr>
                <w:ilvl w:val="0"/>
                <w:numId w:val="13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存储环境：温度‐5℃~60℃/湿度10%RH~90%RH；</w:t>
            </w:r>
          </w:p>
          <w:p w14:paraId="5796631E">
            <w:pPr>
              <w:keepNext w:val="0"/>
              <w:keepLines w:val="0"/>
              <w:pageBreakBefore w:val="0"/>
              <w:numPr>
                <w:ilvl w:val="0"/>
                <w:numId w:val="13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工作环境：温度‐0℃~55℃/湿度10%RH~90%RH；</w:t>
            </w:r>
          </w:p>
        </w:tc>
        <w:tc>
          <w:tcPr>
            <w:tcW w:w="82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20DD011">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台</w:t>
            </w:r>
          </w:p>
        </w:tc>
        <w:tc>
          <w:tcPr>
            <w:tcW w:w="78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35D4A79">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按需配置并征得采购人书面同意</w:t>
            </w:r>
          </w:p>
        </w:tc>
      </w:tr>
      <w:tr w14:paraId="54F94030">
        <w:tblPrEx>
          <w:tblBorders>
            <w:top w:val="single" w:color="B8CCE4" w:sz="6" w:space="0"/>
            <w:left w:val="single" w:color="B8CCE4" w:sz="6" w:space="0"/>
            <w:bottom w:val="single" w:color="B8CCE4" w:sz="6" w:space="0"/>
            <w:right w:val="single" w:color="B8CCE4" w:sz="6" w:space="0"/>
            <w:insideH w:val="single" w:color="B8CCE4" w:sz="6" w:space="0"/>
            <w:insideV w:val="single" w:color="B8CCE4" w:sz="6" w:space="0"/>
          </w:tblBorders>
          <w:tblCellMar>
            <w:top w:w="0" w:type="dxa"/>
            <w:left w:w="108" w:type="dxa"/>
            <w:bottom w:w="0" w:type="dxa"/>
            <w:right w:w="108" w:type="dxa"/>
          </w:tblCellMar>
        </w:tblPrEx>
        <w:trPr>
          <w:trHeight w:val="227" w:hRule="atLeast"/>
          <w:jc w:val="center"/>
        </w:trPr>
        <w:tc>
          <w:tcPr>
            <w:tcW w:w="74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233307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10</w:t>
            </w:r>
          </w:p>
        </w:tc>
        <w:tc>
          <w:tcPr>
            <w:tcW w:w="12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4E034A6">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智能溯源收货秤</w:t>
            </w:r>
          </w:p>
        </w:tc>
        <w:tc>
          <w:tcPr>
            <w:tcW w:w="611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970103C">
            <w:pPr>
              <w:keepNext w:val="0"/>
              <w:keepLines w:val="0"/>
              <w:pageBreakBefore w:val="0"/>
              <w:numPr>
                <w:ilvl w:val="0"/>
                <w:numId w:val="138"/>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功能</w:t>
            </w:r>
            <w:r>
              <w:rPr>
                <w:rFonts w:hint="eastAsia" w:ascii="宋体" w:hAnsi="宋体" w:eastAsia="宋体" w:cs="宋体"/>
                <w:color w:val="auto"/>
                <w:kern w:val="0"/>
                <w:sz w:val="24"/>
                <w:szCs w:val="24"/>
                <w:lang w:bidi="ar"/>
              </w:rPr>
              <w:t>描述：</w:t>
            </w:r>
          </w:p>
          <w:p w14:paraId="0170E6D9">
            <w:pPr>
              <w:keepNext w:val="0"/>
              <w:keepLines w:val="0"/>
              <w:pageBreakBefore w:val="0"/>
              <w:numPr>
                <w:ilvl w:val="0"/>
                <w:numId w:val="13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快速验货登记、票证拍照、快捷验收，生成台账；</w:t>
            </w:r>
          </w:p>
          <w:p w14:paraId="46C23D62">
            <w:pPr>
              <w:keepNext w:val="0"/>
              <w:keepLines w:val="0"/>
              <w:pageBreakBefore w:val="0"/>
              <w:numPr>
                <w:ilvl w:val="0"/>
                <w:numId w:val="13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快速出库登记、领料，并自动生成台账；</w:t>
            </w:r>
          </w:p>
          <w:p w14:paraId="588AAE63">
            <w:pPr>
              <w:keepNext w:val="0"/>
              <w:keepLines w:val="0"/>
              <w:pageBreakBefore w:val="0"/>
              <w:numPr>
                <w:ilvl w:val="0"/>
                <w:numId w:val="13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进行现有库存明细查询；</w:t>
            </w:r>
          </w:p>
          <w:p w14:paraId="144B7BD9">
            <w:pPr>
              <w:keepNext w:val="0"/>
              <w:keepLines w:val="0"/>
              <w:pageBreakBefore w:val="0"/>
              <w:numPr>
                <w:ilvl w:val="0"/>
                <w:numId w:val="138"/>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设备参数：</w:t>
            </w:r>
          </w:p>
          <w:p w14:paraId="1BAB6617">
            <w:pPr>
              <w:keepNext w:val="0"/>
              <w:keepLines w:val="0"/>
              <w:pageBreakBefore w:val="0"/>
              <w:numPr>
                <w:ilvl w:val="0"/>
                <w:numId w:val="140"/>
              </w:numPr>
              <w:kinsoku/>
              <w:wordWrap/>
              <w:overflowPunct/>
              <w:topLinePunct w:val="0"/>
              <w:autoSpaceDE/>
              <w:autoSpaceDN/>
              <w:bidi w:val="0"/>
              <w:adjustRightInd/>
              <w:snapToGrid/>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主要参数</w:t>
            </w:r>
          </w:p>
          <w:p w14:paraId="364432D0">
            <w:pPr>
              <w:keepNext w:val="0"/>
              <w:keepLines w:val="0"/>
              <w:pageBreakBefore w:val="0"/>
              <w:numPr>
                <w:ilvl w:val="0"/>
                <w:numId w:val="141"/>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主板：不低于armrk3568的性能；</w:t>
            </w:r>
          </w:p>
          <w:p w14:paraId="7DC3106B">
            <w:pPr>
              <w:keepNext w:val="0"/>
              <w:keepLines w:val="0"/>
              <w:pageBreakBefore w:val="0"/>
              <w:numPr>
                <w:ilvl w:val="0"/>
                <w:numId w:val="141"/>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操作系统：安卓；</w:t>
            </w:r>
          </w:p>
          <w:p w14:paraId="4A285AF7">
            <w:pPr>
              <w:keepNext w:val="0"/>
              <w:keepLines w:val="0"/>
              <w:pageBreakBefore w:val="0"/>
              <w:numPr>
                <w:ilvl w:val="0"/>
                <w:numId w:val="141"/>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内存：4G+32G；</w:t>
            </w:r>
          </w:p>
          <w:p w14:paraId="316E6442">
            <w:pPr>
              <w:keepNext w:val="0"/>
              <w:keepLines w:val="0"/>
              <w:pageBreakBefore w:val="0"/>
              <w:numPr>
                <w:ilvl w:val="0"/>
                <w:numId w:val="141"/>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网络：以太网wifi；</w:t>
            </w:r>
          </w:p>
          <w:p w14:paraId="1C3F2867">
            <w:pPr>
              <w:keepNext w:val="0"/>
              <w:keepLines w:val="0"/>
              <w:pageBreakBefore w:val="0"/>
              <w:numPr>
                <w:ilvl w:val="0"/>
                <w:numId w:val="141"/>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屏幕：14.1寸电容屏；1280*800；</w:t>
            </w:r>
          </w:p>
          <w:p w14:paraId="4EEF361C">
            <w:pPr>
              <w:keepNext w:val="0"/>
              <w:keepLines w:val="0"/>
              <w:pageBreakBefore w:val="0"/>
              <w:numPr>
                <w:ilvl w:val="0"/>
                <w:numId w:val="141"/>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最大量程：150KG；</w:t>
            </w:r>
          </w:p>
          <w:p w14:paraId="472D48C7">
            <w:pPr>
              <w:keepNext w:val="0"/>
              <w:keepLines w:val="0"/>
              <w:pageBreakBefore w:val="0"/>
              <w:numPr>
                <w:ilvl w:val="0"/>
                <w:numId w:val="141"/>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分度数：3000；</w:t>
            </w:r>
          </w:p>
          <w:p w14:paraId="0718BB32">
            <w:pPr>
              <w:keepNext w:val="0"/>
              <w:keepLines w:val="0"/>
              <w:pageBreakBefore w:val="0"/>
              <w:numPr>
                <w:ilvl w:val="0"/>
                <w:numId w:val="141"/>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分度值：50g；</w:t>
            </w:r>
          </w:p>
          <w:p w14:paraId="64392E00">
            <w:pPr>
              <w:keepNext w:val="0"/>
              <w:keepLines w:val="0"/>
              <w:pageBreakBefore w:val="0"/>
              <w:numPr>
                <w:ilvl w:val="0"/>
                <w:numId w:val="141"/>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最小量程：1000g；</w:t>
            </w:r>
          </w:p>
          <w:p w14:paraId="4831216D">
            <w:pPr>
              <w:keepNext w:val="0"/>
              <w:keepLines w:val="0"/>
              <w:pageBreakBefore w:val="0"/>
              <w:numPr>
                <w:ilvl w:val="0"/>
                <w:numId w:val="141"/>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秤台尺寸：不低于400mm*500mm；</w:t>
            </w:r>
          </w:p>
          <w:p w14:paraId="27C58853">
            <w:pPr>
              <w:keepNext w:val="0"/>
              <w:keepLines w:val="0"/>
              <w:pageBreakBefore w:val="0"/>
              <w:numPr>
                <w:ilvl w:val="0"/>
                <w:numId w:val="141"/>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电源充电器</w:t>
            </w:r>
            <w:r>
              <w:rPr>
                <w:rFonts w:hint="eastAsia" w:ascii="宋体" w:hAnsi="宋体" w:eastAsia="宋体" w:cs="宋体"/>
                <w:color w:val="auto"/>
                <w:sz w:val="24"/>
                <w:szCs w:val="24"/>
              </w:rPr>
              <w:tab/>
            </w:r>
            <w:r>
              <w:rPr>
                <w:rFonts w:hint="eastAsia" w:ascii="宋体" w:hAnsi="宋体" w:eastAsia="宋体" w:cs="宋体"/>
                <w:color w:val="auto"/>
                <w:sz w:val="24"/>
                <w:szCs w:val="24"/>
              </w:rPr>
              <w:t>输入AC220V,输出DC12.6V/5A；</w:t>
            </w:r>
          </w:p>
          <w:p w14:paraId="4F6BCBA5">
            <w:pPr>
              <w:keepNext w:val="0"/>
              <w:keepLines w:val="0"/>
              <w:pageBreakBefore w:val="0"/>
              <w:numPr>
                <w:ilvl w:val="0"/>
                <w:numId w:val="141"/>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环境湿度：0～90%空气湿度，无冷凝；</w:t>
            </w:r>
          </w:p>
          <w:p w14:paraId="6879C195">
            <w:pPr>
              <w:keepNext w:val="0"/>
              <w:keepLines w:val="0"/>
              <w:pageBreakBefore w:val="0"/>
              <w:numPr>
                <w:ilvl w:val="0"/>
                <w:numId w:val="141"/>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电池：12V10000mAh锂电池组，常温非打印状态下，可正常工作约10—12小时；</w:t>
            </w:r>
          </w:p>
          <w:p w14:paraId="6106EC27">
            <w:pPr>
              <w:keepNext w:val="0"/>
              <w:keepLines w:val="0"/>
              <w:pageBreakBefore w:val="0"/>
              <w:numPr>
                <w:ilvl w:val="0"/>
                <w:numId w:val="141"/>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摄像头：800万像素；</w:t>
            </w:r>
          </w:p>
        </w:tc>
        <w:tc>
          <w:tcPr>
            <w:tcW w:w="82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C8268AC">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台</w:t>
            </w:r>
          </w:p>
        </w:tc>
        <w:tc>
          <w:tcPr>
            <w:tcW w:w="78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772D5C7">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按需配置并征得采购人书面同意</w:t>
            </w:r>
          </w:p>
        </w:tc>
      </w:tr>
      <w:tr w14:paraId="7F17D951">
        <w:tblPrEx>
          <w:tblBorders>
            <w:top w:val="single" w:color="B8CCE4" w:sz="6" w:space="0"/>
            <w:left w:val="single" w:color="B8CCE4" w:sz="6" w:space="0"/>
            <w:bottom w:val="single" w:color="B8CCE4" w:sz="6" w:space="0"/>
            <w:right w:val="single" w:color="B8CCE4" w:sz="6" w:space="0"/>
            <w:insideH w:val="single" w:color="B8CCE4" w:sz="6" w:space="0"/>
            <w:insideV w:val="single" w:color="B8CCE4" w:sz="6" w:space="0"/>
          </w:tblBorders>
          <w:tblCellMar>
            <w:top w:w="0" w:type="dxa"/>
            <w:left w:w="108" w:type="dxa"/>
            <w:bottom w:w="0" w:type="dxa"/>
            <w:right w:w="108" w:type="dxa"/>
          </w:tblCellMar>
        </w:tblPrEx>
        <w:trPr>
          <w:trHeight w:val="227" w:hRule="atLeast"/>
          <w:jc w:val="center"/>
        </w:trPr>
        <w:tc>
          <w:tcPr>
            <w:tcW w:w="74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3B6D046">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11</w:t>
            </w:r>
          </w:p>
        </w:tc>
        <w:tc>
          <w:tcPr>
            <w:tcW w:w="12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22D37FA">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餐饮具消毒监管</w:t>
            </w:r>
          </w:p>
        </w:tc>
        <w:tc>
          <w:tcPr>
            <w:tcW w:w="611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7EC0331">
            <w:pPr>
              <w:keepNext w:val="0"/>
              <w:keepLines w:val="0"/>
              <w:pageBreakBefore w:val="0"/>
              <w:numPr>
                <w:ilvl w:val="0"/>
                <w:numId w:val="142"/>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功能描述：</w:t>
            </w:r>
          </w:p>
          <w:p w14:paraId="273528BF">
            <w:pPr>
              <w:keepNext w:val="0"/>
              <w:keepLines w:val="0"/>
              <w:pageBreakBefore w:val="0"/>
              <w:numPr>
                <w:ilvl w:val="0"/>
                <w:numId w:val="143"/>
              </w:numPr>
              <w:kinsoku/>
              <w:wordWrap/>
              <w:overflowPunct/>
              <w:topLinePunct w:val="0"/>
              <w:autoSpaceDE/>
              <w:autoSpaceDN/>
              <w:bidi w:val="0"/>
              <w:adjustRightInd/>
              <w:snapToGrid/>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支持现场实时监测，数据实时统计，系统远程预警；</w:t>
            </w:r>
          </w:p>
          <w:p w14:paraId="541DC243">
            <w:pPr>
              <w:keepNext w:val="0"/>
              <w:keepLines w:val="0"/>
              <w:pageBreakBefore w:val="0"/>
              <w:numPr>
                <w:ilvl w:val="0"/>
                <w:numId w:val="142"/>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智能空开设备参数：</w:t>
            </w:r>
          </w:p>
          <w:p w14:paraId="1B292589">
            <w:pPr>
              <w:keepNext w:val="0"/>
              <w:keepLines w:val="0"/>
              <w:pageBreakBefore w:val="0"/>
              <w:numPr>
                <w:ilvl w:val="0"/>
                <w:numId w:val="144"/>
              </w:numPr>
              <w:kinsoku/>
              <w:wordWrap/>
              <w:overflowPunct/>
              <w:topLinePunct w:val="0"/>
              <w:autoSpaceDE/>
              <w:autoSpaceDN/>
              <w:bidi w:val="0"/>
              <w:adjustRightInd/>
              <w:snapToGrid/>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主要参数：</w:t>
            </w:r>
          </w:p>
          <w:p w14:paraId="3E08AD1E">
            <w:pPr>
              <w:keepNext w:val="0"/>
              <w:keepLines w:val="0"/>
              <w:pageBreakBefore w:val="0"/>
              <w:numPr>
                <w:ilvl w:val="0"/>
                <w:numId w:val="145"/>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环境温度：-15℃～40℃;空气相对湿度：≤95%（不凝露）</w:t>
            </w:r>
          </w:p>
          <w:p w14:paraId="7C4065EC">
            <w:pPr>
              <w:keepNext w:val="0"/>
              <w:keepLines w:val="0"/>
              <w:pageBreakBefore w:val="0"/>
              <w:numPr>
                <w:ilvl w:val="0"/>
                <w:numId w:val="145"/>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海拔≤2000m;污染等级：2级;无显著振动和冲击的地方</w:t>
            </w:r>
          </w:p>
          <w:p w14:paraId="32A3C55D">
            <w:pPr>
              <w:keepNext w:val="0"/>
              <w:keepLines w:val="0"/>
              <w:pageBreakBefore w:val="0"/>
              <w:numPr>
                <w:ilvl w:val="0"/>
                <w:numId w:val="145"/>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输入电压：AC100V～250V。额定输出电压：DC12V。额定输出电流MAXDC2A。</w:t>
            </w:r>
          </w:p>
          <w:p w14:paraId="342CD690">
            <w:pPr>
              <w:keepNext w:val="0"/>
              <w:keepLines w:val="0"/>
              <w:pageBreakBefore w:val="0"/>
              <w:numPr>
                <w:ilvl w:val="0"/>
                <w:numId w:val="145"/>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防雷击浪涌保护，最大泄放电流：20kA。安装方式：导轨卡口。</w:t>
            </w:r>
          </w:p>
          <w:p w14:paraId="5FB18809">
            <w:pPr>
              <w:keepNext w:val="0"/>
              <w:keepLines w:val="0"/>
              <w:pageBreakBefore w:val="0"/>
              <w:numPr>
                <w:ilvl w:val="0"/>
                <w:numId w:val="142"/>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电源模组设备参数：、</w:t>
            </w:r>
          </w:p>
          <w:p w14:paraId="79B6B8E8">
            <w:pPr>
              <w:keepNext w:val="0"/>
              <w:keepLines w:val="0"/>
              <w:pageBreakBefore w:val="0"/>
              <w:numPr>
                <w:ilvl w:val="0"/>
                <w:numId w:val="146"/>
              </w:numPr>
              <w:kinsoku/>
              <w:wordWrap/>
              <w:overflowPunct/>
              <w:topLinePunct w:val="0"/>
              <w:autoSpaceDE/>
              <w:autoSpaceDN/>
              <w:bidi w:val="0"/>
              <w:adjustRightInd/>
              <w:snapToGrid/>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主要参数：</w:t>
            </w:r>
          </w:p>
          <w:p w14:paraId="20650BB0">
            <w:pPr>
              <w:keepNext w:val="0"/>
              <w:keepLines w:val="0"/>
              <w:pageBreakBefore w:val="0"/>
              <w:numPr>
                <w:ilvl w:val="0"/>
                <w:numId w:val="14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外形尺寸不高于94*35*70mm（尺寸公差：±1mm）;安装占位2P;安装方式导轨卡扣安装</w:t>
            </w:r>
          </w:p>
          <w:p w14:paraId="7CEB913C">
            <w:pPr>
              <w:keepNext w:val="0"/>
              <w:keepLines w:val="0"/>
              <w:pageBreakBefore w:val="0"/>
              <w:numPr>
                <w:ilvl w:val="0"/>
                <w:numId w:val="14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重量≈220g;允许线径MAX25mm;AC输入2*25mm;2接地端子25mm</w:t>
            </w:r>
          </w:p>
          <w:p w14:paraId="1A054A81">
            <w:pPr>
              <w:keepNext w:val="0"/>
              <w:keepLines w:val="0"/>
              <w:pageBreakBefore w:val="0"/>
              <w:numPr>
                <w:ilvl w:val="0"/>
                <w:numId w:val="14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2DC输出6PIN针端子;电源指示灯红色+绿色;工作电压AC100VtoAC250V，输出电压DC12V;输出电流MAX2000mA</w:t>
            </w:r>
          </w:p>
          <w:p w14:paraId="3A5343AB">
            <w:pPr>
              <w:keepNext w:val="0"/>
              <w:keepLines w:val="0"/>
              <w:pageBreakBefore w:val="0"/>
              <w:numPr>
                <w:ilvl w:val="0"/>
                <w:numId w:val="14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静态功耗0.5W;工作温度-5to+45℃;额定泄放电流10kA;最大泄放电流20KA</w:t>
            </w:r>
          </w:p>
          <w:p w14:paraId="2E8A266C">
            <w:pPr>
              <w:keepNext w:val="0"/>
              <w:keepLines w:val="0"/>
              <w:pageBreakBefore w:val="0"/>
              <w:numPr>
                <w:ilvl w:val="0"/>
                <w:numId w:val="142"/>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通讯模组设备参数：</w:t>
            </w:r>
          </w:p>
          <w:p w14:paraId="54EF2A45">
            <w:pPr>
              <w:keepNext w:val="0"/>
              <w:keepLines w:val="0"/>
              <w:pageBreakBefore w:val="0"/>
              <w:numPr>
                <w:ilvl w:val="0"/>
                <w:numId w:val="148"/>
              </w:numPr>
              <w:kinsoku/>
              <w:wordWrap/>
              <w:overflowPunct/>
              <w:topLinePunct w:val="0"/>
              <w:autoSpaceDE/>
              <w:autoSpaceDN/>
              <w:bidi w:val="0"/>
              <w:adjustRightInd/>
              <w:snapToGrid/>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主要参数：</w:t>
            </w:r>
          </w:p>
          <w:p w14:paraId="083E8A0F">
            <w:pPr>
              <w:keepNext w:val="0"/>
              <w:keepLines w:val="0"/>
              <w:pageBreakBefore w:val="0"/>
              <w:numPr>
                <w:ilvl w:val="0"/>
                <w:numId w:val="14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工作电压DC12V;功率消耗&lt;2W;工作温度-20~70℃存储温度-40~75℃;相对湿度5%~95%（无冷凝）</w:t>
            </w:r>
          </w:p>
          <w:p w14:paraId="191E6FC4">
            <w:pPr>
              <w:keepNext w:val="0"/>
              <w:keepLines w:val="0"/>
              <w:pageBreakBefore w:val="0"/>
              <w:numPr>
                <w:ilvl w:val="0"/>
                <w:numId w:val="14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外形尺寸不高于109*72*18mm;安装占位1P;安装方式35mm导轨安装;重量≈85g</w:t>
            </w:r>
          </w:p>
          <w:p w14:paraId="6D441466">
            <w:pPr>
              <w:keepNext w:val="0"/>
              <w:keepLines w:val="0"/>
              <w:pageBreakBefore w:val="0"/>
              <w:numPr>
                <w:ilvl w:val="0"/>
                <w:numId w:val="14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6PIN数据口模组互联通讯接口，采用6PIN针连接;天线接口SMA;BUS蓝色;NET蓝色;SYS红色</w:t>
            </w:r>
          </w:p>
          <w:p w14:paraId="59628D90">
            <w:pPr>
              <w:keepNext w:val="0"/>
              <w:keepLines w:val="0"/>
              <w:pageBreakBefore w:val="0"/>
              <w:numPr>
                <w:ilvl w:val="0"/>
                <w:numId w:val="142"/>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联动模块设备参数：</w:t>
            </w:r>
          </w:p>
          <w:p w14:paraId="5371F212">
            <w:pPr>
              <w:keepNext w:val="0"/>
              <w:keepLines w:val="0"/>
              <w:pageBreakBefore w:val="0"/>
              <w:numPr>
                <w:ilvl w:val="0"/>
                <w:numId w:val="150"/>
              </w:numPr>
              <w:kinsoku/>
              <w:wordWrap/>
              <w:overflowPunct/>
              <w:topLinePunct w:val="0"/>
              <w:autoSpaceDE/>
              <w:autoSpaceDN/>
              <w:bidi w:val="0"/>
              <w:adjustRightInd/>
              <w:snapToGrid/>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主要参数：</w:t>
            </w:r>
          </w:p>
          <w:p w14:paraId="043D4BDF">
            <w:pPr>
              <w:keepNext w:val="0"/>
              <w:keepLines w:val="0"/>
              <w:pageBreakBefore w:val="0"/>
              <w:numPr>
                <w:ilvl w:val="0"/>
                <w:numId w:val="151"/>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工作电压DC12V;功率消耗1.5W;输出数;4个开关量继电器输出端子;4个数字量OC输出端子（光耦的输入输出只能2选1）</w:t>
            </w:r>
          </w:p>
          <w:p w14:paraId="65F39BFA">
            <w:pPr>
              <w:keepNext w:val="0"/>
              <w:keepLines w:val="0"/>
              <w:pageBreakBefore w:val="0"/>
              <w:numPr>
                <w:ilvl w:val="0"/>
                <w:numId w:val="151"/>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输出类型;开关量继电器输出：支持最大负载能力：125VAC/0.5A，持最大承受电压250VAC。各自独立，默认常开状态</w:t>
            </w:r>
          </w:p>
          <w:p w14:paraId="3A1D7530">
            <w:pPr>
              <w:keepNext w:val="0"/>
              <w:keepLines w:val="0"/>
              <w:pageBreakBefore w:val="0"/>
              <w:numPr>
                <w:ilvl w:val="0"/>
                <w:numId w:val="151"/>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报警输出时闭合;数字量OC输出：支持最大24V电压接入;输入数4个开关量输入端子（光耦的输入输出只能2选1）;输入类型开关量（内置电源，干接点输入）</w:t>
            </w:r>
          </w:p>
          <w:p w14:paraId="1F437D8F">
            <w:pPr>
              <w:keepNext w:val="0"/>
              <w:keepLines w:val="0"/>
              <w:pageBreakBefore w:val="0"/>
              <w:numPr>
                <w:ilvl w:val="0"/>
                <w:numId w:val="151"/>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尺寸不高于94*70*18mm（尺寸公差：±1mm）;安装占位1P;安装方式导轨安装;工作温度-15to+60℃</w:t>
            </w:r>
          </w:p>
        </w:tc>
        <w:tc>
          <w:tcPr>
            <w:tcW w:w="82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A6E8E6E">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套</w:t>
            </w:r>
          </w:p>
        </w:tc>
        <w:tc>
          <w:tcPr>
            <w:tcW w:w="78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3BC31D0">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按需配置并征得采购人书面同意</w:t>
            </w:r>
          </w:p>
        </w:tc>
      </w:tr>
      <w:tr w14:paraId="5BD686CA">
        <w:tblPrEx>
          <w:tblBorders>
            <w:top w:val="single" w:color="B8CCE4" w:sz="6" w:space="0"/>
            <w:left w:val="single" w:color="B8CCE4" w:sz="6" w:space="0"/>
            <w:bottom w:val="single" w:color="B8CCE4" w:sz="6" w:space="0"/>
            <w:right w:val="single" w:color="B8CCE4" w:sz="6" w:space="0"/>
            <w:insideH w:val="single" w:color="B8CCE4" w:sz="6" w:space="0"/>
            <w:insideV w:val="single" w:color="B8CCE4" w:sz="6" w:space="0"/>
          </w:tblBorders>
          <w:tblCellMar>
            <w:top w:w="0" w:type="dxa"/>
            <w:left w:w="108" w:type="dxa"/>
            <w:bottom w:w="0" w:type="dxa"/>
            <w:right w:w="108" w:type="dxa"/>
          </w:tblCellMar>
        </w:tblPrEx>
        <w:trPr>
          <w:trHeight w:val="227" w:hRule="atLeast"/>
          <w:jc w:val="center"/>
        </w:trPr>
        <w:tc>
          <w:tcPr>
            <w:tcW w:w="74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D81537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12</w:t>
            </w:r>
          </w:p>
        </w:tc>
        <w:tc>
          <w:tcPr>
            <w:tcW w:w="12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FF86C6D">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智能人脸留样冰箱</w:t>
            </w:r>
          </w:p>
        </w:tc>
        <w:tc>
          <w:tcPr>
            <w:tcW w:w="611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38F8DEB">
            <w:pPr>
              <w:keepNext w:val="0"/>
              <w:keepLines w:val="0"/>
              <w:pageBreakBefore w:val="0"/>
              <w:numPr>
                <w:ilvl w:val="0"/>
                <w:numId w:val="152"/>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功能</w:t>
            </w:r>
            <w:r>
              <w:rPr>
                <w:rFonts w:hint="eastAsia" w:ascii="宋体" w:hAnsi="宋体" w:eastAsia="宋体" w:cs="宋体"/>
                <w:color w:val="auto"/>
                <w:kern w:val="0"/>
                <w:sz w:val="24"/>
                <w:szCs w:val="24"/>
                <w:lang w:bidi="ar"/>
              </w:rPr>
              <w:t>描述：</w:t>
            </w:r>
          </w:p>
          <w:p w14:paraId="7EEC3287">
            <w:pPr>
              <w:keepNext w:val="0"/>
              <w:keepLines w:val="0"/>
              <w:pageBreakBefore w:val="0"/>
              <w:numPr>
                <w:ilvl w:val="0"/>
                <w:numId w:val="153"/>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专人专用（人脸识别开门）、自动除霜；</w:t>
            </w:r>
          </w:p>
          <w:p w14:paraId="7838345D">
            <w:pPr>
              <w:keepNext w:val="0"/>
              <w:keepLines w:val="0"/>
              <w:pageBreakBefore w:val="0"/>
              <w:numPr>
                <w:ilvl w:val="0"/>
                <w:numId w:val="153"/>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自动存档，记录人员、时间，方便回溯；</w:t>
            </w:r>
          </w:p>
          <w:p w14:paraId="5C4BA308">
            <w:pPr>
              <w:keepNext w:val="0"/>
              <w:keepLines w:val="0"/>
              <w:pageBreakBefore w:val="0"/>
              <w:numPr>
                <w:ilvl w:val="0"/>
                <w:numId w:val="152"/>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设备参数：</w:t>
            </w:r>
          </w:p>
          <w:p w14:paraId="36C9C69A">
            <w:pPr>
              <w:keepNext w:val="0"/>
              <w:keepLines w:val="0"/>
              <w:pageBreakBefore w:val="0"/>
              <w:numPr>
                <w:ilvl w:val="0"/>
                <w:numId w:val="154"/>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主要参数：</w:t>
            </w:r>
          </w:p>
          <w:p w14:paraId="7E55EBE9">
            <w:pPr>
              <w:keepNext w:val="0"/>
              <w:keepLines w:val="0"/>
              <w:pageBreakBefore w:val="0"/>
              <w:numPr>
                <w:ilvl w:val="0"/>
                <w:numId w:val="155"/>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外观尺寸：不低于高X宽X厚=1980X1100X630mm；</w:t>
            </w:r>
          </w:p>
          <w:p w14:paraId="242CDB8E">
            <w:pPr>
              <w:keepNext w:val="0"/>
              <w:keepLines w:val="0"/>
              <w:pageBreakBefore w:val="0"/>
              <w:numPr>
                <w:ilvl w:val="0"/>
                <w:numId w:val="155"/>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制冷温度范围：0到18度；</w:t>
            </w:r>
          </w:p>
          <w:p w14:paraId="05C436AB">
            <w:pPr>
              <w:keepNext w:val="0"/>
              <w:keepLines w:val="0"/>
              <w:pageBreakBefore w:val="0"/>
              <w:numPr>
                <w:ilvl w:val="0"/>
                <w:numId w:val="155"/>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自动除霜：具有自动除霜功能，确保蒸发器不结冰；</w:t>
            </w:r>
          </w:p>
          <w:p w14:paraId="183907C4">
            <w:pPr>
              <w:keepNext w:val="0"/>
              <w:keepLines w:val="0"/>
              <w:pageBreakBefore w:val="0"/>
              <w:numPr>
                <w:ilvl w:val="0"/>
                <w:numId w:val="155"/>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灯光控制：内部两壁具有照明LED灯管。顶部广告牌有灯光照明；</w:t>
            </w:r>
          </w:p>
          <w:p w14:paraId="43513E7B">
            <w:pPr>
              <w:keepNext w:val="0"/>
              <w:keepLines w:val="0"/>
              <w:pageBreakBefore w:val="0"/>
              <w:numPr>
                <w:ilvl w:val="0"/>
                <w:numId w:val="154"/>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门禁系统：</w:t>
            </w:r>
          </w:p>
          <w:p w14:paraId="3D708D4F">
            <w:pPr>
              <w:keepNext w:val="0"/>
              <w:keepLines w:val="0"/>
              <w:pageBreakBefore w:val="0"/>
              <w:numPr>
                <w:ilvl w:val="0"/>
                <w:numId w:val="156"/>
              </w:numPr>
              <w:kinsoku/>
              <w:wordWrap/>
              <w:overflowPunct/>
              <w:topLinePunct w:val="0"/>
              <w:autoSpaceDE/>
              <w:autoSpaceDN/>
              <w:bidi w:val="0"/>
              <w:adjustRightInd/>
              <w:snapToGrid/>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摄像头安装高度：摄像头安装位置离地面在140cm到150cm之间；</w:t>
            </w:r>
          </w:p>
          <w:p w14:paraId="5021EEF2">
            <w:pPr>
              <w:keepNext w:val="0"/>
              <w:keepLines w:val="0"/>
              <w:pageBreakBefore w:val="0"/>
              <w:numPr>
                <w:ilvl w:val="0"/>
                <w:numId w:val="156"/>
              </w:numPr>
              <w:kinsoku/>
              <w:wordWrap/>
              <w:overflowPunct/>
              <w:topLinePunct w:val="0"/>
              <w:autoSpaceDE/>
              <w:autoSpaceDN/>
              <w:bidi w:val="0"/>
              <w:adjustRightInd/>
              <w:snapToGrid/>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人脸识别要求：具有双目立体人脸识别功能，具有较强的安全性；</w:t>
            </w:r>
          </w:p>
          <w:p w14:paraId="6383F985">
            <w:pPr>
              <w:keepNext w:val="0"/>
              <w:keepLines w:val="0"/>
              <w:pageBreakBefore w:val="0"/>
              <w:numPr>
                <w:ilvl w:val="0"/>
                <w:numId w:val="156"/>
              </w:numPr>
              <w:kinsoku/>
              <w:wordWrap/>
              <w:overflowPunct/>
              <w:topLinePunct w:val="0"/>
              <w:autoSpaceDE/>
              <w:autoSpaceDN/>
              <w:bidi w:val="0"/>
              <w:adjustRightInd/>
              <w:snapToGrid/>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人脸数据设定：可以设定不少于100张预置人脸；</w:t>
            </w:r>
          </w:p>
          <w:p w14:paraId="280CB1A7">
            <w:pPr>
              <w:keepNext w:val="0"/>
              <w:keepLines w:val="0"/>
              <w:pageBreakBefore w:val="0"/>
              <w:numPr>
                <w:ilvl w:val="0"/>
                <w:numId w:val="156"/>
              </w:numPr>
              <w:kinsoku/>
              <w:wordWrap/>
              <w:overflowPunct/>
              <w:topLinePunct w:val="0"/>
              <w:autoSpaceDE/>
              <w:autoSpaceDN/>
              <w:bidi w:val="0"/>
              <w:adjustRightInd/>
              <w:snapToGrid/>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玻璃门锁：每个柜门都有独立门锁，并可通过门禁系统控制，刷脸开门。6秒落锁；</w:t>
            </w:r>
          </w:p>
          <w:p w14:paraId="4A6A6639">
            <w:pPr>
              <w:keepNext w:val="0"/>
              <w:keepLines w:val="0"/>
              <w:pageBreakBefore w:val="0"/>
              <w:numPr>
                <w:ilvl w:val="0"/>
                <w:numId w:val="156"/>
              </w:numPr>
              <w:kinsoku/>
              <w:wordWrap/>
              <w:overflowPunct/>
              <w:topLinePunct w:val="0"/>
              <w:autoSpaceDE/>
              <w:autoSpaceDN/>
              <w:bidi w:val="0"/>
              <w:adjustRightInd/>
              <w:snapToGrid/>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开门数据：门禁系统具有数据接口，可以把人员数据和开关门记录数据上传到远程服务器；</w:t>
            </w:r>
          </w:p>
          <w:p w14:paraId="3F1DFB8E">
            <w:pPr>
              <w:keepNext w:val="0"/>
              <w:keepLines w:val="0"/>
              <w:pageBreakBefore w:val="0"/>
              <w:numPr>
                <w:ilvl w:val="0"/>
                <w:numId w:val="154"/>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性能指标：</w:t>
            </w:r>
          </w:p>
          <w:p w14:paraId="3442660E">
            <w:pPr>
              <w:keepNext w:val="0"/>
              <w:keepLines w:val="0"/>
              <w:pageBreakBefore w:val="0"/>
              <w:numPr>
                <w:ilvl w:val="0"/>
                <w:numId w:val="157"/>
              </w:numPr>
              <w:kinsoku/>
              <w:wordWrap/>
              <w:overflowPunct/>
              <w:topLinePunct w:val="0"/>
              <w:autoSpaceDE/>
              <w:autoSpaceDN/>
              <w:bidi w:val="0"/>
              <w:adjustRightInd/>
              <w:snapToGrid/>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降温速度：环境温度30度时，制冷启动后，内部从环境温度降温到5度，不多于20分钟；</w:t>
            </w:r>
          </w:p>
          <w:p w14:paraId="3C7B55AD">
            <w:pPr>
              <w:keepNext w:val="0"/>
              <w:keepLines w:val="0"/>
              <w:pageBreakBefore w:val="0"/>
              <w:numPr>
                <w:ilvl w:val="0"/>
                <w:numId w:val="157"/>
              </w:numPr>
              <w:kinsoku/>
              <w:wordWrap/>
              <w:overflowPunct/>
              <w:topLinePunct w:val="0"/>
              <w:autoSpaceDE/>
              <w:autoSpaceDN/>
              <w:bidi w:val="0"/>
              <w:adjustRightInd/>
              <w:snapToGrid/>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人脸识别准确率：识别率高于95%，误识别率低于万分之一；</w:t>
            </w:r>
          </w:p>
          <w:p w14:paraId="03E1B01E">
            <w:pPr>
              <w:keepNext w:val="0"/>
              <w:keepLines w:val="0"/>
              <w:pageBreakBefore w:val="0"/>
              <w:numPr>
                <w:ilvl w:val="0"/>
                <w:numId w:val="157"/>
              </w:numPr>
              <w:kinsoku/>
              <w:wordWrap/>
              <w:overflowPunct/>
              <w:topLinePunct w:val="0"/>
              <w:autoSpaceDE/>
              <w:autoSpaceDN/>
              <w:bidi w:val="0"/>
              <w:adjustRightInd/>
              <w:snapToGrid/>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落锁要求：人脸识别成功，开锁。开锁后6秒内柜门没有打开即重新上锁；</w:t>
            </w:r>
          </w:p>
          <w:p w14:paraId="31227865">
            <w:pPr>
              <w:keepNext w:val="0"/>
              <w:keepLines w:val="0"/>
              <w:pageBreakBefore w:val="0"/>
              <w:numPr>
                <w:ilvl w:val="0"/>
                <w:numId w:val="157"/>
              </w:numPr>
              <w:kinsoku/>
              <w:wordWrap/>
              <w:overflowPunct/>
              <w:topLinePunct w:val="0"/>
              <w:autoSpaceDE/>
              <w:autoSpaceDN/>
              <w:bidi w:val="0"/>
              <w:adjustRightInd/>
              <w:snapToGrid/>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门禁抗干扰能力：门禁在接地良好情况下，不出现触控不灵情况；</w:t>
            </w:r>
          </w:p>
          <w:p w14:paraId="0EFD9601">
            <w:pPr>
              <w:keepNext w:val="0"/>
              <w:keepLines w:val="0"/>
              <w:pageBreakBefore w:val="0"/>
              <w:numPr>
                <w:ilvl w:val="0"/>
                <w:numId w:val="157"/>
              </w:numPr>
              <w:kinsoku/>
              <w:wordWrap/>
              <w:overflowPunct/>
              <w:topLinePunct w:val="0"/>
              <w:autoSpaceDE/>
              <w:autoSpaceDN/>
              <w:bidi w:val="0"/>
              <w:adjustRightInd/>
              <w:snapToGrid/>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耗电量：环境温度30度时，设定温度为5度，24小时耗电量小于4.5KWH；</w:t>
            </w:r>
          </w:p>
          <w:p w14:paraId="4A7DE14F">
            <w:pPr>
              <w:keepNext w:val="0"/>
              <w:keepLines w:val="0"/>
              <w:pageBreakBefore w:val="0"/>
              <w:numPr>
                <w:ilvl w:val="0"/>
                <w:numId w:val="154"/>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运行环境</w:t>
            </w:r>
          </w:p>
          <w:p w14:paraId="4C3A1F7E">
            <w:pPr>
              <w:keepNext w:val="0"/>
              <w:keepLines w:val="0"/>
              <w:pageBreakBefore w:val="0"/>
              <w:numPr>
                <w:ilvl w:val="0"/>
                <w:numId w:val="158"/>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环境温度：0到40度；</w:t>
            </w:r>
          </w:p>
          <w:p w14:paraId="7B6770D4">
            <w:pPr>
              <w:keepNext w:val="0"/>
              <w:keepLines w:val="0"/>
              <w:pageBreakBefore w:val="0"/>
              <w:numPr>
                <w:ilvl w:val="0"/>
                <w:numId w:val="158"/>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环境湿度：20%到95%；</w:t>
            </w:r>
          </w:p>
          <w:p w14:paraId="40DEC765">
            <w:pPr>
              <w:keepNext w:val="0"/>
              <w:keepLines w:val="0"/>
              <w:pageBreakBefore w:val="0"/>
              <w:numPr>
                <w:ilvl w:val="0"/>
                <w:numId w:val="158"/>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海拔高度：&lt;2000米；</w:t>
            </w:r>
          </w:p>
          <w:p w14:paraId="24D2B899">
            <w:pPr>
              <w:keepNext w:val="0"/>
              <w:keepLines w:val="0"/>
              <w:pageBreakBefore w:val="0"/>
              <w:numPr>
                <w:ilvl w:val="0"/>
                <w:numId w:val="158"/>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供电系统：电压220V，频率50Hz；</w:t>
            </w:r>
          </w:p>
          <w:p w14:paraId="4B2132BF">
            <w:pPr>
              <w:keepNext w:val="0"/>
              <w:keepLines w:val="0"/>
              <w:pageBreakBefore w:val="0"/>
              <w:numPr>
                <w:ilvl w:val="0"/>
                <w:numId w:val="158"/>
              </w:numPr>
              <w:kinsoku/>
              <w:wordWrap/>
              <w:overflowPunct/>
              <w:topLinePunct w:val="0"/>
              <w:autoSpaceDE/>
              <w:autoSpaceDN/>
              <w:bidi w:val="0"/>
              <w:adjustRightInd/>
              <w:snapToGrid/>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支持查询开门留样事件，留样事件支持自动生成，且保持5年以上；</w:t>
            </w:r>
          </w:p>
          <w:p w14:paraId="66B160A8">
            <w:pPr>
              <w:keepNext w:val="0"/>
              <w:keepLines w:val="0"/>
              <w:pageBreakBefore w:val="0"/>
              <w:numPr>
                <w:ilvl w:val="0"/>
                <w:numId w:val="158"/>
              </w:numPr>
              <w:kinsoku/>
              <w:wordWrap/>
              <w:overflowPunct/>
              <w:topLinePunct w:val="0"/>
              <w:autoSpaceDE/>
              <w:autoSpaceDN/>
              <w:bidi w:val="0"/>
              <w:adjustRightInd/>
              <w:snapToGrid/>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支持留样区域及权限设定，可限定留样冰箱用于档口留样还是大餐留样；</w:t>
            </w:r>
          </w:p>
        </w:tc>
        <w:tc>
          <w:tcPr>
            <w:tcW w:w="82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BB11918">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台</w:t>
            </w:r>
          </w:p>
        </w:tc>
        <w:tc>
          <w:tcPr>
            <w:tcW w:w="78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A0DD1DD">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按需配置并征得采购人书面同意</w:t>
            </w:r>
          </w:p>
        </w:tc>
      </w:tr>
      <w:tr w14:paraId="48330BC0">
        <w:tblPrEx>
          <w:tblBorders>
            <w:top w:val="single" w:color="B8CCE4" w:sz="6" w:space="0"/>
            <w:left w:val="single" w:color="B8CCE4" w:sz="6" w:space="0"/>
            <w:bottom w:val="single" w:color="B8CCE4" w:sz="6" w:space="0"/>
            <w:right w:val="single" w:color="B8CCE4" w:sz="6" w:space="0"/>
            <w:insideH w:val="single" w:color="B8CCE4" w:sz="6" w:space="0"/>
            <w:insideV w:val="single" w:color="B8CCE4" w:sz="6" w:space="0"/>
          </w:tblBorders>
          <w:tblCellMar>
            <w:top w:w="0" w:type="dxa"/>
            <w:left w:w="108" w:type="dxa"/>
            <w:bottom w:w="0" w:type="dxa"/>
            <w:right w:w="108" w:type="dxa"/>
          </w:tblCellMar>
        </w:tblPrEx>
        <w:trPr>
          <w:trHeight w:val="227" w:hRule="atLeast"/>
          <w:jc w:val="center"/>
        </w:trPr>
        <w:tc>
          <w:tcPr>
            <w:tcW w:w="74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B030C9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13</w:t>
            </w:r>
          </w:p>
        </w:tc>
        <w:tc>
          <w:tcPr>
            <w:tcW w:w="12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85D9967">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多功能食品安全检测仪</w:t>
            </w:r>
          </w:p>
        </w:tc>
        <w:tc>
          <w:tcPr>
            <w:tcW w:w="611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A084B01">
            <w:pPr>
              <w:keepNext w:val="0"/>
              <w:keepLines w:val="0"/>
              <w:pageBreakBefore w:val="0"/>
              <w:numPr>
                <w:ilvl w:val="0"/>
                <w:numId w:val="15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功能</w:t>
            </w:r>
            <w:r>
              <w:rPr>
                <w:rFonts w:hint="eastAsia" w:ascii="宋体" w:hAnsi="宋体" w:eastAsia="宋体" w:cs="宋体"/>
                <w:color w:val="auto"/>
                <w:kern w:val="0"/>
                <w:sz w:val="24"/>
                <w:szCs w:val="24"/>
                <w:lang w:bidi="ar"/>
              </w:rPr>
              <w:t>描述：</w:t>
            </w:r>
          </w:p>
          <w:p w14:paraId="455B1464">
            <w:pPr>
              <w:keepNext w:val="0"/>
              <w:keepLines w:val="0"/>
              <w:pageBreakBefore w:val="0"/>
              <w:numPr>
                <w:ilvl w:val="0"/>
                <w:numId w:val="160"/>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对多种食材进行定性定量检测，输出检测报告；</w:t>
            </w:r>
          </w:p>
          <w:p w14:paraId="06DC2FF0">
            <w:pPr>
              <w:keepNext w:val="0"/>
              <w:keepLines w:val="0"/>
              <w:pageBreakBefore w:val="0"/>
              <w:numPr>
                <w:ilvl w:val="0"/>
                <w:numId w:val="15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设备参数：</w:t>
            </w:r>
          </w:p>
          <w:p w14:paraId="1522371A">
            <w:pPr>
              <w:keepNext w:val="0"/>
              <w:keepLines w:val="0"/>
              <w:pageBreakBefore w:val="0"/>
              <w:numPr>
                <w:ilvl w:val="0"/>
                <w:numId w:val="161"/>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主要参数:</w:t>
            </w:r>
          </w:p>
          <w:p w14:paraId="357EE751">
            <w:pPr>
              <w:keepNext w:val="0"/>
              <w:keepLines w:val="0"/>
              <w:pageBreakBefore w:val="0"/>
              <w:numPr>
                <w:ilvl w:val="0"/>
                <w:numId w:val="162"/>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显示方式：支持不低于7英寸液晶触摸屏显示；</w:t>
            </w:r>
          </w:p>
          <w:p w14:paraId="3EB33F5F">
            <w:pPr>
              <w:keepNext w:val="0"/>
              <w:keepLines w:val="0"/>
              <w:pageBreakBefore w:val="0"/>
              <w:numPr>
                <w:ilvl w:val="0"/>
                <w:numId w:val="162"/>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供电方式：交直流两用，直流12V供电；</w:t>
            </w:r>
          </w:p>
          <w:p w14:paraId="7DCE95F5">
            <w:pPr>
              <w:keepNext w:val="0"/>
              <w:keepLines w:val="0"/>
              <w:pageBreakBefore w:val="0"/>
              <w:numPr>
                <w:ilvl w:val="0"/>
                <w:numId w:val="162"/>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采样方式：不间断进样，连续检测；</w:t>
            </w:r>
          </w:p>
          <w:p w14:paraId="3EE21432">
            <w:pPr>
              <w:keepNext w:val="0"/>
              <w:keepLines w:val="0"/>
              <w:pageBreakBefore w:val="0"/>
              <w:numPr>
                <w:ilvl w:val="0"/>
                <w:numId w:val="162"/>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检测内容：非食用化学物质、滥用食品添加剂、农药残留、兽药残留、重金属、病害肉、营养强化剂、抗生素类残留、激素类残留、真菌毒素类残留、化学类残留；</w:t>
            </w:r>
          </w:p>
        </w:tc>
        <w:tc>
          <w:tcPr>
            <w:tcW w:w="82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B0D562E">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台</w:t>
            </w:r>
          </w:p>
        </w:tc>
        <w:tc>
          <w:tcPr>
            <w:tcW w:w="78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E601C97">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按需配置并征得采购人书面同意</w:t>
            </w:r>
          </w:p>
        </w:tc>
      </w:tr>
      <w:tr w14:paraId="175A93E1">
        <w:tblPrEx>
          <w:tblBorders>
            <w:top w:val="single" w:color="B8CCE4" w:sz="6" w:space="0"/>
            <w:left w:val="single" w:color="B8CCE4" w:sz="6" w:space="0"/>
            <w:bottom w:val="single" w:color="B8CCE4" w:sz="6" w:space="0"/>
            <w:right w:val="single" w:color="B8CCE4" w:sz="6" w:space="0"/>
            <w:insideH w:val="single" w:color="B8CCE4" w:sz="6" w:space="0"/>
            <w:insideV w:val="single" w:color="B8CCE4" w:sz="6" w:space="0"/>
          </w:tblBorders>
          <w:tblCellMar>
            <w:top w:w="0" w:type="dxa"/>
            <w:left w:w="108" w:type="dxa"/>
            <w:bottom w:w="0" w:type="dxa"/>
            <w:right w:w="108" w:type="dxa"/>
          </w:tblCellMar>
        </w:tblPrEx>
        <w:trPr>
          <w:trHeight w:val="227" w:hRule="atLeast"/>
          <w:jc w:val="center"/>
        </w:trPr>
        <w:tc>
          <w:tcPr>
            <w:tcW w:w="74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2169B81">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14</w:t>
            </w:r>
          </w:p>
        </w:tc>
        <w:tc>
          <w:tcPr>
            <w:tcW w:w="12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4D49580">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客流量智能人员统计摄像头</w:t>
            </w:r>
          </w:p>
        </w:tc>
        <w:tc>
          <w:tcPr>
            <w:tcW w:w="611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949051F">
            <w:pPr>
              <w:keepNext w:val="0"/>
              <w:keepLines w:val="0"/>
              <w:pageBreakBefore w:val="0"/>
              <w:numPr>
                <w:ilvl w:val="0"/>
                <w:numId w:val="163"/>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功能</w:t>
            </w:r>
            <w:r>
              <w:rPr>
                <w:rFonts w:hint="eastAsia" w:ascii="宋体" w:hAnsi="宋体" w:eastAsia="宋体" w:cs="宋体"/>
                <w:color w:val="auto"/>
                <w:kern w:val="0"/>
                <w:sz w:val="24"/>
                <w:szCs w:val="24"/>
                <w:lang w:bidi="ar"/>
              </w:rPr>
              <w:t>描述：</w:t>
            </w:r>
          </w:p>
          <w:p w14:paraId="5CE872EC">
            <w:pPr>
              <w:keepNext w:val="0"/>
              <w:keepLines w:val="0"/>
              <w:pageBreakBefore w:val="0"/>
              <w:numPr>
                <w:ilvl w:val="0"/>
                <w:numId w:val="164"/>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支持进行每日食堂客流统计：人员留存、今日客流量、昨日客流、新增、近七天客流量趋势、日客流时间对比、档口热度；</w:t>
            </w:r>
          </w:p>
          <w:p w14:paraId="696F28BE">
            <w:pPr>
              <w:keepNext w:val="0"/>
              <w:keepLines w:val="0"/>
              <w:pageBreakBefore w:val="0"/>
              <w:numPr>
                <w:ilvl w:val="0"/>
                <w:numId w:val="164"/>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支持食堂档口候餐热度监管：档口候餐人员统计、日候餐人数趋势、档口抓拍、热门档口排行；</w:t>
            </w:r>
          </w:p>
          <w:p w14:paraId="1F13AB3C">
            <w:pPr>
              <w:keepNext w:val="0"/>
              <w:keepLines w:val="0"/>
              <w:pageBreakBefore w:val="0"/>
              <w:numPr>
                <w:ilvl w:val="0"/>
                <w:numId w:val="163"/>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设备参数：</w:t>
            </w:r>
          </w:p>
          <w:p w14:paraId="043020A9">
            <w:pPr>
              <w:keepNext w:val="0"/>
              <w:keepLines w:val="0"/>
              <w:pageBreakBefore w:val="0"/>
              <w:numPr>
                <w:ilvl w:val="0"/>
                <w:numId w:val="165"/>
              </w:numPr>
              <w:kinsoku/>
              <w:wordWrap/>
              <w:overflowPunct/>
              <w:topLinePunct w:val="0"/>
              <w:autoSpaceDE/>
              <w:autoSpaceDN/>
              <w:bidi w:val="0"/>
              <w:adjustRightInd/>
              <w:snapToGrid/>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主要参数：</w:t>
            </w:r>
          </w:p>
          <w:p w14:paraId="1F09FFFA">
            <w:pPr>
              <w:keepNext w:val="0"/>
              <w:keepLines w:val="0"/>
              <w:pageBreakBefore w:val="0"/>
              <w:numPr>
                <w:ilvl w:val="0"/>
                <w:numId w:val="166"/>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同时预览路数：最多20路；</w:t>
            </w:r>
          </w:p>
          <w:p w14:paraId="434743CA">
            <w:pPr>
              <w:keepNext w:val="0"/>
              <w:keepLines w:val="0"/>
              <w:pageBreakBefore w:val="0"/>
              <w:numPr>
                <w:ilvl w:val="0"/>
                <w:numId w:val="166"/>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网络存储：支持MicrQSR/MicrQSRHC/MicrQSDXC卡（最大256GB）断网本地存储及断网续传，NAS(NFS,SMB/CIFS均支持），配合海康黑卡支持SD卡加密及SD卡状态检测；</w:t>
            </w:r>
          </w:p>
          <w:p w14:paraId="232B91A5">
            <w:pPr>
              <w:keepNext w:val="0"/>
              <w:keepLines w:val="0"/>
              <w:pageBreakBefore w:val="0"/>
              <w:numPr>
                <w:ilvl w:val="0"/>
                <w:numId w:val="166"/>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用户管理：最多32个用户，可分3级用户权限管理：管理员，操作员，普通用户；</w:t>
            </w:r>
          </w:p>
          <w:p w14:paraId="06DA09B2">
            <w:pPr>
              <w:keepNext w:val="0"/>
              <w:keepLines w:val="0"/>
              <w:pageBreakBefore w:val="0"/>
              <w:numPr>
                <w:ilvl w:val="0"/>
                <w:numId w:val="166"/>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网络协议：TCP/IP，ICMP，HTTP，HTTPS，FTP，DHCP，DNS，DDNS，RTP，RTSP，RTCP，PPPoE，NTP，UPnP，SMTP，SNMP，IGMP，802.1X，QoS，IPv6，UDP，Bonjour，WebSocket，WebSockets；</w:t>
            </w:r>
          </w:p>
          <w:p w14:paraId="1A817D4C">
            <w:pPr>
              <w:keepNext w:val="0"/>
              <w:keepLines w:val="0"/>
              <w:pageBreakBefore w:val="0"/>
              <w:numPr>
                <w:ilvl w:val="0"/>
                <w:numId w:val="166"/>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接口协议（API）：开放型网络视频接口，ISAPI，GB28181，SDK，ISUP5.0；</w:t>
            </w:r>
          </w:p>
          <w:p w14:paraId="17ECA22B">
            <w:pPr>
              <w:keepNext w:val="0"/>
              <w:keepLines w:val="0"/>
              <w:pageBreakBefore w:val="0"/>
              <w:numPr>
                <w:ilvl w:val="0"/>
                <w:numId w:val="166"/>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浏览器：使用插件预览：IE11；</w:t>
            </w:r>
          </w:p>
          <w:p w14:paraId="5C6F4354">
            <w:pPr>
              <w:keepNext w:val="0"/>
              <w:keepLines w:val="0"/>
              <w:pageBreakBefore w:val="0"/>
              <w:numPr>
                <w:ilvl w:val="0"/>
                <w:numId w:val="166"/>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无插件预览：Safari12+；</w:t>
            </w:r>
          </w:p>
          <w:p w14:paraId="59CB9D82">
            <w:pPr>
              <w:keepNext w:val="0"/>
              <w:keepLines w:val="0"/>
              <w:pageBreakBefore w:val="0"/>
              <w:numPr>
                <w:ilvl w:val="0"/>
                <w:numId w:val="166"/>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使用本地服务预览：Chrome57.0+，Firefox52.0+；</w:t>
            </w:r>
          </w:p>
          <w:p w14:paraId="7E619498">
            <w:pPr>
              <w:keepNext w:val="0"/>
              <w:keepLines w:val="0"/>
              <w:pageBreakBefore w:val="0"/>
              <w:numPr>
                <w:ilvl w:val="0"/>
                <w:numId w:val="166"/>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不建议使用：Safari11+，edge；</w:t>
            </w:r>
          </w:p>
          <w:p w14:paraId="42136BC2">
            <w:pPr>
              <w:keepNext w:val="0"/>
              <w:keepLines w:val="0"/>
              <w:pageBreakBefore w:val="0"/>
              <w:numPr>
                <w:ilvl w:val="0"/>
                <w:numId w:val="166"/>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网络：1个RJ4510M/100M自适应以太网口；</w:t>
            </w:r>
          </w:p>
          <w:p w14:paraId="46ADD1E0">
            <w:pPr>
              <w:keepNext w:val="0"/>
              <w:keepLines w:val="0"/>
              <w:pageBreakBefore w:val="0"/>
              <w:numPr>
                <w:ilvl w:val="0"/>
                <w:numId w:val="166"/>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SD卡扩展：内置；MicroSD/MicroSDHC/MicroSDXC插槽，最大支持256GB；</w:t>
            </w:r>
          </w:p>
          <w:p w14:paraId="46D5B7A1">
            <w:pPr>
              <w:keepNext w:val="0"/>
              <w:keepLines w:val="0"/>
              <w:pageBreakBefore w:val="0"/>
              <w:numPr>
                <w:ilvl w:val="0"/>
                <w:numId w:val="166"/>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音频：1路输入（Linein），1路输出（Lineout），接口类型open裸线，2个内置麦克风，1个内置喇叭；</w:t>
            </w:r>
          </w:p>
          <w:p w14:paraId="6B61E779">
            <w:pPr>
              <w:keepNext w:val="0"/>
              <w:keepLines w:val="0"/>
              <w:pageBreakBefore w:val="0"/>
              <w:numPr>
                <w:ilvl w:val="0"/>
                <w:numId w:val="166"/>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报警：1路输入，1路输出（报警输入支持开关量，报警输出最大支持DC12V，30mA），接口类型open裸线；</w:t>
            </w:r>
          </w:p>
          <w:p w14:paraId="5DB87CAC">
            <w:pPr>
              <w:keepNext w:val="0"/>
              <w:keepLines w:val="0"/>
              <w:pageBreakBefore w:val="0"/>
              <w:numPr>
                <w:ilvl w:val="0"/>
                <w:numId w:val="166"/>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RS-485:1个RS-485接口，半双工模式，支持自适应HIKVISION，PELCO-P和PELCO-D协议，接口类型open裸线；</w:t>
            </w:r>
          </w:p>
          <w:p w14:paraId="2EB923D7">
            <w:pPr>
              <w:keepNext w:val="0"/>
              <w:keepLines w:val="0"/>
              <w:pageBreakBefore w:val="0"/>
              <w:numPr>
                <w:ilvl w:val="0"/>
                <w:numId w:val="166"/>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复位：支持；</w:t>
            </w:r>
          </w:p>
          <w:p w14:paraId="3866CA92">
            <w:pPr>
              <w:keepNext w:val="0"/>
              <w:keepLines w:val="0"/>
              <w:pageBreakBefore w:val="0"/>
              <w:numPr>
                <w:ilvl w:val="0"/>
                <w:numId w:val="166"/>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电源输出：DC12V，100mA，接口类型端子座；</w:t>
            </w:r>
          </w:p>
          <w:p w14:paraId="3E343FB3">
            <w:pPr>
              <w:keepNext w:val="0"/>
              <w:keepLines w:val="0"/>
              <w:pageBreakBefore w:val="0"/>
              <w:numPr>
                <w:ilvl w:val="0"/>
                <w:numId w:val="166"/>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接口类型：外甩线；</w:t>
            </w:r>
          </w:p>
          <w:p w14:paraId="6F8C15BB">
            <w:pPr>
              <w:keepNext w:val="0"/>
              <w:keepLines w:val="0"/>
              <w:pageBreakBefore w:val="0"/>
              <w:numPr>
                <w:ilvl w:val="0"/>
                <w:numId w:val="166"/>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存储温湿度</w:t>
            </w:r>
            <w:r>
              <w:rPr>
                <w:rFonts w:hint="eastAsia" w:ascii="宋体" w:hAnsi="宋体" w:eastAsia="宋体" w:cs="宋体"/>
                <w:color w:val="auto"/>
                <w:sz w:val="24"/>
                <w:szCs w:val="24"/>
              </w:rPr>
              <w:tab/>
            </w:r>
            <w:r>
              <w:rPr>
                <w:rFonts w:hint="eastAsia" w:ascii="宋体" w:hAnsi="宋体" w:eastAsia="宋体" w:cs="宋体"/>
                <w:color w:val="auto"/>
                <w:sz w:val="24"/>
                <w:szCs w:val="24"/>
              </w:rPr>
              <w:t>-30℃~60℃，湿度小于95%（无凝结）；</w:t>
            </w:r>
          </w:p>
          <w:p w14:paraId="7FEB3A76">
            <w:pPr>
              <w:keepNext w:val="0"/>
              <w:keepLines w:val="0"/>
              <w:pageBreakBefore w:val="0"/>
              <w:numPr>
                <w:ilvl w:val="0"/>
                <w:numId w:val="166"/>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启动和工作温湿度：-30℃~60℃，湿度小于95%（无凝结）；</w:t>
            </w:r>
          </w:p>
          <w:p w14:paraId="019C5831">
            <w:pPr>
              <w:keepNext w:val="0"/>
              <w:keepLines w:val="0"/>
              <w:pageBreakBefore w:val="0"/>
              <w:numPr>
                <w:ilvl w:val="0"/>
                <w:numId w:val="166"/>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电流及功耗：DC：12V，0.9A，最大功耗：10.8W；</w:t>
            </w:r>
          </w:p>
          <w:p w14:paraId="28ADE618">
            <w:pPr>
              <w:keepNext w:val="0"/>
              <w:keepLines w:val="0"/>
              <w:pageBreakBefore w:val="0"/>
              <w:numPr>
                <w:ilvl w:val="0"/>
                <w:numId w:val="166"/>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PoE：802.3at，42.5V～57V，0.32A～0.24A，最大功耗：13.5W；</w:t>
            </w:r>
          </w:p>
          <w:p w14:paraId="47DBC688">
            <w:pPr>
              <w:keepNext w:val="0"/>
              <w:keepLines w:val="0"/>
              <w:pageBreakBefore w:val="0"/>
              <w:numPr>
                <w:ilvl w:val="0"/>
                <w:numId w:val="166"/>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供电方式：DC：12V±20%，支持防反接保护；</w:t>
            </w:r>
          </w:p>
          <w:p w14:paraId="4BBE490A">
            <w:pPr>
              <w:keepNext w:val="0"/>
              <w:keepLines w:val="0"/>
              <w:pageBreakBefore w:val="0"/>
              <w:numPr>
                <w:ilvl w:val="0"/>
                <w:numId w:val="166"/>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PoE:802.3at，Type2，Class4；</w:t>
            </w:r>
          </w:p>
          <w:p w14:paraId="184E6CED">
            <w:pPr>
              <w:keepNext w:val="0"/>
              <w:keepLines w:val="0"/>
              <w:pageBreakBefore w:val="0"/>
              <w:numPr>
                <w:ilvl w:val="0"/>
                <w:numId w:val="166"/>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电源接口类型：3芯接口；</w:t>
            </w:r>
          </w:p>
          <w:p w14:paraId="098BCFE5">
            <w:pPr>
              <w:keepNext w:val="0"/>
              <w:keepLines w:val="0"/>
              <w:pageBreakBefore w:val="0"/>
              <w:numPr>
                <w:ilvl w:val="0"/>
                <w:numId w:val="166"/>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线缆长度：35cm；</w:t>
            </w:r>
          </w:p>
          <w:p w14:paraId="0E00F5D1">
            <w:pPr>
              <w:keepNext w:val="0"/>
              <w:keepLines w:val="0"/>
              <w:pageBreakBefore w:val="0"/>
              <w:numPr>
                <w:ilvl w:val="0"/>
                <w:numId w:val="166"/>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通用功能：一键恢复，心跳，镜像，密码保护，视频遮盖，水印技术，IP地址过滤；</w:t>
            </w:r>
          </w:p>
          <w:p w14:paraId="0ABB3AA5">
            <w:pPr>
              <w:keepNext w:val="0"/>
              <w:keepLines w:val="0"/>
              <w:pageBreakBefore w:val="0"/>
              <w:numPr>
                <w:ilvl w:val="0"/>
                <w:numId w:val="166"/>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恢复出厂设置：支持RESET按键，客户端或浏览器恢复；</w:t>
            </w:r>
          </w:p>
          <w:p w14:paraId="35AC7EF1">
            <w:pPr>
              <w:keepNext w:val="0"/>
              <w:keepLines w:val="0"/>
              <w:pageBreakBefore w:val="0"/>
              <w:numPr>
                <w:ilvl w:val="0"/>
                <w:numId w:val="166"/>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在线升级：支持；</w:t>
            </w:r>
          </w:p>
        </w:tc>
        <w:tc>
          <w:tcPr>
            <w:tcW w:w="82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73F1989">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台</w:t>
            </w:r>
          </w:p>
        </w:tc>
        <w:tc>
          <w:tcPr>
            <w:tcW w:w="78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106B948">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按需配置并征得采购人书面同意</w:t>
            </w:r>
          </w:p>
        </w:tc>
      </w:tr>
      <w:tr w14:paraId="4426AD7E">
        <w:tblPrEx>
          <w:tblBorders>
            <w:top w:val="single" w:color="B8CCE4" w:sz="6" w:space="0"/>
            <w:left w:val="single" w:color="B8CCE4" w:sz="6" w:space="0"/>
            <w:bottom w:val="single" w:color="B8CCE4" w:sz="6" w:space="0"/>
            <w:right w:val="single" w:color="B8CCE4" w:sz="6" w:space="0"/>
            <w:insideH w:val="single" w:color="B8CCE4" w:sz="6" w:space="0"/>
            <w:insideV w:val="single" w:color="B8CCE4" w:sz="6" w:space="0"/>
          </w:tblBorders>
          <w:tblCellMar>
            <w:top w:w="0" w:type="dxa"/>
            <w:left w:w="108" w:type="dxa"/>
            <w:bottom w:w="0" w:type="dxa"/>
            <w:right w:w="108" w:type="dxa"/>
          </w:tblCellMar>
        </w:tblPrEx>
        <w:trPr>
          <w:trHeight w:val="227" w:hRule="atLeast"/>
          <w:jc w:val="center"/>
        </w:trPr>
        <w:tc>
          <w:tcPr>
            <w:tcW w:w="74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ED66325">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15</w:t>
            </w:r>
          </w:p>
        </w:tc>
        <w:tc>
          <w:tcPr>
            <w:tcW w:w="12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5672E64">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陌生人识别摄像机</w:t>
            </w:r>
          </w:p>
        </w:tc>
        <w:tc>
          <w:tcPr>
            <w:tcW w:w="611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BCB16DF">
            <w:pPr>
              <w:keepNext w:val="0"/>
              <w:keepLines w:val="0"/>
              <w:pageBreakBefore w:val="0"/>
              <w:numPr>
                <w:ilvl w:val="0"/>
                <w:numId w:val="16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功能</w:t>
            </w:r>
            <w:r>
              <w:rPr>
                <w:rFonts w:hint="eastAsia" w:ascii="宋体" w:hAnsi="宋体" w:eastAsia="宋体" w:cs="宋体"/>
                <w:color w:val="auto"/>
                <w:kern w:val="0"/>
                <w:sz w:val="24"/>
                <w:szCs w:val="24"/>
                <w:lang w:bidi="ar"/>
              </w:rPr>
              <w:t>描述：</w:t>
            </w:r>
          </w:p>
          <w:p w14:paraId="0257EF3E">
            <w:pPr>
              <w:keepNext w:val="0"/>
              <w:keepLines w:val="0"/>
              <w:pageBreakBefore w:val="0"/>
              <w:numPr>
                <w:ilvl w:val="0"/>
                <w:numId w:val="168"/>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支持识别非食堂人员，进行风险上报，本地提醒；</w:t>
            </w:r>
          </w:p>
          <w:p w14:paraId="3346FF25">
            <w:pPr>
              <w:keepNext w:val="0"/>
              <w:keepLines w:val="0"/>
              <w:pageBreakBefore w:val="0"/>
              <w:numPr>
                <w:ilvl w:val="0"/>
                <w:numId w:val="16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陌生人识别摄像机设备参数:</w:t>
            </w:r>
          </w:p>
          <w:p w14:paraId="572913F9">
            <w:pPr>
              <w:keepNext w:val="0"/>
              <w:keepLines w:val="0"/>
              <w:pageBreakBefore w:val="0"/>
              <w:numPr>
                <w:ilvl w:val="0"/>
                <w:numId w:val="169"/>
              </w:numPr>
              <w:kinsoku/>
              <w:wordWrap/>
              <w:overflowPunct/>
              <w:topLinePunct w:val="0"/>
              <w:autoSpaceDE/>
              <w:autoSpaceDN/>
              <w:bidi w:val="0"/>
              <w:adjustRightInd/>
              <w:snapToGrid/>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主要参数：</w:t>
            </w:r>
          </w:p>
          <w:p w14:paraId="35C51483">
            <w:pPr>
              <w:keepNext w:val="0"/>
              <w:keepLines w:val="0"/>
              <w:pageBreakBefore w:val="0"/>
              <w:numPr>
                <w:ilvl w:val="0"/>
                <w:numId w:val="170"/>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主板性能：不低于算力 1.0Tops、内存:8Gbit、闪存8GBEMMC的性能；</w:t>
            </w:r>
          </w:p>
          <w:p w14:paraId="09202386">
            <w:pPr>
              <w:keepNext w:val="0"/>
              <w:keepLines w:val="0"/>
              <w:pageBreakBefore w:val="0"/>
              <w:numPr>
                <w:ilvl w:val="0"/>
                <w:numId w:val="170"/>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传感器类型：1/3"CMOS；</w:t>
            </w:r>
          </w:p>
          <w:p w14:paraId="48A23434">
            <w:pPr>
              <w:keepNext w:val="0"/>
              <w:keepLines w:val="0"/>
              <w:pageBreakBefore w:val="0"/>
              <w:numPr>
                <w:ilvl w:val="0"/>
                <w:numId w:val="170"/>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镜头类型：电动变焦；</w:t>
            </w:r>
          </w:p>
          <w:p w14:paraId="6EC6A3BB">
            <w:pPr>
              <w:keepNext w:val="0"/>
              <w:keepLines w:val="0"/>
              <w:pageBreakBefore w:val="0"/>
              <w:numPr>
                <w:ilvl w:val="0"/>
                <w:numId w:val="170"/>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视场角：(H)103.4°- 29.3°；(V)54.3°- 16.5°；(D)124.2°- 33.6°；</w:t>
            </w:r>
          </w:p>
          <w:p w14:paraId="2A1153B7">
            <w:pPr>
              <w:keepNext w:val="0"/>
              <w:keepLines w:val="0"/>
              <w:pageBreakBefore w:val="0"/>
              <w:numPr>
                <w:ilvl w:val="0"/>
                <w:numId w:val="170"/>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光圈：1.6-3.3士10%；</w:t>
            </w:r>
          </w:p>
          <w:p w14:paraId="17E0D692">
            <w:pPr>
              <w:keepNext w:val="0"/>
              <w:keepLines w:val="0"/>
              <w:pageBreakBefore w:val="0"/>
              <w:numPr>
                <w:ilvl w:val="0"/>
                <w:numId w:val="170"/>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焦距：2.8-12mm；</w:t>
            </w:r>
          </w:p>
          <w:p w14:paraId="38373DCE">
            <w:pPr>
              <w:keepNext w:val="0"/>
              <w:keepLines w:val="0"/>
              <w:pageBreakBefore w:val="0"/>
              <w:numPr>
                <w:ilvl w:val="0"/>
                <w:numId w:val="170"/>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自动聚焦：支持；</w:t>
            </w:r>
          </w:p>
          <w:p w14:paraId="63466EBD">
            <w:pPr>
              <w:keepNext w:val="0"/>
              <w:keepLines w:val="0"/>
              <w:pageBreakBefore w:val="0"/>
              <w:numPr>
                <w:ilvl w:val="0"/>
                <w:numId w:val="169"/>
              </w:numPr>
              <w:kinsoku/>
              <w:wordWrap/>
              <w:overflowPunct/>
              <w:topLinePunct w:val="0"/>
              <w:autoSpaceDE/>
              <w:autoSpaceDN/>
              <w:bidi w:val="0"/>
              <w:adjustRightInd/>
              <w:snapToGrid/>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网络特性：</w:t>
            </w:r>
          </w:p>
          <w:p w14:paraId="53B6A411">
            <w:pPr>
              <w:keepNext w:val="0"/>
              <w:keepLines w:val="0"/>
              <w:pageBreakBefore w:val="0"/>
              <w:numPr>
                <w:ilvl w:val="0"/>
                <w:numId w:val="171"/>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网络协议：HTTP, TCP, RTSP, RTP, UDP, RTCP, SMTP, FTP, DHCP, DNS, DDNSPPPoE, IPv4/v6, UPnP, NTP；</w:t>
            </w:r>
          </w:p>
          <w:p w14:paraId="5DAAD024">
            <w:pPr>
              <w:keepNext w:val="0"/>
              <w:keepLines w:val="0"/>
              <w:pageBreakBefore w:val="0"/>
              <w:numPr>
                <w:ilvl w:val="0"/>
                <w:numId w:val="171"/>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协议：Onvif,GB28181,GA/T1400,MQTT, HTTP；</w:t>
            </w:r>
          </w:p>
          <w:p w14:paraId="40C46EF7">
            <w:pPr>
              <w:keepNext w:val="0"/>
              <w:keepLines w:val="0"/>
              <w:pageBreakBefore w:val="0"/>
              <w:numPr>
                <w:ilvl w:val="0"/>
                <w:numId w:val="169"/>
              </w:numPr>
              <w:kinsoku/>
              <w:wordWrap/>
              <w:overflowPunct/>
              <w:topLinePunct w:val="0"/>
              <w:autoSpaceDE/>
              <w:autoSpaceDN/>
              <w:bidi w:val="0"/>
              <w:adjustRightInd/>
              <w:snapToGrid/>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功能参数：</w:t>
            </w:r>
          </w:p>
          <w:p w14:paraId="005C4333">
            <w:pPr>
              <w:keepNext w:val="0"/>
              <w:keepLines w:val="0"/>
              <w:pageBreakBefore w:val="0"/>
              <w:numPr>
                <w:ilvl w:val="0"/>
                <w:numId w:val="172"/>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通用行为分析：区域入侵,绊线入侵，人数统计；</w:t>
            </w:r>
          </w:p>
          <w:p w14:paraId="6548F505">
            <w:pPr>
              <w:keepNext w:val="0"/>
              <w:keepLines w:val="0"/>
              <w:pageBreakBefore w:val="0"/>
              <w:numPr>
                <w:ilvl w:val="0"/>
                <w:numId w:val="172"/>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报警功能：声光报警,隐私遮挡报警,移动侦测报警,网络故障报警,语音播报；</w:t>
            </w:r>
          </w:p>
          <w:p w14:paraId="4D27D95B">
            <w:pPr>
              <w:keepNext w:val="0"/>
              <w:keepLines w:val="0"/>
              <w:pageBreakBefore w:val="0"/>
              <w:numPr>
                <w:ilvl w:val="0"/>
                <w:numId w:val="172"/>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录像模式：手动录像,视频事件检测录像，定时录像,报警录像；</w:t>
            </w:r>
          </w:p>
          <w:p w14:paraId="0E9DD7D4">
            <w:pPr>
              <w:keepNext w:val="0"/>
              <w:keepLines w:val="0"/>
              <w:pageBreakBefore w:val="0"/>
              <w:numPr>
                <w:ilvl w:val="0"/>
                <w:numId w:val="172"/>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OSD信息叠加：时间,通道标题，设备名称，支持自定义；</w:t>
            </w:r>
          </w:p>
          <w:p w14:paraId="3550BB77">
            <w:pPr>
              <w:keepNext w:val="0"/>
              <w:keepLines w:val="0"/>
              <w:pageBreakBefore w:val="0"/>
              <w:numPr>
                <w:ilvl w:val="0"/>
                <w:numId w:val="172"/>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日夜模式：白天、夜晚,支持定时转换,手动转换，自动转换；</w:t>
            </w:r>
          </w:p>
          <w:p w14:paraId="2A9185DA">
            <w:pPr>
              <w:keepNext w:val="0"/>
              <w:keepLines w:val="0"/>
              <w:pageBreakBefore w:val="0"/>
              <w:numPr>
                <w:ilvl w:val="0"/>
                <w:numId w:val="172"/>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隐 私 遮 蔽：支持4个区域设置；</w:t>
            </w:r>
          </w:p>
          <w:p w14:paraId="70258D32">
            <w:pPr>
              <w:keepNext w:val="0"/>
              <w:keepLines w:val="0"/>
              <w:pageBreakBefore w:val="0"/>
              <w:numPr>
                <w:ilvl w:val="0"/>
                <w:numId w:val="172"/>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镜像：支持 90°/180°图像翻转；</w:t>
            </w:r>
          </w:p>
          <w:p w14:paraId="07100BB8">
            <w:pPr>
              <w:keepNext w:val="0"/>
              <w:keepLines w:val="0"/>
              <w:pageBreakBefore w:val="0"/>
              <w:numPr>
                <w:ilvl w:val="0"/>
                <w:numId w:val="172"/>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ROI：支持；</w:t>
            </w:r>
          </w:p>
          <w:p w14:paraId="6E4D46A7">
            <w:pPr>
              <w:keepNext w:val="0"/>
              <w:keepLines w:val="0"/>
              <w:pageBreakBefore w:val="0"/>
              <w:numPr>
                <w:ilvl w:val="0"/>
                <w:numId w:val="169"/>
              </w:numPr>
              <w:kinsoku/>
              <w:wordWrap/>
              <w:overflowPunct/>
              <w:topLinePunct w:val="0"/>
              <w:autoSpaceDE/>
              <w:autoSpaceDN/>
              <w:bidi w:val="0"/>
              <w:adjustRightInd/>
              <w:snapToGrid/>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接口参数：</w:t>
            </w:r>
          </w:p>
          <w:p w14:paraId="01B6B24D">
            <w:pPr>
              <w:keepNext w:val="0"/>
              <w:keepLines w:val="0"/>
              <w:pageBreakBefore w:val="0"/>
              <w:numPr>
                <w:ilvl w:val="0"/>
                <w:numId w:val="173"/>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网络接口：1个RJ45，10/100M 自适应以太网口；</w:t>
            </w:r>
          </w:p>
          <w:p w14:paraId="547FC477">
            <w:pPr>
              <w:keepNext w:val="0"/>
              <w:keepLines w:val="0"/>
              <w:pageBreakBefore w:val="0"/>
              <w:numPr>
                <w:ilvl w:val="0"/>
                <w:numId w:val="173"/>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电源接口：DC12V /2A(-15%~+10%)；</w:t>
            </w:r>
          </w:p>
          <w:p w14:paraId="0BCCE3BF">
            <w:pPr>
              <w:keepNext w:val="0"/>
              <w:keepLines w:val="0"/>
              <w:pageBreakBefore w:val="0"/>
              <w:numPr>
                <w:ilvl w:val="0"/>
                <w:numId w:val="173"/>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报警接口：1进1出；</w:t>
            </w:r>
          </w:p>
          <w:p w14:paraId="11E5D746">
            <w:pPr>
              <w:keepNext w:val="0"/>
              <w:keepLines w:val="0"/>
              <w:pageBreakBefore w:val="0"/>
              <w:numPr>
                <w:ilvl w:val="0"/>
                <w:numId w:val="173"/>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音频接口：路音频输入/1路音频输出(RCA 头)，内置 MIC/扬声器；</w:t>
            </w:r>
          </w:p>
          <w:p w14:paraId="22CA852B">
            <w:pPr>
              <w:keepNext w:val="0"/>
              <w:keepLines w:val="0"/>
              <w:pageBreakBefore w:val="0"/>
              <w:numPr>
                <w:ilvl w:val="0"/>
                <w:numId w:val="173"/>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SD 卡接口：最大容量 256GB；</w:t>
            </w:r>
          </w:p>
          <w:p w14:paraId="0AB2FA26">
            <w:pPr>
              <w:keepNext w:val="0"/>
              <w:keepLines w:val="0"/>
              <w:pageBreakBefore w:val="0"/>
              <w:numPr>
                <w:ilvl w:val="0"/>
                <w:numId w:val="173"/>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工作电压：DC12V /2A(-15%~+10%)；</w:t>
            </w:r>
          </w:p>
          <w:p w14:paraId="36A017B2">
            <w:pPr>
              <w:keepNext w:val="0"/>
              <w:keepLines w:val="0"/>
              <w:pageBreakBefore w:val="0"/>
              <w:numPr>
                <w:ilvl w:val="0"/>
                <w:numId w:val="173"/>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功耗：&lt;8W；</w:t>
            </w:r>
          </w:p>
          <w:p w14:paraId="452B8329">
            <w:pPr>
              <w:keepNext w:val="0"/>
              <w:keepLines w:val="0"/>
              <w:pageBreakBefore w:val="0"/>
              <w:numPr>
                <w:ilvl w:val="0"/>
                <w:numId w:val="173"/>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工作温度：-30℃-+60℃；</w:t>
            </w:r>
          </w:p>
          <w:p w14:paraId="10B44B89">
            <w:pPr>
              <w:keepNext w:val="0"/>
              <w:keepLines w:val="0"/>
              <w:pageBreakBefore w:val="0"/>
              <w:numPr>
                <w:ilvl w:val="0"/>
                <w:numId w:val="173"/>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工作湿度：0%~95% RH(无凝结)；</w:t>
            </w:r>
          </w:p>
          <w:p w14:paraId="4F33DDA6">
            <w:pPr>
              <w:keepNext w:val="0"/>
              <w:keepLines w:val="0"/>
              <w:pageBreakBefore w:val="0"/>
              <w:numPr>
                <w:ilvl w:val="0"/>
                <w:numId w:val="173"/>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防护等级：IP66；</w:t>
            </w:r>
          </w:p>
        </w:tc>
        <w:tc>
          <w:tcPr>
            <w:tcW w:w="82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5F405E1">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台</w:t>
            </w:r>
          </w:p>
        </w:tc>
        <w:tc>
          <w:tcPr>
            <w:tcW w:w="78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4C1A0A0">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按需配置并征得采购人书面同意</w:t>
            </w:r>
          </w:p>
        </w:tc>
      </w:tr>
      <w:tr w14:paraId="1DFE73D9">
        <w:tblPrEx>
          <w:tblBorders>
            <w:top w:val="single" w:color="B8CCE4" w:sz="6" w:space="0"/>
            <w:left w:val="single" w:color="B8CCE4" w:sz="6" w:space="0"/>
            <w:bottom w:val="single" w:color="B8CCE4" w:sz="6" w:space="0"/>
            <w:right w:val="single" w:color="B8CCE4" w:sz="6" w:space="0"/>
            <w:insideH w:val="single" w:color="B8CCE4" w:sz="6" w:space="0"/>
            <w:insideV w:val="single" w:color="B8CCE4" w:sz="6" w:space="0"/>
          </w:tblBorders>
          <w:tblCellMar>
            <w:top w:w="0" w:type="dxa"/>
            <w:left w:w="108" w:type="dxa"/>
            <w:bottom w:w="0" w:type="dxa"/>
            <w:right w:w="108" w:type="dxa"/>
          </w:tblCellMar>
        </w:tblPrEx>
        <w:trPr>
          <w:trHeight w:val="227" w:hRule="atLeast"/>
          <w:jc w:val="center"/>
        </w:trPr>
        <w:tc>
          <w:tcPr>
            <w:tcW w:w="74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33B135B">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16</w:t>
            </w:r>
          </w:p>
        </w:tc>
        <w:tc>
          <w:tcPr>
            <w:tcW w:w="12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8D14A79">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冷库摄像头</w:t>
            </w:r>
          </w:p>
        </w:tc>
        <w:tc>
          <w:tcPr>
            <w:tcW w:w="611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5EBC74B">
            <w:pPr>
              <w:keepNext w:val="0"/>
              <w:keepLines w:val="0"/>
              <w:pageBreakBefore w:val="0"/>
              <w:numPr>
                <w:ilvl w:val="0"/>
                <w:numId w:val="174"/>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功能</w:t>
            </w:r>
            <w:r>
              <w:rPr>
                <w:rFonts w:hint="eastAsia" w:ascii="宋体" w:hAnsi="宋体" w:eastAsia="宋体" w:cs="宋体"/>
                <w:color w:val="auto"/>
                <w:kern w:val="0"/>
                <w:sz w:val="24"/>
                <w:szCs w:val="24"/>
                <w:lang w:bidi="ar"/>
              </w:rPr>
              <w:t>描述：</w:t>
            </w:r>
          </w:p>
          <w:p w14:paraId="311A9105">
            <w:pPr>
              <w:keepNext w:val="0"/>
              <w:keepLines w:val="0"/>
              <w:pageBreakBefore w:val="0"/>
              <w:numPr>
                <w:ilvl w:val="0"/>
                <w:numId w:val="175"/>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支持本地场景展示、冷库内部画面、语音预警提醒(温度状态、冷库门状态、人员选留)；</w:t>
            </w:r>
          </w:p>
          <w:p w14:paraId="01B653F4">
            <w:pPr>
              <w:keepNext w:val="0"/>
              <w:keepLines w:val="0"/>
              <w:pageBreakBefore w:val="0"/>
              <w:numPr>
                <w:ilvl w:val="0"/>
                <w:numId w:val="175"/>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支持设置预警提醒时间(例:冷库门持续未关预警事件)；</w:t>
            </w:r>
          </w:p>
          <w:p w14:paraId="7C7DB217">
            <w:pPr>
              <w:keepNext w:val="0"/>
              <w:keepLines w:val="0"/>
              <w:pageBreakBefore w:val="0"/>
              <w:numPr>
                <w:ilvl w:val="0"/>
                <w:numId w:val="175"/>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支持后台查看冷库状态数据、物联预警事件数据；</w:t>
            </w:r>
          </w:p>
          <w:p w14:paraId="058874C7">
            <w:pPr>
              <w:keepNext w:val="0"/>
              <w:keepLines w:val="0"/>
              <w:pageBreakBefore w:val="0"/>
              <w:numPr>
                <w:ilvl w:val="0"/>
                <w:numId w:val="174"/>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物联中控屏设备参数：</w:t>
            </w:r>
          </w:p>
          <w:p w14:paraId="7656D18E">
            <w:pPr>
              <w:keepNext w:val="0"/>
              <w:keepLines w:val="0"/>
              <w:pageBreakBefore w:val="0"/>
              <w:numPr>
                <w:ilvl w:val="0"/>
                <w:numId w:val="176"/>
              </w:numPr>
              <w:kinsoku/>
              <w:wordWrap/>
              <w:overflowPunct/>
              <w:topLinePunct w:val="0"/>
              <w:autoSpaceDE/>
              <w:autoSpaceDN/>
              <w:bidi w:val="0"/>
              <w:adjustRightInd/>
              <w:snapToGrid/>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主要参数：</w:t>
            </w:r>
          </w:p>
          <w:p w14:paraId="2DEFAE25">
            <w:pPr>
              <w:keepNext w:val="0"/>
              <w:keepLines w:val="0"/>
              <w:pageBreakBefore w:val="0"/>
              <w:widowControl/>
              <w:numPr>
                <w:ilvl w:val="0"/>
                <w:numId w:val="17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外壳：前置钢化玻璃+塑胶外壳；</w:t>
            </w:r>
          </w:p>
          <w:p w14:paraId="2975EC1D">
            <w:pPr>
              <w:keepNext w:val="0"/>
              <w:keepLines w:val="0"/>
              <w:pageBreakBefore w:val="0"/>
              <w:widowControl/>
              <w:numPr>
                <w:ilvl w:val="0"/>
                <w:numId w:val="17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保护面板：钢化玻璃；</w:t>
            </w:r>
          </w:p>
          <w:p w14:paraId="6E00A95F">
            <w:pPr>
              <w:keepNext w:val="0"/>
              <w:keepLines w:val="0"/>
              <w:pageBreakBefore w:val="0"/>
              <w:widowControl/>
              <w:numPr>
                <w:ilvl w:val="0"/>
                <w:numId w:val="17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尺寸：不低于10.1寸；</w:t>
            </w:r>
          </w:p>
          <w:p w14:paraId="15EC34DA">
            <w:pPr>
              <w:keepNext w:val="0"/>
              <w:keepLines w:val="0"/>
              <w:pageBreakBefore w:val="0"/>
              <w:widowControl/>
              <w:numPr>
                <w:ilvl w:val="0"/>
                <w:numId w:val="17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屏幕比例：16:9；</w:t>
            </w:r>
          </w:p>
          <w:p w14:paraId="33DAB086">
            <w:pPr>
              <w:keepNext w:val="0"/>
              <w:keepLines w:val="0"/>
              <w:pageBreakBefore w:val="0"/>
              <w:widowControl/>
              <w:numPr>
                <w:ilvl w:val="0"/>
                <w:numId w:val="17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摄像头像素：100W；</w:t>
            </w:r>
          </w:p>
          <w:p w14:paraId="2FC227D0">
            <w:pPr>
              <w:keepNext w:val="0"/>
              <w:keepLines w:val="0"/>
              <w:pageBreakBefore w:val="0"/>
              <w:widowControl/>
              <w:numPr>
                <w:ilvl w:val="0"/>
                <w:numId w:val="17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像素间距：0.17925×0.17925mm；</w:t>
            </w:r>
          </w:p>
          <w:p w14:paraId="44FB3AF8">
            <w:pPr>
              <w:keepNext w:val="0"/>
              <w:keepLines w:val="0"/>
              <w:pageBreakBefore w:val="0"/>
              <w:widowControl/>
              <w:numPr>
                <w:ilvl w:val="0"/>
                <w:numId w:val="17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亮度：350cd/m²可视角度85/85/85/85（左/右/上/下）；</w:t>
            </w:r>
          </w:p>
          <w:p w14:paraId="59402CB3">
            <w:pPr>
              <w:keepNext w:val="0"/>
              <w:keepLines w:val="0"/>
              <w:pageBreakBefore w:val="0"/>
              <w:widowControl/>
              <w:numPr>
                <w:ilvl w:val="0"/>
                <w:numId w:val="17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对比度：1000:1；</w:t>
            </w:r>
          </w:p>
          <w:p w14:paraId="45219D48">
            <w:pPr>
              <w:keepNext w:val="0"/>
              <w:keepLines w:val="0"/>
              <w:pageBreakBefore w:val="0"/>
              <w:widowControl/>
              <w:numPr>
                <w:ilvl w:val="0"/>
                <w:numId w:val="17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颜色数：16.7M；</w:t>
            </w:r>
          </w:p>
          <w:p w14:paraId="533DACD8">
            <w:pPr>
              <w:keepNext w:val="0"/>
              <w:keepLines w:val="0"/>
              <w:pageBreakBefore w:val="0"/>
              <w:widowControl/>
              <w:numPr>
                <w:ilvl w:val="0"/>
                <w:numId w:val="17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灯管寿命：超过50000小时；</w:t>
            </w:r>
          </w:p>
          <w:p w14:paraId="377C5D17">
            <w:pPr>
              <w:keepNext w:val="0"/>
              <w:keepLines w:val="0"/>
              <w:pageBreakBefore w:val="0"/>
              <w:widowControl/>
              <w:numPr>
                <w:ilvl w:val="0"/>
                <w:numId w:val="17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操作系统：Android7.1.2；</w:t>
            </w:r>
          </w:p>
          <w:p w14:paraId="0386808F">
            <w:pPr>
              <w:keepNext w:val="0"/>
              <w:keepLines w:val="0"/>
              <w:pageBreakBefore w:val="0"/>
              <w:widowControl/>
              <w:numPr>
                <w:ilvl w:val="0"/>
                <w:numId w:val="17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CPU：四核；</w:t>
            </w:r>
          </w:p>
          <w:p w14:paraId="183E61B4">
            <w:pPr>
              <w:keepNext w:val="0"/>
              <w:keepLines w:val="0"/>
              <w:pageBreakBefore w:val="0"/>
              <w:widowControl/>
              <w:numPr>
                <w:ilvl w:val="0"/>
                <w:numId w:val="17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CPU主频：1.8GHz；</w:t>
            </w:r>
          </w:p>
          <w:p w14:paraId="7EF5E226">
            <w:pPr>
              <w:keepNext w:val="0"/>
              <w:keepLines w:val="0"/>
              <w:pageBreakBefore w:val="0"/>
              <w:widowControl/>
              <w:numPr>
                <w:ilvl w:val="0"/>
                <w:numId w:val="17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内存：DDR32G；</w:t>
            </w:r>
          </w:p>
          <w:p w14:paraId="0F447C04">
            <w:pPr>
              <w:keepNext w:val="0"/>
              <w:keepLines w:val="0"/>
              <w:pageBreakBefore w:val="0"/>
              <w:widowControl/>
              <w:numPr>
                <w:ilvl w:val="0"/>
                <w:numId w:val="17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内置存储容量：EMMC8G；</w:t>
            </w:r>
          </w:p>
          <w:p w14:paraId="10EA7973">
            <w:pPr>
              <w:keepNext w:val="0"/>
              <w:keepLines w:val="0"/>
              <w:pageBreakBefore w:val="0"/>
              <w:widowControl/>
              <w:numPr>
                <w:ilvl w:val="0"/>
                <w:numId w:val="17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喇叭：8Ω2W；</w:t>
            </w:r>
          </w:p>
          <w:p w14:paraId="06E0278A">
            <w:pPr>
              <w:keepNext w:val="0"/>
              <w:keepLines w:val="0"/>
              <w:pageBreakBefore w:val="0"/>
              <w:widowControl/>
              <w:numPr>
                <w:ilvl w:val="0"/>
                <w:numId w:val="17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网络：支持WiFi、BT；</w:t>
            </w:r>
          </w:p>
          <w:p w14:paraId="33575803">
            <w:pPr>
              <w:keepNext w:val="0"/>
              <w:keepLines w:val="0"/>
              <w:pageBreakBefore w:val="0"/>
              <w:widowControl/>
              <w:numPr>
                <w:ilvl w:val="0"/>
                <w:numId w:val="17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接口：I/O:2*USB，可扩展2*USB；</w:t>
            </w:r>
          </w:p>
          <w:p w14:paraId="78A5AD60">
            <w:pPr>
              <w:keepNext w:val="0"/>
              <w:keepLines w:val="0"/>
              <w:pageBreakBefore w:val="0"/>
              <w:widowControl/>
              <w:numPr>
                <w:ilvl w:val="0"/>
                <w:numId w:val="17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工作环境温度：0～50摄氏度；</w:t>
            </w:r>
          </w:p>
          <w:p w14:paraId="44C3880E">
            <w:pPr>
              <w:keepNext w:val="0"/>
              <w:keepLines w:val="0"/>
              <w:pageBreakBefore w:val="0"/>
              <w:widowControl/>
              <w:numPr>
                <w:ilvl w:val="0"/>
                <w:numId w:val="17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触摸精度：±2mm；</w:t>
            </w:r>
          </w:p>
          <w:p w14:paraId="4164E46F">
            <w:pPr>
              <w:keepNext w:val="0"/>
              <w:keepLines w:val="0"/>
              <w:pageBreakBefore w:val="0"/>
              <w:widowControl/>
              <w:numPr>
                <w:ilvl w:val="0"/>
                <w:numId w:val="17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响应时间：25ms~30ms；</w:t>
            </w:r>
          </w:p>
          <w:p w14:paraId="3E0D8598">
            <w:pPr>
              <w:keepNext w:val="0"/>
              <w:keepLines w:val="0"/>
              <w:pageBreakBefore w:val="0"/>
              <w:widowControl/>
              <w:numPr>
                <w:ilvl w:val="0"/>
                <w:numId w:val="17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可识别物体：手指或者专用触摸笔；</w:t>
            </w:r>
          </w:p>
          <w:p w14:paraId="7AEB0938">
            <w:pPr>
              <w:keepNext w:val="0"/>
              <w:keepLines w:val="0"/>
              <w:pageBreakBefore w:val="0"/>
              <w:widowControl/>
              <w:numPr>
                <w:ilvl w:val="0"/>
                <w:numId w:val="17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透明度：≥85％±2％；</w:t>
            </w:r>
          </w:p>
          <w:p w14:paraId="3C12B799">
            <w:pPr>
              <w:keepNext w:val="0"/>
              <w:keepLines w:val="0"/>
              <w:pageBreakBefore w:val="0"/>
              <w:widowControl/>
              <w:numPr>
                <w:ilvl w:val="0"/>
                <w:numId w:val="17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温度范围：工作温度：-10℃~60℃；</w:t>
            </w:r>
          </w:p>
          <w:p w14:paraId="19CA93A8">
            <w:pPr>
              <w:keepNext w:val="0"/>
              <w:keepLines w:val="0"/>
              <w:pageBreakBefore w:val="0"/>
              <w:widowControl/>
              <w:numPr>
                <w:ilvl w:val="0"/>
                <w:numId w:val="17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供电方式：外置12V/2A适配器；</w:t>
            </w:r>
          </w:p>
          <w:p w14:paraId="4985E13B">
            <w:pPr>
              <w:keepNext w:val="0"/>
              <w:keepLines w:val="0"/>
              <w:pageBreakBefore w:val="0"/>
              <w:widowControl/>
              <w:numPr>
                <w:ilvl w:val="0"/>
                <w:numId w:val="17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整机功率：15W；</w:t>
            </w:r>
          </w:p>
          <w:p w14:paraId="4CA12F9B">
            <w:pPr>
              <w:keepNext w:val="0"/>
              <w:keepLines w:val="0"/>
              <w:pageBreakBefore w:val="0"/>
              <w:widowControl/>
              <w:numPr>
                <w:ilvl w:val="0"/>
                <w:numId w:val="177"/>
              </w:numPr>
              <w:kinsoku/>
              <w:wordWrap/>
              <w:overflowPunct/>
              <w:topLinePunct w:val="0"/>
              <w:autoSpaceDE/>
              <w:autoSpaceDN/>
              <w:bidi w:val="0"/>
              <w:adjustRightInd/>
              <w:snapToGrid/>
              <w:spacing w:line="360" w:lineRule="exact"/>
              <w:jc w:val="left"/>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安装方式：壁挂式；</w:t>
            </w:r>
          </w:p>
          <w:p w14:paraId="7D46B6EE">
            <w:pPr>
              <w:keepNext w:val="0"/>
              <w:keepLines w:val="0"/>
              <w:pageBreakBefore w:val="0"/>
              <w:numPr>
                <w:ilvl w:val="0"/>
                <w:numId w:val="174"/>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冷库摄像头设备参数：</w:t>
            </w:r>
          </w:p>
          <w:p w14:paraId="3EDAF6F4">
            <w:pPr>
              <w:keepNext w:val="0"/>
              <w:keepLines w:val="0"/>
              <w:pageBreakBefore w:val="0"/>
              <w:numPr>
                <w:ilvl w:val="0"/>
                <w:numId w:val="178"/>
              </w:numPr>
              <w:kinsoku/>
              <w:wordWrap/>
              <w:overflowPunct/>
              <w:topLinePunct w:val="0"/>
              <w:autoSpaceDE/>
              <w:autoSpaceDN/>
              <w:bidi w:val="0"/>
              <w:adjustRightInd/>
              <w:snapToGrid/>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主要参数：</w:t>
            </w:r>
          </w:p>
          <w:p w14:paraId="70943A0D">
            <w:pPr>
              <w:keepNext w:val="0"/>
              <w:keepLines w:val="0"/>
              <w:pageBreakBefore w:val="0"/>
              <w:numPr>
                <w:ilvl w:val="0"/>
                <w:numId w:val="17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焦距&amp;视场角：2.8mm，水平视场角:98.2，垂直视场角:54.2°，对角视场角:114.6°；</w:t>
            </w:r>
          </w:p>
          <w:p w14:paraId="6B6B013E">
            <w:pPr>
              <w:keepNext w:val="0"/>
              <w:keepLines w:val="0"/>
              <w:pageBreakBefore w:val="0"/>
              <w:numPr>
                <w:ilvl w:val="0"/>
                <w:numId w:val="17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6mm，水平视场角：49.1°，垂直视场角:26.3，对角视场角:57.2；</w:t>
            </w:r>
          </w:p>
          <w:p w14:paraId="7ED9C32F">
            <w:pPr>
              <w:keepNext w:val="0"/>
              <w:keepLines w:val="0"/>
              <w:pageBreakBefore w:val="0"/>
              <w:numPr>
                <w:ilvl w:val="0"/>
                <w:numId w:val="17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光圈类型：固定光圈；</w:t>
            </w:r>
          </w:p>
          <w:p w14:paraId="5D871780">
            <w:pPr>
              <w:keepNext w:val="0"/>
              <w:keepLines w:val="0"/>
              <w:pageBreakBefore w:val="0"/>
              <w:numPr>
                <w:ilvl w:val="0"/>
                <w:numId w:val="17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最大光圈数：F1.6；</w:t>
            </w:r>
          </w:p>
          <w:p w14:paraId="70DFABC0">
            <w:pPr>
              <w:keepNext w:val="0"/>
              <w:keepLines w:val="0"/>
              <w:pageBreakBefore w:val="0"/>
              <w:numPr>
                <w:ilvl w:val="0"/>
                <w:numId w:val="17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用户管理：最多32个用户，可分3级用户权限管理:管理员，操作员，普通用户；</w:t>
            </w:r>
          </w:p>
          <w:p w14:paraId="4E4F52B1">
            <w:pPr>
              <w:keepNext w:val="0"/>
              <w:keepLines w:val="0"/>
              <w:pageBreakBefore w:val="0"/>
              <w:numPr>
                <w:ilvl w:val="0"/>
                <w:numId w:val="17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接口协议(API)：开放型网络视频接口，ISAPI，GB28181-2016，ISUP(5.0)，视图库；</w:t>
            </w:r>
          </w:p>
          <w:p w14:paraId="7A7EDF07">
            <w:pPr>
              <w:keepNext w:val="0"/>
              <w:keepLines w:val="0"/>
              <w:pageBreakBefore w:val="0"/>
              <w:numPr>
                <w:ilvl w:val="0"/>
                <w:numId w:val="17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网络存储：支持MicrosD/MicroSDHc/MicrosDXC卡(最大256 GB)断网本地存储及断网续传，NAS(NFS,SMB/CIFS均支持)，配合海康黑卡支持SD卡加密及SD卡状态检测</w:t>
            </w:r>
          </w:p>
          <w:p w14:paraId="547AC7B6">
            <w:pPr>
              <w:keepNext w:val="0"/>
              <w:keepLines w:val="0"/>
              <w:pageBreakBefore w:val="0"/>
              <w:numPr>
                <w:ilvl w:val="0"/>
                <w:numId w:val="17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网络协议：TCP/IP, ICMP, HTTP, HTTPS, FTP, DHCP, DNS, DDNS, RTP, RTSP, RTCP, PPPOE, NTPWPNP,SMTP,SNMP,IGMP,802.1X,QOS,IP6,UDP,Bonjour, sSL/TLs, Websocket.Websockets(-GL机型不支持PPPOE)；</w:t>
            </w:r>
          </w:p>
          <w:p w14:paraId="6FCA9F3C">
            <w:pPr>
              <w:keepNext w:val="0"/>
              <w:keepLines w:val="0"/>
              <w:pageBreakBefore w:val="0"/>
              <w:numPr>
                <w:ilvl w:val="0"/>
                <w:numId w:val="17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浏览器</w:t>
            </w:r>
            <w:r>
              <w:rPr>
                <w:rFonts w:hint="eastAsia" w:ascii="宋体" w:hAnsi="宋体" w:eastAsia="宋体" w:cs="宋体"/>
                <w:color w:val="auto"/>
                <w:sz w:val="24"/>
                <w:szCs w:val="24"/>
              </w:rPr>
              <w:tab/>
            </w:r>
            <w:r>
              <w:rPr>
                <w:rFonts w:hint="eastAsia" w:ascii="宋体" w:hAnsi="宋体" w:eastAsia="宋体" w:cs="宋体"/>
                <w:color w:val="auto"/>
                <w:sz w:val="24"/>
                <w:szCs w:val="24"/>
              </w:rPr>
              <w:t>使用插件预览:IE10，IE11使用本地服务预览:Chrome57.0+，Firefox52.0+无插件预览:Chrome57.0+，Firefox52.0+，Safari12+；</w:t>
            </w:r>
          </w:p>
          <w:p w14:paraId="7AF099F3">
            <w:pPr>
              <w:keepNext w:val="0"/>
              <w:keepLines w:val="0"/>
              <w:pageBreakBefore w:val="0"/>
              <w:numPr>
                <w:ilvl w:val="0"/>
                <w:numId w:val="17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客户端：iVMS-4200，董石云；</w:t>
            </w:r>
          </w:p>
          <w:p w14:paraId="784282D5">
            <w:pPr>
              <w:keepNext w:val="0"/>
              <w:keepLines w:val="0"/>
              <w:pageBreakBefore w:val="0"/>
              <w:numPr>
                <w:ilvl w:val="0"/>
                <w:numId w:val="17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同时预览路数：20.0；</w:t>
            </w:r>
          </w:p>
          <w:p w14:paraId="4931B94D">
            <w:pPr>
              <w:keepNext w:val="0"/>
              <w:keepLines w:val="0"/>
              <w:pageBreakBefore w:val="0"/>
              <w:numPr>
                <w:ilvl w:val="0"/>
                <w:numId w:val="17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网络：1个RJ45 10 M/100 M自适应以太网口；</w:t>
            </w:r>
          </w:p>
          <w:p w14:paraId="11BE8DAE">
            <w:pPr>
              <w:keepNext w:val="0"/>
              <w:keepLines w:val="0"/>
              <w:pageBreakBefore w:val="0"/>
              <w:numPr>
                <w:ilvl w:val="0"/>
                <w:numId w:val="17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音频：1路输入(Linein)，1路输出(Line out)，2个内置麦克风，1个内置扬声器；</w:t>
            </w:r>
          </w:p>
          <w:p w14:paraId="7990F56D">
            <w:pPr>
              <w:keepNext w:val="0"/>
              <w:keepLines w:val="0"/>
              <w:pageBreakBefore w:val="0"/>
              <w:numPr>
                <w:ilvl w:val="0"/>
                <w:numId w:val="17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复位：支持；</w:t>
            </w:r>
          </w:p>
          <w:p w14:paraId="467FD3DF">
            <w:pPr>
              <w:keepNext w:val="0"/>
              <w:keepLines w:val="0"/>
              <w:pageBreakBefore w:val="0"/>
              <w:numPr>
                <w:ilvl w:val="0"/>
                <w:numId w:val="17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接口类型：外甩线；</w:t>
            </w:r>
          </w:p>
          <w:p w14:paraId="297606EA">
            <w:pPr>
              <w:keepNext w:val="0"/>
              <w:keepLines w:val="0"/>
              <w:pageBreakBefore w:val="0"/>
              <w:numPr>
                <w:ilvl w:val="0"/>
                <w:numId w:val="179"/>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电源接口类型：3芯接口；</w:t>
            </w:r>
          </w:p>
          <w:p w14:paraId="491CBB51">
            <w:pPr>
              <w:keepNext w:val="0"/>
              <w:keepLines w:val="0"/>
              <w:pageBreakBefore w:val="0"/>
              <w:numPr>
                <w:ilvl w:val="0"/>
                <w:numId w:val="174"/>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IO通讯模块设备参数：</w:t>
            </w:r>
          </w:p>
          <w:p w14:paraId="3BCDD27D">
            <w:pPr>
              <w:keepNext w:val="0"/>
              <w:keepLines w:val="0"/>
              <w:pageBreakBefore w:val="0"/>
              <w:numPr>
                <w:ilvl w:val="0"/>
                <w:numId w:val="180"/>
              </w:numPr>
              <w:kinsoku/>
              <w:wordWrap/>
              <w:overflowPunct/>
              <w:topLinePunct w:val="0"/>
              <w:autoSpaceDE/>
              <w:autoSpaceDN/>
              <w:bidi w:val="0"/>
              <w:adjustRightInd/>
              <w:snapToGrid/>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主要参数：</w:t>
            </w:r>
          </w:p>
          <w:p w14:paraId="0FEB6B8A">
            <w:pPr>
              <w:keepNext w:val="0"/>
              <w:keepLines w:val="0"/>
              <w:pageBreakBefore w:val="0"/>
              <w:numPr>
                <w:ilvl w:val="0"/>
                <w:numId w:val="181"/>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触点容量:10A/250VAC；</w:t>
            </w:r>
          </w:p>
          <w:p w14:paraId="5CA8C065">
            <w:pPr>
              <w:keepNext w:val="0"/>
              <w:keepLines w:val="0"/>
              <w:pageBreakBefore w:val="0"/>
              <w:numPr>
                <w:ilvl w:val="0"/>
                <w:numId w:val="181"/>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耐久性:10万次；</w:t>
            </w:r>
          </w:p>
          <w:p w14:paraId="72559D9B">
            <w:pPr>
              <w:keepNext w:val="0"/>
              <w:keepLines w:val="0"/>
              <w:pageBreakBefore w:val="0"/>
              <w:numPr>
                <w:ilvl w:val="0"/>
                <w:numId w:val="181"/>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数据接口:RS232、RS485；</w:t>
            </w:r>
          </w:p>
          <w:p w14:paraId="0F86A9D0">
            <w:pPr>
              <w:keepNext w:val="0"/>
              <w:keepLines w:val="0"/>
              <w:pageBreakBefore w:val="0"/>
              <w:numPr>
                <w:ilvl w:val="0"/>
                <w:numId w:val="181"/>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额定电压:DC 7-30V；</w:t>
            </w:r>
          </w:p>
          <w:p w14:paraId="750FAC2F">
            <w:pPr>
              <w:keepNext w:val="0"/>
              <w:keepLines w:val="0"/>
              <w:pageBreakBefore w:val="0"/>
              <w:numPr>
                <w:ilvl w:val="0"/>
                <w:numId w:val="181"/>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电源指示:1路红色 LED 指示(通电时常亮)；</w:t>
            </w:r>
          </w:p>
          <w:p w14:paraId="68C93A44">
            <w:pPr>
              <w:keepNext w:val="0"/>
              <w:keepLines w:val="0"/>
              <w:pageBreakBefore w:val="0"/>
              <w:numPr>
                <w:ilvl w:val="0"/>
                <w:numId w:val="181"/>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温度范围:工业级，-40℃~85℃；</w:t>
            </w:r>
          </w:p>
          <w:p w14:paraId="6CC5E754">
            <w:pPr>
              <w:keepNext w:val="0"/>
              <w:keepLines w:val="0"/>
              <w:pageBreakBefore w:val="0"/>
              <w:numPr>
                <w:ilvl w:val="0"/>
                <w:numId w:val="181"/>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尺寸:不高于90*150*30mm；</w:t>
            </w:r>
          </w:p>
          <w:p w14:paraId="4542950E">
            <w:pPr>
              <w:keepNext w:val="0"/>
              <w:keepLines w:val="0"/>
              <w:pageBreakBefore w:val="0"/>
              <w:numPr>
                <w:ilvl w:val="0"/>
                <w:numId w:val="181"/>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默认通讯格式:9600,n,8,1；</w:t>
            </w:r>
          </w:p>
          <w:p w14:paraId="051CD696">
            <w:pPr>
              <w:keepNext w:val="0"/>
              <w:keepLines w:val="0"/>
              <w:pageBreakBefore w:val="0"/>
              <w:numPr>
                <w:ilvl w:val="0"/>
                <w:numId w:val="181"/>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波特率:2400.4800.9600 19200.38400.115200；</w:t>
            </w:r>
          </w:p>
          <w:p w14:paraId="125B5DBC">
            <w:pPr>
              <w:keepNext w:val="0"/>
              <w:keepLines w:val="0"/>
              <w:pageBreakBefore w:val="0"/>
              <w:numPr>
                <w:ilvl w:val="0"/>
                <w:numId w:val="181"/>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软件支持:配套配置软件、控制软件；支持各家组态软件；支持Labviewd 等；</w:t>
            </w:r>
          </w:p>
          <w:p w14:paraId="6F9F5B7A">
            <w:pPr>
              <w:keepNext w:val="0"/>
              <w:keepLines w:val="0"/>
              <w:pageBreakBefore w:val="0"/>
              <w:numPr>
                <w:ilvl w:val="0"/>
                <w:numId w:val="174"/>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温度变送器设备参数：</w:t>
            </w:r>
          </w:p>
          <w:p w14:paraId="3C85E0E9">
            <w:pPr>
              <w:keepNext w:val="0"/>
              <w:keepLines w:val="0"/>
              <w:pageBreakBefore w:val="0"/>
              <w:numPr>
                <w:ilvl w:val="0"/>
                <w:numId w:val="182"/>
              </w:numPr>
              <w:kinsoku/>
              <w:wordWrap/>
              <w:overflowPunct/>
              <w:topLinePunct w:val="0"/>
              <w:autoSpaceDE/>
              <w:autoSpaceDN/>
              <w:bidi w:val="0"/>
              <w:adjustRightInd/>
              <w:snapToGrid/>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主要参数：</w:t>
            </w:r>
          </w:p>
          <w:p w14:paraId="1A773834">
            <w:pPr>
              <w:keepNext w:val="0"/>
              <w:keepLines w:val="0"/>
              <w:pageBreakBefore w:val="0"/>
              <w:numPr>
                <w:ilvl w:val="0"/>
                <w:numId w:val="183"/>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供电电压：最小值DC 10V，标准值DC 12V，最大值DC 30V，条件：-20-70℃；</w:t>
            </w:r>
          </w:p>
          <w:p w14:paraId="3EC54614">
            <w:pPr>
              <w:keepNext w:val="0"/>
              <w:keepLines w:val="0"/>
              <w:pageBreakBefore w:val="0"/>
              <w:numPr>
                <w:ilvl w:val="0"/>
                <w:numId w:val="183"/>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RS485总线电压：最小值4V，标准值4.1V，最大值4.5V，条件：与总线断开；</w:t>
            </w:r>
          </w:p>
          <w:p w14:paraId="41D6C5F9">
            <w:pPr>
              <w:keepNext w:val="0"/>
              <w:keepLines w:val="0"/>
              <w:pageBreakBefore w:val="0"/>
              <w:numPr>
                <w:ilvl w:val="0"/>
                <w:numId w:val="183"/>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测量精度：热电阻±0.2，热电偶±1 ± 0.02%，电流电压±0.02%；</w:t>
            </w:r>
          </w:p>
          <w:p w14:paraId="7206439C">
            <w:pPr>
              <w:keepNext w:val="0"/>
              <w:keepLines w:val="0"/>
              <w:pageBreakBefore w:val="0"/>
              <w:numPr>
                <w:ilvl w:val="0"/>
                <w:numId w:val="183"/>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通信波特率：最小值1200bps，标准值9600bps，最大值115200bps；</w:t>
            </w:r>
          </w:p>
          <w:p w14:paraId="4B984E86">
            <w:pPr>
              <w:keepNext w:val="0"/>
              <w:keepLines w:val="0"/>
              <w:pageBreakBefore w:val="0"/>
              <w:numPr>
                <w:ilvl w:val="0"/>
                <w:numId w:val="174"/>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铂热电阻设备参数：</w:t>
            </w:r>
          </w:p>
          <w:p w14:paraId="218AECA5">
            <w:pPr>
              <w:keepNext w:val="0"/>
              <w:keepLines w:val="0"/>
              <w:pageBreakBefore w:val="0"/>
              <w:numPr>
                <w:ilvl w:val="0"/>
                <w:numId w:val="184"/>
              </w:numPr>
              <w:kinsoku/>
              <w:wordWrap/>
              <w:overflowPunct/>
              <w:topLinePunct w:val="0"/>
              <w:autoSpaceDE/>
              <w:autoSpaceDN/>
              <w:bidi w:val="0"/>
              <w:adjustRightInd/>
              <w:snapToGrid/>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主要参数：</w:t>
            </w:r>
          </w:p>
          <w:p w14:paraId="501DA2EC">
            <w:pPr>
              <w:keepNext w:val="0"/>
              <w:keepLines w:val="0"/>
              <w:pageBreakBefore w:val="0"/>
              <w:numPr>
                <w:ilvl w:val="0"/>
                <w:numId w:val="185"/>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分度号：Pt100(默认)/K/E/J/T/PL1000等；</w:t>
            </w:r>
          </w:p>
          <w:p w14:paraId="12706F19">
            <w:pPr>
              <w:keepNext w:val="0"/>
              <w:keepLines w:val="0"/>
              <w:pageBreakBefore w:val="0"/>
              <w:numPr>
                <w:ilvl w:val="0"/>
                <w:numId w:val="185"/>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测量范围：-50+200℃(Pt100)/0-200℃(0 /0-200℃(E)；</w:t>
            </w:r>
          </w:p>
          <w:p w14:paraId="377DA183">
            <w:pPr>
              <w:keepNext w:val="0"/>
              <w:keepLines w:val="0"/>
              <w:pageBreakBefore w:val="0"/>
              <w:numPr>
                <w:ilvl w:val="0"/>
                <w:numId w:val="185"/>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保护管直径：4mm(默认)/另有3mm、5mm.6mm等可选择定制；</w:t>
            </w:r>
          </w:p>
          <w:p w14:paraId="5E2BE50F">
            <w:pPr>
              <w:keepNext w:val="0"/>
              <w:keepLines w:val="0"/>
              <w:pageBreakBefore w:val="0"/>
              <w:numPr>
                <w:ilvl w:val="0"/>
                <w:numId w:val="185"/>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线材：三芯镀银四氟屏蔽线；</w:t>
            </w:r>
          </w:p>
          <w:p w14:paraId="55801C98">
            <w:pPr>
              <w:keepNext w:val="0"/>
              <w:keepLines w:val="0"/>
              <w:pageBreakBefore w:val="0"/>
              <w:numPr>
                <w:ilvl w:val="0"/>
                <w:numId w:val="185"/>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保护管材质：304不锈钢，可定制316或者其他材质；</w:t>
            </w:r>
          </w:p>
          <w:p w14:paraId="29F2957F">
            <w:pPr>
              <w:keepNext w:val="0"/>
              <w:keepLines w:val="0"/>
              <w:pageBreakBefore w:val="0"/>
              <w:numPr>
                <w:ilvl w:val="0"/>
                <w:numId w:val="185"/>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电阻类型：1/3B级、A级、B级、2B级可选；</w:t>
            </w:r>
          </w:p>
          <w:p w14:paraId="4E2FEEA5">
            <w:pPr>
              <w:keepNext w:val="0"/>
              <w:keepLines w:val="0"/>
              <w:pageBreakBefore w:val="0"/>
              <w:numPr>
                <w:ilvl w:val="0"/>
                <w:numId w:val="185"/>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保护管长度：30mm(默认)/另有10/15/20/40/50/60/100/150/200mm等可选择定制；</w:t>
            </w:r>
          </w:p>
          <w:p w14:paraId="450D2F3F">
            <w:pPr>
              <w:keepNext w:val="0"/>
              <w:keepLines w:val="0"/>
              <w:pageBreakBefore w:val="0"/>
              <w:numPr>
                <w:ilvl w:val="0"/>
                <w:numId w:val="185"/>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线长：0.5米/1米/1.5米/2米/3米，可按要求定制任意线长；</w:t>
            </w:r>
          </w:p>
          <w:p w14:paraId="5CBE150E">
            <w:pPr>
              <w:keepNext w:val="0"/>
              <w:keepLines w:val="0"/>
              <w:pageBreakBefore w:val="0"/>
              <w:numPr>
                <w:ilvl w:val="0"/>
                <w:numId w:val="185"/>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接线端子：U型端子(默认)/可定制插针端子、小黄插头、航空插头等；</w:t>
            </w:r>
          </w:p>
          <w:p w14:paraId="1DC4055A">
            <w:pPr>
              <w:keepNext w:val="0"/>
              <w:keepLines w:val="0"/>
              <w:pageBreakBefore w:val="0"/>
              <w:numPr>
                <w:ilvl w:val="0"/>
                <w:numId w:val="174"/>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挡鼠板门磁设备参数：</w:t>
            </w:r>
          </w:p>
          <w:p w14:paraId="24DA4269">
            <w:pPr>
              <w:keepNext w:val="0"/>
              <w:keepLines w:val="0"/>
              <w:pageBreakBefore w:val="0"/>
              <w:numPr>
                <w:ilvl w:val="0"/>
                <w:numId w:val="186"/>
              </w:numPr>
              <w:kinsoku/>
              <w:wordWrap/>
              <w:overflowPunct/>
              <w:topLinePunct w:val="0"/>
              <w:autoSpaceDE/>
              <w:autoSpaceDN/>
              <w:bidi w:val="0"/>
              <w:adjustRightInd/>
              <w:snapToGrid/>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主要参数：</w:t>
            </w:r>
          </w:p>
          <w:p w14:paraId="648135E0">
            <w:pPr>
              <w:keepNext w:val="0"/>
              <w:keepLines w:val="0"/>
              <w:pageBreakBefore w:val="0"/>
              <w:widowControl/>
              <w:numPr>
                <w:ilvl w:val="0"/>
                <w:numId w:val="187"/>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感应距离：25-35MM；</w:t>
            </w:r>
          </w:p>
          <w:p w14:paraId="26E34365">
            <w:pPr>
              <w:keepNext w:val="0"/>
              <w:keepLines w:val="0"/>
              <w:pageBreakBefore w:val="0"/>
              <w:widowControl/>
              <w:numPr>
                <w:ilvl w:val="0"/>
                <w:numId w:val="187"/>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孔距离：33MM；</w:t>
            </w:r>
          </w:p>
          <w:p w14:paraId="45015765">
            <w:pPr>
              <w:keepNext w:val="0"/>
              <w:keepLines w:val="0"/>
              <w:pageBreakBefore w:val="0"/>
              <w:widowControl/>
              <w:numPr>
                <w:ilvl w:val="0"/>
                <w:numId w:val="187"/>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开关形式：常闭；</w:t>
            </w:r>
          </w:p>
          <w:p w14:paraId="5761108C">
            <w:pPr>
              <w:keepNext w:val="0"/>
              <w:keepLines w:val="0"/>
              <w:pageBreakBefore w:val="0"/>
              <w:widowControl/>
              <w:numPr>
                <w:ilvl w:val="0"/>
                <w:numId w:val="187"/>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参数：最大功率10W，最高电压100V，最大电流0.5A；</w:t>
            </w:r>
          </w:p>
          <w:p w14:paraId="0ECD7D5E">
            <w:pPr>
              <w:keepNext w:val="0"/>
              <w:keepLines w:val="0"/>
              <w:pageBreakBefore w:val="0"/>
              <w:widowControl/>
              <w:numPr>
                <w:ilvl w:val="0"/>
                <w:numId w:val="187"/>
              </w:numPr>
              <w:kinsoku/>
              <w:wordWrap/>
              <w:overflowPunct/>
              <w:topLinePunct w:val="0"/>
              <w:autoSpaceDE/>
              <w:autoSpaceDN/>
              <w:bidi w:val="0"/>
              <w:adjustRightInd/>
              <w:snapToGrid/>
              <w:spacing w:line="360" w:lineRule="exact"/>
              <w:jc w:val="left"/>
              <w:textAlignment w:val="center"/>
              <w:rPr>
                <w:rFonts w:hint="eastAsia" w:ascii="宋体" w:hAnsi="宋体" w:eastAsia="宋体" w:cs="宋体"/>
                <w:color w:val="auto"/>
                <w:sz w:val="24"/>
                <w:szCs w:val="24"/>
              </w:rPr>
            </w:pPr>
            <w:r>
              <w:rPr>
                <w:rFonts w:hint="eastAsia" w:ascii="宋体" w:hAnsi="宋体" w:eastAsia="宋体" w:cs="宋体"/>
                <w:color w:val="auto"/>
                <w:kern w:val="0"/>
                <w:sz w:val="24"/>
                <w:szCs w:val="24"/>
                <w:lang w:bidi="ar"/>
              </w:rPr>
              <w:t>外壳材质：锌合金，银灰电镀；</w:t>
            </w:r>
          </w:p>
        </w:tc>
        <w:tc>
          <w:tcPr>
            <w:tcW w:w="82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65F81E0">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套</w:t>
            </w:r>
          </w:p>
        </w:tc>
        <w:tc>
          <w:tcPr>
            <w:tcW w:w="78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7BBBB4B">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按需配置并征得采购人书面同意</w:t>
            </w:r>
          </w:p>
        </w:tc>
      </w:tr>
      <w:tr w14:paraId="2F43BDA4">
        <w:tblPrEx>
          <w:tblBorders>
            <w:top w:val="single" w:color="B8CCE4" w:sz="6" w:space="0"/>
            <w:left w:val="single" w:color="B8CCE4" w:sz="6" w:space="0"/>
            <w:bottom w:val="single" w:color="B8CCE4" w:sz="6" w:space="0"/>
            <w:right w:val="single" w:color="B8CCE4" w:sz="6" w:space="0"/>
            <w:insideH w:val="single" w:color="B8CCE4" w:sz="6" w:space="0"/>
            <w:insideV w:val="single" w:color="B8CCE4" w:sz="6" w:space="0"/>
          </w:tblBorders>
          <w:tblCellMar>
            <w:top w:w="0" w:type="dxa"/>
            <w:left w:w="108" w:type="dxa"/>
            <w:bottom w:w="0" w:type="dxa"/>
            <w:right w:w="108" w:type="dxa"/>
          </w:tblCellMar>
        </w:tblPrEx>
        <w:trPr>
          <w:trHeight w:val="227" w:hRule="atLeast"/>
          <w:jc w:val="center"/>
        </w:trPr>
        <w:tc>
          <w:tcPr>
            <w:tcW w:w="74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B3D979A">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17</w:t>
            </w:r>
          </w:p>
        </w:tc>
        <w:tc>
          <w:tcPr>
            <w:tcW w:w="12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CC9E810">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水电能耗监管</w:t>
            </w:r>
          </w:p>
        </w:tc>
        <w:tc>
          <w:tcPr>
            <w:tcW w:w="611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A8E25CE">
            <w:pPr>
              <w:keepNext w:val="0"/>
              <w:keepLines w:val="0"/>
              <w:pageBreakBefore w:val="0"/>
              <w:numPr>
                <w:ilvl w:val="0"/>
                <w:numId w:val="188"/>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功能</w:t>
            </w:r>
            <w:r>
              <w:rPr>
                <w:rFonts w:hint="eastAsia" w:ascii="宋体" w:hAnsi="宋体" w:eastAsia="宋体" w:cs="宋体"/>
                <w:color w:val="auto"/>
                <w:kern w:val="0"/>
                <w:sz w:val="24"/>
                <w:szCs w:val="24"/>
                <w:lang w:bidi="ar"/>
              </w:rPr>
              <w:t>描述：</w:t>
            </w:r>
          </w:p>
          <w:p w14:paraId="7B540613">
            <w:pPr>
              <w:keepNext w:val="0"/>
              <w:keepLines w:val="0"/>
              <w:pageBreakBefore w:val="0"/>
              <w:numPr>
                <w:ilvl w:val="0"/>
                <w:numId w:val="189"/>
              </w:numPr>
              <w:kinsoku/>
              <w:wordWrap/>
              <w:overflowPunct/>
              <w:topLinePunct w:val="0"/>
              <w:autoSpaceDE/>
              <w:autoSpaceDN/>
              <w:bidi w:val="0"/>
              <w:adjustRightInd/>
              <w:snapToGrid/>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支持实时用水量、电量监测，设置用电预警提醒；</w:t>
            </w:r>
          </w:p>
          <w:p w14:paraId="491878FA">
            <w:pPr>
              <w:keepNext w:val="0"/>
              <w:keepLines w:val="0"/>
              <w:pageBreakBefore w:val="0"/>
              <w:numPr>
                <w:ilvl w:val="0"/>
                <w:numId w:val="189"/>
              </w:numPr>
              <w:kinsoku/>
              <w:wordWrap/>
              <w:overflowPunct/>
              <w:topLinePunct w:val="0"/>
              <w:autoSpaceDE/>
              <w:autoSpaceDN/>
              <w:bidi w:val="0"/>
              <w:adjustRightInd/>
              <w:snapToGrid/>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支持每日用水、用电数据记录、对比；</w:t>
            </w:r>
          </w:p>
          <w:p w14:paraId="0F0076BE">
            <w:pPr>
              <w:keepNext w:val="0"/>
              <w:keepLines w:val="0"/>
              <w:pageBreakBefore w:val="0"/>
              <w:numPr>
                <w:ilvl w:val="0"/>
                <w:numId w:val="189"/>
              </w:numPr>
              <w:kinsoku/>
              <w:wordWrap/>
              <w:overflowPunct/>
              <w:topLinePunct w:val="0"/>
              <w:autoSpaceDE/>
              <w:autoSpaceDN/>
              <w:bidi w:val="0"/>
              <w:adjustRightInd/>
              <w:snapToGrid/>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支持依据不同场所设置总表、分表，进行数据统计；</w:t>
            </w:r>
          </w:p>
          <w:p w14:paraId="27C5F622">
            <w:pPr>
              <w:keepNext w:val="0"/>
              <w:keepLines w:val="0"/>
              <w:pageBreakBefore w:val="0"/>
              <w:numPr>
                <w:ilvl w:val="0"/>
                <w:numId w:val="188"/>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用电管理设备参数：</w:t>
            </w:r>
          </w:p>
          <w:p w14:paraId="62F33EFA">
            <w:pPr>
              <w:keepNext w:val="0"/>
              <w:keepLines w:val="0"/>
              <w:pageBreakBefore w:val="0"/>
              <w:numPr>
                <w:ilvl w:val="0"/>
                <w:numId w:val="190"/>
              </w:numPr>
              <w:kinsoku/>
              <w:wordWrap/>
              <w:overflowPunct/>
              <w:topLinePunct w:val="0"/>
              <w:autoSpaceDE/>
              <w:autoSpaceDN/>
              <w:bidi w:val="0"/>
              <w:adjustRightInd/>
              <w:snapToGrid/>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IO通讯模块主要参数：</w:t>
            </w:r>
          </w:p>
          <w:p w14:paraId="5151F17B">
            <w:pPr>
              <w:keepNext w:val="0"/>
              <w:keepLines w:val="0"/>
              <w:pageBreakBefore w:val="0"/>
              <w:numPr>
                <w:ilvl w:val="0"/>
                <w:numId w:val="191"/>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触点容量:10A/250VAC；</w:t>
            </w:r>
          </w:p>
          <w:p w14:paraId="57B349A6">
            <w:pPr>
              <w:keepNext w:val="0"/>
              <w:keepLines w:val="0"/>
              <w:pageBreakBefore w:val="0"/>
              <w:numPr>
                <w:ilvl w:val="0"/>
                <w:numId w:val="191"/>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耐久性:10万次；</w:t>
            </w:r>
          </w:p>
          <w:p w14:paraId="42BA258F">
            <w:pPr>
              <w:keepNext w:val="0"/>
              <w:keepLines w:val="0"/>
              <w:pageBreakBefore w:val="0"/>
              <w:numPr>
                <w:ilvl w:val="0"/>
                <w:numId w:val="191"/>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数据接口:RS232、RS485；</w:t>
            </w:r>
          </w:p>
          <w:p w14:paraId="1D150F8C">
            <w:pPr>
              <w:keepNext w:val="0"/>
              <w:keepLines w:val="0"/>
              <w:pageBreakBefore w:val="0"/>
              <w:numPr>
                <w:ilvl w:val="0"/>
                <w:numId w:val="191"/>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额定电压:DC 7-30V；</w:t>
            </w:r>
          </w:p>
          <w:p w14:paraId="08F15FF7">
            <w:pPr>
              <w:keepNext w:val="0"/>
              <w:keepLines w:val="0"/>
              <w:pageBreakBefore w:val="0"/>
              <w:numPr>
                <w:ilvl w:val="0"/>
                <w:numId w:val="191"/>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电源指示:1路红色 LED 指示(通电时常亮)；</w:t>
            </w:r>
          </w:p>
          <w:p w14:paraId="40B0EC6B">
            <w:pPr>
              <w:keepNext w:val="0"/>
              <w:keepLines w:val="0"/>
              <w:pageBreakBefore w:val="0"/>
              <w:numPr>
                <w:ilvl w:val="0"/>
                <w:numId w:val="191"/>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温度范围:工业级，-40℃~85℃；</w:t>
            </w:r>
          </w:p>
          <w:p w14:paraId="052F0A7A">
            <w:pPr>
              <w:keepNext w:val="0"/>
              <w:keepLines w:val="0"/>
              <w:pageBreakBefore w:val="0"/>
              <w:numPr>
                <w:ilvl w:val="0"/>
                <w:numId w:val="191"/>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尺寸:不高于90*150*30mm；</w:t>
            </w:r>
          </w:p>
          <w:p w14:paraId="08E9A85C">
            <w:pPr>
              <w:keepNext w:val="0"/>
              <w:keepLines w:val="0"/>
              <w:pageBreakBefore w:val="0"/>
              <w:numPr>
                <w:ilvl w:val="0"/>
                <w:numId w:val="191"/>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默认通讯格式:9600,n,8,1；</w:t>
            </w:r>
          </w:p>
          <w:p w14:paraId="4526228F">
            <w:pPr>
              <w:keepNext w:val="0"/>
              <w:keepLines w:val="0"/>
              <w:pageBreakBefore w:val="0"/>
              <w:numPr>
                <w:ilvl w:val="0"/>
                <w:numId w:val="191"/>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波特率:2400.4800.9600 19200.38400.115200；</w:t>
            </w:r>
          </w:p>
          <w:p w14:paraId="1ACC6E11">
            <w:pPr>
              <w:keepNext w:val="0"/>
              <w:keepLines w:val="0"/>
              <w:pageBreakBefore w:val="0"/>
              <w:numPr>
                <w:ilvl w:val="0"/>
                <w:numId w:val="191"/>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软件支持:配套配置软件、控制软件；支持各家组态软件；支持Labviewd 等；</w:t>
            </w:r>
          </w:p>
          <w:p w14:paraId="7E89A401">
            <w:pPr>
              <w:keepNext w:val="0"/>
              <w:keepLines w:val="0"/>
              <w:pageBreakBefore w:val="0"/>
              <w:numPr>
                <w:ilvl w:val="0"/>
                <w:numId w:val="190"/>
              </w:numPr>
              <w:kinsoku/>
              <w:wordWrap/>
              <w:overflowPunct/>
              <w:topLinePunct w:val="0"/>
              <w:autoSpaceDE/>
              <w:autoSpaceDN/>
              <w:bidi w:val="0"/>
              <w:adjustRightInd/>
              <w:snapToGrid/>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能耗监管-电主要参数：</w:t>
            </w:r>
          </w:p>
          <w:p w14:paraId="3B1367B0">
            <w:pPr>
              <w:keepNext w:val="0"/>
              <w:keepLines w:val="0"/>
              <w:pageBreakBefore w:val="0"/>
              <w:numPr>
                <w:ilvl w:val="0"/>
                <w:numId w:val="192"/>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精度等级：有功1级；</w:t>
            </w:r>
          </w:p>
          <w:p w14:paraId="22E1FC6B">
            <w:pPr>
              <w:keepNext w:val="0"/>
              <w:keepLines w:val="0"/>
              <w:pageBreakBefore w:val="0"/>
              <w:numPr>
                <w:ilvl w:val="0"/>
                <w:numId w:val="192"/>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参比电压：AC 220V±20%；</w:t>
            </w:r>
          </w:p>
          <w:p w14:paraId="1DDB247D">
            <w:pPr>
              <w:keepNext w:val="0"/>
              <w:keepLines w:val="0"/>
              <w:pageBreakBefore w:val="0"/>
              <w:numPr>
                <w:ilvl w:val="0"/>
                <w:numId w:val="192"/>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电流规格：5(40)A，10(40)A，5(60)A,20(80)A，10(100)A；</w:t>
            </w:r>
          </w:p>
          <w:p w14:paraId="7ECB1453">
            <w:pPr>
              <w:keepNext w:val="0"/>
              <w:keepLines w:val="0"/>
              <w:pageBreakBefore w:val="0"/>
              <w:numPr>
                <w:ilvl w:val="0"/>
                <w:numId w:val="192"/>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整机功耗：≤1W/8VA；</w:t>
            </w:r>
          </w:p>
          <w:p w14:paraId="27CD0D89">
            <w:pPr>
              <w:keepNext w:val="0"/>
              <w:keepLines w:val="0"/>
              <w:pageBreakBefore w:val="0"/>
              <w:numPr>
                <w:ilvl w:val="0"/>
                <w:numId w:val="192"/>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参比频率：50HZ；</w:t>
            </w:r>
          </w:p>
          <w:p w14:paraId="64E5811E">
            <w:pPr>
              <w:keepNext w:val="0"/>
              <w:keepLines w:val="0"/>
              <w:pageBreakBefore w:val="0"/>
              <w:numPr>
                <w:ilvl w:val="0"/>
                <w:numId w:val="192"/>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工作电压范围：70%Un-115%Un；</w:t>
            </w:r>
          </w:p>
          <w:p w14:paraId="323A033D">
            <w:pPr>
              <w:keepNext w:val="0"/>
              <w:keepLines w:val="0"/>
              <w:pageBreakBefore w:val="0"/>
              <w:numPr>
                <w:ilvl w:val="0"/>
                <w:numId w:val="192"/>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工作温度：-20℃-+55℃；</w:t>
            </w:r>
          </w:p>
          <w:p w14:paraId="62CA78BB">
            <w:pPr>
              <w:keepNext w:val="0"/>
              <w:keepLines w:val="0"/>
              <w:pageBreakBefore w:val="0"/>
              <w:numPr>
                <w:ilvl w:val="0"/>
                <w:numId w:val="192"/>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极限工作温度：-25℃-+70℃；</w:t>
            </w:r>
          </w:p>
          <w:p w14:paraId="5754E91C">
            <w:pPr>
              <w:keepNext w:val="0"/>
              <w:keepLines w:val="0"/>
              <w:pageBreakBefore w:val="0"/>
              <w:numPr>
                <w:ilvl w:val="0"/>
                <w:numId w:val="192"/>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产品标准：GB/T17215.321；</w:t>
            </w:r>
          </w:p>
          <w:p w14:paraId="033940F9">
            <w:pPr>
              <w:keepNext w:val="0"/>
              <w:keepLines w:val="0"/>
              <w:pageBreakBefore w:val="0"/>
              <w:numPr>
                <w:ilvl w:val="0"/>
                <w:numId w:val="192"/>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RS485串口：DL/T645-2007，DL/T645-1997为偶校验，Modbus-RTU为无校验；</w:t>
            </w:r>
          </w:p>
          <w:p w14:paraId="7C957524">
            <w:pPr>
              <w:keepNext w:val="0"/>
              <w:keepLines w:val="0"/>
              <w:pageBreakBefore w:val="0"/>
              <w:numPr>
                <w:ilvl w:val="0"/>
                <w:numId w:val="192"/>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外形尺寸(mm)：不高于145x105x51mm；</w:t>
            </w:r>
          </w:p>
          <w:p w14:paraId="52CD1C89">
            <w:pPr>
              <w:keepNext w:val="0"/>
              <w:keepLines w:val="0"/>
              <w:pageBreakBefore w:val="0"/>
              <w:numPr>
                <w:ilvl w:val="0"/>
                <w:numId w:val="188"/>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用水管理设备参数：</w:t>
            </w:r>
          </w:p>
          <w:p w14:paraId="6620A5BA">
            <w:pPr>
              <w:keepNext w:val="0"/>
              <w:keepLines w:val="0"/>
              <w:pageBreakBefore w:val="0"/>
              <w:numPr>
                <w:ilvl w:val="0"/>
                <w:numId w:val="193"/>
              </w:numPr>
              <w:kinsoku/>
              <w:wordWrap/>
              <w:overflowPunct/>
              <w:topLinePunct w:val="0"/>
              <w:autoSpaceDE/>
              <w:autoSpaceDN/>
              <w:bidi w:val="0"/>
              <w:adjustRightInd/>
              <w:snapToGrid/>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IO通讯模块主要参数：</w:t>
            </w:r>
          </w:p>
          <w:p w14:paraId="12641332">
            <w:pPr>
              <w:keepNext w:val="0"/>
              <w:keepLines w:val="0"/>
              <w:pageBreakBefore w:val="0"/>
              <w:numPr>
                <w:ilvl w:val="0"/>
                <w:numId w:val="194"/>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触点容量:10A/250VAC；</w:t>
            </w:r>
          </w:p>
          <w:p w14:paraId="4A6FBE62">
            <w:pPr>
              <w:keepNext w:val="0"/>
              <w:keepLines w:val="0"/>
              <w:pageBreakBefore w:val="0"/>
              <w:numPr>
                <w:ilvl w:val="0"/>
                <w:numId w:val="194"/>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耐久性:10万次；</w:t>
            </w:r>
          </w:p>
          <w:p w14:paraId="457F527A">
            <w:pPr>
              <w:keepNext w:val="0"/>
              <w:keepLines w:val="0"/>
              <w:pageBreakBefore w:val="0"/>
              <w:numPr>
                <w:ilvl w:val="0"/>
                <w:numId w:val="194"/>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数据接口:RS232、RS485；</w:t>
            </w:r>
          </w:p>
          <w:p w14:paraId="68B798D8">
            <w:pPr>
              <w:keepNext w:val="0"/>
              <w:keepLines w:val="0"/>
              <w:pageBreakBefore w:val="0"/>
              <w:numPr>
                <w:ilvl w:val="0"/>
                <w:numId w:val="194"/>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额定电压:DC 7-30V；</w:t>
            </w:r>
          </w:p>
          <w:p w14:paraId="6E4A56DE">
            <w:pPr>
              <w:keepNext w:val="0"/>
              <w:keepLines w:val="0"/>
              <w:pageBreakBefore w:val="0"/>
              <w:numPr>
                <w:ilvl w:val="0"/>
                <w:numId w:val="194"/>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电源指示:1路红色 LED 指示(通电时常亮)；</w:t>
            </w:r>
          </w:p>
          <w:p w14:paraId="67A1788D">
            <w:pPr>
              <w:keepNext w:val="0"/>
              <w:keepLines w:val="0"/>
              <w:pageBreakBefore w:val="0"/>
              <w:numPr>
                <w:ilvl w:val="0"/>
                <w:numId w:val="194"/>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温度范围:工业级，-40℃~85℃；</w:t>
            </w:r>
          </w:p>
          <w:p w14:paraId="3D4D851B">
            <w:pPr>
              <w:keepNext w:val="0"/>
              <w:keepLines w:val="0"/>
              <w:pageBreakBefore w:val="0"/>
              <w:numPr>
                <w:ilvl w:val="0"/>
                <w:numId w:val="194"/>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尺寸:不高于90*150*30mm；</w:t>
            </w:r>
          </w:p>
          <w:p w14:paraId="0BB82433">
            <w:pPr>
              <w:keepNext w:val="0"/>
              <w:keepLines w:val="0"/>
              <w:pageBreakBefore w:val="0"/>
              <w:numPr>
                <w:ilvl w:val="0"/>
                <w:numId w:val="194"/>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默认通讯格式:9600,n,8,1；</w:t>
            </w:r>
          </w:p>
          <w:p w14:paraId="298DBD72">
            <w:pPr>
              <w:keepNext w:val="0"/>
              <w:keepLines w:val="0"/>
              <w:pageBreakBefore w:val="0"/>
              <w:numPr>
                <w:ilvl w:val="0"/>
                <w:numId w:val="194"/>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波特率:2400.4800.9600 19200.38400.115200；</w:t>
            </w:r>
          </w:p>
          <w:p w14:paraId="3B91A38A">
            <w:pPr>
              <w:keepNext w:val="0"/>
              <w:keepLines w:val="0"/>
              <w:pageBreakBefore w:val="0"/>
              <w:numPr>
                <w:ilvl w:val="0"/>
                <w:numId w:val="194"/>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软件支持:配套配置软件、控制软件；支持各家组态软件；支持Labviewd 等；</w:t>
            </w:r>
          </w:p>
          <w:p w14:paraId="00BDA589">
            <w:pPr>
              <w:keepNext w:val="0"/>
              <w:keepLines w:val="0"/>
              <w:pageBreakBefore w:val="0"/>
              <w:numPr>
                <w:ilvl w:val="0"/>
                <w:numId w:val="193"/>
              </w:numPr>
              <w:kinsoku/>
              <w:wordWrap/>
              <w:overflowPunct/>
              <w:topLinePunct w:val="0"/>
              <w:autoSpaceDE/>
              <w:autoSpaceDN/>
              <w:bidi w:val="0"/>
              <w:adjustRightInd/>
              <w:snapToGrid/>
              <w:spacing w:line="360" w:lineRule="exact"/>
              <w:rPr>
                <w:rFonts w:hint="eastAsia" w:ascii="宋体" w:hAnsi="宋体" w:eastAsia="宋体" w:cs="宋体"/>
                <w:color w:val="auto"/>
                <w:sz w:val="24"/>
                <w:szCs w:val="24"/>
              </w:rPr>
            </w:pPr>
            <w:r>
              <w:rPr>
                <w:rFonts w:hint="eastAsia" w:ascii="宋体" w:hAnsi="宋体" w:eastAsia="宋体" w:cs="宋体"/>
                <w:color w:val="auto"/>
                <w:sz w:val="24"/>
                <w:szCs w:val="24"/>
              </w:rPr>
              <w:t>能耗监管-水主要参数：</w:t>
            </w:r>
          </w:p>
          <w:p w14:paraId="0CCD7A5A">
            <w:pPr>
              <w:keepNext w:val="0"/>
              <w:keepLines w:val="0"/>
              <w:pageBreakBefore w:val="0"/>
              <w:numPr>
                <w:ilvl w:val="0"/>
                <w:numId w:val="195"/>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抄表工作电流:M-bus通讯接口:≤10.0mA，RS-485通讯接口：≤1.5 mA，直读大口径水表：≤5.0mA；</w:t>
            </w:r>
          </w:p>
          <w:p w14:paraId="1FA2F2B8">
            <w:pPr>
              <w:keepNext w:val="0"/>
              <w:keepLines w:val="0"/>
              <w:pageBreakBefore w:val="0"/>
              <w:numPr>
                <w:ilvl w:val="0"/>
                <w:numId w:val="195"/>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静态工作电流：M-bus通讯接口：≤1.0mA，RS-485通讯接口：&lt;≤.0mA，直读大口径水表：≤1.3mA；</w:t>
            </w:r>
          </w:p>
          <w:p w14:paraId="2B046FA6">
            <w:pPr>
              <w:keepNext w:val="0"/>
              <w:keepLines w:val="0"/>
              <w:pageBreakBefore w:val="0"/>
              <w:numPr>
                <w:ilvl w:val="0"/>
                <w:numId w:val="195"/>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工作环境：温度范围：+0.1℃~+55℃，存储温度：-25℃-+65℃；</w:t>
            </w:r>
          </w:p>
          <w:p w14:paraId="1677782A">
            <w:pPr>
              <w:keepNext w:val="0"/>
              <w:keepLines w:val="0"/>
              <w:pageBreakBefore w:val="0"/>
              <w:numPr>
                <w:ilvl w:val="0"/>
                <w:numId w:val="195"/>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通信规约：DL/T645、CJ/T 188、MODBUS、TTL、内部或用户指定协议</w:t>
            </w:r>
          </w:p>
          <w:p w14:paraId="759B7B73">
            <w:pPr>
              <w:keepNext w:val="0"/>
              <w:keepLines w:val="0"/>
              <w:pageBreakBefore w:val="0"/>
              <w:numPr>
                <w:ilvl w:val="0"/>
                <w:numId w:val="195"/>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工作电压：M-bus通讯接口：DC36V，RS-485通讯接口：DC12V~24V；</w:t>
            </w:r>
          </w:p>
          <w:p w14:paraId="284C017F">
            <w:pPr>
              <w:keepNext w:val="0"/>
              <w:keepLines w:val="0"/>
              <w:pageBreakBefore w:val="0"/>
              <w:numPr>
                <w:ilvl w:val="0"/>
                <w:numId w:val="195"/>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温度等级：T30(冷水表) T90(热水表)；</w:t>
            </w:r>
          </w:p>
          <w:p w14:paraId="1B63C800">
            <w:pPr>
              <w:keepNext w:val="0"/>
              <w:keepLines w:val="0"/>
              <w:pageBreakBefore w:val="0"/>
              <w:numPr>
                <w:ilvl w:val="0"/>
                <w:numId w:val="195"/>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工作压力：≤1.0 MPa；</w:t>
            </w:r>
          </w:p>
          <w:p w14:paraId="2962CA9B">
            <w:pPr>
              <w:keepNext w:val="0"/>
              <w:keepLines w:val="0"/>
              <w:pageBreakBefore w:val="0"/>
              <w:numPr>
                <w:ilvl w:val="0"/>
                <w:numId w:val="195"/>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压力损失等级：△P63；</w:t>
            </w:r>
          </w:p>
          <w:p w14:paraId="4A6C7083">
            <w:pPr>
              <w:keepNext w:val="0"/>
              <w:keepLines w:val="0"/>
              <w:pageBreakBefore w:val="0"/>
              <w:numPr>
                <w:ilvl w:val="0"/>
                <w:numId w:val="195"/>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与上位机通讯方式：RS-485/M-bus 总线；</w:t>
            </w:r>
          </w:p>
          <w:p w14:paraId="4174C8C7">
            <w:pPr>
              <w:keepNext w:val="0"/>
              <w:keepLines w:val="0"/>
              <w:pageBreakBefore w:val="0"/>
              <w:numPr>
                <w:ilvl w:val="0"/>
                <w:numId w:val="195"/>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准确度等级：2级；</w:t>
            </w:r>
          </w:p>
          <w:p w14:paraId="1BB50CE4">
            <w:pPr>
              <w:keepNext w:val="0"/>
              <w:keepLines w:val="0"/>
              <w:pageBreakBefore w:val="0"/>
              <w:numPr>
                <w:ilvl w:val="0"/>
                <w:numId w:val="195"/>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通讯传输最大距离：300m；</w:t>
            </w:r>
          </w:p>
          <w:p w14:paraId="5B8F5C39">
            <w:pPr>
              <w:keepNext w:val="0"/>
              <w:keepLines w:val="0"/>
              <w:pageBreakBefore w:val="0"/>
              <w:numPr>
                <w:ilvl w:val="0"/>
                <w:numId w:val="195"/>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通讯传输速率：1200/2400/48009600bps；</w:t>
            </w:r>
          </w:p>
        </w:tc>
        <w:tc>
          <w:tcPr>
            <w:tcW w:w="82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8AE60AF">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套</w:t>
            </w:r>
          </w:p>
        </w:tc>
        <w:tc>
          <w:tcPr>
            <w:tcW w:w="78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2F2EA500">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按需配置并征得采购人书面同意</w:t>
            </w:r>
          </w:p>
        </w:tc>
      </w:tr>
      <w:tr w14:paraId="3E0C46B8">
        <w:tblPrEx>
          <w:tblBorders>
            <w:top w:val="single" w:color="B8CCE4" w:sz="6" w:space="0"/>
            <w:left w:val="single" w:color="B8CCE4" w:sz="6" w:space="0"/>
            <w:bottom w:val="single" w:color="B8CCE4" w:sz="6" w:space="0"/>
            <w:right w:val="single" w:color="B8CCE4" w:sz="6" w:space="0"/>
            <w:insideH w:val="single" w:color="B8CCE4" w:sz="6" w:space="0"/>
            <w:insideV w:val="single" w:color="B8CCE4" w:sz="6" w:space="0"/>
          </w:tblBorders>
          <w:tblCellMar>
            <w:top w:w="0" w:type="dxa"/>
            <w:left w:w="108" w:type="dxa"/>
            <w:bottom w:w="0" w:type="dxa"/>
            <w:right w:w="108" w:type="dxa"/>
          </w:tblCellMar>
        </w:tblPrEx>
        <w:trPr>
          <w:trHeight w:val="227" w:hRule="atLeast"/>
          <w:jc w:val="center"/>
        </w:trPr>
        <w:tc>
          <w:tcPr>
            <w:tcW w:w="74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560D05A8">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18</w:t>
            </w:r>
          </w:p>
        </w:tc>
        <w:tc>
          <w:tcPr>
            <w:tcW w:w="12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9AEC3DF">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明厨亮灶</w:t>
            </w:r>
          </w:p>
        </w:tc>
        <w:tc>
          <w:tcPr>
            <w:tcW w:w="611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D3B2C9E">
            <w:pPr>
              <w:keepNext w:val="0"/>
              <w:keepLines w:val="0"/>
              <w:pageBreakBefore w:val="0"/>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实现食堂所有区域全覆盖，无死角，摄像头像素不低于600万像素。按相关要求接入市场监管单位和学校安防系统。存储时长不低于90天。</w:t>
            </w:r>
          </w:p>
        </w:tc>
        <w:tc>
          <w:tcPr>
            <w:tcW w:w="82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C2CBA46">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套</w:t>
            </w:r>
          </w:p>
        </w:tc>
        <w:tc>
          <w:tcPr>
            <w:tcW w:w="78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0B769E9">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按需配置并征得采购人书面同意</w:t>
            </w:r>
          </w:p>
        </w:tc>
      </w:tr>
      <w:tr w14:paraId="45731296">
        <w:tblPrEx>
          <w:tblBorders>
            <w:top w:val="single" w:color="B8CCE4" w:sz="6" w:space="0"/>
            <w:left w:val="single" w:color="B8CCE4" w:sz="6" w:space="0"/>
            <w:bottom w:val="single" w:color="B8CCE4" w:sz="6" w:space="0"/>
            <w:right w:val="single" w:color="B8CCE4" w:sz="6" w:space="0"/>
            <w:insideH w:val="single" w:color="B8CCE4" w:sz="6" w:space="0"/>
            <w:insideV w:val="single" w:color="B8CCE4" w:sz="6" w:space="0"/>
          </w:tblBorders>
          <w:tblCellMar>
            <w:top w:w="0" w:type="dxa"/>
            <w:left w:w="108" w:type="dxa"/>
            <w:bottom w:w="0" w:type="dxa"/>
            <w:right w:w="108" w:type="dxa"/>
          </w:tblCellMar>
        </w:tblPrEx>
        <w:trPr>
          <w:trHeight w:val="227" w:hRule="atLeast"/>
          <w:jc w:val="center"/>
        </w:trPr>
        <w:tc>
          <w:tcPr>
            <w:tcW w:w="747"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695A43E">
            <w:pPr>
              <w:keepNext w:val="0"/>
              <w:keepLines w:val="0"/>
              <w:pageBreakBefore w:val="0"/>
              <w:widowControl/>
              <w:kinsoku/>
              <w:wordWrap/>
              <w:overflowPunct/>
              <w:topLinePunct w:val="0"/>
              <w:autoSpaceDE/>
              <w:autoSpaceDN/>
              <w:bidi w:val="0"/>
              <w:adjustRightInd/>
              <w:snapToGrid/>
              <w:spacing w:line="360" w:lineRule="exact"/>
              <w:jc w:val="center"/>
              <w:textAlignment w:val="center"/>
              <w:rPr>
                <w:rFonts w:hint="eastAsia" w:ascii="宋体" w:hAnsi="宋体" w:eastAsia="宋体" w:cs="宋体"/>
                <w:color w:val="auto"/>
                <w:kern w:val="0"/>
                <w:sz w:val="24"/>
                <w:szCs w:val="24"/>
                <w:lang w:bidi="ar"/>
              </w:rPr>
            </w:pPr>
            <w:r>
              <w:rPr>
                <w:rFonts w:hint="eastAsia" w:ascii="宋体" w:hAnsi="宋体" w:eastAsia="宋体" w:cs="宋体"/>
                <w:color w:val="auto"/>
                <w:kern w:val="0"/>
                <w:sz w:val="24"/>
                <w:szCs w:val="24"/>
                <w:lang w:bidi="ar"/>
              </w:rPr>
              <w:t>19</w:t>
            </w:r>
          </w:p>
        </w:tc>
        <w:tc>
          <w:tcPr>
            <w:tcW w:w="1200"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CB15967">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设备实施安装</w:t>
            </w:r>
          </w:p>
        </w:tc>
        <w:tc>
          <w:tcPr>
            <w:tcW w:w="611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65CB78DA">
            <w:pPr>
              <w:keepNext w:val="0"/>
              <w:keepLines w:val="0"/>
              <w:pageBreakBefore w:val="0"/>
              <w:numPr>
                <w:ilvl w:val="0"/>
                <w:numId w:val="196"/>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硬件设备部署耗材、施工、安装、调试：</w:t>
            </w:r>
          </w:p>
          <w:p w14:paraId="707B2938">
            <w:pPr>
              <w:keepNext w:val="0"/>
              <w:keepLines w:val="0"/>
              <w:pageBreakBefore w:val="0"/>
              <w:numPr>
                <w:ilvl w:val="0"/>
                <w:numId w:val="197"/>
              </w:numPr>
              <w:kinsoku/>
              <w:wordWrap/>
              <w:overflowPunct/>
              <w:topLinePunct w:val="0"/>
              <w:autoSpaceDE/>
              <w:autoSpaceDN/>
              <w:bidi w:val="0"/>
              <w:adjustRightInd/>
              <w:snapToGrid/>
              <w:spacing w:line="36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主体设备安装调试含：主要耗材+网线+电源线、PVC管材（根据实际需求提供）；主要辅材含水晶头、排插、卡扣、转接头等；</w:t>
            </w:r>
          </w:p>
        </w:tc>
        <w:tc>
          <w:tcPr>
            <w:tcW w:w="824"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74696D85">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套</w:t>
            </w:r>
          </w:p>
        </w:tc>
        <w:tc>
          <w:tcPr>
            <w:tcW w:w="78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A5C5EB7">
            <w:pPr>
              <w:keepNext w:val="0"/>
              <w:keepLines w:val="0"/>
              <w:pageBreakBefore w:val="0"/>
              <w:kinsoku/>
              <w:wordWrap/>
              <w:overflowPunct/>
              <w:topLinePunct w:val="0"/>
              <w:autoSpaceDE/>
              <w:autoSpaceDN/>
              <w:bidi w:val="0"/>
              <w:adjustRightInd/>
              <w:snapToGrid/>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按需配置并征得采购人书面同意</w:t>
            </w:r>
          </w:p>
        </w:tc>
      </w:tr>
    </w:tbl>
    <w:p w14:paraId="2FCA02CA">
      <w:pPr>
        <w:spacing w:before="167" w:line="223" w:lineRule="auto"/>
        <w:rPr>
          <w:rFonts w:hint="eastAsia" w:ascii="宋体" w:hAnsi="宋体" w:eastAsia="宋体" w:cs="宋体"/>
          <w:color w:val="auto"/>
          <w:spacing w:val="8"/>
          <w:sz w:val="24"/>
          <w:szCs w:val="24"/>
          <w:highlight w:val="none"/>
          <w:lang w:val="en-US" w:eastAsia="zh-CN"/>
        </w:rPr>
      </w:pPr>
    </w:p>
    <w:p w14:paraId="75AD6609">
      <w:pPr>
        <w:spacing w:before="167" w:line="223" w:lineRule="auto"/>
        <w:rPr>
          <w:rFonts w:hint="eastAsia" w:ascii="宋体" w:hAnsi="宋体" w:eastAsia="宋体" w:cs="宋体"/>
          <w:color w:val="auto"/>
          <w:spacing w:val="8"/>
          <w:sz w:val="24"/>
          <w:szCs w:val="24"/>
          <w:highlight w:val="none"/>
          <w:lang w:val="en-US" w:eastAsia="zh-CN"/>
        </w:rPr>
      </w:pPr>
    </w:p>
    <w:p w14:paraId="13CF564E">
      <w:pPr>
        <w:spacing w:before="167" w:line="223" w:lineRule="auto"/>
        <w:rPr>
          <w:rFonts w:hint="eastAsia" w:ascii="宋体" w:hAnsi="宋体" w:eastAsia="宋体" w:cs="宋体"/>
          <w:color w:val="auto"/>
          <w:spacing w:val="8"/>
          <w:sz w:val="24"/>
          <w:szCs w:val="24"/>
          <w:highlight w:val="none"/>
          <w:lang w:val="en-US" w:eastAsia="zh-CN"/>
        </w:rPr>
      </w:pPr>
    </w:p>
    <w:p w14:paraId="7085D49B">
      <w:pPr>
        <w:spacing w:before="167" w:line="223" w:lineRule="auto"/>
        <w:rPr>
          <w:rFonts w:hint="eastAsia" w:ascii="宋体" w:hAnsi="宋体" w:eastAsia="宋体" w:cs="宋体"/>
          <w:color w:val="auto"/>
          <w:spacing w:val="8"/>
          <w:sz w:val="24"/>
          <w:szCs w:val="24"/>
          <w:highlight w:val="none"/>
          <w:lang w:val="en-US" w:eastAsia="zh-CN"/>
        </w:rPr>
      </w:pPr>
    </w:p>
    <w:p w14:paraId="6A921605">
      <w:pPr>
        <w:spacing w:before="167" w:line="223" w:lineRule="auto"/>
        <w:rPr>
          <w:rFonts w:hint="eastAsia" w:ascii="宋体" w:hAnsi="宋体" w:eastAsia="宋体" w:cs="宋体"/>
          <w:color w:val="auto"/>
          <w:spacing w:val="8"/>
          <w:sz w:val="24"/>
          <w:szCs w:val="24"/>
          <w:highlight w:val="none"/>
          <w:lang w:val="en-US" w:eastAsia="zh-CN"/>
        </w:rPr>
      </w:pPr>
    </w:p>
    <w:p w14:paraId="22E130AD">
      <w:pPr>
        <w:spacing w:before="167" w:line="223" w:lineRule="auto"/>
        <w:rPr>
          <w:rFonts w:hint="eastAsia" w:ascii="宋体" w:hAnsi="宋体" w:eastAsia="宋体" w:cs="宋体"/>
          <w:color w:val="auto"/>
          <w:spacing w:val="8"/>
          <w:sz w:val="24"/>
          <w:szCs w:val="24"/>
          <w:highlight w:val="none"/>
          <w:lang w:val="en-US" w:eastAsia="zh-CN"/>
        </w:rPr>
      </w:pPr>
    </w:p>
    <w:p w14:paraId="57B6D9CC">
      <w:pPr>
        <w:spacing w:before="167" w:line="223" w:lineRule="auto"/>
        <w:rPr>
          <w:rFonts w:hint="eastAsia" w:ascii="宋体" w:hAnsi="宋体" w:eastAsia="宋体" w:cs="宋体"/>
          <w:color w:val="auto"/>
          <w:spacing w:val="8"/>
          <w:sz w:val="24"/>
          <w:szCs w:val="24"/>
          <w:highlight w:val="none"/>
          <w:lang w:val="en-US" w:eastAsia="zh-CN"/>
        </w:rPr>
      </w:pPr>
    </w:p>
    <w:p w14:paraId="63B669E8">
      <w:pPr>
        <w:spacing w:before="167" w:line="223" w:lineRule="auto"/>
        <w:rPr>
          <w:rFonts w:hint="eastAsia" w:ascii="宋体" w:hAnsi="宋体" w:eastAsia="宋体" w:cs="宋体"/>
          <w:color w:val="auto"/>
          <w:spacing w:val="8"/>
          <w:sz w:val="24"/>
          <w:szCs w:val="24"/>
          <w:highlight w:val="none"/>
          <w:lang w:val="en-US" w:eastAsia="zh-CN"/>
        </w:rPr>
      </w:pPr>
    </w:p>
    <w:p w14:paraId="45DCBEA0">
      <w:pPr>
        <w:spacing w:before="167" w:line="223" w:lineRule="auto"/>
        <w:rPr>
          <w:rFonts w:hint="eastAsia" w:ascii="宋体" w:hAnsi="宋体" w:eastAsia="宋体" w:cs="宋体"/>
          <w:color w:val="auto"/>
          <w:spacing w:val="8"/>
          <w:sz w:val="24"/>
          <w:szCs w:val="24"/>
          <w:highlight w:val="none"/>
          <w:lang w:val="en-US" w:eastAsia="zh-CN"/>
        </w:rPr>
      </w:pPr>
    </w:p>
    <w:p w14:paraId="6A49F316">
      <w:pPr>
        <w:spacing w:before="167" w:line="223" w:lineRule="auto"/>
        <w:rPr>
          <w:rFonts w:hint="default" w:ascii="宋体" w:hAnsi="宋体" w:eastAsia="宋体" w:cs="宋体"/>
          <w:color w:val="auto"/>
          <w:spacing w:val="8"/>
          <w:sz w:val="24"/>
          <w:szCs w:val="24"/>
          <w:highlight w:val="none"/>
          <w:lang w:val="en-US" w:eastAsia="zh-CN"/>
        </w:rPr>
      </w:pPr>
      <w:r>
        <w:rPr>
          <w:rFonts w:hint="eastAsia" w:ascii="宋体" w:hAnsi="宋体" w:eastAsia="宋体" w:cs="宋体"/>
          <w:color w:val="auto"/>
          <w:spacing w:val="8"/>
          <w:sz w:val="24"/>
          <w:szCs w:val="24"/>
          <w:highlight w:val="none"/>
          <w:lang w:val="en-US" w:eastAsia="zh-CN"/>
        </w:rPr>
        <w:t>附件三：</w:t>
      </w:r>
    </w:p>
    <w:p w14:paraId="37FC45D5">
      <w:pPr>
        <w:spacing w:before="167" w:line="223" w:lineRule="auto"/>
        <w:jc w:val="center"/>
        <w:rPr>
          <w:rFonts w:hint="eastAsia" w:ascii="宋体" w:hAnsi="宋体" w:eastAsia="宋体" w:cs="宋体"/>
          <w:color w:val="auto"/>
          <w:sz w:val="31"/>
          <w:szCs w:val="31"/>
          <w:highlight w:val="none"/>
        </w:rPr>
      </w:pPr>
      <w:r>
        <w:rPr>
          <w:rFonts w:hint="eastAsia" w:ascii="宋体" w:hAnsi="宋体" w:eastAsia="宋体" w:cs="宋体"/>
          <w:color w:val="auto"/>
          <w:spacing w:val="8"/>
          <w:sz w:val="31"/>
          <w:szCs w:val="31"/>
          <w:highlight w:val="none"/>
          <w:lang w:val="en-US" w:eastAsia="zh-CN"/>
        </w:rPr>
        <w:t>甲方</w:t>
      </w:r>
      <w:r>
        <w:rPr>
          <w:rFonts w:hint="eastAsia" w:ascii="宋体" w:hAnsi="宋体" w:eastAsia="宋体" w:cs="宋体"/>
          <w:color w:val="auto"/>
          <w:spacing w:val="8"/>
          <w:sz w:val="31"/>
          <w:szCs w:val="31"/>
          <w:highlight w:val="none"/>
        </w:rPr>
        <w:t>食堂原有设备设施一览</w:t>
      </w:r>
      <w:r>
        <w:rPr>
          <w:rFonts w:hint="eastAsia" w:ascii="宋体" w:hAnsi="宋体" w:eastAsia="宋体" w:cs="宋体"/>
          <w:color w:val="auto"/>
          <w:spacing w:val="6"/>
          <w:sz w:val="31"/>
          <w:szCs w:val="31"/>
          <w:highlight w:val="none"/>
        </w:rPr>
        <w:t>表</w:t>
      </w:r>
    </w:p>
    <w:p w14:paraId="1A5B6678">
      <w:pPr>
        <w:spacing w:line="38" w:lineRule="exact"/>
        <w:rPr>
          <w:rFonts w:hint="eastAsia" w:ascii="宋体" w:hAnsi="宋体" w:eastAsia="宋体" w:cs="宋体"/>
          <w:color w:val="auto"/>
          <w:highlight w:val="none"/>
        </w:rPr>
      </w:pPr>
    </w:p>
    <w:p w14:paraId="208D0F7C">
      <w:pPr>
        <w:snapToGrid w:val="0"/>
        <w:spacing w:line="400" w:lineRule="exact"/>
        <w:ind w:firstLine="480" w:firstLineChars="200"/>
        <w:jc w:val="center"/>
        <w:rPr>
          <w:rFonts w:hint="default" w:ascii="宋体" w:hAnsi="宋体" w:eastAsia="宋体"/>
          <w:color w:val="auto"/>
          <w:sz w:val="24"/>
          <w:szCs w:val="24"/>
          <w:lang w:val="en-US" w:eastAsia="zh-CN"/>
        </w:rPr>
      </w:pPr>
      <w:r>
        <w:rPr>
          <w:rFonts w:hint="eastAsia" w:ascii="宋体" w:hAnsi="宋体"/>
          <w:color w:val="auto"/>
          <w:sz w:val="24"/>
          <w:szCs w:val="24"/>
          <w:lang w:val="en-US" w:eastAsia="zh-CN"/>
        </w:rPr>
        <w:t>（详见移交清单）</w:t>
      </w:r>
    </w:p>
    <w:p w14:paraId="1E62EE60">
      <w:pPr>
        <w:jc w:val="center"/>
        <w:rPr>
          <w:rFonts w:ascii="宋体" w:hAnsi="宋体" w:cs="宋体"/>
          <w:color w:val="auto"/>
          <w:sz w:val="21"/>
          <w:szCs w:val="21"/>
        </w:rPr>
        <w:sectPr>
          <w:footerReference r:id="rId10" w:type="default"/>
          <w:footerReference r:id="rId11" w:type="even"/>
          <w:pgSz w:w="11907" w:h="16840"/>
          <w:pgMar w:top="1134" w:right="1191" w:bottom="1134" w:left="1304" w:header="964" w:footer="992" w:gutter="0"/>
          <w:pgNumType w:fmt="numberInDash"/>
          <w:cols w:space="720" w:num="1"/>
          <w:docGrid w:linePitch="312" w:charSpace="0"/>
        </w:sectPr>
      </w:pPr>
    </w:p>
    <w:p w14:paraId="0456F3D1">
      <w:pPr>
        <w:pStyle w:val="3"/>
        <w:spacing w:before="0" w:after="0" w:line="360" w:lineRule="auto"/>
        <w:jc w:val="center"/>
        <w:rPr>
          <w:rFonts w:ascii="宋体" w:hAnsi="宋体" w:eastAsia="宋体" w:cs="宋体"/>
          <w:b w:val="0"/>
          <w:color w:val="auto"/>
          <w:sz w:val="36"/>
          <w:szCs w:val="30"/>
        </w:rPr>
      </w:pPr>
      <w:bookmarkStart w:id="197" w:name="_Hlt41879464"/>
      <w:bookmarkEnd w:id="197"/>
      <w:bookmarkStart w:id="198" w:name="_Toc12789072"/>
      <w:bookmarkStart w:id="199" w:name="_Toc3944"/>
      <w:bookmarkStart w:id="200" w:name="_Toc17564"/>
      <w:bookmarkStart w:id="201" w:name="_Toc2426"/>
      <w:r>
        <w:rPr>
          <w:rFonts w:hint="eastAsia" w:ascii="宋体" w:hAnsi="宋体" w:eastAsia="宋体" w:cs="宋体"/>
          <w:b w:val="0"/>
          <w:color w:val="auto"/>
          <w:sz w:val="36"/>
          <w:szCs w:val="30"/>
        </w:rPr>
        <w:t xml:space="preserve">第七篇  </w:t>
      </w:r>
      <w:bookmarkEnd w:id="198"/>
      <w:r>
        <w:rPr>
          <w:rFonts w:hint="eastAsia" w:ascii="宋体" w:hAnsi="宋体" w:eastAsia="宋体" w:cs="宋体"/>
          <w:b w:val="0"/>
          <w:color w:val="auto"/>
          <w:sz w:val="36"/>
          <w:szCs w:val="30"/>
        </w:rPr>
        <w:t>响应文件编制要求</w:t>
      </w:r>
      <w:bookmarkEnd w:id="199"/>
      <w:bookmarkEnd w:id="200"/>
      <w:bookmarkEnd w:id="201"/>
    </w:p>
    <w:p w14:paraId="5CF2AE4D">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一、经济部分</w:t>
      </w:r>
    </w:p>
    <w:p w14:paraId="77805158">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（一）竞争性磋商报价函</w:t>
      </w:r>
    </w:p>
    <w:p w14:paraId="14764194">
      <w:pPr>
        <w:snapToGrid w:val="0"/>
        <w:spacing w:line="440" w:lineRule="exact"/>
        <w:ind w:firstLine="480" w:firstLineChars="200"/>
        <w:rPr>
          <w:rFonts w:ascii="宋体" w:hAnsi="宋体"/>
          <w:b w:val="0"/>
          <w:bCs w:val="0"/>
          <w:color w:val="auto"/>
          <w:sz w:val="24"/>
          <w:szCs w:val="24"/>
        </w:rPr>
      </w:pPr>
      <w:r>
        <w:rPr>
          <w:rFonts w:hint="eastAsia" w:ascii="宋体" w:hAnsi="宋体" w:cs="宋体"/>
          <w:b w:val="0"/>
          <w:bCs w:val="0"/>
          <w:color w:val="auto"/>
          <w:sz w:val="24"/>
          <w:szCs w:val="24"/>
        </w:rPr>
        <w:t>（二）</w:t>
      </w:r>
      <w:r>
        <w:rPr>
          <w:rFonts w:hint="eastAsia" w:ascii="宋体" w:hAnsi="宋体"/>
          <w:b w:val="0"/>
          <w:bCs w:val="0"/>
          <w:color w:val="auto"/>
          <w:sz w:val="24"/>
          <w:szCs w:val="24"/>
        </w:rPr>
        <w:t>投标保证金提交依据</w:t>
      </w:r>
    </w:p>
    <w:p w14:paraId="07893000">
      <w:pPr>
        <w:pStyle w:val="4"/>
        <w:spacing w:before="0" w:after="0" w:line="440" w:lineRule="exact"/>
        <w:ind w:firstLine="480" w:firstLineChars="200"/>
        <w:rPr>
          <w:rFonts w:ascii="宋体" w:hAnsi="宋体" w:cs="宋体"/>
          <w:b w:val="0"/>
          <w:bCs w:val="0"/>
          <w:color w:val="auto"/>
          <w:sz w:val="24"/>
          <w:szCs w:val="24"/>
        </w:rPr>
      </w:pPr>
      <w:bookmarkStart w:id="202" w:name="_Toc41986761"/>
      <w:bookmarkStart w:id="203" w:name="_Toc42790106"/>
      <w:bookmarkStart w:id="204" w:name="_Toc41457525"/>
      <w:bookmarkStart w:id="205" w:name="_Toc32144"/>
      <w:r>
        <w:rPr>
          <w:rFonts w:hint="eastAsia" w:ascii="宋体" w:hAnsi="宋体" w:cs="宋体"/>
          <w:b w:val="0"/>
          <w:bCs w:val="0"/>
          <w:color w:val="auto"/>
          <w:sz w:val="24"/>
          <w:szCs w:val="24"/>
        </w:rPr>
        <w:t>二、资格文件</w:t>
      </w:r>
      <w:bookmarkEnd w:id="202"/>
      <w:bookmarkEnd w:id="203"/>
      <w:bookmarkEnd w:id="204"/>
      <w:bookmarkEnd w:id="205"/>
    </w:p>
    <w:p w14:paraId="7E46964A">
      <w:pPr>
        <w:snapToGrid w:val="0"/>
        <w:spacing w:line="440" w:lineRule="exact"/>
        <w:ind w:firstLine="480" w:firstLineChars="200"/>
        <w:rPr>
          <w:rFonts w:ascii="宋体" w:hAnsi="宋体"/>
          <w:b w:val="0"/>
          <w:bCs w:val="0"/>
          <w:color w:val="auto"/>
          <w:sz w:val="24"/>
          <w:szCs w:val="24"/>
        </w:rPr>
      </w:pPr>
      <w:r>
        <w:rPr>
          <w:rFonts w:hint="eastAsia" w:ascii="宋体" w:hAnsi="宋体"/>
          <w:b w:val="0"/>
          <w:bCs w:val="0"/>
          <w:color w:val="auto"/>
          <w:sz w:val="24"/>
          <w:szCs w:val="24"/>
        </w:rPr>
        <w:t>（一）</w:t>
      </w:r>
      <w:r>
        <w:rPr>
          <w:rFonts w:hint="eastAsia" w:ascii="宋体" w:hAnsi="宋体" w:cs="宋体"/>
          <w:color w:val="auto"/>
          <w:sz w:val="24"/>
          <w:szCs w:val="24"/>
          <w:highlight w:val="none"/>
        </w:rPr>
        <w:t>法人营业执照（副本）或事业单位法人证书（副本）或个体工商户营业执照或有效的自然人身份证明或社会团体法人登记证书复印件</w:t>
      </w:r>
      <w:r>
        <w:rPr>
          <w:rFonts w:hint="eastAsia" w:ascii="宋体" w:hAnsi="宋体"/>
          <w:b w:val="0"/>
          <w:bCs w:val="0"/>
          <w:color w:val="auto"/>
          <w:sz w:val="24"/>
          <w:szCs w:val="24"/>
        </w:rPr>
        <w:t>。</w:t>
      </w:r>
    </w:p>
    <w:p w14:paraId="0552A31B">
      <w:pPr>
        <w:snapToGrid w:val="0"/>
        <w:spacing w:line="440" w:lineRule="exact"/>
        <w:ind w:firstLine="480" w:firstLineChars="200"/>
        <w:rPr>
          <w:rFonts w:ascii="宋体" w:hAnsi="宋体"/>
          <w:b w:val="0"/>
          <w:bCs w:val="0"/>
          <w:color w:val="auto"/>
          <w:sz w:val="24"/>
          <w:szCs w:val="24"/>
        </w:rPr>
      </w:pPr>
      <w:r>
        <w:rPr>
          <w:rFonts w:hint="eastAsia" w:ascii="宋体" w:hAnsi="宋体"/>
          <w:b w:val="0"/>
          <w:bCs w:val="0"/>
          <w:color w:val="auto"/>
          <w:sz w:val="24"/>
          <w:szCs w:val="24"/>
        </w:rPr>
        <w:t>（</w:t>
      </w:r>
      <w:r>
        <w:rPr>
          <w:rFonts w:hint="eastAsia" w:ascii="宋体" w:hAnsi="宋体"/>
          <w:b w:val="0"/>
          <w:bCs w:val="0"/>
          <w:color w:val="auto"/>
          <w:sz w:val="24"/>
          <w:szCs w:val="24"/>
          <w:lang w:val="en-US" w:eastAsia="zh-CN"/>
        </w:rPr>
        <w:t>二</w:t>
      </w:r>
      <w:r>
        <w:rPr>
          <w:rFonts w:hint="eastAsia" w:ascii="宋体" w:hAnsi="宋体"/>
          <w:b w:val="0"/>
          <w:bCs w:val="0"/>
          <w:color w:val="auto"/>
          <w:sz w:val="24"/>
          <w:szCs w:val="24"/>
        </w:rPr>
        <w:t>）法定代表人身份证明书（格式）</w:t>
      </w:r>
    </w:p>
    <w:p w14:paraId="2E12F331">
      <w:pPr>
        <w:snapToGrid w:val="0"/>
        <w:spacing w:line="440" w:lineRule="exact"/>
        <w:ind w:firstLine="480" w:firstLineChars="200"/>
        <w:rPr>
          <w:rFonts w:ascii="宋体" w:hAnsi="宋体"/>
          <w:b w:val="0"/>
          <w:bCs w:val="0"/>
          <w:color w:val="auto"/>
          <w:sz w:val="24"/>
          <w:szCs w:val="24"/>
        </w:rPr>
      </w:pPr>
      <w:r>
        <w:rPr>
          <w:rFonts w:hint="eastAsia" w:ascii="宋体" w:hAnsi="宋体"/>
          <w:b w:val="0"/>
          <w:bCs w:val="0"/>
          <w:color w:val="auto"/>
          <w:sz w:val="24"/>
          <w:szCs w:val="24"/>
        </w:rPr>
        <w:t>（</w:t>
      </w:r>
      <w:r>
        <w:rPr>
          <w:rFonts w:hint="eastAsia" w:ascii="宋体" w:hAnsi="宋体"/>
          <w:b w:val="0"/>
          <w:bCs w:val="0"/>
          <w:color w:val="auto"/>
          <w:sz w:val="24"/>
          <w:szCs w:val="24"/>
          <w:lang w:val="en-US" w:eastAsia="zh-CN"/>
        </w:rPr>
        <w:t>三</w:t>
      </w:r>
      <w:r>
        <w:rPr>
          <w:rFonts w:hint="eastAsia" w:ascii="宋体" w:hAnsi="宋体"/>
          <w:b w:val="0"/>
          <w:bCs w:val="0"/>
          <w:color w:val="auto"/>
          <w:sz w:val="24"/>
          <w:szCs w:val="24"/>
        </w:rPr>
        <w:t>）法定代表人授权委托书（格式）</w:t>
      </w:r>
    </w:p>
    <w:p w14:paraId="10FBD132">
      <w:pPr>
        <w:snapToGrid w:val="0"/>
        <w:spacing w:line="440" w:lineRule="exact"/>
        <w:ind w:firstLine="480" w:firstLineChars="200"/>
        <w:rPr>
          <w:rFonts w:ascii="宋体" w:hAnsi="宋体"/>
          <w:b w:val="0"/>
          <w:bCs w:val="0"/>
          <w:color w:val="auto"/>
          <w:sz w:val="24"/>
          <w:szCs w:val="24"/>
        </w:rPr>
      </w:pPr>
      <w:r>
        <w:rPr>
          <w:rFonts w:hint="eastAsia" w:ascii="宋体" w:hAnsi="宋体"/>
          <w:b w:val="0"/>
          <w:bCs w:val="0"/>
          <w:color w:val="auto"/>
          <w:sz w:val="24"/>
          <w:szCs w:val="24"/>
        </w:rPr>
        <w:t>（</w:t>
      </w:r>
      <w:r>
        <w:rPr>
          <w:rFonts w:hint="eastAsia" w:ascii="宋体" w:hAnsi="宋体"/>
          <w:b w:val="0"/>
          <w:bCs w:val="0"/>
          <w:color w:val="auto"/>
          <w:sz w:val="24"/>
          <w:szCs w:val="24"/>
          <w:lang w:val="en-US" w:eastAsia="zh-CN"/>
        </w:rPr>
        <w:t>四</w:t>
      </w:r>
      <w:r>
        <w:rPr>
          <w:rFonts w:hint="eastAsia" w:ascii="宋体" w:hAnsi="宋体"/>
          <w:b w:val="0"/>
          <w:bCs w:val="0"/>
          <w:color w:val="auto"/>
          <w:sz w:val="24"/>
          <w:szCs w:val="24"/>
        </w:rPr>
        <w:t>）诚信声明格式(如果有)</w:t>
      </w:r>
    </w:p>
    <w:p w14:paraId="4633CFCF">
      <w:pPr>
        <w:snapToGrid w:val="0"/>
        <w:spacing w:line="440" w:lineRule="exact"/>
        <w:ind w:firstLine="480" w:firstLineChars="200"/>
        <w:rPr>
          <w:rFonts w:ascii="宋体" w:hAnsi="宋体"/>
          <w:b w:val="0"/>
          <w:bCs w:val="0"/>
          <w:color w:val="auto"/>
          <w:sz w:val="24"/>
          <w:szCs w:val="24"/>
        </w:rPr>
      </w:pPr>
      <w:r>
        <w:rPr>
          <w:rFonts w:hint="eastAsia" w:ascii="宋体" w:hAnsi="宋体"/>
          <w:b w:val="0"/>
          <w:bCs w:val="0"/>
          <w:color w:val="auto"/>
          <w:sz w:val="24"/>
          <w:szCs w:val="24"/>
        </w:rPr>
        <w:t>（</w:t>
      </w:r>
      <w:r>
        <w:rPr>
          <w:rFonts w:hint="eastAsia" w:ascii="宋体" w:hAnsi="宋体"/>
          <w:b w:val="0"/>
          <w:bCs w:val="0"/>
          <w:color w:val="auto"/>
          <w:sz w:val="24"/>
          <w:szCs w:val="24"/>
          <w:lang w:val="en-US" w:eastAsia="zh-CN"/>
        </w:rPr>
        <w:t>五</w:t>
      </w:r>
      <w:r>
        <w:rPr>
          <w:rFonts w:hint="eastAsia" w:ascii="宋体" w:hAnsi="宋体"/>
          <w:b w:val="0"/>
          <w:bCs w:val="0"/>
          <w:color w:val="auto"/>
          <w:sz w:val="24"/>
          <w:szCs w:val="24"/>
        </w:rPr>
        <w:t>）</w:t>
      </w:r>
      <w:r>
        <w:rPr>
          <w:rFonts w:hint="eastAsia" w:ascii="宋体" w:hAnsi="宋体"/>
          <w:b w:val="0"/>
          <w:bCs w:val="0"/>
          <w:color w:val="auto"/>
          <w:sz w:val="24"/>
          <w:szCs w:val="24"/>
        </w:rPr>
        <w:t>上一年度资产负债表、利润表、现金流量表复印件，本年度新成立的公司提供投标截止时间前一个月的财务状况报告（资产负债表、利润表、现金流量表复印件）。</w:t>
      </w:r>
    </w:p>
    <w:p w14:paraId="1974AD0F">
      <w:pPr>
        <w:snapToGrid w:val="0"/>
        <w:spacing w:line="440" w:lineRule="exact"/>
        <w:ind w:firstLine="480" w:firstLineChars="200"/>
        <w:rPr>
          <w:rFonts w:ascii="宋体" w:hAnsi="宋体"/>
          <w:b w:val="0"/>
          <w:bCs w:val="0"/>
          <w:color w:val="auto"/>
          <w:sz w:val="24"/>
          <w:szCs w:val="24"/>
        </w:rPr>
      </w:pPr>
      <w:r>
        <w:rPr>
          <w:rFonts w:hint="eastAsia" w:ascii="宋体" w:hAnsi="宋体"/>
          <w:b w:val="0"/>
          <w:bCs w:val="0"/>
          <w:color w:val="auto"/>
          <w:sz w:val="24"/>
          <w:szCs w:val="24"/>
        </w:rPr>
        <w:t>（</w:t>
      </w:r>
      <w:r>
        <w:rPr>
          <w:rFonts w:hint="eastAsia" w:ascii="宋体" w:hAnsi="宋体"/>
          <w:b w:val="0"/>
          <w:bCs w:val="0"/>
          <w:color w:val="auto"/>
          <w:sz w:val="24"/>
          <w:szCs w:val="24"/>
          <w:lang w:val="en-US" w:eastAsia="zh-CN"/>
        </w:rPr>
        <w:t>六</w:t>
      </w:r>
      <w:r>
        <w:rPr>
          <w:rFonts w:hint="eastAsia" w:ascii="宋体" w:hAnsi="宋体"/>
          <w:b w:val="0"/>
          <w:bCs w:val="0"/>
          <w:color w:val="auto"/>
          <w:sz w:val="24"/>
          <w:szCs w:val="24"/>
        </w:rPr>
        <w:t>）缴纳税收的证明材料和社会保险缴纳证明材料</w:t>
      </w:r>
    </w:p>
    <w:p w14:paraId="2C79C7E2">
      <w:pPr>
        <w:snapToGrid w:val="0"/>
        <w:spacing w:line="440" w:lineRule="exact"/>
        <w:ind w:firstLine="480" w:firstLineChars="200"/>
        <w:rPr>
          <w:rFonts w:ascii="宋体" w:hAnsi="宋体"/>
          <w:b w:val="0"/>
          <w:bCs w:val="0"/>
          <w:color w:val="auto"/>
          <w:sz w:val="24"/>
          <w:szCs w:val="24"/>
        </w:rPr>
      </w:pPr>
      <w:r>
        <w:rPr>
          <w:rFonts w:hint="eastAsia" w:ascii="宋体" w:hAnsi="宋体"/>
          <w:b w:val="0"/>
          <w:bCs w:val="0"/>
          <w:color w:val="auto"/>
          <w:sz w:val="24"/>
          <w:szCs w:val="24"/>
        </w:rPr>
        <w:t>（</w:t>
      </w:r>
      <w:r>
        <w:rPr>
          <w:rFonts w:hint="eastAsia" w:ascii="宋体" w:hAnsi="宋体"/>
          <w:b w:val="0"/>
          <w:bCs w:val="0"/>
          <w:color w:val="auto"/>
          <w:sz w:val="24"/>
          <w:szCs w:val="24"/>
          <w:lang w:eastAsia="zh-CN"/>
        </w:rPr>
        <w:t>七</w:t>
      </w:r>
      <w:r>
        <w:rPr>
          <w:rFonts w:hint="eastAsia" w:ascii="宋体" w:hAnsi="宋体"/>
          <w:b w:val="0"/>
          <w:bCs w:val="0"/>
          <w:color w:val="auto"/>
          <w:sz w:val="24"/>
          <w:szCs w:val="24"/>
        </w:rPr>
        <w:t>）诚信声明与信用中国网站（www.creditchina.gov.cn）“信用信息”（包括“失信被执行人”及“重大税收违法案件当事人名单”）及“行政处罚”查询结果以及中国政府采购网（www.ccgp.gov.cn）“政府采购严重违法失信行为纪录名单”查询结果（上述两个网站查询结果网页打印件并加盖投标人公章）。查询结果为本项目采购公告发布之日起至投标截止时间前。</w:t>
      </w:r>
    </w:p>
    <w:p w14:paraId="3B3DD961">
      <w:pPr>
        <w:snapToGrid w:val="0"/>
        <w:spacing w:line="440" w:lineRule="exact"/>
        <w:ind w:firstLine="480" w:firstLineChars="200"/>
        <w:rPr>
          <w:rFonts w:ascii="宋体" w:hAnsi="宋体"/>
          <w:b w:val="0"/>
          <w:bCs w:val="0"/>
          <w:color w:val="auto"/>
          <w:sz w:val="24"/>
          <w:szCs w:val="24"/>
        </w:rPr>
      </w:pPr>
      <w:r>
        <w:rPr>
          <w:rFonts w:hint="eastAsia" w:ascii="宋体" w:hAnsi="宋体"/>
          <w:b w:val="0"/>
          <w:bCs w:val="0"/>
          <w:color w:val="auto"/>
          <w:sz w:val="24"/>
          <w:szCs w:val="24"/>
        </w:rPr>
        <w:t>（</w:t>
      </w:r>
      <w:r>
        <w:rPr>
          <w:rFonts w:hint="eastAsia" w:ascii="宋体" w:hAnsi="宋体"/>
          <w:b w:val="0"/>
          <w:bCs w:val="0"/>
          <w:color w:val="auto"/>
          <w:sz w:val="24"/>
          <w:szCs w:val="24"/>
          <w:lang w:val="en-US" w:eastAsia="zh-CN"/>
        </w:rPr>
        <w:t>八</w:t>
      </w:r>
      <w:r>
        <w:rPr>
          <w:rFonts w:hint="eastAsia" w:ascii="宋体" w:hAnsi="宋体"/>
          <w:b w:val="0"/>
          <w:bCs w:val="0"/>
          <w:color w:val="auto"/>
          <w:sz w:val="24"/>
          <w:szCs w:val="24"/>
        </w:rPr>
        <w:t xml:space="preserve">）特定资格条件证明文件(如果有) </w:t>
      </w:r>
    </w:p>
    <w:p w14:paraId="51ECE025">
      <w:pPr>
        <w:pStyle w:val="4"/>
        <w:spacing w:before="0" w:after="0" w:line="440" w:lineRule="exact"/>
        <w:ind w:firstLine="480" w:firstLineChars="200"/>
        <w:rPr>
          <w:rFonts w:ascii="宋体" w:hAnsi="宋体" w:cs="宋体"/>
          <w:b w:val="0"/>
          <w:bCs w:val="0"/>
          <w:color w:val="auto"/>
          <w:sz w:val="24"/>
          <w:szCs w:val="24"/>
        </w:rPr>
      </w:pPr>
      <w:bookmarkStart w:id="206" w:name="_Toc41457526"/>
      <w:bookmarkStart w:id="207" w:name="_Toc42790107"/>
      <w:bookmarkStart w:id="208" w:name="_Toc41986762"/>
      <w:bookmarkStart w:id="209" w:name="_Toc13408"/>
      <w:r>
        <w:rPr>
          <w:rFonts w:hint="eastAsia" w:ascii="宋体" w:hAnsi="宋体" w:cs="宋体"/>
          <w:b w:val="0"/>
          <w:bCs w:val="0"/>
          <w:color w:val="auto"/>
          <w:sz w:val="24"/>
          <w:szCs w:val="24"/>
        </w:rPr>
        <w:t>三、商务文件</w:t>
      </w:r>
      <w:bookmarkEnd w:id="206"/>
      <w:bookmarkEnd w:id="207"/>
      <w:bookmarkEnd w:id="208"/>
      <w:bookmarkEnd w:id="209"/>
    </w:p>
    <w:p w14:paraId="6E080086">
      <w:pPr>
        <w:snapToGrid w:val="0"/>
        <w:spacing w:line="440" w:lineRule="exact"/>
        <w:ind w:firstLine="480" w:firstLineChars="200"/>
        <w:rPr>
          <w:rFonts w:ascii="宋体" w:hAnsi="宋体"/>
          <w:b w:val="0"/>
          <w:bCs w:val="0"/>
          <w:color w:val="auto"/>
          <w:sz w:val="24"/>
          <w:szCs w:val="24"/>
        </w:rPr>
      </w:pPr>
      <w:r>
        <w:rPr>
          <w:rFonts w:hint="eastAsia" w:ascii="宋体" w:hAnsi="宋体"/>
          <w:b w:val="0"/>
          <w:bCs w:val="0"/>
          <w:color w:val="auto"/>
          <w:sz w:val="24"/>
          <w:szCs w:val="24"/>
        </w:rPr>
        <w:t>（一）响应文件函（格式）；</w:t>
      </w:r>
    </w:p>
    <w:p w14:paraId="51626650">
      <w:pPr>
        <w:snapToGrid w:val="0"/>
        <w:spacing w:line="440" w:lineRule="exact"/>
        <w:ind w:firstLine="480" w:firstLineChars="200"/>
        <w:rPr>
          <w:rFonts w:ascii="宋体" w:hAnsi="宋体"/>
          <w:b w:val="0"/>
          <w:bCs w:val="0"/>
          <w:color w:val="auto"/>
          <w:sz w:val="24"/>
          <w:szCs w:val="24"/>
        </w:rPr>
      </w:pPr>
      <w:r>
        <w:rPr>
          <w:rFonts w:hint="eastAsia" w:ascii="宋体" w:hAnsi="宋体"/>
          <w:b w:val="0"/>
          <w:bCs w:val="0"/>
          <w:color w:val="auto"/>
          <w:sz w:val="24"/>
          <w:szCs w:val="24"/>
        </w:rPr>
        <w:t>（二）投标人基本情况介绍及商务承诺；</w:t>
      </w:r>
    </w:p>
    <w:p w14:paraId="171E788B">
      <w:pPr>
        <w:snapToGrid w:val="0"/>
        <w:spacing w:line="440" w:lineRule="exact"/>
        <w:ind w:firstLine="480" w:firstLineChars="200"/>
        <w:rPr>
          <w:rFonts w:ascii="宋体" w:hAnsi="宋体"/>
          <w:b w:val="0"/>
          <w:bCs w:val="0"/>
          <w:color w:val="auto"/>
          <w:sz w:val="24"/>
          <w:szCs w:val="24"/>
        </w:rPr>
      </w:pPr>
      <w:r>
        <w:rPr>
          <w:rFonts w:hint="eastAsia" w:ascii="宋体" w:hAnsi="宋体"/>
          <w:b w:val="0"/>
          <w:bCs w:val="0"/>
          <w:color w:val="auto"/>
          <w:sz w:val="24"/>
          <w:szCs w:val="24"/>
        </w:rPr>
        <w:t>（三）商务条款差异表；</w:t>
      </w:r>
    </w:p>
    <w:p w14:paraId="04B33141">
      <w:pPr>
        <w:snapToGrid w:val="0"/>
        <w:spacing w:line="440" w:lineRule="exact"/>
        <w:ind w:firstLine="480" w:firstLineChars="200"/>
        <w:rPr>
          <w:rFonts w:ascii="宋体" w:hAnsi="宋体"/>
          <w:b w:val="0"/>
          <w:bCs w:val="0"/>
          <w:color w:val="auto"/>
          <w:sz w:val="24"/>
          <w:szCs w:val="24"/>
        </w:rPr>
      </w:pPr>
      <w:r>
        <w:rPr>
          <w:rFonts w:hint="eastAsia" w:ascii="宋体" w:hAnsi="宋体"/>
          <w:b w:val="0"/>
          <w:bCs w:val="0"/>
          <w:color w:val="auto"/>
          <w:sz w:val="24"/>
          <w:szCs w:val="24"/>
        </w:rPr>
        <w:t>（四）委托经营服务承诺。</w:t>
      </w:r>
    </w:p>
    <w:p w14:paraId="5C656566">
      <w:pPr>
        <w:pStyle w:val="4"/>
        <w:spacing w:before="0" w:after="0" w:line="440" w:lineRule="exact"/>
        <w:ind w:firstLine="480" w:firstLineChars="200"/>
        <w:rPr>
          <w:rFonts w:ascii="宋体" w:hAnsi="宋体" w:cs="宋体"/>
          <w:b w:val="0"/>
          <w:bCs w:val="0"/>
          <w:color w:val="auto"/>
          <w:sz w:val="24"/>
          <w:szCs w:val="24"/>
        </w:rPr>
      </w:pPr>
      <w:bookmarkStart w:id="210" w:name="_Toc41986763"/>
      <w:bookmarkStart w:id="211" w:name="_Toc21597"/>
      <w:bookmarkStart w:id="212" w:name="_Toc42790108"/>
      <w:bookmarkStart w:id="213" w:name="_Toc41457527"/>
      <w:r>
        <w:rPr>
          <w:rFonts w:hint="eastAsia" w:ascii="宋体" w:hAnsi="宋体" w:cs="宋体"/>
          <w:b w:val="0"/>
          <w:bCs w:val="0"/>
          <w:color w:val="auto"/>
          <w:sz w:val="24"/>
          <w:szCs w:val="24"/>
        </w:rPr>
        <w:t>四、技术文件</w:t>
      </w:r>
      <w:bookmarkEnd w:id="210"/>
      <w:bookmarkEnd w:id="211"/>
      <w:bookmarkEnd w:id="212"/>
      <w:bookmarkEnd w:id="213"/>
    </w:p>
    <w:p w14:paraId="27B137F3">
      <w:pPr>
        <w:snapToGrid w:val="0"/>
        <w:spacing w:line="440" w:lineRule="exact"/>
        <w:ind w:firstLine="480" w:firstLineChars="200"/>
        <w:rPr>
          <w:rFonts w:ascii="宋体" w:hAnsi="宋体"/>
          <w:b w:val="0"/>
          <w:bCs w:val="0"/>
          <w:color w:val="auto"/>
          <w:sz w:val="24"/>
          <w:szCs w:val="24"/>
        </w:rPr>
      </w:pPr>
      <w:r>
        <w:rPr>
          <w:rFonts w:hint="eastAsia" w:ascii="宋体" w:hAnsi="宋体"/>
          <w:b w:val="0"/>
          <w:bCs w:val="0"/>
          <w:color w:val="auto"/>
          <w:sz w:val="24"/>
          <w:szCs w:val="24"/>
        </w:rPr>
        <w:t>（一）经营服务方案；</w:t>
      </w:r>
    </w:p>
    <w:p w14:paraId="3DA80916">
      <w:pPr>
        <w:snapToGrid w:val="0"/>
        <w:spacing w:line="440" w:lineRule="exact"/>
        <w:ind w:firstLine="480" w:firstLineChars="200"/>
        <w:rPr>
          <w:rFonts w:ascii="宋体" w:hAnsi="宋体"/>
          <w:b w:val="0"/>
          <w:bCs w:val="0"/>
          <w:color w:val="auto"/>
          <w:sz w:val="24"/>
          <w:szCs w:val="24"/>
        </w:rPr>
      </w:pPr>
      <w:r>
        <w:rPr>
          <w:rFonts w:hint="eastAsia" w:ascii="宋体" w:hAnsi="宋体"/>
          <w:b w:val="0"/>
          <w:bCs w:val="0"/>
          <w:color w:val="auto"/>
          <w:sz w:val="24"/>
          <w:szCs w:val="24"/>
        </w:rPr>
        <w:t>（二）每月向学校缴纳质量监管费占营业额的比例；</w:t>
      </w:r>
    </w:p>
    <w:p w14:paraId="09B49425">
      <w:pPr>
        <w:snapToGrid w:val="0"/>
        <w:spacing w:line="440" w:lineRule="exact"/>
        <w:ind w:firstLine="480" w:firstLineChars="200"/>
        <w:rPr>
          <w:rFonts w:ascii="宋体" w:hAnsi="宋体"/>
          <w:b w:val="0"/>
          <w:bCs w:val="0"/>
          <w:color w:val="auto"/>
          <w:sz w:val="24"/>
          <w:szCs w:val="24"/>
        </w:rPr>
      </w:pPr>
      <w:r>
        <w:rPr>
          <w:rFonts w:hint="eastAsia" w:ascii="宋体" w:hAnsi="宋体"/>
          <w:b w:val="0"/>
          <w:bCs w:val="0"/>
          <w:color w:val="auto"/>
          <w:sz w:val="24"/>
          <w:szCs w:val="24"/>
        </w:rPr>
        <w:t>（三）首期投资食堂装修和餐厨设施设备等费用；</w:t>
      </w:r>
    </w:p>
    <w:p w14:paraId="7E2F8C7D">
      <w:pPr>
        <w:snapToGrid w:val="0"/>
        <w:spacing w:line="440" w:lineRule="exact"/>
        <w:ind w:firstLine="480" w:firstLineChars="200"/>
        <w:rPr>
          <w:rFonts w:ascii="宋体" w:hAnsi="宋体"/>
          <w:b w:val="0"/>
          <w:bCs w:val="0"/>
          <w:color w:val="auto"/>
          <w:sz w:val="24"/>
          <w:szCs w:val="24"/>
        </w:rPr>
      </w:pPr>
      <w:r>
        <w:rPr>
          <w:rFonts w:hint="eastAsia" w:ascii="宋体" w:hAnsi="宋体"/>
          <w:b w:val="0"/>
          <w:bCs w:val="0"/>
          <w:color w:val="auto"/>
          <w:sz w:val="24"/>
          <w:szCs w:val="24"/>
        </w:rPr>
        <w:t>（四）经济与技术条款差异表。</w:t>
      </w:r>
    </w:p>
    <w:p w14:paraId="53E138A4">
      <w:pPr>
        <w:pStyle w:val="4"/>
        <w:spacing w:before="0" w:after="0" w:line="440" w:lineRule="exact"/>
        <w:ind w:firstLine="480" w:firstLineChars="200"/>
        <w:rPr>
          <w:rFonts w:ascii="宋体" w:hAnsi="宋体" w:cs="宋体"/>
          <w:b w:val="0"/>
          <w:bCs w:val="0"/>
          <w:color w:val="auto"/>
          <w:sz w:val="24"/>
          <w:szCs w:val="24"/>
        </w:rPr>
      </w:pPr>
      <w:bookmarkStart w:id="214" w:name="_Toc41457528"/>
      <w:bookmarkStart w:id="215" w:name="_Toc41986764"/>
      <w:bookmarkStart w:id="216" w:name="_Toc42790109"/>
      <w:bookmarkStart w:id="217" w:name="_Toc10958"/>
      <w:r>
        <w:rPr>
          <w:rFonts w:hint="eastAsia" w:ascii="宋体" w:hAnsi="宋体" w:cs="宋体"/>
          <w:b w:val="0"/>
          <w:bCs w:val="0"/>
          <w:color w:val="auto"/>
          <w:sz w:val="24"/>
          <w:szCs w:val="24"/>
        </w:rPr>
        <w:t>五、其他</w:t>
      </w:r>
      <w:bookmarkEnd w:id="214"/>
      <w:bookmarkEnd w:id="215"/>
      <w:bookmarkEnd w:id="216"/>
      <w:bookmarkEnd w:id="217"/>
    </w:p>
    <w:p w14:paraId="447800D4">
      <w:pPr>
        <w:snapToGrid w:val="0"/>
        <w:spacing w:line="440" w:lineRule="exact"/>
        <w:ind w:firstLine="480" w:firstLineChars="20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（一）其他与项目有关的资料</w:t>
      </w:r>
      <w:r>
        <w:rPr>
          <w:rFonts w:hint="eastAsia" w:ascii="宋体" w:hAnsi="宋体" w:eastAsia="宋体" w:cs="宋体"/>
          <w:b w:val="0"/>
          <w:bCs w:val="0"/>
          <w:color w:val="auto"/>
        </w:rPr>
        <w:t>（自附）</w:t>
      </w:r>
    </w:p>
    <w:p w14:paraId="2D577D1A">
      <w:pPr>
        <w:snapToGrid w:val="0"/>
        <w:spacing w:line="440" w:lineRule="exact"/>
        <w:ind w:firstLine="480" w:firstLineChars="20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（二）同一供应商投标2个或3个包的，须提供书面承诺函（承诺如果不止一个包成为排名第一的中标人，我方将按照包</w:t>
      </w:r>
      <w:r>
        <w:rPr>
          <w:rFonts w:hint="eastAsia" w:ascii="宋体" w:hAnsi="宋体" w:eastAsia="宋体" w:cs="宋体"/>
          <w:b w:val="0"/>
          <w:bCs w:val="0"/>
          <w:color w:val="auto"/>
          <w:sz w:val="24"/>
          <w:szCs w:val="24"/>
          <w:u w:val="single"/>
        </w:rPr>
        <w:t xml:space="preserve">   、</w:t>
      </w:r>
      <w:r>
        <w:rPr>
          <w:rFonts w:hint="eastAsia" w:ascii="宋体" w:hAnsi="宋体" w:eastAsia="宋体" w:cs="宋体"/>
          <w:b w:val="0"/>
          <w:bCs w:val="0"/>
          <w:color w:val="auto"/>
          <w:sz w:val="24"/>
          <w:szCs w:val="24"/>
        </w:rPr>
        <w:t>包</w:t>
      </w:r>
      <w:r>
        <w:rPr>
          <w:rFonts w:hint="eastAsia" w:ascii="宋体" w:hAnsi="宋体" w:eastAsia="宋体" w:cs="宋体"/>
          <w:b w:val="0"/>
          <w:bCs w:val="0"/>
          <w:color w:val="auto"/>
          <w:sz w:val="24"/>
          <w:szCs w:val="24"/>
          <w:u w:val="single"/>
        </w:rPr>
        <w:t xml:space="preserve">   、</w:t>
      </w:r>
      <w:r>
        <w:rPr>
          <w:rFonts w:hint="eastAsia" w:ascii="宋体" w:hAnsi="宋体" w:eastAsia="宋体" w:cs="宋体"/>
          <w:b w:val="0"/>
          <w:bCs w:val="0"/>
          <w:color w:val="auto"/>
          <w:sz w:val="24"/>
          <w:szCs w:val="24"/>
        </w:rPr>
        <w:t>包</w:t>
      </w:r>
      <w:r>
        <w:rPr>
          <w:rFonts w:hint="eastAsia" w:ascii="宋体" w:hAnsi="宋体" w:eastAsia="宋体" w:cs="宋体"/>
          <w:b w:val="0"/>
          <w:bCs w:val="0"/>
          <w:color w:val="auto"/>
          <w:sz w:val="24"/>
          <w:szCs w:val="24"/>
          <w:u w:val="single"/>
        </w:rPr>
        <w:t xml:space="preserve">    </w:t>
      </w:r>
      <w:r>
        <w:rPr>
          <w:rFonts w:hint="eastAsia" w:ascii="宋体" w:hAnsi="宋体" w:eastAsia="宋体" w:cs="宋体"/>
          <w:b w:val="0"/>
          <w:bCs w:val="0"/>
          <w:color w:val="auto"/>
          <w:sz w:val="24"/>
          <w:szCs w:val="24"/>
        </w:rPr>
        <w:t>的先后顺序保留一个包），且各包书面承诺函必须一致。供应商投标1个包的无须提供此书面承诺函。</w:t>
      </w:r>
    </w:p>
    <w:p w14:paraId="7FDA5C5C">
      <w:pPr>
        <w:snapToGrid w:val="0"/>
        <w:spacing w:line="500" w:lineRule="exact"/>
        <w:ind w:right="-84" w:rightChars="-3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特别提醒：</w:t>
      </w:r>
    </w:p>
    <w:p w14:paraId="4146CE6D">
      <w:pPr>
        <w:snapToGrid w:val="0"/>
        <w:spacing w:line="500" w:lineRule="exact"/>
        <w:ind w:right="-84" w:rightChars="-30" w:firstLine="475" w:firstLineChars="198"/>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请各供应商严格按上述顺序编制响应文件。</w:t>
      </w:r>
    </w:p>
    <w:p w14:paraId="74B01BA2">
      <w:pPr>
        <w:snapToGrid w:val="0"/>
        <w:spacing w:line="500" w:lineRule="exact"/>
        <w:ind w:right="-84" w:rightChars="-3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　　响应文件应编写目录、页码以便评标查询。</w:t>
      </w:r>
    </w:p>
    <w:p w14:paraId="7BE75629">
      <w:pPr>
        <w:snapToGrid w:val="0"/>
        <w:spacing w:line="500" w:lineRule="exact"/>
        <w:ind w:right="-84" w:rightChars="-30" w:firstLine="475" w:firstLineChars="198"/>
        <w:rPr>
          <w:rFonts w:hint="eastAsia" w:ascii="宋体" w:hAnsi="宋体" w:eastAsia="宋体" w:cs="宋体"/>
          <w:b w:val="0"/>
          <w:bCs w:val="0"/>
          <w:color w:val="auto"/>
          <w:szCs w:val="28"/>
        </w:rPr>
      </w:pPr>
      <w:r>
        <w:rPr>
          <w:rFonts w:hint="eastAsia" w:ascii="宋体" w:hAnsi="宋体" w:eastAsia="宋体" w:cs="宋体"/>
          <w:b w:val="0"/>
          <w:bCs w:val="0"/>
          <w:color w:val="auto"/>
          <w:sz w:val="24"/>
          <w:szCs w:val="24"/>
        </w:rPr>
        <w:t>清单中提供了格式文件的，请按格式编写；清单中没有提供格式的，请供应商自行编写应补充的响应资料。</w:t>
      </w:r>
    </w:p>
    <w:p w14:paraId="4402C8D5">
      <w:pPr>
        <w:snapToGrid w:val="0"/>
        <w:spacing w:line="312" w:lineRule="auto"/>
        <w:rPr>
          <w:rFonts w:hint="eastAsia" w:ascii="宋体" w:hAnsi="宋体" w:eastAsia="宋体" w:cs="宋体"/>
          <w:color w:val="auto"/>
          <w:sz w:val="24"/>
          <w:szCs w:val="24"/>
          <w:bdr w:val="single" w:color="auto" w:sz="4" w:space="0"/>
        </w:rPr>
        <w:sectPr>
          <w:pgSz w:w="11907" w:h="16840"/>
          <w:pgMar w:top="1134" w:right="1191" w:bottom="1134" w:left="1304" w:header="851" w:footer="794" w:gutter="0"/>
          <w:cols w:space="720" w:num="1"/>
          <w:docGrid w:linePitch="380" w:charSpace="-5735"/>
        </w:sectPr>
      </w:pPr>
    </w:p>
    <w:p w14:paraId="72A457FE">
      <w:pPr>
        <w:pStyle w:val="3"/>
        <w:adjustRightInd w:val="0"/>
        <w:snapToGrid w:val="0"/>
        <w:spacing w:before="0" w:after="0" w:line="400" w:lineRule="exact"/>
        <w:ind w:firstLine="482" w:firstLineChars="200"/>
        <w:rPr>
          <w:rFonts w:ascii="宋体" w:hAnsi="宋体" w:eastAsia="宋体" w:cs="宋体"/>
          <w:color w:val="auto"/>
          <w:sz w:val="24"/>
        </w:rPr>
      </w:pPr>
      <w:bookmarkStart w:id="218" w:name="_Toc76462350"/>
      <w:bookmarkStart w:id="219" w:name="_Toc26001"/>
      <w:bookmarkStart w:id="220" w:name="_Toc14641"/>
      <w:r>
        <w:rPr>
          <w:rFonts w:hint="eastAsia" w:ascii="宋体" w:hAnsi="宋体" w:eastAsia="宋体" w:cs="宋体"/>
          <w:color w:val="auto"/>
          <w:sz w:val="24"/>
        </w:rPr>
        <w:t>一、经济部分</w:t>
      </w:r>
      <w:bookmarkEnd w:id="218"/>
      <w:bookmarkEnd w:id="219"/>
      <w:bookmarkEnd w:id="220"/>
    </w:p>
    <w:p w14:paraId="7243FBE3">
      <w:pPr>
        <w:tabs>
          <w:tab w:val="left" w:pos="6300"/>
        </w:tabs>
        <w:snapToGrid w:val="0"/>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（一）竞争性磋商报价函</w:t>
      </w:r>
    </w:p>
    <w:p w14:paraId="723103A6">
      <w:pPr>
        <w:jc w:val="center"/>
        <w:rPr>
          <w:rFonts w:ascii="宋体" w:hAnsi="宋体" w:cs="宋体"/>
          <w:b/>
          <w:color w:val="auto"/>
          <w:szCs w:val="28"/>
        </w:rPr>
      </w:pPr>
      <w:r>
        <w:rPr>
          <w:rFonts w:hint="eastAsia" w:ascii="宋体" w:hAnsi="宋体" w:cs="宋体"/>
          <w:b/>
          <w:color w:val="auto"/>
          <w:szCs w:val="28"/>
        </w:rPr>
        <w:t>竞争性磋商报价函</w:t>
      </w:r>
    </w:p>
    <w:p w14:paraId="22C3F851">
      <w:pPr>
        <w:tabs>
          <w:tab w:val="left" w:pos="6300"/>
        </w:tabs>
        <w:snapToGrid w:val="0"/>
        <w:spacing w:line="312" w:lineRule="auto"/>
        <w:rPr>
          <w:rFonts w:ascii="宋体" w:hAnsi="宋体" w:cs="宋体"/>
          <w:color w:val="auto"/>
          <w:sz w:val="24"/>
          <w:szCs w:val="24"/>
        </w:rPr>
      </w:pPr>
      <w:r>
        <w:rPr>
          <w:rFonts w:hint="eastAsia" w:ascii="宋体" w:hAnsi="宋体" w:cs="宋体"/>
          <w:color w:val="auto"/>
          <w:sz w:val="24"/>
          <w:szCs w:val="24"/>
          <w:u w:val="single"/>
        </w:rPr>
        <w:t>（采购代理机构名称）</w:t>
      </w:r>
      <w:r>
        <w:rPr>
          <w:rFonts w:hint="eastAsia" w:ascii="宋体" w:hAnsi="宋体" w:cs="宋体"/>
          <w:color w:val="auto"/>
          <w:sz w:val="24"/>
          <w:szCs w:val="24"/>
        </w:rPr>
        <w:t>：</w:t>
      </w:r>
    </w:p>
    <w:p w14:paraId="65EE4906">
      <w:pPr>
        <w:tabs>
          <w:tab w:val="left" w:pos="6300"/>
        </w:tabs>
        <w:snapToGrid w:val="0"/>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我方收到____________________________（磋商项目名称）的竞争性磋商文件，经详细研究，决定参加该项目的磋商。</w:t>
      </w:r>
    </w:p>
    <w:p w14:paraId="5AA71957">
      <w:pPr>
        <w:tabs>
          <w:tab w:val="left" w:pos="6300"/>
        </w:tabs>
        <w:snapToGrid w:val="0"/>
        <w:spacing w:line="312" w:lineRule="auto"/>
        <w:ind w:firstLine="480" w:firstLineChars="200"/>
        <w:rPr>
          <w:rFonts w:hint="eastAsia" w:ascii="宋体" w:hAnsi="宋体" w:cs="宋体"/>
          <w:color w:val="auto"/>
          <w:sz w:val="24"/>
          <w:szCs w:val="24"/>
        </w:rPr>
      </w:pPr>
      <w:r>
        <w:rPr>
          <w:rFonts w:hint="eastAsia" w:ascii="宋体" w:hAnsi="宋体" w:cs="宋体"/>
          <w:color w:val="auto"/>
          <w:sz w:val="24"/>
          <w:szCs w:val="24"/>
        </w:rPr>
        <w:t>1.愿意按照竞争性磋商文件中的一切要求，提供本项目的服务，初始报价为：</w:t>
      </w:r>
    </w:p>
    <w:tbl>
      <w:tblPr>
        <w:tblStyle w:val="59"/>
        <w:tblpPr w:leftFromText="180" w:rightFromText="180" w:vertAnchor="text" w:horzAnchor="page" w:tblpX="1771" w:tblpY="104"/>
        <w:tblOverlap w:val="never"/>
        <w:tblW w:w="0" w:type="auto"/>
        <w:jc w:val="center"/>
        <w:tblLayout w:type="fixed"/>
        <w:tblCellMar>
          <w:top w:w="0" w:type="dxa"/>
          <w:left w:w="108" w:type="dxa"/>
          <w:bottom w:w="0" w:type="dxa"/>
          <w:right w:w="108" w:type="dxa"/>
        </w:tblCellMar>
      </w:tblPr>
      <w:tblGrid>
        <w:gridCol w:w="826"/>
        <w:gridCol w:w="1833"/>
        <w:gridCol w:w="2268"/>
        <w:gridCol w:w="2472"/>
        <w:gridCol w:w="1440"/>
      </w:tblGrid>
      <w:tr w14:paraId="0C16B5DC">
        <w:tblPrEx>
          <w:tblCellMar>
            <w:top w:w="0" w:type="dxa"/>
            <w:left w:w="108" w:type="dxa"/>
            <w:bottom w:w="0" w:type="dxa"/>
            <w:right w:w="108" w:type="dxa"/>
          </w:tblCellMar>
        </w:tblPrEx>
        <w:trPr>
          <w:trHeight w:val="736" w:hRule="atLeast"/>
          <w:jc w:val="center"/>
        </w:trPr>
        <w:tc>
          <w:tcPr>
            <w:tcW w:w="826" w:type="dxa"/>
            <w:tcBorders>
              <w:top w:val="single" w:color="auto" w:sz="4" w:space="0"/>
              <w:left w:val="single" w:color="auto" w:sz="4" w:space="0"/>
              <w:bottom w:val="single" w:color="auto" w:sz="4" w:space="0"/>
              <w:right w:val="single" w:color="auto" w:sz="4" w:space="0"/>
            </w:tcBorders>
            <w:vAlign w:val="center"/>
          </w:tcPr>
          <w:p w14:paraId="4053454F">
            <w:pPr>
              <w:snapToGrid w:val="0"/>
              <w:spacing w:line="440" w:lineRule="exact"/>
              <w:jc w:val="center"/>
              <w:rPr>
                <w:rFonts w:ascii="宋体" w:hAnsi="宋体"/>
                <w:bCs/>
                <w:color w:val="auto"/>
                <w:sz w:val="24"/>
                <w:szCs w:val="24"/>
              </w:rPr>
            </w:pPr>
            <w:r>
              <w:rPr>
                <w:rFonts w:ascii="宋体" w:hAnsi="宋体"/>
                <w:bCs/>
                <w:color w:val="auto"/>
                <w:sz w:val="24"/>
                <w:szCs w:val="24"/>
              </w:rPr>
              <w:t>包号</w:t>
            </w:r>
          </w:p>
        </w:tc>
        <w:tc>
          <w:tcPr>
            <w:tcW w:w="1833" w:type="dxa"/>
            <w:tcBorders>
              <w:top w:val="single" w:color="auto" w:sz="4" w:space="0"/>
              <w:left w:val="single" w:color="auto" w:sz="4" w:space="0"/>
              <w:bottom w:val="single" w:color="auto" w:sz="4" w:space="0"/>
              <w:right w:val="single" w:color="auto" w:sz="4" w:space="0"/>
            </w:tcBorders>
            <w:vAlign w:val="center"/>
          </w:tcPr>
          <w:p w14:paraId="3A599760">
            <w:pPr>
              <w:snapToGrid w:val="0"/>
              <w:spacing w:line="440" w:lineRule="exact"/>
              <w:jc w:val="center"/>
              <w:rPr>
                <w:rFonts w:ascii="宋体" w:hAnsi="宋体"/>
                <w:bCs/>
                <w:color w:val="auto"/>
                <w:sz w:val="24"/>
                <w:szCs w:val="24"/>
              </w:rPr>
            </w:pPr>
            <w:r>
              <w:rPr>
                <w:rFonts w:ascii="宋体" w:hAnsi="宋体"/>
                <w:bCs/>
                <w:color w:val="auto"/>
                <w:sz w:val="24"/>
                <w:szCs w:val="24"/>
              </w:rPr>
              <w:t>项目内容</w:t>
            </w:r>
          </w:p>
        </w:tc>
        <w:tc>
          <w:tcPr>
            <w:tcW w:w="2268" w:type="dxa"/>
            <w:tcBorders>
              <w:top w:val="single" w:color="auto" w:sz="4" w:space="0"/>
              <w:left w:val="single" w:color="auto" w:sz="4" w:space="0"/>
              <w:bottom w:val="single" w:color="auto" w:sz="4" w:space="0"/>
              <w:right w:val="single" w:color="auto" w:sz="4" w:space="0"/>
            </w:tcBorders>
            <w:vAlign w:val="center"/>
          </w:tcPr>
          <w:p w14:paraId="1FA8E9C2">
            <w:pPr>
              <w:snapToGrid w:val="0"/>
              <w:spacing w:line="440" w:lineRule="exact"/>
              <w:jc w:val="center"/>
              <w:rPr>
                <w:rFonts w:ascii="宋体" w:hAnsi="宋体"/>
                <w:bCs/>
                <w:color w:val="auto"/>
                <w:sz w:val="24"/>
                <w:szCs w:val="24"/>
              </w:rPr>
            </w:pPr>
            <w:r>
              <w:rPr>
                <w:rFonts w:hint="eastAsia" w:ascii="宋体" w:hAnsi="宋体"/>
                <w:bCs/>
                <w:color w:val="auto"/>
                <w:sz w:val="24"/>
                <w:szCs w:val="24"/>
              </w:rPr>
              <w:t>投标单位</w:t>
            </w:r>
          </w:p>
        </w:tc>
        <w:tc>
          <w:tcPr>
            <w:tcW w:w="2472" w:type="dxa"/>
            <w:tcBorders>
              <w:top w:val="single" w:color="auto" w:sz="4" w:space="0"/>
              <w:left w:val="nil"/>
              <w:bottom w:val="single" w:color="auto" w:sz="4" w:space="0"/>
              <w:right w:val="single" w:color="auto" w:sz="4" w:space="0"/>
            </w:tcBorders>
            <w:vAlign w:val="center"/>
          </w:tcPr>
          <w:p w14:paraId="6A2906E3">
            <w:pPr>
              <w:snapToGrid w:val="0"/>
              <w:spacing w:line="440" w:lineRule="exact"/>
              <w:jc w:val="center"/>
              <w:rPr>
                <w:rFonts w:ascii="宋体" w:hAnsi="宋体"/>
                <w:bCs/>
                <w:color w:val="auto"/>
                <w:sz w:val="24"/>
                <w:szCs w:val="24"/>
              </w:rPr>
            </w:pPr>
            <w:r>
              <w:rPr>
                <w:rFonts w:ascii="宋体" w:hAnsi="宋体"/>
                <w:bCs/>
                <w:color w:val="auto"/>
                <w:sz w:val="24"/>
                <w:szCs w:val="24"/>
              </w:rPr>
              <w:t>报价（每月</w:t>
            </w:r>
            <w:r>
              <w:rPr>
                <w:rFonts w:hint="eastAsia" w:ascii="宋体" w:hAnsi="宋体"/>
                <w:bCs/>
                <w:color w:val="auto"/>
                <w:sz w:val="24"/>
                <w:szCs w:val="24"/>
              </w:rPr>
              <w:t>考核费按营业额计提（</w:t>
            </w:r>
            <w:r>
              <w:rPr>
                <w:rFonts w:ascii="宋体" w:hAnsi="宋体"/>
                <w:bCs/>
                <w:color w:val="auto"/>
                <w:sz w:val="24"/>
                <w:szCs w:val="24"/>
              </w:rPr>
              <w:t>%</w:t>
            </w:r>
            <w:r>
              <w:rPr>
                <w:rFonts w:hint="eastAsia" w:ascii="宋体" w:hAnsi="宋体"/>
                <w:bCs/>
                <w:color w:val="auto"/>
                <w:sz w:val="24"/>
                <w:szCs w:val="24"/>
              </w:rPr>
              <w:t>）</w:t>
            </w:r>
            <w:r>
              <w:rPr>
                <w:rFonts w:ascii="宋体" w:hAnsi="宋体"/>
                <w:bCs/>
                <w:color w:val="auto"/>
                <w:sz w:val="24"/>
                <w:szCs w:val="24"/>
              </w:rPr>
              <w:t>）</w:t>
            </w:r>
          </w:p>
        </w:tc>
        <w:tc>
          <w:tcPr>
            <w:tcW w:w="1440" w:type="dxa"/>
            <w:tcBorders>
              <w:top w:val="single" w:color="auto" w:sz="4" w:space="0"/>
              <w:left w:val="nil"/>
              <w:bottom w:val="single" w:color="auto" w:sz="4" w:space="0"/>
              <w:right w:val="single" w:color="auto" w:sz="4" w:space="0"/>
            </w:tcBorders>
            <w:vAlign w:val="center"/>
          </w:tcPr>
          <w:p w14:paraId="292D5F12">
            <w:pPr>
              <w:snapToGrid w:val="0"/>
              <w:spacing w:line="440" w:lineRule="exact"/>
              <w:jc w:val="center"/>
              <w:rPr>
                <w:rFonts w:ascii="宋体" w:hAnsi="宋体"/>
                <w:bCs/>
                <w:color w:val="auto"/>
                <w:sz w:val="24"/>
                <w:szCs w:val="24"/>
              </w:rPr>
            </w:pPr>
            <w:r>
              <w:rPr>
                <w:rFonts w:hint="eastAsia" w:ascii="宋体" w:hAnsi="宋体"/>
                <w:bCs/>
                <w:color w:val="auto"/>
                <w:sz w:val="24"/>
                <w:szCs w:val="24"/>
              </w:rPr>
              <w:t>备注</w:t>
            </w:r>
          </w:p>
        </w:tc>
      </w:tr>
      <w:tr w14:paraId="720FE53E">
        <w:tblPrEx>
          <w:tblCellMar>
            <w:top w:w="0" w:type="dxa"/>
            <w:left w:w="108" w:type="dxa"/>
            <w:bottom w:w="0" w:type="dxa"/>
            <w:right w:w="108" w:type="dxa"/>
          </w:tblCellMar>
        </w:tblPrEx>
        <w:trPr>
          <w:trHeight w:val="662" w:hRule="atLeast"/>
          <w:jc w:val="center"/>
        </w:trPr>
        <w:tc>
          <w:tcPr>
            <w:tcW w:w="826" w:type="dxa"/>
            <w:tcBorders>
              <w:top w:val="nil"/>
              <w:left w:val="single" w:color="auto" w:sz="4" w:space="0"/>
              <w:bottom w:val="single" w:color="auto" w:sz="4" w:space="0"/>
              <w:right w:val="single" w:color="auto" w:sz="4" w:space="0"/>
            </w:tcBorders>
            <w:vAlign w:val="center"/>
          </w:tcPr>
          <w:p w14:paraId="72788DB2">
            <w:pPr>
              <w:snapToGrid w:val="0"/>
              <w:spacing w:line="440" w:lineRule="exact"/>
              <w:ind w:firstLine="480" w:firstLineChars="200"/>
              <w:rPr>
                <w:rFonts w:ascii="宋体" w:hAnsi="宋体"/>
                <w:color w:val="auto"/>
                <w:sz w:val="24"/>
                <w:szCs w:val="24"/>
              </w:rPr>
            </w:pPr>
          </w:p>
        </w:tc>
        <w:tc>
          <w:tcPr>
            <w:tcW w:w="1833" w:type="dxa"/>
            <w:tcBorders>
              <w:top w:val="nil"/>
              <w:left w:val="single" w:color="auto" w:sz="4" w:space="0"/>
              <w:bottom w:val="single" w:color="auto" w:sz="4" w:space="0"/>
              <w:right w:val="single" w:color="auto" w:sz="4" w:space="0"/>
            </w:tcBorders>
            <w:vAlign w:val="center"/>
          </w:tcPr>
          <w:p w14:paraId="52EE233D">
            <w:pPr>
              <w:snapToGrid w:val="0"/>
              <w:spacing w:line="440" w:lineRule="exact"/>
              <w:ind w:firstLine="480" w:firstLineChars="200"/>
              <w:rPr>
                <w:rFonts w:ascii="宋体" w:hAnsi="宋体"/>
                <w:color w:val="auto"/>
                <w:sz w:val="24"/>
                <w:szCs w:val="24"/>
              </w:rPr>
            </w:pPr>
          </w:p>
        </w:tc>
        <w:tc>
          <w:tcPr>
            <w:tcW w:w="2268" w:type="dxa"/>
            <w:tcBorders>
              <w:top w:val="nil"/>
              <w:left w:val="single" w:color="auto" w:sz="4" w:space="0"/>
              <w:bottom w:val="single" w:color="auto" w:sz="4" w:space="0"/>
              <w:right w:val="single" w:color="auto" w:sz="4" w:space="0"/>
            </w:tcBorders>
            <w:vAlign w:val="center"/>
          </w:tcPr>
          <w:p w14:paraId="7F751D18">
            <w:pPr>
              <w:snapToGrid w:val="0"/>
              <w:spacing w:line="440" w:lineRule="exact"/>
              <w:ind w:firstLine="480" w:firstLineChars="200"/>
              <w:rPr>
                <w:rFonts w:ascii="宋体" w:hAnsi="宋体"/>
                <w:color w:val="auto"/>
                <w:sz w:val="24"/>
                <w:szCs w:val="24"/>
              </w:rPr>
            </w:pPr>
          </w:p>
        </w:tc>
        <w:tc>
          <w:tcPr>
            <w:tcW w:w="2472" w:type="dxa"/>
            <w:tcBorders>
              <w:top w:val="nil"/>
              <w:left w:val="nil"/>
              <w:bottom w:val="single" w:color="auto" w:sz="4" w:space="0"/>
              <w:right w:val="single" w:color="auto" w:sz="4" w:space="0"/>
            </w:tcBorders>
            <w:vAlign w:val="center"/>
          </w:tcPr>
          <w:p w14:paraId="62AABE83">
            <w:pPr>
              <w:snapToGrid w:val="0"/>
              <w:spacing w:line="440" w:lineRule="exact"/>
              <w:ind w:firstLine="480" w:firstLineChars="200"/>
              <w:rPr>
                <w:rFonts w:ascii="宋体" w:hAnsi="宋体"/>
                <w:color w:val="auto"/>
                <w:sz w:val="24"/>
                <w:szCs w:val="24"/>
              </w:rPr>
            </w:pPr>
          </w:p>
        </w:tc>
        <w:tc>
          <w:tcPr>
            <w:tcW w:w="1440" w:type="dxa"/>
            <w:tcBorders>
              <w:top w:val="nil"/>
              <w:left w:val="nil"/>
              <w:bottom w:val="single" w:color="auto" w:sz="4" w:space="0"/>
              <w:right w:val="single" w:color="auto" w:sz="4" w:space="0"/>
            </w:tcBorders>
          </w:tcPr>
          <w:p w14:paraId="5D164489">
            <w:pPr>
              <w:tabs>
                <w:tab w:val="left" w:pos="6300"/>
              </w:tabs>
              <w:snapToGrid w:val="0"/>
              <w:spacing w:line="240" w:lineRule="exact"/>
              <w:rPr>
                <w:rFonts w:ascii="宋体" w:hAnsi="宋体"/>
                <w:color w:val="auto"/>
                <w:sz w:val="24"/>
                <w:szCs w:val="24"/>
              </w:rPr>
            </w:pPr>
            <w:r>
              <w:rPr>
                <w:rFonts w:hint="eastAsia" w:ascii="宋体" w:hAnsi="宋体" w:cs="宋体"/>
                <w:color w:val="auto"/>
                <w:kern w:val="1"/>
                <w:sz w:val="24"/>
                <w:szCs w:val="24"/>
              </w:rPr>
              <w:t>考核费报价：不限。</w:t>
            </w:r>
          </w:p>
        </w:tc>
      </w:tr>
    </w:tbl>
    <w:p w14:paraId="5C5E3C97">
      <w:pPr>
        <w:tabs>
          <w:tab w:val="left" w:pos="6300"/>
        </w:tabs>
        <w:snapToGrid w:val="0"/>
        <w:spacing w:line="312" w:lineRule="auto"/>
        <w:ind w:firstLine="480" w:firstLineChars="200"/>
        <w:rPr>
          <w:rFonts w:hint="eastAsia" w:ascii="宋体" w:hAnsi="宋体" w:cs="宋体"/>
          <w:color w:val="auto"/>
          <w:sz w:val="24"/>
          <w:szCs w:val="24"/>
        </w:rPr>
      </w:pPr>
    </w:p>
    <w:p w14:paraId="497A980B">
      <w:pPr>
        <w:tabs>
          <w:tab w:val="left" w:pos="6300"/>
        </w:tabs>
        <w:snapToGrid w:val="0"/>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2.我方现提交的响应文件为：响应文件正本</w:t>
      </w:r>
      <w:r>
        <w:rPr>
          <w:rFonts w:hint="eastAsia" w:ascii="宋体" w:hAnsi="宋体" w:cs="宋体"/>
          <w:color w:val="auto"/>
          <w:sz w:val="24"/>
          <w:szCs w:val="24"/>
          <w:u w:val="single"/>
        </w:rPr>
        <w:t xml:space="preserve">   </w:t>
      </w:r>
      <w:r>
        <w:rPr>
          <w:rFonts w:hint="eastAsia" w:ascii="宋体" w:hAnsi="宋体" w:cs="宋体"/>
          <w:color w:val="auto"/>
          <w:sz w:val="24"/>
          <w:szCs w:val="24"/>
        </w:rPr>
        <w:t>份，副本</w:t>
      </w:r>
      <w:r>
        <w:rPr>
          <w:rFonts w:hint="eastAsia" w:ascii="宋体" w:hAnsi="宋体" w:cs="宋体"/>
          <w:color w:val="auto"/>
          <w:sz w:val="24"/>
          <w:szCs w:val="24"/>
          <w:u w:val="single"/>
        </w:rPr>
        <w:t xml:space="preserve">   </w:t>
      </w:r>
      <w:r>
        <w:rPr>
          <w:rFonts w:hint="eastAsia" w:ascii="宋体" w:hAnsi="宋体" w:cs="宋体"/>
          <w:color w:val="auto"/>
          <w:sz w:val="24"/>
          <w:szCs w:val="24"/>
        </w:rPr>
        <w:t>份，电子文档</w:t>
      </w:r>
      <w:r>
        <w:rPr>
          <w:rFonts w:hint="eastAsia" w:ascii="宋体" w:hAnsi="宋体" w:cs="宋体"/>
          <w:color w:val="auto"/>
          <w:sz w:val="24"/>
          <w:szCs w:val="24"/>
          <w:u w:val="single"/>
        </w:rPr>
        <w:t xml:space="preserve">   </w:t>
      </w:r>
      <w:r>
        <w:rPr>
          <w:rFonts w:hint="eastAsia" w:ascii="宋体" w:hAnsi="宋体" w:cs="宋体"/>
          <w:color w:val="auto"/>
          <w:sz w:val="24"/>
          <w:szCs w:val="24"/>
        </w:rPr>
        <w:t>份。</w:t>
      </w:r>
    </w:p>
    <w:p w14:paraId="3524D70A">
      <w:pPr>
        <w:tabs>
          <w:tab w:val="left" w:pos="6300"/>
        </w:tabs>
        <w:snapToGrid w:val="0"/>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3.我方承诺：本次磋商的有效期为提交响应文件截止时间起90天。</w:t>
      </w:r>
    </w:p>
    <w:p w14:paraId="5FA96473">
      <w:pPr>
        <w:tabs>
          <w:tab w:val="left" w:pos="6300"/>
        </w:tabs>
        <w:snapToGrid w:val="0"/>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4.我方完全理解和接受贵方竞争性磋商文件的一切规定和要求及评审办法。</w:t>
      </w:r>
    </w:p>
    <w:p w14:paraId="1A823027">
      <w:pPr>
        <w:tabs>
          <w:tab w:val="left" w:pos="6300"/>
        </w:tabs>
        <w:snapToGrid w:val="0"/>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5.在整个竞争性磋商过程中，我方若有违规行为，接受按照《中华人民共和国政府采购法》和《竞争性磋商文件》之规定给予惩罚。</w:t>
      </w:r>
    </w:p>
    <w:p w14:paraId="69A20077">
      <w:pPr>
        <w:tabs>
          <w:tab w:val="left" w:pos="6300"/>
        </w:tabs>
        <w:snapToGrid w:val="0"/>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6.我方若成为成交商，将按照最终磋商结果签订合同，并且严格履行合同义务。本承诺函将成为合同不可分割的一部分，与合同具有同等的法律效力。</w:t>
      </w:r>
    </w:p>
    <w:p w14:paraId="544757CE">
      <w:pPr>
        <w:tabs>
          <w:tab w:val="left" w:pos="6300"/>
        </w:tabs>
        <w:snapToGrid w:val="0"/>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7.如果我方成为成交商，保证在接到成交通知书后，向采购代理机构和</w:t>
      </w:r>
      <w:r>
        <w:rPr>
          <w:rFonts w:hint="eastAsia" w:ascii="宋体" w:hAnsi="宋体" w:cs="宋体"/>
          <w:color w:val="auto"/>
          <w:sz w:val="24"/>
        </w:rPr>
        <w:t>重庆联合产权交易所集团股份有限公司缴纳</w:t>
      </w:r>
      <w:r>
        <w:rPr>
          <w:rFonts w:hint="eastAsia" w:ascii="宋体" w:hAnsi="宋体" w:cs="宋体"/>
          <w:color w:val="auto"/>
          <w:sz w:val="24"/>
          <w:szCs w:val="24"/>
        </w:rPr>
        <w:t>竞争性磋商文件规定的采购代理服务费和交易服务费。</w:t>
      </w:r>
    </w:p>
    <w:p w14:paraId="5CD367F4">
      <w:pPr>
        <w:tabs>
          <w:tab w:val="left" w:pos="6300"/>
        </w:tabs>
        <w:snapToGrid w:val="0"/>
        <w:spacing w:line="312" w:lineRule="auto"/>
        <w:ind w:firstLine="480" w:firstLineChars="200"/>
        <w:rPr>
          <w:rFonts w:ascii="宋体" w:hAnsi="宋体" w:cs="宋体"/>
          <w:color w:val="auto"/>
          <w:sz w:val="24"/>
          <w:szCs w:val="24"/>
        </w:rPr>
      </w:pPr>
      <w:r>
        <w:rPr>
          <w:rFonts w:hint="eastAsia" w:ascii="宋体" w:hAnsi="宋体" w:cs="宋体"/>
          <w:color w:val="auto"/>
          <w:sz w:val="24"/>
          <w:szCs w:val="24"/>
        </w:rPr>
        <w:t>8.</w:t>
      </w:r>
      <w:r>
        <w:rPr>
          <w:rFonts w:hint="eastAsia" w:ascii="宋体" w:hAnsi="宋体" w:cs="宋体"/>
          <w:color w:val="auto"/>
          <w:sz w:val="24"/>
          <w:szCs w:val="28"/>
        </w:rPr>
        <w:t>我方未</w:t>
      </w:r>
      <w:r>
        <w:rPr>
          <w:rFonts w:hint="eastAsia" w:ascii="宋体" w:hAnsi="宋体" w:cs="宋体"/>
          <w:color w:val="auto"/>
          <w:sz w:val="24"/>
          <w:szCs w:val="24"/>
        </w:rPr>
        <w:t>为采购项目提供整体设计、规范编制或者项目管理、监理、检测等服务。</w:t>
      </w:r>
    </w:p>
    <w:p w14:paraId="6D2A71B5">
      <w:pPr>
        <w:tabs>
          <w:tab w:val="left" w:pos="6300"/>
        </w:tabs>
        <w:snapToGrid w:val="0"/>
        <w:spacing w:line="312" w:lineRule="auto"/>
        <w:ind w:firstLine="570"/>
        <w:rPr>
          <w:rFonts w:ascii="宋体" w:hAnsi="宋体" w:cs="宋体"/>
          <w:color w:val="auto"/>
          <w:sz w:val="24"/>
          <w:szCs w:val="24"/>
        </w:rPr>
      </w:pPr>
    </w:p>
    <w:p w14:paraId="40D7597E">
      <w:pPr>
        <w:tabs>
          <w:tab w:val="left" w:pos="6300"/>
        </w:tabs>
        <w:snapToGrid w:val="0"/>
        <w:spacing w:line="312" w:lineRule="auto"/>
        <w:ind w:firstLine="570"/>
        <w:rPr>
          <w:rFonts w:ascii="宋体" w:hAnsi="宋体" w:cs="宋体"/>
          <w:color w:val="auto"/>
          <w:sz w:val="24"/>
          <w:szCs w:val="24"/>
        </w:rPr>
      </w:pPr>
      <w:r>
        <w:rPr>
          <w:rFonts w:hint="eastAsia" w:ascii="宋体" w:hAnsi="宋体" w:cs="宋体"/>
          <w:color w:val="auto"/>
          <w:sz w:val="24"/>
          <w:szCs w:val="24"/>
        </w:rPr>
        <w:t>供应商（公章）或自然人签署：</w:t>
      </w:r>
    </w:p>
    <w:p w14:paraId="46C3C339">
      <w:pPr>
        <w:tabs>
          <w:tab w:val="left" w:pos="6300"/>
        </w:tabs>
        <w:snapToGrid w:val="0"/>
        <w:spacing w:line="312" w:lineRule="auto"/>
        <w:ind w:firstLine="570"/>
        <w:rPr>
          <w:rFonts w:ascii="宋体" w:hAnsi="宋体" w:cs="宋体"/>
          <w:color w:val="auto"/>
          <w:sz w:val="24"/>
          <w:szCs w:val="24"/>
        </w:rPr>
      </w:pPr>
      <w:r>
        <w:rPr>
          <w:rFonts w:hint="eastAsia" w:ascii="宋体" w:hAnsi="宋体" w:cs="宋体"/>
          <w:color w:val="auto"/>
          <w:sz w:val="24"/>
          <w:szCs w:val="24"/>
        </w:rPr>
        <w:t xml:space="preserve">地址：  </w:t>
      </w:r>
    </w:p>
    <w:p w14:paraId="0EF345A6">
      <w:pPr>
        <w:tabs>
          <w:tab w:val="left" w:pos="6300"/>
        </w:tabs>
        <w:snapToGrid w:val="0"/>
        <w:spacing w:line="312" w:lineRule="auto"/>
        <w:ind w:firstLine="570"/>
        <w:rPr>
          <w:rFonts w:ascii="宋体" w:hAnsi="宋体" w:cs="宋体"/>
          <w:color w:val="auto"/>
          <w:sz w:val="24"/>
          <w:szCs w:val="24"/>
        </w:rPr>
      </w:pPr>
      <w:r>
        <w:rPr>
          <w:rFonts w:hint="eastAsia" w:ascii="宋体" w:hAnsi="宋体" w:cs="宋体"/>
          <w:color w:val="auto"/>
          <w:sz w:val="24"/>
          <w:szCs w:val="24"/>
        </w:rPr>
        <w:t>电话：                                             传真：</w:t>
      </w:r>
    </w:p>
    <w:p w14:paraId="1117DF11">
      <w:pPr>
        <w:tabs>
          <w:tab w:val="left" w:pos="6300"/>
        </w:tabs>
        <w:snapToGrid w:val="0"/>
        <w:spacing w:line="312" w:lineRule="auto"/>
        <w:ind w:firstLine="570"/>
        <w:rPr>
          <w:rFonts w:ascii="宋体" w:hAnsi="宋体" w:cs="宋体"/>
          <w:color w:val="auto"/>
          <w:sz w:val="24"/>
          <w:szCs w:val="24"/>
        </w:rPr>
      </w:pPr>
      <w:r>
        <w:rPr>
          <w:rFonts w:hint="eastAsia" w:ascii="宋体" w:hAnsi="宋体" w:cs="宋体"/>
          <w:color w:val="auto"/>
          <w:sz w:val="24"/>
          <w:szCs w:val="24"/>
        </w:rPr>
        <w:t>网址：                                             邮编：</w:t>
      </w:r>
    </w:p>
    <w:p w14:paraId="41DAC380">
      <w:pPr>
        <w:tabs>
          <w:tab w:val="left" w:pos="6300"/>
        </w:tabs>
        <w:snapToGrid w:val="0"/>
        <w:spacing w:line="312" w:lineRule="auto"/>
        <w:ind w:firstLine="570"/>
        <w:rPr>
          <w:rFonts w:ascii="宋体" w:hAnsi="宋体" w:cs="宋体"/>
          <w:color w:val="auto"/>
          <w:sz w:val="24"/>
          <w:szCs w:val="24"/>
        </w:rPr>
      </w:pPr>
      <w:r>
        <w:rPr>
          <w:rFonts w:hint="eastAsia" w:ascii="宋体" w:hAnsi="宋体" w:cs="宋体"/>
          <w:color w:val="auto"/>
          <w:sz w:val="24"/>
          <w:szCs w:val="24"/>
        </w:rPr>
        <w:t>联系人：</w:t>
      </w:r>
    </w:p>
    <w:p w14:paraId="5154437E">
      <w:pPr>
        <w:snapToGrid w:val="0"/>
        <w:spacing w:line="312" w:lineRule="auto"/>
        <w:ind w:firstLine="480" w:firstLineChars="200"/>
        <w:rPr>
          <w:rFonts w:ascii="宋体" w:hAnsi="宋体" w:cs="宋体"/>
          <w:color w:val="auto"/>
          <w:sz w:val="24"/>
          <w:szCs w:val="24"/>
        </w:rPr>
        <w:sectPr>
          <w:pgSz w:w="11907" w:h="16840"/>
          <w:pgMar w:top="1134" w:right="1191" w:bottom="1134" w:left="1304" w:header="851" w:footer="992" w:gutter="0"/>
          <w:pgNumType w:fmt="numberInDash"/>
          <w:cols w:space="720" w:num="1"/>
          <w:docGrid w:linePitch="380" w:charSpace="-5735"/>
        </w:sectPr>
      </w:pPr>
      <w:r>
        <w:rPr>
          <w:rFonts w:hint="eastAsia" w:ascii="宋体" w:hAnsi="宋体" w:cs="宋体"/>
          <w:color w:val="auto"/>
          <w:sz w:val="24"/>
          <w:szCs w:val="24"/>
        </w:rPr>
        <w:t xml:space="preserve">                                                  年   月   日</w:t>
      </w:r>
    </w:p>
    <w:p w14:paraId="32FD1504">
      <w:pPr>
        <w:tabs>
          <w:tab w:val="left" w:pos="2895"/>
        </w:tabs>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（二）</w:t>
      </w:r>
      <w:r>
        <w:rPr>
          <w:rFonts w:hint="eastAsia" w:ascii="宋体" w:hAnsi="宋体"/>
          <w:b/>
          <w:color w:val="auto"/>
          <w:sz w:val="24"/>
          <w:szCs w:val="24"/>
        </w:rPr>
        <w:t>投标保证金提交依据</w:t>
      </w:r>
    </w:p>
    <w:p w14:paraId="1AA57DF6">
      <w:pPr>
        <w:rPr>
          <w:rFonts w:ascii="宋体" w:hAnsi="宋体" w:cs="宋体"/>
          <w:color w:val="auto"/>
        </w:rPr>
      </w:pPr>
    </w:p>
    <w:p w14:paraId="0F4A1015">
      <w:pPr>
        <w:rPr>
          <w:rFonts w:ascii="宋体" w:hAnsi="宋体" w:cs="宋体"/>
          <w:color w:val="auto"/>
        </w:rPr>
      </w:pPr>
    </w:p>
    <w:p w14:paraId="3FF77B6D">
      <w:pPr>
        <w:rPr>
          <w:rFonts w:ascii="宋体" w:hAnsi="宋体" w:cs="宋体"/>
          <w:color w:val="auto"/>
        </w:rPr>
      </w:pPr>
    </w:p>
    <w:p w14:paraId="22E0BCD6">
      <w:pPr>
        <w:rPr>
          <w:rFonts w:ascii="宋体" w:hAnsi="宋体" w:cs="宋体"/>
          <w:color w:val="auto"/>
        </w:rPr>
      </w:pPr>
    </w:p>
    <w:p w14:paraId="37348F92">
      <w:pPr>
        <w:rPr>
          <w:rFonts w:ascii="宋体" w:hAnsi="宋体" w:cs="宋体"/>
          <w:color w:val="auto"/>
        </w:rPr>
      </w:pPr>
    </w:p>
    <w:p w14:paraId="2C9A49CF">
      <w:pPr>
        <w:rPr>
          <w:rFonts w:ascii="宋体" w:hAnsi="宋体" w:cs="宋体"/>
          <w:color w:val="auto"/>
        </w:rPr>
      </w:pPr>
    </w:p>
    <w:p w14:paraId="685535C7">
      <w:pPr>
        <w:rPr>
          <w:rFonts w:ascii="宋体" w:hAnsi="宋体" w:cs="宋体"/>
          <w:color w:val="auto"/>
        </w:rPr>
      </w:pPr>
    </w:p>
    <w:p w14:paraId="7C23B315">
      <w:pPr>
        <w:rPr>
          <w:rFonts w:ascii="宋体" w:hAnsi="宋体" w:cs="宋体"/>
          <w:color w:val="auto"/>
        </w:rPr>
      </w:pPr>
    </w:p>
    <w:p w14:paraId="7A3150BF">
      <w:pPr>
        <w:rPr>
          <w:rFonts w:ascii="宋体" w:hAnsi="宋体" w:cs="宋体"/>
          <w:color w:val="auto"/>
        </w:rPr>
      </w:pPr>
    </w:p>
    <w:p w14:paraId="30D13573">
      <w:pPr>
        <w:rPr>
          <w:rFonts w:ascii="宋体" w:hAnsi="宋体" w:cs="宋体"/>
          <w:color w:val="auto"/>
        </w:rPr>
      </w:pPr>
    </w:p>
    <w:p w14:paraId="6698B177">
      <w:pPr>
        <w:rPr>
          <w:rFonts w:ascii="宋体" w:hAnsi="宋体" w:cs="宋体"/>
          <w:color w:val="auto"/>
        </w:rPr>
      </w:pPr>
    </w:p>
    <w:p w14:paraId="3CE6EB50">
      <w:pPr>
        <w:spacing w:line="360" w:lineRule="auto"/>
        <w:ind w:right="480" w:firstLine="6480" w:firstLineChars="2700"/>
        <w:rPr>
          <w:rFonts w:ascii="宋体" w:hAnsi="宋体" w:cs="宋体"/>
          <w:color w:val="auto"/>
          <w:sz w:val="24"/>
          <w:szCs w:val="24"/>
        </w:rPr>
      </w:pPr>
      <w:r>
        <w:rPr>
          <w:rFonts w:hint="eastAsia" w:ascii="宋体" w:hAnsi="宋体" w:cs="宋体"/>
          <w:color w:val="auto"/>
          <w:sz w:val="24"/>
          <w:szCs w:val="24"/>
        </w:rPr>
        <w:t xml:space="preserve">                                           </w:t>
      </w:r>
    </w:p>
    <w:p w14:paraId="6937109B">
      <w:pPr>
        <w:snapToGrid w:val="0"/>
        <w:spacing w:line="360" w:lineRule="auto"/>
        <w:ind w:firstLine="480" w:firstLineChars="200"/>
        <w:rPr>
          <w:rFonts w:ascii="宋体" w:hAnsi="宋体" w:cs="宋体"/>
          <w:color w:val="auto"/>
          <w:sz w:val="24"/>
          <w:szCs w:val="24"/>
          <w:bdr w:val="single" w:color="auto" w:sz="4" w:space="0"/>
        </w:rPr>
        <w:sectPr>
          <w:headerReference r:id="rId12" w:type="default"/>
          <w:pgSz w:w="11907" w:h="16840"/>
          <w:pgMar w:top="1134" w:right="1191" w:bottom="1134" w:left="1304" w:header="851" w:footer="992" w:gutter="0"/>
          <w:pgNumType w:fmt="numberInDash"/>
          <w:cols w:space="720" w:num="1"/>
          <w:docGrid w:linePitch="380" w:charSpace="-5735"/>
        </w:sectPr>
      </w:pPr>
    </w:p>
    <w:p w14:paraId="322B22A1">
      <w:pPr>
        <w:snapToGrid w:val="0"/>
        <w:spacing w:line="440" w:lineRule="exact"/>
        <w:ind w:firstLine="562" w:firstLineChars="200"/>
        <w:rPr>
          <w:rFonts w:ascii="宋体" w:hAnsi="宋体"/>
          <w:b/>
          <w:bCs/>
          <w:color w:val="auto"/>
        </w:rPr>
      </w:pPr>
      <w:bookmarkStart w:id="221" w:name="_Toc186919434"/>
      <w:bookmarkStart w:id="222" w:name="_Toc11946"/>
      <w:bookmarkStart w:id="223" w:name="_Toc76462351"/>
      <w:r>
        <w:rPr>
          <w:rFonts w:hint="eastAsia" w:ascii="宋体" w:hAnsi="宋体"/>
          <w:b/>
          <w:bCs/>
          <w:color w:val="auto"/>
        </w:rPr>
        <w:t>二、资格文件</w:t>
      </w:r>
      <w:bookmarkEnd w:id="221"/>
    </w:p>
    <w:p w14:paraId="44E491FF">
      <w:pPr>
        <w:snapToGrid w:val="0"/>
        <w:spacing w:line="440" w:lineRule="exact"/>
        <w:ind w:firstLine="560" w:firstLineChars="200"/>
        <w:rPr>
          <w:rFonts w:ascii="宋体" w:hAnsi="宋体"/>
          <w:color w:val="auto"/>
        </w:rPr>
      </w:pPr>
    </w:p>
    <w:p w14:paraId="4D593C9E">
      <w:pPr>
        <w:snapToGrid w:val="0"/>
        <w:spacing w:line="440" w:lineRule="exact"/>
        <w:ind w:firstLine="562" w:firstLineChars="200"/>
        <w:rPr>
          <w:rFonts w:ascii="宋体" w:hAnsi="宋体"/>
          <w:color w:val="auto"/>
        </w:rPr>
      </w:pPr>
      <w:r>
        <w:rPr>
          <w:rFonts w:hint="eastAsia" w:ascii="宋体" w:hAnsi="宋体"/>
          <w:b/>
          <w:color w:val="auto"/>
        </w:rPr>
        <w:t>（一）法人营业执照（副本）或事业单位法人证书（副本）或个体工商户营业执照或有效的自然人身份证明或社会团体法人登记证书复印件</w:t>
      </w:r>
    </w:p>
    <w:p w14:paraId="1C92C558">
      <w:pPr>
        <w:snapToGrid w:val="0"/>
        <w:spacing w:line="440" w:lineRule="exact"/>
        <w:ind w:firstLine="560" w:firstLineChars="200"/>
        <w:rPr>
          <w:rFonts w:ascii="宋体" w:hAnsi="宋体"/>
          <w:color w:val="auto"/>
        </w:rPr>
      </w:pPr>
    </w:p>
    <w:p w14:paraId="750E94A6">
      <w:pPr>
        <w:snapToGrid w:val="0"/>
        <w:spacing w:line="440" w:lineRule="exact"/>
        <w:ind w:firstLine="560" w:firstLineChars="200"/>
        <w:rPr>
          <w:rFonts w:ascii="宋体" w:hAnsi="宋体"/>
          <w:color w:val="auto"/>
        </w:rPr>
      </w:pPr>
    </w:p>
    <w:p w14:paraId="6E329FCB">
      <w:pPr>
        <w:snapToGrid w:val="0"/>
        <w:spacing w:line="440" w:lineRule="exact"/>
        <w:ind w:firstLine="562" w:firstLineChars="200"/>
        <w:rPr>
          <w:rFonts w:ascii="宋体" w:hAnsi="宋体"/>
          <w:b/>
          <w:color w:val="auto"/>
        </w:rPr>
      </w:pPr>
    </w:p>
    <w:p w14:paraId="2EC3BC13">
      <w:pPr>
        <w:snapToGrid w:val="0"/>
        <w:spacing w:line="440" w:lineRule="exact"/>
        <w:ind w:firstLine="562" w:firstLineChars="200"/>
        <w:rPr>
          <w:rFonts w:ascii="宋体" w:hAnsi="宋体"/>
          <w:b/>
          <w:color w:val="auto"/>
        </w:rPr>
      </w:pPr>
    </w:p>
    <w:p w14:paraId="18DE0C6B">
      <w:pPr>
        <w:snapToGrid w:val="0"/>
        <w:spacing w:line="440" w:lineRule="exact"/>
        <w:ind w:firstLine="562" w:firstLineChars="200"/>
        <w:rPr>
          <w:rFonts w:ascii="宋体" w:hAnsi="宋体"/>
          <w:b/>
          <w:color w:val="auto"/>
        </w:rPr>
      </w:pPr>
    </w:p>
    <w:p w14:paraId="33D52F83">
      <w:pPr>
        <w:snapToGrid w:val="0"/>
        <w:spacing w:line="440" w:lineRule="exact"/>
        <w:ind w:firstLine="562" w:firstLineChars="200"/>
        <w:rPr>
          <w:rFonts w:ascii="宋体" w:hAnsi="宋体"/>
          <w:b/>
          <w:color w:val="auto"/>
        </w:rPr>
      </w:pPr>
    </w:p>
    <w:p w14:paraId="53AAA379">
      <w:pPr>
        <w:snapToGrid w:val="0"/>
        <w:spacing w:line="440" w:lineRule="exact"/>
        <w:ind w:firstLine="562" w:firstLineChars="200"/>
        <w:rPr>
          <w:rFonts w:ascii="宋体" w:hAnsi="宋体"/>
          <w:b/>
          <w:color w:val="auto"/>
        </w:rPr>
      </w:pPr>
    </w:p>
    <w:p w14:paraId="6B5F28C8">
      <w:pPr>
        <w:snapToGrid w:val="0"/>
        <w:spacing w:line="440" w:lineRule="exact"/>
        <w:ind w:firstLine="562" w:firstLineChars="200"/>
        <w:rPr>
          <w:rFonts w:ascii="宋体" w:hAnsi="宋体"/>
          <w:b/>
          <w:color w:val="auto"/>
        </w:rPr>
      </w:pPr>
    </w:p>
    <w:p w14:paraId="01E31316">
      <w:pPr>
        <w:snapToGrid w:val="0"/>
        <w:spacing w:line="440" w:lineRule="exact"/>
        <w:ind w:firstLine="562" w:firstLineChars="200"/>
        <w:rPr>
          <w:rFonts w:ascii="宋体" w:hAnsi="宋体"/>
          <w:b/>
          <w:color w:val="auto"/>
        </w:rPr>
      </w:pPr>
    </w:p>
    <w:p w14:paraId="0BD3CE54">
      <w:pPr>
        <w:snapToGrid w:val="0"/>
        <w:spacing w:line="440" w:lineRule="exact"/>
        <w:ind w:firstLine="562" w:firstLineChars="200"/>
        <w:rPr>
          <w:rFonts w:ascii="宋体" w:hAnsi="宋体"/>
          <w:b/>
          <w:color w:val="auto"/>
        </w:rPr>
      </w:pPr>
    </w:p>
    <w:p w14:paraId="54CC8FC7">
      <w:pPr>
        <w:snapToGrid w:val="0"/>
        <w:spacing w:line="440" w:lineRule="exact"/>
        <w:ind w:firstLine="562" w:firstLineChars="200"/>
        <w:rPr>
          <w:rFonts w:ascii="宋体" w:hAnsi="宋体"/>
          <w:b/>
          <w:color w:val="auto"/>
        </w:rPr>
      </w:pPr>
    </w:p>
    <w:p w14:paraId="1C7FB304">
      <w:pPr>
        <w:snapToGrid w:val="0"/>
        <w:spacing w:line="440" w:lineRule="exact"/>
        <w:ind w:firstLine="562" w:firstLineChars="200"/>
        <w:rPr>
          <w:rFonts w:ascii="宋体" w:hAnsi="宋体"/>
          <w:b/>
          <w:color w:val="auto"/>
        </w:rPr>
      </w:pPr>
    </w:p>
    <w:p w14:paraId="33CD50AD">
      <w:pPr>
        <w:snapToGrid w:val="0"/>
        <w:spacing w:line="440" w:lineRule="exact"/>
        <w:ind w:firstLine="562" w:firstLineChars="200"/>
        <w:rPr>
          <w:rFonts w:ascii="宋体" w:hAnsi="宋体"/>
          <w:b/>
          <w:color w:val="auto"/>
        </w:rPr>
      </w:pPr>
    </w:p>
    <w:p w14:paraId="6655E875">
      <w:pPr>
        <w:snapToGrid w:val="0"/>
        <w:spacing w:line="440" w:lineRule="exact"/>
        <w:ind w:firstLine="562" w:firstLineChars="200"/>
        <w:rPr>
          <w:rFonts w:ascii="宋体" w:hAnsi="宋体"/>
          <w:b/>
          <w:color w:val="auto"/>
        </w:rPr>
      </w:pPr>
    </w:p>
    <w:p w14:paraId="5D328536">
      <w:pPr>
        <w:snapToGrid w:val="0"/>
        <w:spacing w:line="440" w:lineRule="exact"/>
        <w:ind w:firstLine="562" w:firstLineChars="200"/>
        <w:rPr>
          <w:rFonts w:ascii="宋体" w:hAnsi="宋体"/>
          <w:b/>
          <w:color w:val="auto"/>
        </w:rPr>
      </w:pPr>
    </w:p>
    <w:p w14:paraId="1BD9C371">
      <w:pPr>
        <w:snapToGrid w:val="0"/>
        <w:spacing w:line="440" w:lineRule="exact"/>
        <w:ind w:firstLine="562" w:firstLineChars="200"/>
        <w:rPr>
          <w:rFonts w:ascii="宋体" w:hAnsi="宋体"/>
          <w:b/>
          <w:color w:val="auto"/>
        </w:rPr>
      </w:pPr>
    </w:p>
    <w:p w14:paraId="7D73A695">
      <w:pPr>
        <w:snapToGrid w:val="0"/>
        <w:spacing w:line="440" w:lineRule="exact"/>
        <w:ind w:firstLine="562" w:firstLineChars="200"/>
        <w:rPr>
          <w:rFonts w:ascii="宋体" w:hAnsi="宋体"/>
          <w:b/>
          <w:color w:val="auto"/>
        </w:rPr>
      </w:pPr>
    </w:p>
    <w:p w14:paraId="52588D6A">
      <w:pPr>
        <w:snapToGrid w:val="0"/>
        <w:spacing w:line="440" w:lineRule="exact"/>
        <w:ind w:firstLine="562" w:firstLineChars="200"/>
        <w:rPr>
          <w:rFonts w:ascii="宋体" w:hAnsi="宋体"/>
          <w:b/>
          <w:color w:val="auto"/>
        </w:rPr>
      </w:pPr>
    </w:p>
    <w:p w14:paraId="0E81DDEC">
      <w:pPr>
        <w:snapToGrid w:val="0"/>
        <w:spacing w:line="440" w:lineRule="exact"/>
        <w:ind w:firstLine="562" w:firstLineChars="200"/>
        <w:rPr>
          <w:rFonts w:ascii="宋体" w:hAnsi="宋体"/>
          <w:b/>
          <w:color w:val="auto"/>
        </w:rPr>
      </w:pPr>
    </w:p>
    <w:p w14:paraId="7F290ECF">
      <w:pPr>
        <w:snapToGrid w:val="0"/>
        <w:spacing w:line="440" w:lineRule="exact"/>
        <w:ind w:firstLine="562" w:firstLineChars="200"/>
        <w:rPr>
          <w:rFonts w:ascii="宋体" w:hAnsi="宋体"/>
          <w:b/>
          <w:color w:val="auto"/>
        </w:rPr>
      </w:pPr>
    </w:p>
    <w:p w14:paraId="7838B14E">
      <w:pPr>
        <w:snapToGrid w:val="0"/>
        <w:spacing w:line="440" w:lineRule="exact"/>
        <w:ind w:firstLine="562" w:firstLineChars="200"/>
        <w:rPr>
          <w:rFonts w:ascii="宋体" w:hAnsi="宋体"/>
          <w:b/>
          <w:color w:val="auto"/>
        </w:rPr>
      </w:pPr>
    </w:p>
    <w:p w14:paraId="286DFEA2">
      <w:pPr>
        <w:snapToGrid w:val="0"/>
        <w:spacing w:line="440" w:lineRule="exact"/>
        <w:ind w:firstLine="562" w:firstLineChars="200"/>
        <w:rPr>
          <w:rFonts w:ascii="宋体" w:hAnsi="宋体"/>
          <w:b/>
          <w:color w:val="auto"/>
        </w:rPr>
      </w:pPr>
    </w:p>
    <w:p w14:paraId="2CB54480">
      <w:pPr>
        <w:snapToGrid w:val="0"/>
        <w:spacing w:line="440" w:lineRule="exact"/>
        <w:ind w:firstLine="562" w:firstLineChars="200"/>
        <w:rPr>
          <w:rFonts w:ascii="宋体" w:hAnsi="宋体"/>
          <w:b/>
          <w:color w:val="auto"/>
        </w:rPr>
      </w:pPr>
    </w:p>
    <w:p w14:paraId="26E206A1">
      <w:pPr>
        <w:snapToGrid w:val="0"/>
        <w:spacing w:line="440" w:lineRule="exact"/>
        <w:ind w:firstLine="562" w:firstLineChars="200"/>
        <w:rPr>
          <w:rFonts w:ascii="宋体" w:hAnsi="宋体"/>
          <w:b/>
          <w:color w:val="auto"/>
        </w:rPr>
      </w:pPr>
    </w:p>
    <w:p w14:paraId="56101E83">
      <w:pPr>
        <w:rPr>
          <w:rFonts w:hint="eastAsia" w:ascii="宋体" w:hAnsi="宋体"/>
          <w:b/>
          <w:color w:val="auto"/>
        </w:rPr>
      </w:pPr>
      <w:r>
        <w:rPr>
          <w:rFonts w:hint="eastAsia" w:ascii="宋体" w:hAnsi="宋体"/>
          <w:b/>
          <w:color w:val="auto"/>
        </w:rPr>
        <w:br w:type="page"/>
      </w:r>
    </w:p>
    <w:p w14:paraId="4A85281D">
      <w:pPr>
        <w:snapToGrid w:val="0"/>
        <w:spacing w:line="440" w:lineRule="exact"/>
        <w:ind w:firstLine="562" w:firstLineChars="200"/>
        <w:rPr>
          <w:rFonts w:ascii="宋体" w:hAnsi="宋体"/>
          <w:b/>
          <w:color w:val="auto"/>
        </w:rPr>
      </w:pPr>
      <w:r>
        <w:rPr>
          <w:rFonts w:hint="eastAsia" w:ascii="宋体" w:hAnsi="宋体"/>
          <w:b/>
          <w:color w:val="auto"/>
        </w:rPr>
        <w:t>（</w:t>
      </w:r>
      <w:r>
        <w:rPr>
          <w:rFonts w:hint="eastAsia" w:ascii="宋体" w:hAnsi="宋体"/>
          <w:b/>
          <w:color w:val="auto"/>
          <w:lang w:val="en-US" w:eastAsia="zh-CN"/>
        </w:rPr>
        <w:t>二</w:t>
      </w:r>
      <w:r>
        <w:rPr>
          <w:rFonts w:hint="eastAsia" w:ascii="宋体" w:hAnsi="宋体"/>
          <w:b/>
          <w:color w:val="auto"/>
        </w:rPr>
        <w:t>）法定代表人身份证明书（格式）</w:t>
      </w:r>
    </w:p>
    <w:p w14:paraId="3C7117DD">
      <w:pPr>
        <w:snapToGrid w:val="0"/>
        <w:spacing w:line="440" w:lineRule="exact"/>
        <w:ind w:firstLine="560" w:firstLineChars="200"/>
        <w:rPr>
          <w:rFonts w:ascii="宋体" w:hAnsi="宋体"/>
          <w:color w:val="auto"/>
        </w:rPr>
      </w:pPr>
    </w:p>
    <w:p w14:paraId="0DF76E12">
      <w:pPr>
        <w:snapToGrid w:val="0"/>
        <w:spacing w:line="440" w:lineRule="exact"/>
        <w:ind w:firstLine="560" w:firstLineChars="200"/>
        <w:rPr>
          <w:rFonts w:ascii="宋体" w:hAnsi="宋体"/>
          <w:color w:val="auto"/>
        </w:rPr>
      </w:pPr>
      <w:r>
        <w:rPr>
          <w:rFonts w:hint="eastAsia" w:ascii="宋体" w:hAnsi="宋体"/>
          <w:color w:val="auto"/>
        </w:rPr>
        <w:t>采购项目名称：</w:t>
      </w:r>
    </w:p>
    <w:p w14:paraId="6C73D76C">
      <w:pPr>
        <w:snapToGrid w:val="0"/>
        <w:spacing w:line="440" w:lineRule="exact"/>
        <w:ind w:firstLine="560" w:firstLineChars="200"/>
        <w:rPr>
          <w:rFonts w:ascii="宋体" w:hAnsi="宋体"/>
          <w:color w:val="auto"/>
        </w:rPr>
      </w:pPr>
    </w:p>
    <w:p w14:paraId="09B039DD">
      <w:pPr>
        <w:snapToGrid w:val="0"/>
        <w:spacing w:line="440" w:lineRule="exact"/>
        <w:ind w:firstLine="560" w:firstLineChars="200"/>
        <w:rPr>
          <w:rFonts w:ascii="宋体" w:hAnsi="宋体"/>
          <w:color w:val="auto"/>
        </w:rPr>
      </w:pPr>
      <w:r>
        <w:rPr>
          <w:rFonts w:hint="eastAsia" w:ascii="宋体" w:hAnsi="宋体"/>
          <w:color w:val="auto"/>
        </w:rPr>
        <w:t>致：</w:t>
      </w:r>
      <w:r>
        <w:rPr>
          <w:rFonts w:hint="eastAsia" w:ascii="宋体" w:hAnsi="宋体"/>
          <w:color w:val="auto"/>
          <w:u w:val="single"/>
        </w:rPr>
        <w:t>重庆文理学院</w:t>
      </w:r>
    </w:p>
    <w:p w14:paraId="3B6B746E">
      <w:pPr>
        <w:snapToGrid w:val="0"/>
        <w:spacing w:line="440" w:lineRule="exact"/>
        <w:ind w:firstLine="560" w:firstLineChars="200"/>
        <w:rPr>
          <w:rFonts w:ascii="宋体" w:hAnsi="宋体"/>
          <w:color w:val="auto"/>
        </w:rPr>
      </w:pPr>
      <w:r>
        <w:rPr>
          <w:rFonts w:hint="eastAsia" w:ascii="宋体" w:hAnsi="宋体"/>
          <w:color w:val="auto"/>
        </w:rPr>
        <w:t>（法定代表人姓名）在（投标人名称）任（职务名称）职务，是（投标人名称）的法定代表人。</w:t>
      </w:r>
    </w:p>
    <w:p w14:paraId="6FF78CFF">
      <w:pPr>
        <w:snapToGrid w:val="0"/>
        <w:spacing w:line="440" w:lineRule="exact"/>
        <w:ind w:firstLine="560" w:firstLineChars="200"/>
        <w:rPr>
          <w:rFonts w:ascii="宋体" w:hAnsi="宋体"/>
          <w:color w:val="auto"/>
        </w:rPr>
      </w:pPr>
    </w:p>
    <w:p w14:paraId="23AF12DA">
      <w:pPr>
        <w:snapToGrid w:val="0"/>
        <w:spacing w:line="440" w:lineRule="exact"/>
        <w:ind w:firstLine="560" w:firstLineChars="200"/>
        <w:rPr>
          <w:rFonts w:ascii="宋体" w:hAnsi="宋体"/>
          <w:color w:val="auto"/>
        </w:rPr>
      </w:pPr>
      <w:r>
        <w:rPr>
          <w:rFonts w:hint="eastAsia" w:ascii="宋体" w:hAnsi="宋体"/>
          <w:color w:val="auto"/>
        </w:rPr>
        <w:t>特此证明。</w:t>
      </w:r>
    </w:p>
    <w:p w14:paraId="4F60C24C">
      <w:pPr>
        <w:snapToGrid w:val="0"/>
        <w:spacing w:line="440" w:lineRule="exact"/>
        <w:ind w:firstLine="560" w:firstLineChars="200"/>
        <w:rPr>
          <w:rFonts w:ascii="宋体" w:hAnsi="宋体"/>
          <w:color w:val="auto"/>
        </w:rPr>
      </w:pPr>
    </w:p>
    <w:p w14:paraId="2383B907">
      <w:pPr>
        <w:snapToGrid w:val="0"/>
        <w:spacing w:line="440" w:lineRule="exact"/>
        <w:ind w:firstLine="560" w:firstLineChars="200"/>
        <w:rPr>
          <w:rFonts w:ascii="宋体" w:hAnsi="宋体"/>
          <w:color w:val="auto"/>
        </w:rPr>
      </w:pPr>
    </w:p>
    <w:p w14:paraId="10E66D2A">
      <w:pPr>
        <w:snapToGrid w:val="0"/>
        <w:spacing w:line="440" w:lineRule="exact"/>
        <w:ind w:firstLine="560" w:firstLineChars="200"/>
        <w:rPr>
          <w:rFonts w:ascii="宋体" w:hAnsi="宋体"/>
          <w:color w:val="auto"/>
        </w:rPr>
      </w:pPr>
    </w:p>
    <w:p w14:paraId="515F1519">
      <w:pPr>
        <w:snapToGrid w:val="0"/>
        <w:spacing w:line="440" w:lineRule="exact"/>
        <w:ind w:firstLine="560" w:firstLineChars="200"/>
        <w:rPr>
          <w:rFonts w:ascii="宋体" w:hAnsi="宋体"/>
          <w:color w:val="auto"/>
        </w:rPr>
      </w:pPr>
      <w:r>
        <w:rPr>
          <w:rFonts w:hint="eastAsia" w:ascii="宋体" w:hAnsi="宋体"/>
          <w:color w:val="auto"/>
        </w:rPr>
        <w:t>（投标人公章）</w:t>
      </w:r>
    </w:p>
    <w:p w14:paraId="2C2CA27E">
      <w:pPr>
        <w:snapToGrid w:val="0"/>
        <w:spacing w:line="440" w:lineRule="exact"/>
        <w:ind w:firstLine="560" w:firstLineChars="200"/>
        <w:rPr>
          <w:rFonts w:ascii="宋体" w:hAnsi="宋体"/>
          <w:color w:val="auto"/>
        </w:rPr>
      </w:pPr>
    </w:p>
    <w:p w14:paraId="671B9BEB">
      <w:pPr>
        <w:snapToGrid w:val="0"/>
        <w:spacing w:line="440" w:lineRule="exact"/>
        <w:ind w:firstLine="560" w:firstLineChars="200"/>
        <w:rPr>
          <w:rFonts w:ascii="宋体" w:hAnsi="宋体"/>
          <w:color w:val="auto"/>
        </w:rPr>
      </w:pPr>
      <w:r>
        <w:rPr>
          <w:rFonts w:hint="eastAsia" w:ascii="宋体" w:hAnsi="宋体"/>
          <w:color w:val="auto"/>
        </w:rPr>
        <w:t>年月日</w:t>
      </w:r>
    </w:p>
    <w:p w14:paraId="68EEA1EB">
      <w:pPr>
        <w:snapToGrid w:val="0"/>
        <w:spacing w:line="440" w:lineRule="exact"/>
        <w:ind w:firstLine="560" w:firstLineChars="200"/>
        <w:rPr>
          <w:rFonts w:ascii="宋体" w:hAnsi="宋体"/>
          <w:color w:val="auto"/>
        </w:rPr>
      </w:pPr>
    </w:p>
    <w:p w14:paraId="5608376A">
      <w:pPr>
        <w:snapToGrid w:val="0"/>
        <w:spacing w:line="440" w:lineRule="exact"/>
        <w:ind w:firstLine="560" w:firstLineChars="200"/>
        <w:rPr>
          <w:rFonts w:ascii="宋体" w:hAnsi="宋体"/>
          <w:color w:val="auto"/>
        </w:rPr>
      </w:pPr>
      <w:r>
        <w:rPr>
          <w:rFonts w:hint="eastAsia" w:ascii="宋体" w:hAnsi="宋体"/>
          <w:color w:val="auto"/>
        </w:rPr>
        <w:t>（附：法定代表人身份证正反面复印件）</w:t>
      </w:r>
    </w:p>
    <w:p w14:paraId="375A35FC">
      <w:pPr>
        <w:snapToGrid w:val="0"/>
        <w:spacing w:line="440" w:lineRule="exact"/>
        <w:ind w:firstLine="562" w:firstLineChars="200"/>
        <w:rPr>
          <w:rFonts w:ascii="宋体" w:hAnsi="宋体"/>
          <w:b/>
          <w:color w:val="auto"/>
        </w:rPr>
      </w:pPr>
    </w:p>
    <w:p w14:paraId="3AFB69EB">
      <w:pPr>
        <w:snapToGrid w:val="0"/>
        <w:spacing w:line="440" w:lineRule="exact"/>
        <w:ind w:firstLine="562" w:firstLineChars="200"/>
        <w:rPr>
          <w:rFonts w:ascii="宋体" w:hAnsi="宋体"/>
          <w:b/>
          <w:color w:val="auto"/>
        </w:rPr>
      </w:pPr>
    </w:p>
    <w:p w14:paraId="07E873BA">
      <w:pPr>
        <w:snapToGrid w:val="0"/>
        <w:spacing w:line="440" w:lineRule="exact"/>
        <w:ind w:firstLine="562" w:firstLineChars="200"/>
        <w:rPr>
          <w:rFonts w:ascii="宋体" w:hAnsi="宋体"/>
          <w:b/>
          <w:color w:val="auto"/>
        </w:rPr>
      </w:pPr>
    </w:p>
    <w:p w14:paraId="0CFAB68F">
      <w:pPr>
        <w:snapToGrid w:val="0"/>
        <w:spacing w:line="440" w:lineRule="exact"/>
        <w:ind w:firstLine="562" w:firstLineChars="200"/>
        <w:rPr>
          <w:rFonts w:ascii="宋体" w:hAnsi="宋体"/>
          <w:b/>
          <w:color w:val="auto"/>
        </w:rPr>
      </w:pPr>
    </w:p>
    <w:p w14:paraId="382F8D31">
      <w:pPr>
        <w:snapToGrid w:val="0"/>
        <w:spacing w:line="440" w:lineRule="exact"/>
        <w:ind w:firstLine="562" w:firstLineChars="200"/>
        <w:rPr>
          <w:rFonts w:ascii="宋体" w:hAnsi="宋体"/>
          <w:b/>
          <w:color w:val="auto"/>
        </w:rPr>
      </w:pPr>
    </w:p>
    <w:p w14:paraId="3063CC39">
      <w:pPr>
        <w:snapToGrid w:val="0"/>
        <w:spacing w:line="440" w:lineRule="exact"/>
        <w:ind w:firstLine="562" w:firstLineChars="200"/>
        <w:rPr>
          <w:rFonts w:ascii="宋体" w:hAnsi="宋体"/>
          <w:b/>
          <w:color w:val="auto"/>
        </w:rPr>
      </w:pPr>
    </w:p>
    <w:p w14:paraId="6620F201">
      <w:pPr>
        <w:snapToGrid w:val="0"/>
        <w:spacing w:line="440" w:lineRule="exact"/>
        <w:ind w:firstLine="562" w:firstLineChars="200"/>
        <w:rPr>
          <w:rFonts w:ascii="宋体" w:hAnsi="宋体"/>
          <w:b/>
          <w:color w:val="auto"/>
        </w:rPr>
      </w:pPr>
    </w:p>
    <w:p w14:paraId="78730282">
      <w:pPr>
        <w:snapToGrid w:val="0"/>
        <w:spacing w:line="440" w:lineRule="exact"/>
        <w:ind w:firstLine="562" w:firstLineChars="200"/>
        <w:rPr>
          <w:rFonts w:ascii="宋体" w:hAnsi="宋体"/>
          <w:b/>
          <w:color w:val="auto"/>
        </w:rPr>
      </w:pPr>
    </w:p>
    <w:p w14:paraId="563D6E5D">
      <w:pPr>
        <w:snapToGrid w:val="0"/>
        <w:spacing w:line="440" w:lineRule="exact"/>
        <w:ind w:firstLine="562" w:firstLineChars="200"/>
        <w:rPr>
          <w:rFonts w:ascii="宋体" w:hAnsi="宋体"/>
          <w:b/>
          <w:color w:val="auto"/>
        </w:rPr>
      </w:pPr>
    </w:p>
    <w:p w14:paraId="155EA438">
      <w:pPr>
        <w:snapToGrid w:val="0"/>
        <w:spacing w:line="440" w:lineRule="exact"/>
        <w:ind w:firstLine="562" w:firstLineChars="200"/>
        <w:rPr>
          <w:rFonts w:ascii="宋体" w:hAnsi="宋体"/>
          <w:b/>
          <w:color w:val="auto"/>
        </w:rPr>
      </w:pPr>
    </w:p>
    <w:p w14:paraId="15546531">
      <w:pPr>
        <w:snapToGrid w:val="0"/>
        <w:spacing w:line="440" w:lineRule="exact"/>
        <w:ind w:firstLine="562" w:firstLineChars="200"/>
        <w:rPr>
          <w:rFonts w:ascii="宋体" w:hAnsi="宋体"/>
          <w:b/>
          <w:color w:val="auto"/>
        </w:rPr>
      </w:pPr>
    </w:p>
    <w:p w14:paraId="73E1762B">
      <w:pPr>
        <w:snapToGrid w:val="0"/>
        <w:spacing w:line="440" w:lineRule="exact"/>
        <w:ind w:firstLine="562" w:firstLineChars="200"/>
        <w:rPr>
          <w:rFonts w:ascii="宋体" w:hAnsi="宋体"/>
          <w:b/>
          <w:color w:val="auto"/>
        </w:rPr>
      </w:pPr>
    </w:p>
    <w:p w14:paraId="6D67F172">
      <w:pPr>
        <w:snapToGrid w:val="0"/>
        <w:spacing w:line="440" w:lineRule="exact"/>
        <w:ind w:firstLine="562" w:firstLineChars="200"/>
        <w:rPr>
          <w:rFonts w:ascii="宋体" w:hAnsi="宋体"/>
          <w:b/>
          <w:color w:val="auto"/>
        </w:rPr>
      </w:pPr>
    </w:p>
    <w:p w14:paraId="2AF04D91">
      <w:pPr>
        <w:snapToGrid w:val="0"/>
        <w:spacing w:line="440" w:lineRule="exact"/>
        <w:ind w:firstLine="562" w:firstLineChars="200"/>
        <w:rPr>
          <w:rFonts w:ascii="宋体" w:hAnsi="宋体"/>
          <w:b/>
          <w:color w:val="auto"/>
        </w:rPr>
      </w:pPr>
    </w:p>
    <w:p w14:paraId="7A1FEFC2">
      <w:pPr>
        <w:snapToGrid w:val="0"/>
        <w:spacing w:line="440" w:lineRule="exact"/>
        <w:ind w:firstLine="562" w:firstLineChars="200"/>
        <w:rPr>
          <w:rFonts w:ascii="宋体" w:hAnsi="宋体"/>
          <w:b/>
          <w:color w:val="auto"/>
        </w:rPr>
      </w:pPr>
    </w:p>
    <w:p w14:paraId="63B2A106">
      <w:pPr>
        <w:snapToGrid w:val="0"/>
        <w:spacing w:line="440" w:lineRule="exact"/>
        <w:ind w:firstLine="562" w:firstLineChars="200"/>
        <w:rPr>
          <w:rFonts w:ascii="宋体" w:hAnsi="宋体"/>
          <w:b/>
          <w:color w:val="auto"/>
        </w:rPr>
      </w:pPr>
    </w:p>
    <w:p w14:paraId="30EADB58">
      <w:pPr>
        <w:snapToGrid w:val="0"/>
        <w:spacing w:line="440" w:lineRule="exact"/>
        <w:ind w:firstLine="562" w:firstLineChars="200"/>
        <w:rPr>
          <w:rFonts w:ascii="宋体" w:hAnsi="宋体"/>
          <w:b/>
          <w:color w:val="auto"/>
        </w:rPr>
      </w:pPr>
      <w:r>
        <w:rPr>
          <w:rFonts w:hint="eastAsia" w:ascii="宋体" w:hAnsi="宋体"/>
          <w:b/>
          <w:color w:val="auto"/>
        </w:rPr>
        <w:t>（</w:t>
      </w:r>
      <w:r>
        <w:rPr>
          <w:rFonts w:hint="eastAsia" w:ascii="宋体" w:hAnsi="宋体"/>
          <w:b/>
          <w:color w:val="auto"/>
          <w:lang w:val="en-US" w:eastAsia="zh-CN"/>
        </w:rPr>
        <w:t>三</w:t>
      </w:r>
      <w:r>
        <w:rPr>
          <w:rFonts w:hint="eastAsia" w:ascii="宋体" w:hAnsi="宋体"/>
          <w:b/>
          <w:color w:val="auto"/>
        </w:rPr>
        <w:t>）法定代表人授权委托书（格式）</w:t>
      </w:r>
    </w:p>
    <w:p w14:paraId="7DA704F9">
      <w:pPr>
        <w:snapToGrid w:val="0"/>
        <w:spacing w:line="440" w:lineRule="exact"/>
        <w:ind w:firstLine="560" w:firstLineChars="200"/>
        <w:rPr>
          <w:rFonts w:ascii="宋体" w:hAnsi="宋体"/>
          <w:color w:val="auto"/>
        </w:rPr>
      </w:pPr>
    </w:p>
    <w:p w14:paraId="6C9130F5">
      <w:pPr>
        <w:snapToGrid w:val="0"/>
        <w:spacing w:line="440" w:lineRule="exact"/>
        <w:ind w:firstLine="560" w:firstLineChars="200"/>
        <w:rPr>
          <w:rFonts w:ascii="宋体" w:hAnsi="宋体"/>
          <w:color w:val="auto"/>
        </w:rPr>
      </w:pPr>
      <w:r>
        <w:rPr>
          <w:rFonts w:hint="eastAsia" w:ascii="宋体" w:hAnsi="宋体"/>
          <w:color w:val="auto"/>
        </w:rPr>
        <w:t>采购项目名称：</w:t>
      </w:r>
    </w:p>
    <w:p w14:paraId="22299B76">
      <w:pPr>
        <w:snapToGrid w:val="0"/>
        <w:spacing w:line="440" w:lineRule="exact"/>
        <w:ind w:firstLine="560" w:firstLineChars="200"/>
        <w:rPr>
          <w:rFonts w:ascii="宋体" w:hAnsi="宋体"/>
          <w:color w:val="auto"/>
        </w:rPr>
      </w:pPr>
    </w:p>
    <w:p w14:paraId="22F28EE3">
      <w:pPr>
        <w:snapToGrid w:val="0"/>
        <w:spacing w:line="440" w:lineRule="exact"/>
        <w:ind w:firstLine="560" w:firstLineChars="200"/>
        <w:rPr>
          <w:rFonts w:ascii="宋体" w:hAnsi="宋体"/>
          <w:color w:val="auto"/>
        </w:rPr>
      </w:pPr>
      <w:r>
        <w:rPr>
          <w:rFonts w:hint="eastAsia" w:ascii="宋体" w:hAnsi="宋体"/>
          <w:color w:val="auto"/>
        </w:rPr>
        <w:t>致：</w:t>
      </w:r>
      <w:r>
        <w:rPr>
          <w:rFonts w:hint="eastAsia" w:ascii="宋体" w:hAnsi="宋体"/>
          <w:color w:val="auto"/>
          <w:u w:val="single"/>
        </w:rPr>
        <w:t>重庆文理学院</w:t>
      </w:r>
    </w:p>
    <w:p w14:paraId="5C9BC139">
      <w:pPr>
        <w:snapToGrid w:val="0"/>
        <w:spacing w:line="440" w:lineRule="exact"/>
        <w:ind w:firstLine="560" w:firstLineChars="200"/>
        <w:rPr>
          <w:rFonts w:ascii="宋体" w:hAnsi="宋体"/>
          <w:color w:val="auto"/>
        </w:rPr>
      </w:pPr>
      <w:r>
        <w:rPr>
          <w:rFonts w:hint="eastAsia" w:ascii="宋体" w:hAnsi="宋体"/>
          <w:color w:val="auto"/>
        </w:rPr>
        <w:t>（投标人法定代表人名称）是（投标人名称）的法定代表人，特授权（被授权人姓名及身份证代码）代表我单位全权办理上述项目的投标、谈判、签约等具体工作，并签署全部有关文件、协议及合同。</w:t>
      </w:r>
    </w:p>
    <w:p w14:paraId="0B578745">
      <w:pPr>
        <w:snapToGrid w:val="0"/>
        <w:spacing w:line="440" w:lineRule="exact"/>
        <w:ind w:firstLine="560" w:firstLineChars="200"/>
        <w:rPr>
          <w:rFonts w:ascii="宋体" w:hAnsi="宋体"/>
          <w:color w:val="auto"/>
        </w:rPr>
      </w:pPr>
      <w:r>
        <w:rPr>
          <w:rFonts w:hint="eastAsia" w:ascii="宋体" w:hAnsi="宋体"/>
          <w:color w:val="auto"/>
        </w:rPr>
        <w:t>我单位对被授权人的签名负全部责任。</w:t>
      </w:r>
    </w:p>
    <w:p w14:paraId="54FBEC92">
      <w:pPr>
        <w:snapToGrid w:val="0"/>
        <w:spacing w:line="440" w:lineRule="exact"/>
        <w:ind w:firstLine="560" w:firstLineChars="200"/>
        <w:rPr>
          <w:rFonts w:ascii="宋体" w:hAnsi="宋体"/>
          <w:color w:val="auto"/>
        </w:rPr>
      </w:pPr>
      <w:r>
        <w:rPr>
          <w:rFonts w:hint="eastAsia" w:ascii="宋体" w:hAnsi="宋体"/>
          <w:color w:val="auto"/>
        </w:rPr>
        <w:t>在撤消授权的书面通知以前，本授权书一直有效。被授权人在授权书有效期内签署的所有文件不因授权的撤消而失效。</w:t>
      </w:r>
    </w:p>
    <w:p w14:paraId="1DD26053">
      <w:pPr>
        <w:snapToGrid w:val="0"/>
        <w:spacing w:line="440" w:lineRule="exact"/>
        <w:ind w:firstLine="560" w:firstLineChars="200"/>
        <w:rPr>
          <w:rFonts w:ascii="宋体" w:hAnsi="宋体"/>
          <w:color w:val="auto"/>
        </w:rPr>
      </w:pPr>
    </w:p>
    <w:p w14:paraId="7B2A30E6">
      <w:pPr>
        <w:snapToGrid w:val="0"/>
        <w:spacing w:line="440" w:lineRule="exact"/>
        <w:ind w:firstLine="560" w:firstLineChars="200"/>
        <w:rPr>
          <w:rFonts w:ascii="宋体" w:hAnsi="宋体"/>
          <w:color w:val="auto"/>
        </w:rPr>
      </w:pPr>
    </w:p>
    <w:p w14:paraId="4F33B71F">
      <w:pPr>
        <w:snapToGrid w:val="0"/>
        <w:spacing w:line="440" w:lineRule="exact"/>
        <w:ind w:firstLine="560" w:firstLineChars="200"/>
        <w:rPr>
          <w:rFonts w:ascii="宋体" w:hAnsi="宋体"/>
          <w:color w:val="auto"/>
        </w:rPr>
      </w:pPr>
      <w:r>
        <w:rPr>
          <w:rFonts w:hint="eastAsia" w:ascii="宋体" w:hAnsi="宋体"/>
          <w:color w:val="auto"/>
        </w:rPr>
        <w:t>被授权人签名：投标人法定代表人签名：</w:t>
      </w:r>
    </w:p>
    <w:p w14:paraId="09F1B8E1">
      <w:pPr>
        <w:snapToGrid w:val="0"/>
        <w:spacing w:line="440" w:lineRule="exact"/>
        <w:ind w:firstLine="560" w:firstLineChars="200"/>
        <w:rPr>
          <w:rFonts w:ascii="宋体" w:hAnsi="宋体"/>
          <w:color w:val="auto"/>
        </w:rPr>
      </w:pPr>
    </w:p>
    <w:p w14:paraId="27AD3B22">
      <w:pPr>
        <w:snapToGrid w:val="0"/>
        <w:spacing w:line="440" w:lineRule="exact"/>
        <w:ind w:firstLine="560" w:firstLineChars="200"/>
        <w:rPr>
          <w:rFonts w:ascii="宋体" w:hAnsi="宋体"/>
          <w:color w:val="auto"/>
        </w:rPr>
      </w:pPr>
    </w:p>
    <w:p w14:paraId="74770676">
      <w:pPr>
        <w:snapToGrid w:val="0"/>
        <w:spacing w:line="440" w:lineRule="exact"/>
        <w:ind w:firstLine="560" w:firstLineChars="200"/>
        <w:rPr>
          <w:rFonts w:ascii="宋体" w:hAnsi="宋体"/>
          <w:color w:val="auto"/>
        </w:rPr>
      </w:pPr>
      <w:r>
        <w:rPr>
          <w:rFonts w:hint="eastAsia" w:ascii="宋体" w:hAnsi="宋体"/>
          <w:color w:val="auto"/>
        </w:rPr>
        <w:t>（附：被授权人身份证正反面复印件）</w:t>
      </w:r>
    </w:p>
    <w:p w14:paraId="4D3B6E94">
      <w:pPr>
        <w:snapToGrid w:val="0"/>
        <w:spacing w:line="440" w:lineRule="exact"/>
        <w:ind w:firstLine="560" w:firstLineChars="200"/>
        <w:rPr>
          <w:rFonts w:ascii="宋体" w:hAnsi="宋体"/>
          <w:color w:val="auto"/>
        </w:rPr>
      </w:pPr>
    </w:p>
    <w:p w14:paraId="6B0C41E6">
      <w:pPr>
        <w:snapToGrid w:val="0"/>
        <w:spacing w:line="440" w:lineRule="exact"/>
        <w:ind w:firstLine="560" w:firstLineChars="200"/>
        <w:rPr>
          <w:rFonts w:ascii="宋体" w:hAnsi="宋体"/>
          <w:color w:val="auto"/>
        </w:rPr>
      </w:pPr>
    </w:p>
    <w:p w14:paraId="04C9F881">
      <w:pPr>
        <w:snapToGrid w:val="0"/>
        <w:spacing w:line="440" w:lineRule="exact"/>
        <w:ind w:firstLine="560" w:firstLineChars="200"/>
        <w:rPr>
          <w:rFonts w:ascii="宋体" w:hAnsi="宋体"/>
          <w:color w:val="auto"/>
        </w:rPr>
      </w:pPr>
    </w:p>
    <w:p w14:paraId="59E96400">
      <w:pPr>
        <w:snapToGrid w:val="0"/>
        <w:spacing w:line="440" w:lineRule="exact"/>
        <w:ind w:firstLine="5040" w:firstLineChars="1800"/>
        <w:rPr>
          <w:rFonts w:ascii="宋体" w:hAnsi="宋体"/>
          <w:color w:val="auto"/>
        </w:rPr>
      </w:pPr>
      <w:r>
        <w:rPr>
          <w:rFonts w:hint="eastAsia" w:ascii="宋体" w:hAnsi="宋体"/>
          <w:color w:val="auto"/>
        </w:rPr>
        <w:t>（投标人公章）</w:t>
      </w:r>
    </w:p>
    <w:p w14:paraId="7AD8AD2A">
      <w:pPr>
        <w:snapToGrid w:val="0"/>
        <w:spacing w:line="440" w:lineRule="exact"/>
        <w:ind w:firstLine="5320" w:firstLineChars="1900"/>
        <w:rPr>
          <w:rFonts w:ascii="宋体" w:hAnsi="宋体"/>
          <w:color w:val="auto"/>
        </w:rPr>
      </w:pPr>
      <w:r>
        <w:rPr>
          <w:rFonts w:hint="eastAsia" w:ascii="宋体" w:hAnsi="宋体"/>
          <w:color w:val="auto"/>
        </w:rPr>
        <w:t>年月日</w:t>
      </w:r>
    </w:p>
    <w:p w14:paraId="4F8FC527">
      <w:pPr>
        <w:snapToGrid w:val="0"/>
        <w:spacing w:line="440" w:lineRule="exact"/>
        <w:ind w:firstLine="560" w:firstLineChars="200"/>
        <w:rPr>
          <w:rFonts w:ascii="宋体" w:hAnsi="宋体"/>
          <w:color w:val="auto"/>
        </w:rPr>
      </w:pPr>
    </w:p>
    <w:p w14:paraId="15497EA6">
      <w:pPr>
        <w:snapToGrid w:val="0"/>
        <w:spacing w:line="440" w:lineRule="exact"/>
        <w:ind w:firstLine="560" w:firstLineChars="200"/>
        <w:rPr>
          <w:rFonts w:ascii="宋体" w:hAnsi="宋体"/>
          <w:color w:val="auto"/>
        </w:rPr>
      </w:pPr>
    </w:p>
    <w:p w14:paraId="0E70EA41">
      <w:pPr>
        <w:snapToGrid w:val="0"/>
        <w:spacing w:line="440" w:lineRule="exact"/>
        <w:ind w:firstLine="560" w:firstLineChars="200"/>
        <w:rPr>
          <w:rFonts w:ascii="宋体" w:hAnsi="宋体"/>
          <w:color w:val="auto"/>
        </w:rPr>
      </w:pPr>
    </w:p>
    <w:p w14:paraId="41DC70A7">
      <w:pPr>
        <w:snapToGrid w:val="0"/>
        <w:spacing w:line="440" w:lineRule="exact"/>
        <w:ind w:firstLine="560" w:firstLineChars="200"/>
        <w:rPr>
          <w:rFonts w:ascii="宋体" w:hAnsi="宋体"/>
          <w:color w:val="auto"/>
        </w:rPr>
      </w:pPr>
    </w:p>
    <w:p w14:paraId="3A44DB8F">
      <w:pPr>
        <w:snapToGrid w:val="0"/>
        <w:spacing w:line="440" w:lineRule="exact"/>
        <w:ind w:firstLine="560" w:firstLineChars="200"/>
        <w:rPr>
          <w:rFonts w:ascii="宋体" w:hAnsi="宋体"/>
          <w:color w:val="auto"/>
        </w:rPr>
      </w:pPr>
    </w:p>
    <w:p w14:paraId="15073070">
      <w:pPr>
        <w:snapToGrid w:val="0"/>
        <w:spacing w:line="440" w:lineRule="exact"/>
        <w:ind w:firstLine="560" w:firstLineChars="200"/>
        <w:rPr>
          <w:rFonts w:ascii="宋体" w:hAnsi="宋体"/>
          <w:color w:val="auto"/>
        </w:rPr>
      </w:pPr>
    </w:p>
    <w:p w14:paraId="4B95CD03">
      <w:pPr>
        <w:snapToGrid w:val="0"/>
        <w:spacing w:line="440" w:lineRule="exact"/>
        <w:ind w:firstLine="560" w:firstLineChars="200"/>
        <w:rPr>
          <w:rFonts w:ascii="宋体" w:hAnsi="宋体"/>
          <w:color w:val="auto"/>
        </w:rPr>
      </w:pPr>
    </w:p>
    <w:p w14:paraId="2B11DF6C">
      <w:pPr>
        <w:snapToGrid w:val="0"/>
        <w:spacing w:line="440" w:lineRule="exact"/>
        <w:ind w:firstLine="560" w:firstLineChars="200"/>
        <w:rPr>
          <w:rFonts w:ascii="宋体" w:hAnsi="宋体"/>
          <w:color w:val="auto"/>
        </w:rPr>
      </w:pPr>
    </w:p>
    <w:p w14:paraId="44B04D49">
      <w:pPr>
        <w:snapToGrid w:val="0"/>
        <w:spacing w:line="440" w:lineRule="exact"/>
        <w:ind w:firstLine="560" w:firstLineChars="200"/>
        <w:rPr>
          <w:rFonts w:ascii="宋体" w:hAnsi="宋体"/>
          <w:color w:val="auto"/>
        </w:rPr>
      </w:pPr>
    </w:p>
    <w:p w14:paraId="7E398833">
      <w:pPr>
        <w:snapToGrid w:val="0"/>
        <w:spacing w:line="440" w:lineRule="exact"/>
        <w:ind w:firstLine="560" w:firstLineChars="200"/>
        <w:rPr>
          <w:rFonts w:ascii="宋体" w:hAnsi="宋体"/>
          <w:color w:val="auto"/>
        </w:rPr>
      </w:pPr>
    </w:p>
    <w:p w14:paraId="0A0A9735">
      <w:pPr>
        <w:snapToGrid w:val="0"/>
        <w:spacing w:line="440" w:lineRule="exact"/>
        <w:ind w:firstLine="562" w:firstLineChars="200"/>
        <w:rPr>
          <w:rFonts w:ascii="宋体" w:hAnsi="宋体"/>
          <w:b/>
          <w:color w:val="auto"/>
        </w:rPr>
      </w:pPr>
      <w:r>
        <w:rPr>
          <w:rFonts w:hint="eastAsia" w:ascii="宋体" w:hAnsi="宋体"/>
          <w:b/>
          <w:color w:val="auto"/>
        </w:rPr>
        <w:t>（</w:t>
      </w:r>
      <w:r>
        <w:rPr>
          <w:rFonts w:hint="eastAsia" w:ascii="宋体" w:hAnsi="宋体"/>
          <w:b/>
          <w:color w:val="auto"/>
          <w:lang w:val="en-US" w:eastAsia="zh-CN"/>
        </w:rPr>
        <w:t>四</w:t>
      </w:r>
      <w:r>
        <w:rPr>
          <w:rFonts w:hint="eastAsia" w:ascii="宋体" w:hAnsi="宋体"/>
          <w:b/>
          <w:color w:val="auto"/>
        </w:rPr>
        <w:t>）诚信声明</w:t>
      </w:r>
    </w:p>
    <w:p w14:paraId="570FCEEE">
      <w:pPr>
        <w:snapToGrid w:val="0"/>
        <w:spacing w:line="440" w:lineRule="exact"/>
        <w:ind w:firstLine="560" w:firstLineChars="200"/>
        <w:rPr>
          <w:rFonts w:ascii="宋体" w:hAnsi="宋体"/>
          <w:color w:val="auto"/>
        </w:rPr>
      </w:pPr>
    </w:p>
    <w:p w14:paraId="5190FE0A">
      <w:pPr>
        <w:snapToGrid w:val="0"/>
        <w:spacing w:line="440" w:lineRule="exact"/>
        <w:ind w:firstLine="560" w:firstLineChars="200"/>
        <w:rPr>
          <w:rFonts w:ascii="宋体" w:hAnsi="宋体"/>
          <w:color w:val="auto"/>
        </w:rPr>
      </w:pPr>
      <w:r>
        <w:rPr>
          <w:rFonts w:hint="eastAsia" w:ascii="宋体" w:hAnsi="宋体"/>
          <w:color w:val="auto"/>
        </w:rPr>
        <w:t>采购项目名称：</w:t>
      </w:r>
    </w:p>
    <w:p w14:paraId="2F1DF255">
      <w:pPr>
        <w:snapToGrid w:val="0"/>
        <w:spacing w:line="440" w:lineRule="exact"/>
        <w:ind w:firstLine="560" w:firstLineChars="200"/>
        <w:rPr>
          <w:rFonts w:ascii="宋体" w:hAnsi="宋体"/>
          <w:color w:val="auto"/>
        </w:rPr>
      </w:pPr>
    </w:p>
    <w:p w14:paraId="106CC0B9">
      <w:pPr>
        <w:snapToGrid w:val="0"/>
        <w:spacing w:line="440" w:lineRule="exact"/>
        <w:ind w:firstLine="560" w:firstLineChars="200"/>
        <w:rPr>
          <w:rFonts w:ascii="宋体" w:hAnsi="宋体"/>
          <w:color w:val="auto"/>
        </w:rPr>
      </w:pPr>
      <w:r>
        <w:rPr>
          <w:rFonts w:hint="eastAsia" w:ascii="宋体" w:hAnsi="宋体"/>
          <w:color w:val="auto"/>
        </w:rPr>
        <w:t>致：</w:t>
      </w:r>
      <w:r>
        <w:rPr>
          <w:rFonts w:hint="eastAsia" w:ascii="宋体" w:hAnsi="宋体"/>
          <w:color w:val="auto"/>
          <w:u w:val="single"/>
        </w:rPr>
        <w:t>重庆文理学院</w:t>
      </w:r>
    </w:p>
    <w:p w14:paraId="1F1402CF">
      <w:pPr>
        <w:snapToGrid w:val="0"/>
        <w:spacing w:line="440" w:lineRule="exact"/>
        <w:ind w:firstLine="560" w:firstLineChars="200"/>
        <w:rPr>
          <w:rFonts w:ascii="宋体" w:hAnsi="宋体"/>
          <w:color w:val="auto"/>
        </w:rPr>
      </w:pPr>
      <w:r>
        <w:rPr>
          <w:rFonts w:hint="eastAsia" w:ascii="宋体" w:hAnsi="宋体"/>
          <w:color w:val="auto"/>
        </w:rPr>
        <w:t>（投标人名称）郑重声明，我公司具有良好的商业信誉和健全的财务会计制度，依法缴纳税收和社会保障金，具有履行合同所必需的设备和专业技术能力，我公司还同时声明参加本项目采购活动前三年内无重大违法活动记录，符合《政府采购法》规定的供应商资格条件。我方对以上声明负全部法律责任。</w:t>
      </w:r>
    </w:p>
    <w:p w14:paraId="7688821A">
      <w:pPr>
        <w:snapToGrid w:val="0"/>
        <w:spacing w:line="440" w:lineRule="exact"/>
        <w:ind w:firstLine="560" w:firstLineChars="200"/>
        <w:rPr>
          <w:rFonts w:ascii="宋体" w:hAnsi="宋体"/>
          <w:color w:val="auto"/>
        </w:rPr>
      </w:pPr>
      <w:r>
        <w:rPr>
          <w:rFonts w:hint="eastAsia" w:ascii="宋体" w:hAnsi="宋体"/>
          <w:color w:val="auto"/>
        </w:rPr>
        <w:t>特此声明。</w:t>
      </w:r>
    </w:p>
    <w:p w14:paraId="539C0147">
      <w:pPr>
        <w:snapToGrid w:val="0"/>
        <w:spacing w:line="440" w:lineRule="exact"/>
        <w:ind w:firstLine="560" w:firstLineChars="200"/>
        <w:rPr>
          <w:rFonts w:ascii="宋体" w:hAnsi="宋体"/>
          <w:color w:val="auto"/>
        </w:rPr>
      </w:pPr>
    </w:p>
    <w:p w14:paraId="2C1402BB">
      <w:pPr>
        <w:snapToGrid w:val="0"/>
        <w:spacing w:line="440" w:lineRule="exact"/>
        <w:ind w:firstLine="560" w:firstLineChars="200"/>
        <w:rPr>
          <w:rFonts w:ascii="宋体" w:hAnsi="宋体"/>
          <w:color w:val="auto"/>
        </w:rPr>
      </w:pPr>
    </w:p>
    <w:p w14:paraId="21902F40">
      <w:pPr>
        <w:snapToGrid w:val="0"/>
        <w:spacing w:line="440" w:lineRule="exact"/>
        <w:ind w:firstLine="560" w:firstLineChars="200"/>
        <w:rPr>
          <w:rFonts w:ascii="宋体" w:hAnsi="宋体"/>
          <w:color w:val="auto"/>
        </w:rPr>
      </w:pPr>
    </w:p>
    <w:p w14:paraId="27F8EDF5">
      <w:pPr>
        <w:snapToGrid w:val="0"/>
        <w:spacing w:line="440" w:lineRule="exact"/>
        <w:ind w:firstLine="5600" w:firstLineChars="2000"/>
        <w:rPr>
          <w:rFonts w:ascii="宋体" w:hAnsi="宋体"/>
          <w:color w:val="auto"/>
        </w:rPr>
      </w:pPr>
      <w:r>
        <w:rPr>
          <w:rFonts w:hint="eastAsia" w:ascii="宋体" w:hAnsi="宋体"/>
          <w:color w:val="auto"/>
        </w:rPr>
        <w:t>（投标人公章）</w:t>
      </w:r>
    </w:p>
    <w:p w14:paraId="48AE915F">
      <w:pPr>
        <w:snapToGrid w:val="0"/>
        <w:spacing w:line="440" w:lineRule="exact"/>
        <w:ind w:firstLine="6160" w:firstLineChars="2200"/>
        <w:rPr>
          <w:rFonts w:ascii="宋体" w:hAnsi="宋体"/>
          <w:color w:val="auto"/>
        </w:rPr>
      </w:pPr>
      <w:r>
        <w:rPr>
          <w:rFonts w:hint="eastAsia" w:ascii="宋体" w:hAnsi="宋体"/>
          <w:color w:val="auto"/>
        </w:rPr>
        <w:t>年月日</w:t>
      </w:r>
    </w:p>
    <w:p w14:paraId="33F23E42">
      <w:pPr>
        <w:snapToGrid w:val="0"/>
        <w:spacing w:line="440" w:lineRule="exact"/>
        <w:ind w:firstLine="560" w:firstLineChars="200"/>
        <w:rPr>
          <w:rFonts w:ascii="宋体" w:hAnsi="宋体"/>
          <w:color w:val="auto"/>
        </w:rPr>
      </w:pPr>
    </w:p>
    <w:p w14:paraId="75F5ECF6">
      <w:pPr>
        <w:snapToGrid w:val="0"/>
        <w:spacing w:line="440" w:lineRule="exact"/>
        <w:ind w:firstLine="560" w:firstLineChars="200"/>
        <w:rPr>
          <w:rFonts w:ascii="宋体" w:hAnsi="宋体"/>
          <w:color w:val="auto"/>
        </w:rPr>
      </w:pPr>
    </w:p>
    <w:p w14:paraId="43EB3100">
      <w:pPr>
        <w:snapToGrid w:val="0"/>
        <w:spacing w:line="440" w:lineRule="exact"/>
        <w:ind w:firstLine="560" w:firstLineChars="200"/>
        <w:rPr>
          <w:rFonts w:ascii="宋体" w:hAnsi="宋体"/>
          <w:color w:val="auto"/>
        </w:rPr>
      </w:pPr>
    </w:p>
    <w:p w14:paraId="72B5C723">
      <w:pPr>
        <w:snapToGrid w:val="0"/>
        <w:spacing w:line="440" w:lineRule="exact"/>
        <w:ind w:firstLine="560" w:firstLineChars="200"/>
        <w:rPr>
          <w:rFonts w:ascii="宋体" w:hAnsi="宋体"/>
          <w:color w:val="auto"/>
        </w:rPr>
      </w:pPr>
    </w:p>
    <w:p w14:paraId="614EBD54">
      <w:pPr>
        <w:snapToGrid w:val="0"/>
        <w:spacing w:line="440" w:lineRule="exact"/>
        <w:ind w:firstLine="560" w:firstLineChars="200"/>
        <w:rPr>
          <w:rFonts w:ascii="宋体" w:hAnsi="宋体"/>
          <w:color w:val="auto"/>
        </w:rPr>
      </w:pPr>
    </w:p>
    <w:p w14:paraId="3A2129B8">
      <w:pPr>
        <w:snapToGrid w:val="0"/>
        <w:spacing w:line="440" w:lineRule="exact"/>
        <w:ind w:firstLine="560" w:firstLineChars="200"/>
        <w:rPr>
          <w:rFonts w:ascii="宋体" w:hAnsi="宋体"/>
          <w:color w:val="auto"/>
        </w:rPr>
      </w:pPr>
    </w:p>
    <w:p w14:paraId="0802F7DE">
      <w:pPr>
        <w:snapToGrid w:val="0"/>
        <w:spacing w:line="440" w:lineRule="exact"/>
        <w:ind w:firstLine="560" w:firstLineChars="200"/>
        <w:rPr>
          <w:rFonts w:ascii="宋体" w:hAnsi="宋体"/>
          <w:color w:val="auto"/>
        </w:rPr>
      </w:pPr>
    </w:p>
    <w:p w14:paraId="034C4BA9">
      <w:pPr>
        <w:snapToGrid w:val="0"/>
        <w:spacing w:line="440" w:lineRule="exact"/>
        <w:ind w:firstLine="560" w:firstLineChars="200"/>
        <w:rPr>
          <w:rFonts w:ascii="宋体" w:hAnsi="宋体"/>
          <w:color w:val="auto"/>
        </w:rPr>
      </w:pPr>
    </w:p>
    <w:p w14:paraId="6904415E">
      <w:pPr>
        <w:snapToGrid w:val="0"/>
        <w:spacing w:line="440" w:lineRule="exact"/>
        <w:ind w:firstLine="560" w:firstLineChars="200"/>
        <w:rPr>
          <w:rFonts w:ascii="宋体" w:hAnsi="宋体"/>
          <w:color w:val="auto"/>
        </w:rPr>
      </w:pPr>
    </w:p>
    <w:p w14:paraId="071E61B2">
      <w:pPr>
        <w:snapToGrid w:val="0"/>
        <w:spacing w:line="440" w:lineRule="exact"/>
        <w:ind w:firstLine="560" w:firstLineChars="200"/>
        <w:rPr>
          <w:rFonts w:ascii="宋体" w:hAnsi="宋体"/>
          <w:color w:val="auto"/>
        </w:rPr>
      </w:pPr>
    </w:p>
    <w:p w14:paraId="523E7C1D">
      <w:pPr>
        <w:snapToGrid w:val="0"/>
        <w:spacing w:line="440" w:lineRule="exact"/>
        <w:ind w:firstLine="560" w:firstLineChars="200"/>
        <w:rPr>
          <w:rFonts w:ascii="宋体" w:hAnsi="宋体"/>
          <w:color w:val="auto"/>
        </w:rPr>
      </w:pPr>
    </w:p>
    <w:p w14:paraId="398BB772">
      <w:pPr>
        <w:snapToGrid w:val="0"/>
        <w:spacing w:line="440" w:lineRule="exact"/>
        <w:ind w:firstLine="560" w:firstLineChars="200"/>
        <w:rPr>
          <w:rFonts w:ascii="宋体" w:hAnsi="宋体"/>
          <w:color w:val="auto"/>
        </w:rPr>
      </w:pPr>
    </w:p>
    <w:p w14:paraId="36A7BA2C">
      <w:pPr>
        <w:snapToGrid w:val="0"/>
        <w:spacing w:line="440" w:lineRule="exact"/>
        <w:ind w:firstLine="560" w:firstLineChars="200"/>
        <w:rPr>
          <w:rFonts w:ascii="宋体" w:hAnsi="宋体"/>
          <w:color w:val="auto"/>
        </w:rPr>
      </w:pPr>
    </w:p>
    <w:p w14:paraId="1CB346A5">
      <w:pPr>
        <w:snapToGrid w:val="0"/>
        <w:spacing w:line="440" w:lineRule="exact"/>
        <w:ind w:firstLine="560" w:firstLineChars="200"/>
        <w:rPr>
          <w:rFonts w:ascii="宋体" w:hAnsi="宋体"/>
          <w:color w:val="auto"/>
        </w:rPr>
      </w:pPr>
    </w:p>
    <w:p w14:paraId="29F9C18E">
      <w:pPr>
        <w:snapToGrid w:val="0"/>
        <w:spacing w:line="440" w:lineRule="exact"/>
        <w:ind w:firstLine="560" w:firstLineChars="200"/>
        <w:rPr>
          <w:rFonts w:ascii="宋体" w:hAnsi="宋体"/>
          <w:color w:val="auto"/>
        </w:rPr>
      </w:pPr>
    </w:p>
    <w:p w14:paraId="4DBA60B0">
      <w:pPr>
        <w:snapToGrid w:val="0"/>
        <w:spacing w:line="440" w:lineRule="exact"/>
        <w:ind w:firstLine="560" w:firstLineChars="200"/>
        <w:rPr>
          <w:rFonts w:ascii="宋体" w:hAnsi="宋体"/>
          <w:color w:val="auto"/>
        </w:rPr>
      </w:pPr>
    </w:p>
    <w:p w14:paraId="2ED65B63">
      <w:pPr>
        <w:snapToGrid w:val="0"/>
        <w:spacing w:line="440" w:lineRule="exact"/>
        <w:ind w:firstLine="560" w:firstLineChars="200"/>
        <w:rPr>
          <w:rFonts w:ascii="宋体" w:hAnsi="宋体"/>
          <w:color w:val="auto"/>
        </w:rPr>
      </w:pPr>
    </w:p>
    <w:p w14:paraId="11EADC77">
      <w:pPr>
        <w:snapToGrid w:val="0"/>
        <w:spacing w:line="440" w:lineRule="exact"/>
        <w:ind w:firstLine="560" w:firstLineChars="200"/>
        <w:rPr>
          <w:rFonts w:ascii="宋体" w:hAnsi="宋体"/>
          <w:color w:val="auto"/>
        </w:rPr>
      </w:pPr>
      <w:r>
        <w:rPr>
          <w:rFonts w:hint="eastAsia" w:ascii="宋体" w:hAnsi="宋体"/>
          <w:color w:val="auto"/>
        </w:rPr>
        <w:t>（</w:t>
      </w:r>
      <w:r>
        <w:rPr>
          <w:rFonts w:hint="eastAsia" w:ascii="宋体" w:hAnsi="宋体"/>
          <w:color w:val="auto"/>
          <w:lang w:val="en-US" w:eastAsia="zh-CN"/>
        </w:rPr>
        <w:t>五</w:t>
      </w:r>
      <w:r>
        <w:rPr>
          <w:rFonts w:hint="eastAsia" w:ascii="宋体" w:hAnsi="宋体"/>
          <w:color w:val="auto"/>
        </w:rPr>
        <w:t>）上一年度资产负债表、利润表、现金流量表复印件。</w:t>
      </w:r>
    </w:p>
    <w:p w14:paraId="6CEAC7E4">
      <w:pPr>
        <w:snapToGrid w:val="0"/>
        <w:spacing w:line="440" w:lineRule="exact"/>
        <w:ind w:firstLine="560" w:firstLineChars="200"/>
        <w:rPr>
          <w:rFonts w:ascii="宋体" w:hAnsi="宋体"/>
          <w:color w:val="auto"/>
        </w:rPr>
      </w:pPr>
      <w:r>
        <w:rPr>
          <w:rFonts w:hint="eastAsia" w:ascii="宋体" w:hAnsi="宋体"/>
          <w:color w:val="auto"/>
        </w:rPr>
        <w:t>（</w:t>
      </w:r>
      <w:r>
        <w:rPr>
          <w:rFonts w:hint="eastAsia" w:ascii="宋体" w:hAnsi="宋体"/>
          <w:color w:val="auto"/>
          <w:lang w:val="en-US" w:eastAsia="zh-CN"/>
        </w:rPr>
        <w:t>六</w:t>
      </w:r>
      <w:r>
        <w:rPr>
          <w:rFonts w:hint="eastAsia" w:ascii="宋体" w:hAnsi="宋体"/>
          <w:color w:val="auto"/>
        </w:rPr>
        <w:t>），投标人缴纳税收的证明材料，投标人缴纳社会保险的证明材料。</w:t>
      </w:r>
    </w:p>
    <w:p w14:paraId="29E04BB9">
      <w:pPr>
        <w:snapToGrid w:val="0"/>
        <w:spacing w:line="440" w:lineRule="exact"/>
        <w:ind w:firstLine="560" w:firstLineChars="200"/>
        <w:rPr>
          <w:rFonts w:ascii="宋体" w:hAnsi="宋体"/>
          <w:color w:val="auto"/>
        </w:rPr>
      </w:pPr>
      <w:r>
        <w:rPr>
          <w:rFonts w:hint="eastAsia" w:ascii="宋体" w:hAnsi="宋体"/>
          <w:color w:val="auto"/>
        </w:rPr>
        <w:t>（</w:t>
      </w:r>
      <w:r>
        <w:rPr>
          <w:rFonts w:hint="eastAsia" w:ascii="宋体" w:hAnsi="宋体"/>
          <w:color w:val="auto"/>
          <w:lang w:val="en-US" w:eastAsia="zh-CN"/>
        </w:rPr>
        <w:t>七</w:t>
      </w:r>
      <w:r>
        <w:rPr>
          <w:rFonts w:hint="eastAsia" w:ascii="宋体" w:hAnsi="宋体"/>
          <w:color w:val="auto"/>
        </w:rPr>
        <w:t>）廉洁承诺书与信用中国网站（</w:t>
      </w:r>
      <w:r>
        <w:rPr>
          <w:rFonts w:ascii="宋体" w:hAnsi="宋体"/>
          <w:color w:val="auto"/>
        </w:rPr>
        <w:t>www.creditchina.gov.cn</w:t>
      </w:r>
      <w:r>
        <w:rPr>
          <w:rFonts w:hint="eastAsia" w:ascii="宋体" w:hAnsi="宋体"/>
          <w:color w:val="auto"/>
        </w:rPr>
        <w:t>）“信用信息”（包括“失信被执行人”及“重大税收违法案件当事人名单”）及“行政处罚”查询结果以及中国政府采购网（</w:t>
      </w:r>
      <w:r>
        <w:rPr>
          <w:rFonts w:ascii="宋体" w:hAnsi="宋体"/>
          <w:color w:val="auto"/>
        </w:rPr>
        <w:t>www.ccgp.gov.cn</w:t>
      </w:r>
      <w:r>
        <w:rPr>
          <w:rFonts w:hint="eastAsia" w:ascii="宋体" w:hAnsi="宋体"/>
          <w:color w:val="auto"/>
        </w:rPr>
        <w:t>）“政府采购严重违法失信行为纪录名单”查询结果（上述两个网站查询结果网页打印件并加盖投标人公章）。查询结果为本项目采购公告发布之日起至投标截止时间前</w:t>
      </w:r>
    </w:p>
    <w:p w14:paraId="5AB999F5">
      <w:pPr>
        <w:snapToGrid w:val="0"/>
        <w:spacing w:line="440" w:lineRule="exact"/>
        <w:ind w:firstLine="560" w:firstLineChars="200"/>
        <w:rPr>
          <w:rFonts w:ascii="宋体" w:hAnsi="宋体"/>
          <w:color w:val="auto"/>
        </w:rPr>
      </w:pPr>
      <w:r>
        <w:rPr>
          <w:rFonts w:hint="eastAsia" w:ascii="宋体" w:hAnsi="宋体"/>
          <w:color w:val="auto"/>
        </w:rPr>
        <w:t>（</w:t>
      </w:r>
      <w:r>
        <w:rPr>
          <w:rFonts w:hint="eastAsia" w:ascii="宋体" w:hAnsi="宋体"/>
          <w:color w:val="auto"/>
          <w:lang w:val="en-US" w:eastAsia="zh-CN"/>
        </w:rPr>
        <w:t>八</w:t>
      </w:r>
      <w:r>
        <w:rPr>
          <w:rFonts w:hint="eastAsia" w:ascii="宋体" w:hAnsi="宋体"/>
          <w:color w:val="auto"/>
        </w:rPr>
        <w:t>）特定资格条件证明文件</w:t>
      </w:r>
    </w:p>
    <w:p w14:paraId="4300ACAC">
      <w:pPr>
        <w:snapToGrid w:val="0"/>
        <w:spacing w:line="440" w:lineRule="exact"/>
        <w:ind w:firstLine="560" w:firstLineChars="200"/>
        <w:rPr>
          <w:rFonts w:ascii="宋体" w:hAnsi="宋体"/>
          <w:color w:val="auto"/>
        </w:rPr>
      </w:pPr>
    </w:p>
    <w:p w14:paraId="0A517DDE">
      <w:pPr>
        <w:snapToGrid w:val="0"/>
        <w:spacing w:line="440" w:lineRule="exact"/>
        <w:ind w:firstLine="560" w:firstLineChars="200"/>
        <w:rPr>
          <w:rFonts w:ascii="宋体" w:hAnsi="宋体"/>
          <w:color w:val="auto"/>
        </w:rPr>
      </w:pPr>
    </w:p>
    <w:p w14:paraId="538FA3BA">
      <w:pPr>
        <w:snapToGrid w:val="0"/>
        <w:spacing w:line="440" w:lineRule="exact"/>
        <w:ind w:firstLine="560" w:firstLineChars="200"/>
        <w:rPr>
          <w:rFonts w:ascii="宋体" w:hAnsi="宋体"/>
          <w:color w:val="auto"/>
        </w:rPr>
      </w:pPr>
    </w:p>
    <w:p w14:paraId="2AB77B4B">
      <w:pPr>
        <w:snapToGrid w:val="0"/>
        <w:spacing w:line="440" w:lineRule="exact"/>
        <w:ind w:firstLine="560" w:firstLineChars="200"/>
        <w:rPr>
          <w:rFonts w:ascii="宋体" w:hAnsi="宋体"/>
          <w:color w:val="auto"/>
        </w:rPr>
      </w:pPr>
    </w:p>
    <w:p w14:paraId="18171F94">
      <w:pPr>
        <w:snapToGrid w:val="0"/>
        <w:spacing w:line="440" w:lineRule="exact"/>
        <w:ind w:firstLine="560" w:firstLineChars="200"/>
        <w:rPr>
          <w:rFonts w:ascii="宋体" w:hAnsi="宋体"/>
          <w:color w:val="auto"/>
        </w:rPr>
      </w:pPr>
    </w:p>
    <w:p w14:paraId="2807B6E3">
      <w:pPr>
        <w:snapToGrid w:val="0"/>
        <w:spacing w:line="440" w:lineRule="exact"/>
        <w:ind w:firstLine="560" w:firstLineChars="200"/>
        <w:rPr>
          <w:rFonts w:ascii="宋体" w:hAnsi="宋体"/>
          <w:color w:val="auto"/>
        </w:rPr>
      </w:pPr>
    </w:p>
    <w:p w14:paraId="44D321B3">
      <w:pPr>
        <w:snapToGrid w:val="0"/>
        <w:spacing w:line="440" w:lineRule="exact"/>
        <w:ind w:firstLine="560" w:firstLineChars="200"/>
        <w:rPr>
          <w:rFonts w:ascii="宋体" w:hAnsi="宋体"/>
          <w:color w:val="auto"/>
        </w:rPr>
      </w:pPr>
    </w:p>
    <w:p w14:paraId="3063C7BF">
      <w:pPr>
        <w:snapToGrid w:val="0"/>
        <w:spacing w:line="440" w:lineRule="exact"/>
        <w:ind w:firstLine="560" w:firstLineChars="200"/>
        <w:rPr>
          <w:rFonts w:ascii="宋体" w:hAnsi="宋体"/>
          <w:color w:val="auto"/>
        </w:rPr>
      </w:pPr>
    </w:p>
    <w:p w14:paraId="2A2FEE69">
      <w:pPr>
        <w:snapToGrid w:val="0"/>
        <w:spacing w:line="440" w:lineRule="exact"/>
        <w:ind w:firstLine="560" w:firstLineChars="200"/>
        <w:rPr>
          <w:rFonts w:ascii="宋体" w:hAnsi="宋体"/>
          <w:color w:val="auto"/>
        </w:rPr>
      </w:pPr>
    </w:p>
    <w:p w14:paraId="1DCFC919">
      <w:pPr>
        <w:snapToGrid w:val="0"/>
        <w:spacing w:line="440" w:lineRule="exact"/>
        <w:ind w:firstLine="560" w:firstLineChars="200"/>
        <w:rPr>
          <w:rFonts w:ascii="宋体" w:hAnsi="宋体"/>
          <w:color w:val="auto"/>
        </w:rPr>
      </w:pPr>
    </w:p>
    <w:p w14:paraId="7538ED18">
      <w:pPr>
        <w:snapToGrid w:val="0"/>
        <w:spacing w:line="440" w:lineRule="exact"/>
        <w:ind w:firstLine="560" w:firstLineChars="200"/>
        <w:rPr>
          <w:rFonts w:ascii="宋体" w:hAnsi="宋体"/>
          <w:color w:val="auto"/>
        </w:rPr>
      </w:pPr>
    </w:p>
    <w:p w14:paraId="1242C6C9">
      <w:pPr>
        <w:snapToGrid w:val="0"/>
        <w:spacing w:line="440" w:lineRule="exact"/>
        <w:ind w:firstLine="560" w:firstLineChars="200"/>
        <w:rPr>
          <w:rFonts w:ascii="宋体" w:hAnsi="宋体"/>
          <w:color w:val="auto"/>
        </w:rPr>
      </w:pPr>
    </w:p>
    <w:p w14:paraId="7BECB736">
      <w:pPr>
        <w:snapToGrid w:val="0"/>
        <w:spacing w:line="440" w:lineRule="exact"/>
        <w:ind w:firstLine="560" w:firstLineChars="200"/>
        <w:rPr>
          <w:rFonts w:ascii="宋体" w:hAnsi="宋体"/>
          <w:color w:val="auto"/>
        </w:rPr>
      </w:pPr>
    </w:p>
    <w:p w14:paraId="6343B754">
      <w:pPr>
        <w:snapToGrid w:val="0"/>
        <w:spacing w:line="440" w:lineRule="exact"/>
        <w:ind w:firstLine="560" w:firstLineChars="200"/>
        <w:rPr>
          <w:rFonts w:ascii="宋体" w:hAnsi="宋体"/>
          <w:color w:val="auto"/>
        </w:rPr>
      </w:pPr>
    </w:p>
    <w:p w14:paraId="52A65D7B">
      <w:pPr>
        <w:snapToGrid w:val="0"/>
        <w:spacing w:line="440" w:lineRule="exact"/>
        <w:ind w:firstLine="560" w:firstLineChars="200"/>
        <w:rPr>
          <w:rFonts w:ascii="宋体" w:hAnsi="宋体"/>
          <w:color w:val="auto"/>
        </w:rPr>
      </w:pPr>
    </w:p>
    <w:p w14:paraId="41B10C89">
      <w:pPr>
        <w:snapToGrid w:val="0"/>
        <w:spacing w:line="440" w:lineRule="exact"/>
        <w:ind w:firstLine="560" w:firstLineChars="200"/>
        <w:rPr>
          <w:rFonts w:ascii="宋体" w:hAnsi="宋体"/>
          <w:color w:val="auto"/>
        </w:rPr>
      </w:pPr>
    </w:p>
    <w:p w14:paraId="7A1F81A7">
      <w:pPr>
        <w:snapToGrid w:val="0"/>
        <w:spacing w:line="440" w:lineRule="exact"/>
        <w:ind w:firstLine="560" w:firstLineChars="200"/>
        <w:rPr>
          <w:rFonts w:ascii="宋体" w:hAnsi="宋体"/>
          <w:color w:val="auto"/>
        </w:rPr>
      </w:pPr>
    </w:p>
    <w:p w14:paraId="201AE1E6">
      <w:pPr>
        <w:snapToGrid w:val="0"/>
        <w:spacing w:line="440" w:lineRule="exact"/>
        <w:ind w:firstLine="560" w:firstLineChars="200"/>
        <w:rPr>
          <w:rFonts w:ascii="宋体" w:hAnsi="宋体"/>
          <w:color w:val="auto"/>
        </w:rPr>
      </w:pPr>
    </w:p>
    <w:p w14:paraId="2046A0B2">
      <w:pPr>
        <w:snapToGrid w:val="0"/>
        <w:spacing w:line="440" w:lineRule="exact"/>
        <w:ind w:firstLine="560" w:firstLineChars="200"/>
        <w:rPr>
          <w:rFonts w:ascii="宋体" w:hAnsi="宋体"/>
          <w:color w:val="auto"/>
        </w:rPr>
      </w:pPr>
    </w:p>
    <w:p w14:paraId="6C6D3A05">
      <w:pPr>
        <w:snapToGrid w:val="0"/>
        <w:spacing w:line="440" w:lineRule="exact"/>
        <w:ind w:firstLine="560" w:firstLineChars="200"/>
        <w:rPr>
          <w:rFonts w:ascii="宋体" w:hAnsi="宋体"/>
          <w:color w:val="auto"/>
        </w:rPr>
      </w:pPr>
    </w:p>
    <w:p w14:paraId="02C17F7B">
      <w:pPr>
        <w:snapToGrid w:val="0"/>
        <w:spacing w:line="440" w:lineRule="exact"/>
        <w:ind w:firstLine="560" w:firstLineChars="200"/>
        <w:rPr>
          <w:rFonts w:ascii="宋体" w:hAnsi="宋体"/>
          <w:color w:val="auto"/>
        </w:rPr>
      </w:pPr>
    </w:p>
    <w:p w14:paraId="73BA7CB4">
      <w:pPr>
        <w:snapToGrid w:val="0"/>
        <w:spacing w:line="440" w:lineRule="exact"/>
        <w:ind w:firstLine="560" w:firstLineChars="200"/>
        <w:rPr>
          <w:rFonts w:ascii="宋体" w:hAnsi="宋体"/>
          <w:color w:val="auto"/>
        </w:rPr>
      </w:pPr>
    </w:p>
    <w:p w14:paraId="5673E987">
      <w:pPr>
        <w:snapToGrid w:val="0"/>
        <w:spacing w:line="440" w:lineRule="exact"/>
        <w:ind w:firstLine="560" w:firstLineChars="200"/>
        <w:rPr>
          <w:rFonts w:ascii="宋体" w:hAnsi="宋体"/>
          <w:color w:val="auto"/>
        </w:rPr>
      </w:pPr>
    </w:p>
    <w:p w14:paraId="1A4F02E3">
      <w:pPr>
        <w:snapToGrid w:val="0"/>
        <w:spacing w:line="440" w:lineRule="exact"/>
        <w:ind w:firstLine="560" w:firstLineChars="200"/>
        <w:rPr>
          <w:rFonts w:ascii="宋体" w:hAnsi="宋体"/>
          <w:color w:val="auto"/>
        </w:rPr>
      </w:pPr>
    </w:p>
    <w:p w14:paraId="4EB3D0FF">
      <w:pPr>
        <w:snapToGrid w:val="0"/>
        <w:spacing w:line="440" w:lineRule="exact"/>
        <w:ind w:firstLine="562" w:firstLineChars="200"/>
        <w:rPr>
          <w:rFonts w:ascii="宋体" w:hAnsi="宋体"/>
          <w:b/>
          <w:bCs/>
          <w:color w:val="auto"/>
        </w:rPr>
      </w:pPr>
      <w:bookmarkStart w:id="224" w:name="_Toc186919435"/>
      <w:r>
        <w:rPr>
          <w:rFonts w:hint="eastAsia" w:ascii="宋体" w:hAnsi="宋体"/>
          <w:b/>
          <w:bCs/>
          <w:color w:val="auto"/>
        </w:rPr>
        <w:t>三、商务文件</w:t>
      </w:r>
      <w:bookmarkEnd w:id="224"/>
    </w:p>
    <w:p w14:paraId="1096D20E">
      <w:pPr>
        <w:snapToGrid w:val="0"/>
        <w:spacing w:line="440" w:lineRule="exact"/>
        <w:ind w:firstLine="562" w:firstLineChars="200"/>
        <w:rPr>
          <w:rFonts w:ascii="宋体" w:hAnsi="宋体"/>
          <w:b/>
          <w:color w:val="auto"/>
        </w:rPr>
      </w:pPr>
      <w:r>
        <w:rPr>
          <w:rFonts w:hint="eastAsia" w:ascii="宋体" w:hAnsi="宋体"/>
          <w:b/>
          <w:color w:val="auto"/>
        </w:rPr>
        <w:t>（一）响应文件函（格式）</w:t>
      </w:r>
    </w:p>
    <w:p w14:paraId="347B9150">
      <w:pPr>
        <w:snapToGrid w:val="0"/>
        <w:spacing w:line="440" w:lineRule="exact"/>
        <w:ind w:firstLine="560" w:firstLineChars="200"/>
        <w:rPr>
          <w:rFonts w:ascii="宋体" w:hAnsi="宋体"/>
          <w:color w:val="auto"/>
          <w:u w:val="single"/>
        </w:rPr>
      </w:pPr>
      <w:bookmarkStart w:id="225" w:name="_Toc422381000"/>
      <w:bookmarkStart w:id="226" w:name="_Toc295233020"/>
      <w:bookmarkStart w:id="227" w:name="_Toc28427"/>
      <w:r>
        <w:rPr>
          <w:rFonts w:hint="eastAsia" w:ascii="宋体" w:hAnsi="宋体"/>
          <w:color w:val="auto"/>
        </w:rPr>
        <w:t>采购项目名称：</w:t>
      </w:r>
    </w:p>
    <w:p w14:paraId="3C765517">
      <w:pPr>
        <w:snapToGrid w:val="0"/>
        <w:spacing w:line="440" w:lineRule="exact"/>
        <w:ind w:firstLine="560" w:firstLineChars="200"/>
        <w:rPr>
          <w:rFonts w:ascii="宋体" w:hAnsi="宋体"/>
          <w:color w:val="auto"/>
        </w:rPr>
      </w:pPr>
    </w:p>
    <w:p w14:paraId="0D7C7B18">
      <w:pPr>
        <w:snapToGrid w:val="0"/>
        <w:spacing w:line="440" w:lineRule="exact"/>
        <w:ind w:firstLine="560" w:firstLineChars="200"/>
        <w:rPr>
          <w:rFonts w:ascii="宋体" w:hAnsi="宋体"/>
          <w:color w:val="auto"/>
        </w:rPr>
      </w:pPr>
      <w:r>
        <w:rPr>
          <w:rFonts w:hint="eastAsia" w:ascii="宋体" w:hAnsi="宋体"/>
          <w:color w:val="auto"/>
        </w:rPr>
        <w:t>致：</w:t>
      </w:r>
      <w:r>
        <w:rPr>
          <w:rFonts w:hint="eastAsia" w:ascii="宋体" w:hAnsi="宋体"/>
          <w:color w:val="auto"/>
          <w:u w:val="single"/>
        </w:rPr>
        <w:t>重庆文理学院</w:t>
      </w:r>
    </w:p>
    <w:p w14:paraId="2D8AC842">
      <w:pPr>
        <w:snapToGrid w:val="0"/>
        <w:spacing w:line="440" w:lineRule="exact"/>
        <w:ind w:firstLine="560" w:firstLineChars="200"/>
        <w:rPr>
          <w:rFonts w:ascii="宋体" w:hAnsi="宋体"/>
          <w:color w:val="auto"/>
        </w:rPr>
      </w:pPr>
      <w:r>
        <w:rPr>
          <w:rFonts w:hint="eastAsia" w:ascii="宋体" w:hAnsi="宋体"/>
          <w:color w:val="auto"/>
        </w:rPr>
        <w:t>（投标人名称）系中华人民共和国合法企业，注册地址：。我方就参加本次投标有关事项郑重声明如下：</w:t>
      </w:r>
    </w:p>
    <w:p w14:paraId="3D509BF1">
      <w:pPr>
        <w:snapToGrid w:val="0"/>
        <w:spacing w:line="440" w:lineRule="exact"/>
        <w:ind w:firstLine="560" w:firstLineChars="200"/>
        <w:rPr>
          <w:rFonts w:ascii="宋体" w:hAnsi="宋体"/>
          <w:color w:val="auto"/>
        </w:rPr>
      </w:pPr>
      <w:r>
        <w:rPr>
          <w:rFonts w:hint="eastAsia" w:ascii="宋体" w:hAnsi="宋体"/>
          <w:color w:val="auto"/>
        </w:rPr>
        <w:t>一、我方完全理解并接受该项目招标文件所有要求。</w:t>
      </w:r>
    </w:p>
    <w:p w14:paraId="50C116BD">
      <w:pPr>
        <w:snapToGrid w:val="0"/>
        <w:spacing w:line="440" w:lineRule="exact"/>
        <w:ind w:firstLine="560" w:firstLineChars="200"/>
        <w:rPr>
          <w:rFonts w:ascii="宋体" w:hAnsi="宋体"/>
          <w:color w:val="auto"/>
        </w:rPr>
      </w:pPr>
      <w:r>
        <w:rPr>
          <w:rFonts w:hint="eastAsia" w:ascii="宋体" w:hAnsi="宋体"/>
          <w:color w:val="auto"/>
        </w:rPr>
        <w:t>二、我方提交的所有投标文件、资料都是准确和真实的，如有虚假或隐瞒，我方愿意承担一切法律责任。</w:t>
      </w:r>
    </w:p>
    <w:p w14:paraId="310A2F9A">
      <w:pPr>
        <w:snapToGrid w:val="0"/>
        <w:spacing w:line="440" w:lineRule="exact"/>
        <w:ind w:firstLine="560" w:firstLineChars="200"/>
        <w:rPr>
          <w:rFonts w:ascii="宋体" w:hAnsi="宋体"/>
          <w:color w:val="auto"/>
        </w:rPr>
      </w:pPr>
      <w:r>
        <w:rPr>
          <w:rFonts w:hint="eastAsia" w:ascii="宋体" w:hAnsi="宋体"/>
          <w:color w:val="auto"/>
        </w:rPr>
        <w:t>三、我方承诺按照招标文件要求，提供招标项目的技术服务。</w:t>
      </w:r>
    </w:p>
    <w:p w14:paraId="2C8548FA">
      <w:pPr>
        <w:snapToGrid w:val="0"/>
        <w:spacing w:line="440" w:lineRule="exact"/>
        <w:ind w:firstLine="560" w:firstLineChars="200"/>
        <w:rPr>
          <w:rFonts w:ascii="宋体" w:hAnsi="宋体"/>
          <w:color w:val="auto"/>
        </w:rPr>
      </w:pPr>
      <w:r>
        <w:rPr>
          <w:rFonts w:hint="eastAsia" w:ascii="宋体" w:hAnsi="宋体"/>
          <w:color w:val="auto"/>
        </w:rPr>
        <w:t>四、我方按招标文件要求提交的投标文件为：投标文件正本</w:t>
      </w:r>
      <w:r>
        <w:rPr>
          <w:rFonts w:ascii="宋体" w:hAnsi="宋体"/>
          <w:color w:val="auto"/>
        </w:rPr>
        <w:t>1</w:t>
      </w:r>
      <w:r>
        <w:rPr>
          <w:rFonts w:hint="eastAsia" w:ascii="宋体" w:hAnsi="宋体"/>
          <w:color w:val="auto"/>
        </w:rPr>
        <w:t>份，副本4份。</w:t>
      </w:r>
    </w:p>
    <w:p w14:paraId="32A30EA0">
      <w:pPr>
        <w:snapToGrid w:val="0"/>
        <w:spacing w:line="440" w:lineRule="exact"/>
        <w:ind w:firstLine="560" w:firstLineChars="200"/>
        <w:rPr>
          <w:rFonts w:ascii="宋体" w:hAnsi="宋体"/>
          <w:color w:val="auto"/>
        </w:rPr>
      </w:pPr>
      <w:r>
        <w:rPr>
          <w:rFonts w:hint="eastAsia" w:ascii="宋体" w:hAnsi="宋体"/>
          <w:color w:val="auto"/>
        </w:rPr>
        <w:t>五、我方承诺：本次投标的投标有效期为</w:t>
      </w:r>
      <w:r>
        <w:rPr>
          <w:rFonts w:ascii="宋体" w:hAnsi="宋体"/>
          <w:color w:val="auto"/>
        </w:rPr>
        <w:t>90</w:t>
      </w:r>
      <w:r>
        <w:rPr>
          <w:rFonts w:hint="eastAsia" w:ascii="宋体" w:hAnsi="宋体"/>
          <w:color w:val="auto"/>
        </w:rPr>
        <w:t>天。</w:t>
      </w:r>
    </w:p>
    <w:p w14:paraId="112D7D6D">
      <w:pPr>
        <w:snapToGrid w:val="0"/>
        <w:spacing w:line="440" w:lineRule="exact"/>
        <w:ind w:firstLine="560" w:firstLineChars="200"/>
        <w:rPr>
          <w:rFonts w:ascii="宋体" w:hAnsi="宋体"/>
          <w:color w:val="auto"/>
        </w:rPr>
      </w:pPr>
      <w:r>
        <w:rPr>
          <w:rFonts w:hint="eastAsia" w:ascii="宋体" w:hAnsi="宋体"/>
          <w:color w:val="auto"/>
        </w:rPr>
        <w:t>五、我方投标报价为闭口价。即在投标有效期和合同有效期内，该报价固定不变。</w:t>
      </w:r>
    </w:p>
    <w:p w14:paraId="0ED6953E">
      <w:pPr>
        <w:snapToGrid w:val="0"/>
        <w:spacing w:line="440" w:lineRule="exact"/>
        <w:ind w:firstLine="560" w:firstLineChars="200"/>
        <w:rPr>
          <w:rFonts w:ascii="宋体" w:hAnsi="宋体"/>
          <w:color w:val="auto"/>
        </w:rPr>
      </w:pPr>
      <w:r>
        <w:rPr>
          <w:rFonts w:hint="eastAsia" w:ascii="宋体" w:hAnsi="宋体"/>
          <w:color w:val="auto"/>
        </w:rPr>
        <w:t>六、如果我方中标，我方将履行招标文件中规定的各项要求以及我方投标文件的各项承诺，按《政府采购法》、《合同法》及合同约定条款承担我方责任。</w:t>
      </w:r>
    </w:p>
    <w:p w14:paraId="48B9B7F9">
      <w:pPr>
        <w:snapToGrid w:val="0"/>
        <w:spacing w:line="440" w:lineRule="exact"/>
        <w:ind w:firstLine="560" w:firstLineChars="200"/>
        <w:rPr>
          <w:rFonts w:ascii="宋体" w:hAnsi="宋体"/>
          <w:color w:val="auto"/>
        </w:rPr>
      </w:pPr>
      <w:r>
        <w:rPr>
          <w:rFonts w:hint="eastAsia" w:ascii="宋体" w:hAnsi="宋体"/>
          <w:color w:val="auto"/>
        </w:rPr>
        <w:t>七、我方理解，最低报价不是中标的唯一条件。</w:t>
      </w:r>
    </w:p>
    <w:p w14:paraId="1FFBAD69">
      <w:pPr>
        <w:snapToGrid w:val="0"/>
        <w:spacing w:line="440" w:lineRule="exact"/>
        <w:ind w:firstLine="560" w:firstLineChars="200"/>
        <w:rPr>
          <w:rFonts w:ascii="宋体" w:hAnsi="宋体"/>
          <w:color w:val="auto"/>
        </w:rPr>
      </w:pPr>
      <w:r>
        <w:rPr>
          <w:rFonts w:hint="eastAsia" w:ascii="宋体" w:hAnsi="宋体"/>
          <w:color w:val="auto"/>
        </w:rPr>
        <w:t>八、我方同意按有关规定及招标文件要求，缴纳足额投标保证金。</w:t>
      </w:r>
    </w:p>
    <w:p w14:paraId="12F472D5">
      <w:pPr>
        <w:snapToGrid w:val="0"/>
        <w:spacing w:line="440" w:lineRule="exact"/>
        <w:ind w:firstLine="560" w:firstLineChars="200"/>
        <w:rPr>
          <w:rFonts w:ascii="宋体" w:hAnsi="宋体"/>
          <w:color w:val="auto"/>
        </w:rPr>
      </w:pPr>
      <w:r>
        <w:rPr>
          <w:rFonts w:hint="eastAsia" w:ascii="宋体" w:hAnsi="宋体"/>
          <w:color w:val="auto"/>
        </w:rPr>
        <w:t>九、若我方中标，愿意按有关规定及招标文件要求缴纳履约保证金。</w:t>
      </w:r>
    </w:p>
    <w:p w14:paraId="295FFDA0">
      <w:pPr>
        <w:snapToGrid w:val="0"/>
        <w:spacing w:line="440" w:lineRule="exact"/>
        <w:ind w:firstLine="560" w:firstLineChars="200"/>
        <w:rPr>
          <w:rFonts w:ascii="宋体" w:hAnsi="宋体"/>
          <w:color w:val="auto"/>
        </w:rPr>
      </w:pPr>
    </w:p>
    <w:p w14:paraId="2297E3FD">
      <w:pPr>
        <w:snapToGrid w:val="0"/>
        <w:spacing w:line="440" w:lineRule="exact"/>
        <w:ind w:firstLine="6160" w:firstLineChars="2200"/>
        <w:rPr>
          <w:rFonts w:ascii="宋体" w:hAnsi="宋体"/>
          <w:color w:val="auto"/>
        </w:rPr>
      </w:pPr>
      <w:r>
        <w:rPr>
          <w:rFonts w:hint="eastAsia" w:ascii="宋体" w:hAnsi="宋体"/>
          <w:color w:val="auto"/>
        </w:rPr>
        <w:t>（投标人公章）</w:t>
      </w:r>
    </w:p>
    <w:p w14:paraId="057D2AF5">
      <w:pPr>
        <w:snapToGrid w:val="0"/>
        <w:spacing w:line="440" w:lineRule="exact"/>
        <w:ind w:firstLine="560" w:firstLineChars="200"/>
        <w:rPr>
          <w:rFonts w:ascii="宋体" w:hAnsi="宋体"/>
          <w:color w:val="auto"/>
        </w:rPr>
      </w:pPr>
    </w:p>
    <w:p w14:paraId="075B31DA">
      <w:pPr>
        <w:snapToGrid w:val="0"/>
        <w:spacing w:line="440" w:lineRule="exact"/>
        <w:ind w:firstLine="6720" w:firstLineChars="2400"/>
        <w:rPr>
          <w:rFonts w:ascii="宋体" w:hAnsi="宋体"/>
          <w:color w:val="auto"/>
        </w:rPr>
      </w:pPr>
      <w:r>
        <w:rPr>
          <w:rFonts w:hint="eastAsia" w:ascii="宋体" w:hAnsi="宋体"/>
          <w:color w:val="auto"/>
        </w:rPr>
        <w:t>年月日</w:t>
      </w:r>
    </w:p>
    <w:p w14:paraId="06E863D7">
      <w:pPr>
        <w:snapToGrid w:val="0"/>
        <w:spacing w:line="440" w:lineRule="exact"/>
        <w:ind w:firstLine="562" w:firstLineChars="200"/>
        <w:rPr>
          <w:rFonts w:ascii="宋体" w:hAnsi="宋体"/>
          <w:b/>
          <w:color w:val="auto"/>
        </w:rPr>
      </w:pPr>
    </w:p>
    <w:p w14:paraId="33F82CE7">
      <w:pPr>
        <w:snapToGrid w:val="0"/>
        <w:spacing w:line="440" w:lineRule="exact"/>
        <w:ind w:firstLine="562" w:firstLineChars="200"/>
        <w:rPr>
          <w:rFonts w:ascii="宋体" w:hAnsi="宋体"/>
          <w:b/>
          <w:color w:val="auto"/>
        </w:rPr>
      </w:pPr>
    </w:p>
    <w:p w14:paraId="4F0F5F3D">
      <w:pPr>
        <w:snapToGrid w:val="0"/>
        <w:spacing w:line="440" w:lineRule="exact"/>
        <w:ind w:firstLine="562" w:firstLineChars="200"/>
        <w:rPr>
          <w:rFonts w:ascii="宋体" w:hAnsi="宋体"/>
          <w:b/>
          <w:color w:val="auto"/>
        </w:rPr>
      </w:pPr>
    </w:p>
    <w:p w14:paraId="3FA8265F">
      <w:pPr>
        <w:snapToGrid w:val="0"/>
        <w:spacing w:line="440" w:lineRule="exact"/>
        <w:ind w:firstLine="562" w:firstLineChars="200"/>
        <w:rPr>
          <w:rFonts w:ascii="宋体" w:hAnsi="宋体"/>
          <w:b/>
          <w:color w:val="auto"/>
        </w:rPr>
      </w:pPr>
    </w:p>
    <w:p w14:paraId="4C2B21FF">
      <w:pPr>
        <w:snapToGrid w:val="0"/>
        <w:spacing w:line="440" w:lineRule="exact"/>
        <w:ind w:firstLine="562" w:firstLineChars="200"/>
        <w:rPr>
          <w:rFonts w:ascii="宋体" w:hAnsi="宋体"/>
          <w:b/>
          <w:color w:val="auto"/>
        </w:rPr>
      </w:pPr>
    </w:p>
    <w:p w14:paraId="1FE092F7">
      <w:pPr>
        <w:snapToGrid w:val="0"/>
        <w:spacing w:line="440" w:lineRule="exact"/>
        <w:ind w:firstLine="562" w:firstLineChars="200"/>
        <w:rPr>
          <w:rFonts w:ascii="宋体" w:hAnsi="宋体"/>
          <w:b/>
          <w:color w:val="auto"/>
        </w:rPr>
      </w:pPr>
    </w:p>
    <w:p w14:paraId="1C1BBB6B">
      <w:pPr>
        <w:snapToGrid w:val="0"/>
        <w:spacing w:line="440" w:lineRule="exact"/>
        <w:ind w:firstLine="562" w:firstLineChars="200"/>
        <w:rPr>
          <w:rFonts w:ascii="宋体" w:hAnsi="宋体"/>
          <w:b/>
          <w:color w:val="auto"/>
        </w:rPr>
      </w:pPr>
    </w:p>
    <w:p w14:paraId="6FD07E6D">
      <w:pPr>
        <w:snapToGrid w:val="0"/>
        <w:spacing w:line="440" w:lineRule="exact"/>
        <w:ind w:firstLine="562" w:firstLineChars="200"/>
        <w:rPr>
          <w:rFonts w:ascii="宋体" w:hAnsi="宋体"/>
          <w:b/>
          <w:color w:val="auto"/>
        </w:rPr>
      </w:pPr>
      <w:r>
        <w:rPr>
          <w:rFonts w:hint="eastAsia" w:ascii="宋体" w:hAnsi="宋体"/>
          <w:b/>
          <w:color w:val="auto"/>
        </w:rPr>
        <w:t>（二）投标人基本情况表</w:t>
      </w:r>
      <w:bookmarkEnd w:id="225"/>
      <w:bookmarkEnd w:id="226"/>
      <w:bookmarkEnd w:id="227"/>
      <w:r>
        <w:rPr>
          <w:rFonts w:hint="eastAsia" w:ascii="宋体" w:hAnsi="宋体"/>
          <w:b/>
          <w:color w:val="auto"/>
        </w:rPr>
        <w:t>及商务承诺</w:t>
      </w:r>
    </w:p>
    <w:p w14:paraId="283C52AB">
      <w:pPr>
        <w:snapToGrid w:val="0"/>
        <w:spacing w:line="440" w:lineRule="exact"/>
        <w:ind w:firstLine="562" w:firstLineChars="200"/>
        <w:rPr>
          <w:rFonts w:ascii="宋体" w:hAnsi="宋体"/>
          <w:b/>
          <w:color w:val="auto"/>
        </w:rPr>
      </w:pPr>
      <w:r>
        <w:rPr>
          <w:rFonts w:ascii="宋体" w:hAnsi="宋体"/>
          <w:b/>
          <w:color w:val="auto"/>
        </w:rPr>
        <w:t>1.</w:t>
      </w:r>
      <w:r>
        <w:rPr>
          <w:rFonts w:hint="eastAsia" w:ascii="宋体" w:hAnsi="宋体"/>
          <w:b/>
          <w:color w:val="auto"/>
        </w:rPr>
        <w:t>投标人基本情况表</w:t>
      </w:r>
    </w:p>
    <w:tbl>
      <w:tblPr>
        <w:tblStyle w:val="59"/>
        <w:tblW w:w="0" w:type="auto"/>
        <w:jc w:val="center"/>
        <w:tblBorders>
          <w:top w:val="thinThickSmallGap" w:color="auto" w:sz="12" w:space="0"/>
          <w:left w:val="thinThickSmallGap" w:color="auto" w:sz="12" w:space="0"/>
          <w:bottom w:val="thinThickSmallGap" w:color="auto" w:sz="12" w:space="0"/>
          <w:right w:val="thinThickSmallGap"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1980"/>
        <w:gridCol w:w="1152"/>
        <w:gridCol w:w="1420"/>
        <w:gridCol w:w="810"/>
        <w:gridCol w:w="706"/>
        <w:gridCol w:w="841"/>
        <w:gridCol w:w="806"/>
        <w:gridCol w:w="1355"/>
      </w:tblGrid>
      <w:tr w14:paraId="3809FD0B">
        <w:tblPrEx>
          <w:tblBorders>
            <w:top w:val="thinThickSmallGap" w:color="auto" w:sz="12" w:space="0"/>
            <w:left w:val="thinThickSmallGap" w:color="auto" w:sz="12" w:space="0"/>
            <w:bottom w:val="thinThickSmallGap" w:color="auto" w:sz="12" w:space="0"/>
            <w:right w:val="thinThickSmallGap" w:color="auto"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980" w:type="dxa"/>
            <w:tcBorders>
              <w:top w:val="thinThickSmallGap" w:color="auto" w:sz="12" w:space="0"/>
            </w:tcBorders>
            <w:vAlign w:val="center"/>
          </w:tcPr>
          <w:p w14:paraId="5F2CD0EF">
            <w:pPr>
              <w:snapToGrid w:val="0"/>
              <w:spacing w:line="440" w:lineRule="exact"/>
              <w:jc w:val="center"/>
              <w:rPr>
                <w:rFonts w:ascii="宋体" w:hAnsi="宋体"/>
                <w:color w:val="auto"/>
                <w:sz w:val="24"/>
                <w:szCs w:val="24"/>
              </w:rPr>
            </w:pPr>
            <w:r>
              <w:rPr>
                <w:rFonts w:hint="eastAsia" w:ascii="宋体" w:hAnsi="宋体"/>
                <w:color w:val="auto"/>
                <w:sz w:val="24"/>
                <w:szCs w:val="24"/>
              </w:rPr>
              <w:t>投标人名称</w:t>
            </w:r>
          </w:p>
        </w:tc>
        <w:tc>
          <w:tcPr>
            <w:tcW w:w="7090" w:type="dxa"/>
            <w:gridSpan w:val="7"/>
            <w:tcBorders>
              <w:top w:val="thinThickSmallGap" w:color="auto" w:sz="12" w:space="0"/>
            </w:tcBorders>
            <w:vAlign w:val="center"/>
          </w:tcPr>
          <w:p w14:paraId="52EA3146">
            <w:pPr>
              <w:snapToGrid w:val="0"/>
              <w:spacing w:line="440" w:lineRule="exact"/>
              <w:ind w:firstLine="480" w:firstLineChars="200"/>
              <w:jc w:val="center"/>
              <w:rPr>
                <w:rFonts w:ascii="宋体" w:hAnsi="宋体"/>
                <w:color w:val="auto"/>
                <w:sz w:val="24"/>
                <w:szCs w:val="24"/>
              </w:rPr>
            </w:pPr>
          </w:p>
        </w:tc>
      </w:tr>
      <w:tr w14:paraId="2B740FA7">
        <w:tblPrEx>
          <w:tblBorders>
            <w:top w:val="thinThickSmallGap" w:color="auto" w:sz="12" w:space="0"/>
            <w:left w:val="thinThickSmallGap" w:color="auto" w:sz="12" w:space="0"/>
            <w:bottom w:val="thinThickSmallGap" w:color="auto" w:sz="12" w:space="0"/>
            <w:right w:val="thinThickSmallGap" w:color="auto" w:sz="12" w:space="0"/>
            <w:insideH w:val="single" w:color="000000" w:sz="4" w:space="0"/>
            <w:insideV w:val="single" w:color="000000" w:sz="4" w:space="0"/>
          </w:tblBorders>
          <w:tblCellMar>
            <w:top w:w="0" w:type="dxa"/>
            <w:left w:w="108" w:type="dxa"/>
            <w:bottom w:w="0" w:type="dxa"/>
            <w:right w:w="108" w:type="dxa"/>
          </w:tblCellMar>
        </w:tblPrEx>
        <w:trPr>
          <w:trHeight w:val="401" w:hRule="exact"/>
          <w:jc w:val="center"/>
        </w:trPr>
        <w:tc>
          <w:tcPr>
            <w:tcW w:w="1980" w:type="dxa"/>
            <w:vAlign w:val="center"/>
          </w:tcPr>
          <w:p w14:paraId="6A2474B6">
            <w:pPr>
              <w:snapToGrid w:val="0"/>
              <w:spacing w:line="440" w:lineRule="exact"/>
              <w:jc w:val="center"/>
              <w:rPr>
                <w:rFonts w:ascii="宋体" w:hAnsi="宋体"/>
                <w:color w:val="auto"/>
                <w:sz w:val="24"/>
                <w:szCs w:val="24"/>
              </w:rPr>
            </w:pPr>
            <w:r>
              <w:rPr>
                <w:rFonts w:hint="eastAsia" w:ascii="宋体" w:hAnsi="宋体"/>
                <w:color w:val="auto"/>
                <w:sz w:val="24"/>
                <w:szCs w:val="24"/>
              </w:rPr>
              <w:t>注册地址</w:t>
            </w:r>
          </w:p>
        </w:tc>
        <w:tc>
          <w:tcPr>
            <w:tcW w:w="4088" w:type="dxa"/>
            <w:gridSpan w:val="4"/>
            <w:vAlign w:val="center"/>
          </w:tcPr>
          <w:p w14:paraId="50B30A1F">
            <w:pPr>
              <w:snapToGrid w:val="0"/>
              <w:spacing w:line="440" w:lineRule="exact"/>
              <w:ind w:firstLine="480" w:firstLineChars="200"/>
              <w:jc w:val="center"/>
              <w:rPr>
                <w:rFonts w:ascii="宋体" w:hAnsi="宋体"/>
                <w:color w:val="auto"/>
                <w:sz w:val="24"/>
                <w:szCs w:val="24"/>
              </w:rPr>
            </w:pPr>
          </w:p>
        </w:tc>
        <w:tc>
          <w:tcPr>
            <w:tcW w:w="1647" w:type="dxa"/>
            <w:gridSpan w:val="2"/>
            <w:vAlign w:val="center"/>
          </w:tcPr>
          <w:p w14:paraId="4D0ABCC9">
            <w:pPr>
              <w:snapToGrid w:val="0"/>
              <w:spacing w:line="440" w:lineRule="exact"/>
              <w:jc w:val="center"/>
              <w:rPr>
                <w:rFonts w:ascii="宋体" w:hAnsi="宋体"/>
                <w:color w:val="auto"/>
                <w:sz w:val="24"/>
                <w:szCs w:val="24"/>
              </w:rPr>
            </w:pPr>
            <w:r>
              <w:rPr>
                <w:rFonts w:hint="eastAsia" w:ascii="宋体" w:hAnsi="宋体"/>
                <w:color w:val="auto"/>
                <w:sz w:val="24"/>
                <w:szCs w:val="24"/>
              </w:rPr>
              <w:t>邮政编码</w:t>
            </w:r>
          </w:p>
        </w:tc>
        <w:tc>
          <w:tcPr>
            <w:tcW w:w="1355" w:type="dxa"/>
            <w:vAlign w:val="center"/>
          </w:tcPr>
          <w:p w14:paraId="209AF154">
            <w:pPr>
              <w:snapToGrid w:val="0"/>
              <w:spacing w:line="440" w:lineRule="exact"/>
              <w:ind w:firstLine="480" w:firstLineChars="200"/>
              <w:jc w:val="center"/>
              <w:rPr>
                <w:rFonts w:ascii="宋体" w:hAnsi="宋体"/>
                <w:color w:val="auto"/>
                <w:sz w:val="24"/>
                <w:szCs w:val="24"/>
              </w:rPr>
            </w:pPr>
          </w:p>
        </w:tc>
      </w:tr>
      <w:tr w14:paraId="2271C2E2">
        <w:tblPrEx>
          <w:tblBorders>
            <w:top w:val="thinThickSmallGap" w:color="auto" w:sz="12" w:space="0"/>
            <w:left w:val="thinThickSmallGap" w:color="auto" w:sz="12" w:space="0"/>
            <w:bottom w:val="thinThickSmallGap" w:color="auto" w:sz="12" w:space="0"/>
            <w:right w:val="thinThickSmallGap" w:color="auto"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980" w:type="dxa"/>
            <w:vMerge w:val="restart"/>
            <w:vAlign w:val="center"/>
          </w:tcPr>
          <w:p w14:paraId="1D342EE6">
            <w:pPr>
              <w:snapToGrid w:val="0"/>
              <w:spacing w:line="440" w:lineRule="exact"/>
              <w:jc w:val="center"/>
              <w:rPr>
                <w:rFonts w:ascii="宋体" w:hAnsi="宋体"/>
                <w:color w:val="auto"/>
                <w:sz w:val="24"/>
                <w:szCs w:val="24"/>
              </w:rPr>
            </w:pPr>
            <w:r>
              <w:rPr>
                <w:rFonts w:hint="eastAsia" w:ascii="宋体" w:hAnsi="宋体"/>
                <w:color w:val="auto"/>
                <w:sz w:val="24"/>
                <w:szCs w:val="24"/>
              </w:rPr>
              <w:t>联系方式</w:t>
            </w:r>
          </w:p>
        </w:tc>
        <w:tc>
          <w:tcPr>
            <w:tcW w:w="1152" w:type="dxa"/>
            <w:vAlign w:val="center"/>
          </w:tcPr>
          <w:p w14:paraId="38F1462D">
            <w:pPr>
              <w:snapToGrid w:val="0"/>
              <w:spacing w:line="440" w:lineRule="exact"/>
              <w:jc w:val="center"/>
              <w:rPr>
                <w:rFonts w:ascii="宋体" w:hAnsi="宋体"/>
                <w:color w:val="auto"/>
                <w:sz w:val="24"/>
                <w:szCs w:val="24"/>
              </w:rPr>
            </w:pPr>
            <w:r>
              <w:rPr>
                <w:rFonts w:hint="eastAsia" w:ascii="宋体" w:hAnsi="宋体"/>
                <w:color w:val="auto"/>
                <w:sz w:val="24"/>
                <w:szCs w:val="24"/>
              </w:rPr>
              <w:t>联系人</w:t>
            </w:r>
          </w:p>
        </w:tc>
        <w:tc>
          <w:tcPr>
            <w:tcW w:w="2936" w:type="dxa"/>
            <w:gridSpan w:val="3"/>
            <w:vAlign w:val="center"/>
          </w:tcPr>
          <w:p w14:paraId="27EF7DED">
            <w:pPr>
              <w:snapToGrid w:val="0"/>
              <w:spacing w:line="440" w:lineRule="exact"/>
              <w:ind w:firstLine="480" w:firstLineChars="200"/>
              <w:jc w:val="center"/>
              <w:rPr>
                <w:rFonts w:ascii="宋体" w:hAnsi="宋体"/>
                <w:color w:val="auto"/>
                <w:sz w:val="24"/>
                <w:szCs w:val="24"/>
              </w:rPr>
            </w:pPr>
          </w:p>
        </w:tc>
        <w:tc>
          <w:tcPr>
            <w:tcW w:w="1647" w:type="dxa"/>
            <w:gridSpan w:val="2"/>
            <w:vAlign w:val="center"/>
          </w:tcPr>
          <w:p w14:paraId="3FE389AE">
            <w:pPr>
              <w:snapToGrid w:val="0"/>
              <w:spacing w:line="440" w:lineRule="exact"/>
              <w:jc w:val="center"/>
              <w:rPr>
                <w:rFonts w:ascii="宋体" w:hAnsi="宋体"/>
                <w:color w:val="auto"/>
                <w:sz w:val="24"/>
                <w:szCs w:val="24"/>
              </w:rPr>
            </w:pPr>
            <w:r>
              <w:rPr>
                <w:rFonts w:hint="eastAsia" w:ascii="宋体" w:hAnsi="宋体"/>
                <w:color w:val="auto"/>
                <w:sz w:val="24"/>
                <w:szCs w:val="24"/>
              </w:rPr>
              <w:t>电话</w:t>
            </w:r>
          </w:p>
        </w:tc>
        <w:tc>
          <w:tcPr>
            <w:tcW w:w="1355" w:type="dxa"/>
            <w:vAlign w:val="center"/>
          </w:tcPr>
          <w:p w14:paraId="53129C72">
            <w:pPr>
              <w:snapToGrid w:val="0"/>
              <w:spacing w:line="440" w:lineRule="exact"/>
              <w:ind w:firstLine="480" w:firstLineChars="200"/>
              <w:jc w:val="center"/>
              <w:rPr>
                <w:rFonts w:ascii="宋体" w:hAnsi="宋体"/>
                <w:color w:val="auto"/>
                <w:sz w:val="24"/>
                <w:szCs w:val="24"/>
              </w:rPr>
            </w:pPr>
          </w:p>
        </w:tc>
      </w:tr>
      <w:tr w14:paraId="2FB86BEF">
        <w:tblPrEx>
          <w:tblBorders>
            <w:top w:val="thinThickSmallGap" w:color="auto" w:sz="12" w:space="0"/>
            <w:left w:val="thinThickSmallGap" w:color="auto" w:sz="12" w:space="0"/>
            <w:bottom w:val="thinThickSmallGap" w:color="auto" w:sz="12" w:space="0"/>
            <w:right w:val="thinThickSmallGap" w:color="auto" w:sz="12" w:space="0"/>
            <w:insideH w:val="single" w:color="000000" w:sz="4" w:space="0"/>
            <w:insideV w:val="single" w:color="000000" w:sz="4" w:space="0"/>
          </w:tblBorders>
          <w:tblCellMar>
            <w:top w:w="0" w:type="dxa"/>
            <w:left w:w="108" w:type="dxa"/>
            <w:bottom w:w="0" w:type="dxa"/>
            <w:right w:w="108" w:type="dxa"/>
          </w:tblCellMar>
        </w:tblPrEx>
        <w:trPr>
          <w:trHeight w:val="435" w:hRule="exact"/>
          <w:jc w:val="center"/>
        </w:trPr>
        <w:tc>
          <w:tcPr>
            <w:tcW w:w="1980" w:type="dxa"/>
            <w:vMerge w:val="continue"/>
            <w:vAlign w:val="center"/>
          </w:tcPr>
          <w:p w14:paraId="5A8C3874">
            <w:pPr>
              <w:snapToGrid w:val="0"/>
              <w:spacing w:line="440" w:lineRule="exact"/>
              <w:ind w:firstLine="480" w:firstLineChars="200"/>
              <w:jc w:val="center"/>
              <w:rPr>
                <w:rFonts w:ascii="宋体" w:hAnsi="宋体"/>
                <w:color w:val="auto"/>
                <w:sz w:val="24"/>
                <w:szCs w:val="24"/>
              </w:rPr>
            </w:pPr>
          </w:p>
        </w:tc>
        <w:tc>
          <w:tcPr>
            <w:tcW w:w="1152" w:type="dxa"/>
            <w:vAlign w:val="center"/>
          </w:tcPr>
          <w:p w14:paraId="318A2AEE">
            <w:pPr>
              <w:snapToGrid w:val="0"/>
              <w:spacing w:line="440" w:lineRule="exact"/>
              <w:jc w:val="center"/>
              <w:rPr>
                <w:rFonts w:ascii="宋体" w:hAnsi="宋体"/>
                <w:color w:val="auto"/>
                <w:sz w:val="24"/>
                <w:szCs w:val="24"/>
              </w:rPr>
            </w:pPr>
            <w:r>
              <w:rPr>
                <w:rFonts w:hint="eastAsia" w:ascii="宋体" w:hAnsi="宋体"/>
                <w:color w:val="auto"/>
                <w:sz w:val="24"/>
                <w:szCs w:val="24"/>
              </w:rPr>
              <w:t>传真</w:t>
            </w:r>
          </w:p>
        </w:tc>
        <w:tc>
          <w:tcPr>
            <w:tcW w:w="2936" w:type="dxa"/>
            <w:gridSpan w:val="3"/>
            <w:vAlign w:val="center"/>
          </w:tcPr>
          <w:p w14:paraId="04809BA1">
            <w:pPr>
              <w:snapToGrid w:val="0"/>
              <w:spacing w:line="440" w:lineRule="exact"/>
              <w:ind w:firstLine="480" w:firstLineChars="200"/>
              <w:jc w:val="center"/>
              <w:rPr>
                <w:rFonts w:ascii="宋体" w:hAnsi="宋体"/>
                <w:color w:val="auto"/>
                <w:sz w:val="24"/>
                <w:szCs w:val="24"/>
              </w:rPr>
            </w:pPr>
          </w:p>
        </w:tc>
        <w:tc>
          <w:tcPr>
            <w:tcW w:w="1647" w:type="dxa"/>
            <w:gridSpan w:val="2"/>
            <w:vAlign w:val="center"/>
          </w:tcPr>
          <w:p w14:paraId="27957ABC">
            <w:pPr>
              <w:snapToGrid w:val="0"/>
              <w:spacing w:line="440" w:lineRule="exact"/>
              <w:jc w:val="center"/>
              <w:rPr>
                <w:rFonts w:ascii="宋体" w:hAnsi="宋体"/>
                <w:color w:val="auto"/>
                <w:sz w:val="24"/>
                <w:szCs w:val="24"/>
              </w:rPr>
            </w:pPr>
            <w:r>
              <w:rPr>
                <w:rFonts w:hint="eastAsia" w:ascii="宋体" w:hAnsi="宋体"/>
                <w:color w:val="auto"/>
                <w:sz w:val="24"/>
                <w:szCs w:val="24"/>
              </w:rPr>
              <w:t>网址</w:t>
            </w:r>
          </w:p>
        </w:tc>
        <w:tc>
          <w:tcPr>
            <w:tcW w:w="1355" w:type="dxa"/>
            <w:vAlign w:val="center"/>
          </w:tcPr>
          <w:p w14:paraId="46FC1982">
            <w:pPr>
              <w:snapToGrid w:val="0"/>
              <w:spacing w:line="440" w:lineRule="exact"/>
              <w:ind w:firstLine="480" w:firstLineChars="200"/>
              <w:jc w:val="center"/>
              <w:rPr>
                <w:rFonts w:ascii="宋体" w:hAnsi="宋体"/>
                <w:color w:val="auto"/>
                <w:sz w:val="24"/>
                <w:szCs w:val="24"/>
              </w:rPr>
            </w:pPr>
          </w:p>
        </w:tc>
      </w:tr>
      <w:tr w14:paraId="6572BC37">
        <w:tblPrEx>
          <w:tblBorders>
            <w:top w:val="thinThickSmallGap" w:color="auto" w:sz="12" w:space="0"/>
            <w:left w:val="thinThickSmallGap" w:color="auto" w:sz="12" w:space="0"/>
            <w:bottom w:val="thinThickSmallGap" w:color="auto" w:sz="12" w:space="0"/>
            <w:right w:val="thinThickSmallGap" w:color="auto"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980" w:type="dxa"/>
            <w:vAlign w:val="center"/>
          </w:tcPr>
          <w:p w14:paraId="2658E2BD">
            <w:pPr>
              <w:snapToGrid w:val="0"/>
              <w:spacing w:line="440" w:lineRule="exact"/>
              <w:jc w:val="center"/>
              <w:rPr>
                <w:rFonts w:ascii="宋体" w:hAnsi="宋体"/>
                <w:color w:val="auto"/>
                <w:sz w:val="24"/>
                <w:szCs w:val="24"/>
              </w:rPr>
            </w:pPr>
            <w:r>
              <w:rPr>
                <w:rFonts w:hint="eastAsia" w:ascii="宋体" w:hAnsi="宋体"/>
                <w:color w:val="auto"/>
                <w:sz w:val="24"/>
                <w:szCs w:val="24"/>
              </w:rPr>
              <w:t>组织结构</w:t>
            </w:r>
          </w:p>
        </w:tc>
        <w:tc>
          <w:tcPr>
            <w:tcW w:w="7090" w:type="dxa"/>
            <w:gridSpan w:val="7"/>
            <w:vAlign w:val="center"/>
          </w:tcPr>
          <w:p w14:paraId="16A837A3">
            <w:pPr>
              <w:snapToGrid w:val="0"/>
              <w:spacing w:line="440" w:lineRule="exact"/>
              <w:ind w:firstLine="480" w:firstLineChars="200"/>
              <w:jc w:val="center"/>
              <w:rPr>
                <w:rFonts w:ascii="宋体" w:hAnsi="宋体"/>
                <w:color w:val="auto"/>
                <w:sz w:val="24"/>
                <w:szCs w:val="24"/>
              </w:rPr>
            </w:pPr>
          </w:p>
        </w:tc>
      </w:tr>
      <w:tr w14:paraId="4D08B130">
        <w:tblPrEx>
          <w:tblBorders>
            <w:top w:val="thinThickSmallGap" w:color="auto" w:sz="12" w:space="0"/>
            <w:left w:val="thinThickSmallGap" w:color="auto" w:sz="12" w:space="0"/>
            <w:bottom w:val="thinThickSmallGap" w:color="auto" w:sz="12" w:space="0"/>
            <w:right w:val="thinThickSmallGap" w:color="auto"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980" w:type="dxa"/>
            <w:vAlign w:val="center"/>
          </w:tcPr>
          <w:p w14:paraId="378A71E5">
            <w:pPr>
              <w:snapToGrid w:val="0"/>
              <w:spacing w:line="440" w:lineRule="exact"/>
              <w:jc w:val="center"/>
              <w:rPr>
                <w:rFonts w:ascii="宋体" w:hAnsi="宋体"/>
                <w:color w:val="auto"/>
                <w:sz w:val="24"/>
                <w:szCs w:val="24"/>
              </w:rPr>
            </w:pPr>
            <w:r>
              <w:rPr>
                <w:rFonts w:hint="eastAsia" w:ascii="宋体" w:hAnsi="宋体"/>
                <w:color w:val="auto"/>
                <w:sz w:val="24"/>
                <w:szCs w:val="24"/>
              </w:rPr>
              <w:t>法定代表人</w:t>
            </w:r>
          </w:p>
        </w:tc>
        <w:tc>
          <w:tcPr>
            <w:tcW w:w="1152" w:type="dxa"/>
            <w:vAlign w:val="center"/>
          </w:tcPr>
          <w:p w14:paraId="50D74F44">
            <w:pPr>
              <w:snapToGrid w:val="0"/>
              <w:spacing w:line="440" w:lineRule="exact"/>
              <w:jc w:val="center"/>
              <w:rPr>
                <w:rFonts w:ascii="宋体" w:hAnsi="宋体"/>
                <w:color w:val="auto"/>
                <w:sz w:val="24"/>
                <w:szCs w:val="24"/>
              </w:rPr>
            </w:pPr>
            <w:r>
              <w:rPr>
                <w:rFonts w:hint="eastAsia" w:ascii="宋体" w:hAnsi="宋体"/>
                <w:color w:val="auto"/>
                <w:sz w:val="24"/>
                <w:szCs w:val="24"/>
              </w:rPr>
              <w:t>姓名</w:t>
            </w:r>
          </w:p>
        </w:tc>
        <w:tc>
          <w:tcPr>
            <w:tcW w:w="1420" w:type="dxa"/>
            <w:vAlign w:val="center"/>
          </w:tcPr>
          <w:p w14:paraId="2699E9DC">
            <w:pPr>
              <w:snapToGrid w:val="0"/>
              <w:spacing w:line="440" w:lineRule="exact"/>
              <w:ind w:firstLine="480" w:firstLineChars="200"/>
              <w:jc w:val="center"/>
              <w:rPr>
                <w:rFonts w:ascii="宋体" w:hAnsi="宋体"/>
                <w:color w:val="auto"/>
                <w:sz w:val="24"/>
                <w:szCs w:val="24"/>
              </w:rPr>
            </w:pPr>
          </w:p>
        </w:tc>
        <w:tc>
          <w:tcPr>
            <w:tcW w:w="1516" w:type="dxa"/>
            <w:gridSpan w:val="2"/>
            <w:vAlign w:val="center"/>
          </w:tcPr>
          <w:p w14:paraId="7347B2C3">
            <w:pPr>
              <w:snapToGrid w:val="0"/>
              <w:spacing w:line="440" w:lineRule="exact"/>
              <w:jc w:val="center"/>
              <w:rPr>
                <w:rFonts w:ascii="宋体" w:hAnsi="宋体"/>
                <w:color w:val="auto"/>
                <w:sz w:val="24"/>
                <w:szCs w:val="24"/>
              </w:rPr>
            </w:pPr>
            <w:r>
              <w:rPr>
                <w:rFonts w:hint="eastAsia" w:ascii="宋体" w:hAnsi="宋体"/>
                <w:color w:val="auto"/>
                <w:sz w:val="24"/>
                <w:szCs w:val="24"/>
              </w:rPr>
              <w:t>技术职称</w:t>
            </w:r>
          </w:p>
        </w:tc>
        <w:tc>
          <w:tcPr>
            <w:tcW w:w="841" w:type="dxa"/>
            <w:vAlign w:val="center"/>
          </w:tcPr>
          <w:p w14:paraId="534CF5E0">
            <w:pPr>
              <w:snapToGrid w:val="0"/>
              <w:spacing w:line="440" w:lineRule="exact"/>
              <w:ind w:firstLine="480" w:firstLineChars="200"/>
              <w:jc w:val="center"/>
              <w:rPr>
                <w:rFonts w:ascii="宋体" w:hAnsi="宋体"/>
                <w:color w:val="auto"/>
                <w:sz w:val="24"/>
                <w:szCs w:val="24"/>
              </w:rPr>
            </w:pPr>
          </w:p>
        </w:tc>
        <w:tc>
          <w:tcPr>
            <w:tcW w:w="806" w:type="dxa"/>
            <w:vAlign w:val="center"/>
          </w:tcPr>
          <w:p w14:paraId="4446196F">
            <w:pPr>
              <w:snapToGrid w:val="0"/>
              <w:spacing w:line="440" w:lineRule="exact"/>
              <w:jc w:val="center"/>
              <w:rPr>
                <w:rFonts w:ascii="宋体" w:hAnsi="宋体"/>
                <w:color w:val="auto"/>
                <w:sz w:val="24"/>
                <w:szCs w:val="24"/>
              </w:rPr>
            </w:pPr>
            <w:r>
              <w:rPr>
                <w:rFonts w:hint="eastAsia" w:ascii="宋体" w:hAnsi="宋体"/>
                <w:color w:val="auto"/>
                <w:sz w:val="24"/>
                <w:szCs w:val="24"/>
              </w:rPr>
              <w:t>电话</w:t>
            </w:r>
          </w:p>
        </w:tc>
        <w:tc>
          <w:tcPr>
            <w:tcW w:w="1355" w:type="dxa"/>
            <w:vAlign w:val="center"/>
          </w:tcPr>
          <w:p w14:paraId="3FF5A38D">
            <w:pPr>
              <w:snapToGrid w:val="0"/>
              <w:spacing w:line="440" w:lineRule="exact"/>
              <w:ind w:firstLine="480" w:firstLineChars="200"/>
              <w:jc w:val="center"/>
              <w:rPr>
                <w:rFonts w:ascii="宋体" w:hAnsi="宋体"/>
                <w:color w:val="auto"/>
                <w:sz w:val="24"/>
                <w:szCs w:val="24"/>
              </w:rPr>
            </w:pPr>
          </w:p>
        </w:tc>
      </w:tr>
      <w:tr w14:paraId="1F657500">
        <w:tblPrEx>
          <w:tblBorders>
            <w:top w:val="thinThickSmallGap" w:color="auto" w:sz="12" w:space="0"/>
            <w:left w:val="thinThickSmallGap" w:color="auto" w:sz="12" w:space="0"/>
            <w:bottom w:val="thinThickSmallGap" w:color="auto" w:sz="12" w:space="0"/>
            <w:right w:val="thinThickSmallGap" w:color="auto"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980" w:type="dxa"/>
            <w:vAlign w:val="center"/>
          </w:tcPr>
          <w:p w14:paraId="1D134108">
            <w:pPr>
              <w:snapToGrid w:val="0"/>
              <w:spacing w:line="440" w:lineRule="exact"/>
              <w:jc w:val="center"/>
              <w:rPr>
                <w:rFonts w:ascii="宋体" w:hAnsi="宋体"/>
                <w:color w:val="auto"/>
                <w:sz w:val="24"/>
                <w:szCs w:val="24"/>
              </w:rPr>
            </w:pPr>
            <w:r>
              <w:rPr>
                <w:rFonts w:hint="eastAsia" w:ascii="宋体" w:hAnsi="宋体"/>
                <w:color w:val="auto"/>
                <w:sz w:val="24"/>
                <w:szCs w:val="24"/>
              </w:rPr>
              <w:t>技术负责人</w:t>
            </w:r>
          </w:p>
        </w:tc>
        <w:tc>
          <w:tcPr>
            <w:tcW w:w="1152" w:type="dxa"/>
            <w:vAlign w:val="center"/>
          </w:tcPr>
          <w:p w14:paraId="741D13B3">
            <w:pPr>
              <w:snapToGrid w:val="0"/>
              <w:spacing w:line="440" w:lineRule="exact"/>
              <w:jc w:val="center"/>
              <w:rPr>
                <w:rFonts w:ascii="宋体" w:hAnsi="宋体"/>
                <w:color w:val="auto"/>
                <w:sz w:val="24"/>
                <w:szCs w:val="24"/>
              </w:rPr>
            </w:pPr>
            <w:r>
              <w:rPr>
                <w:rFonts w:hint="eastAsia" w:ascii="宋体" w:hAnsi="宋体"/>
                <w:color w:val="auto"/>
                <w:sz w:val="24"/>
                <w:szCs w:val="24"/>
              </w:rPr>
              <w:t>姓名</w:t>
            </w:r>
          </w:p>
        </w:tc>
        <w:tc>
          <w:tcPr>
            <w:tcW w:w="1420" w:type="dxa"/>
            <w:vAlign w:val="center"/>
          </w:tcPr>
          <w:p w14:paraId="2CF79EA7">
            <w:pPr>
              <w:snapToGrid w:val="0"/>
              <w:spacing w:line="440" w:lineRule="exact"/>
              <w:ind w:firstLine="480" w:firstLineChars="200"/>
              <w:jc w:val="center"/>
              <w:rPr>
                <w:rFonts w:ascii="宋体" w:hAnsi="宋体"/>
                <w:color w:val="auto"/>
                <w:sz w:val="24"/>
                <w:szCs w:val="24"/>
              </w:rPr>
            </w:pPr>
          </w:p>
        </w:tc>
        <w:tc>
          <w:tcPr>
            <w:tcW w:w="1516" w:type="dxa"/>
            <w:gridSpan w:val="2"/>
            <w:vAlign w:val="center"/>
          </w:tcPr>
          <w:p w14:paraId="666CBD8B">
            <w:pPr>
              <w:snapToGrid w:val="0"/>
              <w:spacing w:line="440" w:lineRule="exact"/>
              <w:jc w:val="center"/>
              <w:rPr>
                <w:rFonts w:ascii="宋体" w:hAnsi="宋体"/>
                <w:color w:val="auto"/>
                <w:sz w:val="24"/>
                <w:szCs w:val="24"/>
              </w:rPr>
            </w:pPr>
            <w:r>
              <w:rPr>
                <w:rFonts w:hint="eastAsia" w:ascii="宋体" w:hAnsi="宋体"/>
                <w:color w:val="auto"/>
                <w:sz w:val="24"/>
                <w:szCs w:val="24"/>
              </w:rPr>
              <w:t>技术职称</w:t>
            </w:r>
          </w:p>
        </w:tc>
        <w:tc>
          <w:tcPr>
            <w:tcW w:w="841" w:type="dxa"/>
            <w:vAlign w:val="center"/>
          </w:tcPr>
          <w:p w14:paraId="080BEBA4">
            <w:pPr>
              <w:snapToGrid w:val="0"/>
              <w:spacing w:line="440" w:lineRule="exact"/>
              <w:ind w:firstLine="480" w:firstLineChars="200"/>
              <w:jc w:val="center"/>
              <w:rPr>
                <w:rFonts w:ascii="宋体" w:hAnsi="宋体"/>
                <w:color w:val="auto"/>
                <w:sz w:val="24"/>
                <w:szCs w:val="24"/>
              </w:rPr>
            </w:pPr>
          </w:p>
        </w:tc>
        <w:tc>
          <w:tcPr>
            <w:tcW w:w="806" w:type="dxa"/>
            <w:vAlign w:val="center"/>
          </w:tcPr>
          <w:p w14:paraId="7A02D938">
            <w:pPr>
              <w:snapToGrid w:val="0"/>
              <w:spacing w:line="440" w:lineRule="exact"/>
              <w:jc w:val="center"/>
              <w:rPr>
                <w:rFonts w:ascii="宋体" w:hAnsi="宋体"/>
                <w:color w:val="auto"/>
                <w:sz w:val="24"/>
                <w:szCs w:val="24"/>
              </w:rPr>
            </w:pPr>
            <w:r>
              <w:rPr>
                <w:rFonts w:hint="eastAsia" w:ascii="宋体" w:hAnsi="宋体"/>
                <w:color w:val="auto"/>
                <w:sz w:val="24"/>
                <w:szCs w:val="24"/>
              </w:rPr>
              <w:t>电话</w:t>
            </w:r>
          </w:p>
        </w:tc>
        <w:tc>
          <w:tcPr>
            <w:tcW w:w="1355" w:type="dxa"/>
            <w:vAlign w:val="center"/>
          </w:tcPr>
          <w:p w14:paraId="1DAFF880">
            <w:pPr>
              <w:snapToGrid w:val="0"/>
              <w:spacing w:line="440" w:lineRule="exact"/>
              <w:ind w:firstLine="480" w:firstLineChars="200"/>
              <w:jc w:val="center"/>
              <w:rPr>
                <w:rFonts w:ascii="宋体" w:hAnsi="宋体"/>
                <w:color w:val="auto"/>
                <w:sz w:val="24"/>
                <w:szCs w:val="24"/>
              </w:rPr>
            </w:pPr>
          </w:p>
        </w:tc>
      </w:tr>
      <w:tr w14:paraId="11F1E868">
        <w:tblPrEx>
          <w:tblBorders>
            <w:top w:val="thinThickSmallGap" w:color="auto" w:sz="12" w:space="0"/>
            <w:left w:val="thinThickSmallGap" w:color="auto" w:sz="12" w:space="0"/>
            <w:bottom w:val="thinThickSmallGap" w:color="auto" w:sz="12" w:space="0"/>
            <w:right w:val="thinThickSmallGap" w:color="auto"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980" w:type="dxa"/>
            <w:vAlign w:val="center"/>
          </w:tcPr>
          <w:p w14:paraId="5F3F0C01">
            <w:pPr>
              <w:snapToGrid w:val="0"/>
              <w:spacing w:line="440" w:lineRule="exact"/>
              <w:jc w:val="center"/>
              <w:rPr>
                <w:rFonts w:ascii="宋体" w:hAnsi="宋体"/>
                <w:color w:val="auto"/>
                <w:sz w:val="24"/>
                <w:szCs w:val="24"/>
              </w:rPr>
            </w:pPr>
            <w:r>
              <w:rPr>
                <w:rFonts w:hint="eastAsia" w:ascii="宋体" w:hAnsi="宋体"/>
                <w:color w:val="auto"/>
                <w:sz w:val="24"/>
                <w:szCs w:val="24"/>
              </w:rPr>
              <w:t>成立时间</w:t>
            </w:r>
          </w:p>
        </w:tc>
        <w:tc>
          <w:tcPr>
            <w:tcW w:w="2572" w:type="dxa"/>
            <w:gridSpan w:val="2"/>
            <w:vAlign w:val="center"/>
          </w:tcPr>
          <w:p w14:paraId="038CCC6A">
            <w:pPr>
              <w:snapToGrid w:val="0"/>
              <w:spacing w:line="440" w:lineRule="exact"/>
              <w:ind w:firstLine="480" w:firstLineChars="200"/>
              <w:jc w:val="center"/>
              <w:rPr>
                <w:rFonts w:ascii="宋体" w:hAnsi="宋体"/>
                <w:color w:val="auto"/>
                <w:sz w:val="24"/>
                <w:szCs w:val="24"/>
              </w:rPr>
            </w:pPr>
          </w:p>
        </w:tc>
        <w:tc>
          <w:tcPr>
            <w:tcW w:w="4518" w:type="dxa"/>
            <w:gridSpan w:val="5"/>
            <w:vAlign w:val="center"/>
          </w:tcPr>
          <w:p w14:paraId="30C9B3E8">
            <w:pPr>
              <w:snapToGrid w:val="0"/>
              <w:spacing w:line="440" w:lineRule="exact"/>
              <w:ind w:firstLine="480" w:firstLineChars="200"/>
              <w:jc w:val="center"/>
              <w:rPr>
                <w:rFonts w:ascii="宋体" w:hAnsi="宋体"/>
                <w:color w:val="auto"/>
                <w:sz w:val="24"/>
                <w:szCs w:val="24"/>
              </w:rPr>
            </w:pPr>
            <w:r>
              <w:rPr>
                <w:rFonts w:hint="eastAsia" w:ascii="宋体" w:hAnsi="宋体"/>
                <w:color w:val="auto"/>
                <w:sz w:val="24"/>
                <w:szCs w:val="24"/>
              </w:rPr>
              <w:t>员工总人数：</w:t>
            </w:r>
          </w:p>
        </w:tc>
      </w:tr>
      <w:tr w14:paraId="1BE17B0D">
        <w:tblPrEx>
          <w:tblBorders>
            <w:top w:val="thinThickSmallGap" w:color="auto" w:sz="12" w:space="0"/>
            <w:left w:val="thinThickSmallGap" w:color="auto" w:sz="12" w:space="0"/>
            <w:bottom w:val="thinThickSmallGap" w:color="auto" w:sz="12" w:space="0"/>
            <w:right w:val="thinThickSmallGap" w:color="auto"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980" w:type="dxa"/>
            <w:vAlign w:val="center"/>
          </w:tcPr>
          <w:p w14:paraId="4EC91EF7">
            <w:pPr>
              <w:snapToGrid w:val="0"/>
              <w:spacing w:line="440" w:lineRule="exact"/>
              <w:jc w:val="center"/>
              <w:rPr>
                <w:rFonts w:ascii="宋体" w:hAnsi="宋体"/>
                <w:color w:val="auto"/>
                <w:sz w:val="24"/>
                <w:szCs w:val="24"/>
              </w:rPr>
            </w:pPr>
            <w:r>
              <w:rPr>
                <w:rFonts w:hint="eastAsia" w:ascii="宋体" w:hAnsi="宋体"/>
                <w:color w:val="auto"/>
                <w:sz w:val="24"/>
                <w:szCs w:val="24"/>
              </w:rPr>
              <w:t>企业资质等级</w:t>
            </w:r>
          </w:p>
        </w:tc>
        <w:tc>
          <w:tcPr>
            <w:tcW w:w="2572" w:type="dxa"/>
            <w:gridSpan w:val="2"/>
            <w:vAlign w:val="center"/>
          </w:tcPr>
          <w:p w14:paraId="53B8FE4D">
            <w:pPr>
              <w:snapToGrid w:val="0"/>
              <w:spacing w:line="440" w:lineRule="exact"/>
              <w:ind w:firstLine="480" w:firstLineChars="200"/>
              <w:jc w:val="center"/>
              <w:rPr>
                <w:rFonts w:ascii="宋体" w:hAnsi="宋体"/>
                <w:color w:val="auto"/>
                <w:sz w:val="24"/>
                <w:szCs w:val="24"/>
              </w:rPr>
            </w:pPr>
          </w:p>
        </w:tc>
        <w:tc>
          <w:tcPr>
            <w:tcW w:w="810" w:type="dxa"/>
            <w:vMerge w:val="restart"/>
            <w:vAlign w:val="center"/>
          </w:tcPr>
          <w:p w14:paraId="7AAB077E">
            <w:pPr>
              <w:snapToGrid w:val="0"/>
              <w:spacing w:line="440" w:lineRule="exact"/>
              <w:jc w:val="center"/>
              <w:rPr>
                <w:rFonts w:ascii="宋体" w:hAnsi="宋体"/>
                <w:color w:val="auto"/>
                <w:sz w:val="24"/>
                <w:szCs w:val="24"/>
              </w:rPr>
            </w:pPr>
            <w:r>
              <w:rPr>
                <w:rFonts w:hint="eastAsia" w:ascii="宋体" w:hAnsi="宋体"/>
                <w:color w:val="auto"/>
                <w:sz w:val="24"/>
                <w:szCs w:val="24"/>
              </w:rPr>
              <w:t>其中</w:t>
            </w:r>
          </w:p>
        </w:tc>
        <w:tc>
          <w:tcPr>
            <w:tcW w:w="2353" w:type="dxa"/>
            <w:gridSpan w:val="3"/>
            <w:vAlign w:val="center"/>
          </w:tcPr>
          <w:p w14:paraId="6E198784">
            <w:pPr>
              <w:snapToGrid w:val="0"/>
              <w:spacing w:line="440" w:lineRule="exact"/>
              <w:jc w:val="center"/>
              <w:rPr>
                <w:rFonts w:ascii="宋体" w:hAnsi="宋体"/>
                <w:color w:val="auto"/>
                <w:sz w:val="24"/>
                <w:szCs w:val="24"/>
              </w:rPr>
            </w:pPr>
            <w:r>
              <w:rPr>
                <w:rFonts w:hint="eastAsia" w:ascii="宋体" w:hAnsi="宋体"/>
                <w:color w:val="auto"/>
                <w:sz w:val="24"/>
                <w:szCs w:val="24"/>
              </w:rPr>
              <w:t>项目经理</w:t>
            </w:r>
          </w:p>
        </w:tc>
        <w:tc>
          <w:tcPr>
            <w:tcW w:w="1355" w:type="dxa"/>
            <w:vAlign w:val="center"/>
          </w:tcPr>
          <w:p w14:paraId="2FF88B6D">
            <w:pPr>
              <w:snapToGrid w:val="0"/>
              <w:spacing w:line="440" w:lineRule="exact"/>
              <w:ind w:firstLine="480" w:firstLineChars="200"/>
              <w:jc w:val="center"/>
              <w:rPr>
                <w:rFonts w:ascii="宋体" w:hAnsi="宋体"/>
                <w:color w:val="auto"/>
                <w:sz w:val="24"/>
                <w:szCs w:val="24"/>
              </w:rPr>
            </w:pPr>
          </w:p>
        </w:tc>
      </w:tr>
      <w:tr w14:paraId="63627ABF">
        <w:tblPrEx>
          <w:tblBorders>
            <w:top w:val="thinThickSmallGap" w:color="auto" w:sz="12" w:space="0"/>
            <w:left w:val="thinThickSmallGap" w:color="auto" w:sz="12" w:space="0"/>
            <w:bottom w:val="thinThickSmallGap" w:color="auto" w:sz="12" w:space="0"/>
            <w:right w:val="thinThickSmallGap" w:color="auto"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980" w:type="dxa"/>
            <w:vAlign w:val="center"/>
          </w:tcPr>
          <w:p w14:paraId="1335C6DA">
            <w:pPr>
              <w:snapToGrid w:val="0"/>
              <w:spacing w:line="440" w:lineRule="exact"/>
              <w:jc w:val="center"/>
              <w:rPr>
                <w:rFonts w:ascii="宋体" w:hAnsi="宋体"/>
                <w:color w:val="auto"/>
                <w:sz w:val="24"/>
                <w:szCs w:val="24"/>
              </w:rPr>
            </w:pPr>
            <w:r>
              <w:rPr>
                <w:rFonts w:hint="eastAsia" w:ascii="宋体" w:hAnsi="宋体"/>
                <w:color w:val="auto"/>
                <w:sz w:val="24"/>
                <w:szCs w:val="24"/>
              </w:rPr>
              <w:t>营业执照号</w:t>
            </w:r>
          </w:p>
        </w:tc>
        <w:tc>
          <w:tcPr>
            <w:tcW w:w="2572" w:type="dxa"/>
            <w:gridSpan w:val="2"/>
            <w:vAlign w:val="center"/>
          </w:tcPr>
          <w:p w14:paraId="6CC773E9">
            <w:pPr>
              <w:snapToGrid w:val="0"/>
              <w:spacing w:line="440" w:lineRule="exact"/>
              <w:ind w:firstLine="480" w:firstLineChars="200"/>
              <w:jc w:val="center"/>
              <w:rPr>
                <w:rFonts w:ascii="宋体" w:hAnsi="宋体"/>
                <w:color w:val="auto"/>
                <w:sz w:val="24"/>
                <w:szCs w:val="24"/>
              </w:rPr>
            </w:pPr>
          </w:p>
        </w:tc>
        <w:tc>
          <w:tcPr>
            <w:tcW w:w="810" w:type="dxa"/>
            <w:vMerge w:val="continue"/>
            <w:vAlign w:val="center"/>
          </w:tcPr>
          <w:p w14:paraId="118A74AC">
            <w:pPr>
              <w:snapToGrid w:val="0"/>
              <w:spacing w:line="440" w:lineRule="exact"/>
              <w:ind w:firstLine="480" w:firstLineChars="200"/>
              <w:jc w:val="center"/>
              <w:rPr>
                <w:rFonts w:ascii="宋体" w:hAnsi="宋体"/>
                <w:color w:val="auto"/>
                <w:sz w:val="24"/>
                <w:szCs w:val="24"/>
              </w:rPr>
            </w:pPr>
          </w:p>
        </w:tc>
        <w:tc>
          <w:tcPr>
            <w:tcW w:w="2353" w:type="dxa"/>
            <w:gridSpan w:val="3"/>
            <w:vAlign w:val="center"/>
          </w:tcPr>
          <w:p w14:paraId="2E57508E">
            <w:pPr>
              <w:snapToGrid w:val="0"/>
              <w:spacing w:line="440" w:lineRule="exact"/>
              <w:jc w:val="center"/>
              <w:rPr>
                <w:rFonts w:ascii="宋体" w:hAnsi="宋体"/>
                <w:color w:val="auto"/>
                <w:sz w:val="24"/>
                <w:szCs w:val="24"/>
              </w:rPr>
            </w:pPr>
            <w:r>
              <w:rPr>
                <w:rFonts w:hint="eastAsia" w:ascii="宋体" w:hAnsi="宋体"/>
                <w:color w:val="auto"/>
                <w:sz w:val="24"/>
                <w:szCs w:val="24"/>
              </w:rPr>
              <w:t>高级职称人员</w:t>
            </w:r>
          </w:p>
        </w:tc>
        <w:tc>
          <w:tcPr>
            <w:tcW w:w="1355" w:type="dxa"/>
            <w:vAlign w:val="center"/>
          </w:tcPr>
          <w:p w14:paraId="3037967C">
            <w:pPr>
              <w:snapToGrid w:val="0"/>
              <w:spacing w:line="440" w:lineRule="exact"/>
              <w:ind w:firstLine="480" w:firstLineChars="200"/>
              <w:jc w:val="center"/>
              <w:rPr>
                <w:rFonts w:ascii="宋体" w:hAnsi="宋体"/>
                <w:color w:val="auto"/>
                <w:sz w:val="24"/>
                <w:szCs w:val="24"/>
              </w:rPr>
            </w:pPr>
          </w:p>
        </w:tc>
      </w:tr>
      <w:tr w14:paraId="63EA4DCE">
        <w:tblPrEx>
          <w:tblBorders>
            <w:top w:val="thinThickSmallGap" w:color="auto" w:sz="12" w:space="0"/>
            <w:left w:val="thinThickSmallGap" w:color="auto" w:sz="12" w:space="0"/>
            <w:bottom w:val="thinThickSmallGap" w:color="auto" w:sz="12" w:space="0"/>
            <w:right w:val="thinThickSmallGap" w:color="auto"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980" w:type="dxa"/>
            <w:vAlign w:val="center"/>
          </w:tcPr>
          <w:p w14:paraId="362118A2">
            <w:pPr>
              <w:snapToGrid w:val="0"/>
              <w:spacing w:line="440" w:lineRule="exact"/>
              <w:jc w:val="center"/>
              <w:rPr>
                <w:rFonts w:ascii="宋体" w:hAnsi="宋体"/>
                <w:color w:val="auto"/>
                <w:sz w:val="24"/>
                <w:szCs w:val="24"/>
              </w:rPr>
            </w:pPr>
            <w:r>
              <w:rPr>
                <w:rFonts w:hint="eastAsia" w:ascii="宋体" w:hAnsi="宋体"/>
                <w:color w:val="auto"/>
                <w:sz w:val="24"/>
                <w:szCs w:val="24"/>
              </w:rPr>
              <w:t>注册资金</w:t>
            </w:r>
          </w:p>
        </w:tc>
        <w:tc>
          <w:tcPr>
            <w:tcW w:w="2572" w:type="dxa"/>
            <w:gridSpan w:val="2"/>
            <w:vAlign w:val="center"/>
          </w:tcPr>
          <w:p w14:paraId="62CFB11A">
            <w:pPr>
              <w:snapToGrid w:val="0"/>
              <w:spacing w:line="440" w:lineRule="exact"/>
              <w:ind w:firstLine="480" w:firstLineChars="200"/>
              <w:jc w:val="center"/>
              <w:rPr>
                <w:rFonts w:ascii="宋体" w:hAnsi="宋体"/>
                <w:color w:val="auto"/>
                <w:sz w:val="24"/>
                <w:szCs w:val="24"/>
              </w:rPr>
            </w:pPr>
          </w:p>
        </w:tc>
        <w:tc>
          <w:tcPr>
            <w:tcW w:w="810" w:type="dxa"/>
            <w:vMerge w:val="continue"/>
            <w:vAlign w:val="center"/>
          </w:tcPr>
          <w:p w14:paraId="050B08F1">
            <w:pPr>
              <w:snapToGrid w:val="0"/>
              <w:spacing w:line="440" w:lineRule="exact"/>
              <w:ind w:firstLine="480" w:firstLineChars="200"/>
              <w:jc w:val="center"/>
              <w:rPr>
                <w:rFonts w:ascii="宋体" w:hAnsi="宋体"/>
                <w:color w:val="auto"/>
                <w:sz w:val="24"/>
                <w:szCs w:val="24"/>
              </w:rPr>
            </w:pPr>
          </w:p>
        </w:tc>
        <w:tc>
          <w:tcPr>
            <w:tcW w:w="2353" w:type="dxa"/>
            <w:gridSpan w:val="3"/>
            <w:vAlign w:val="center"/>
          </w:tcPr>
          <w:p w14:paraId="263CB599">
            <w:pPr>
              <w:snapToGrid w:val="0"/>
              <w:spacing w:line="440" w:lineRule="exact"/>
              <w:jc w:val="center"/>
              <w:rPr>
                <w:rFonts w:ascii="宋体" w:hAnsi="宋体"/>
                <w:color w:val="auto"/>
                <w:sz w:val="24"/>
                <w:szCs w:val="24"/>
              </w:rPr>
            </w:pPr>
            <w:r>
              <w:rPr>
                <w:rFonts w:hint="eastAsia" w:ascii="宋体" w:hAnsi="宋体"/>
                <w:color w:val="auto"/>
                <w:sz w:val="24"/>
                <w:szCs w:val="24"/>
              </w:rPr>
              <w:t>中级职称人员</w:t>
            </w:r>
          </w:p>
        </w:tc>
        <w:tc>
          <w:tcPr>
            <w:tcW w:w="1355" w:type="dxa"/>
            <w:vAlign w:val="center"/>
          </w:tcPr>
          <w:p w14:paraId="1B9B8F3B">
            <w:pPr>
              <w:snapToGrid w:val="0"/>
              <w:spacing w:line="440" w:lineRule="exact"/>
              <w:ind w:firstLine="480" w:firstLineChars="200"/>
              <w:jc w:val="center"/>
              <w:rPr>
                <w:rFonts w:ascii="宋体" w:hAnsi="宋体"/>
                <w:color w:val="auto"/>
                <w:sz w:val="24"/>
                <w:szCs w:val="24"/>
              </w:rPr>
            </w:pPr>
          </w:p>
        </w:tc>
      </w:tr>
      <w:tr w14:paraId="74784A8E">
        <w:tblPrEx>
          <w:tblBorders>
            <w:top w:val="thinThickSmallGap" w:color="auto" w:sz="12" w:space="0"/>
            <w:left w:val="thinThickSmallGap" w:color="auto" w:sz="12" w:space="0"/>
            <w:bottom w:val="thinThickSmallGap" w:color="auto" w:sz="12" w:space="0"/>
            <w:right w:val="thinThickSmallGap" w:color="auto"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980" w:type="dxa"/>
            <w:vAlign w:val="center"/>
          </w:tcPr>
          <w:p w14:paraId="1B5A4862">
            <w:pPr>
              <w:snapToGrid w:val="0"/>
              <w:spacing w:line="440" w:lineRule="exact"/>
              <w:jc w:val="center"/>
              <w:rPr>
                <w:rFonts w:ascii="宋体" w:hAnsi="宋体"/>
                <w:color w:val="auto"/>
                <w:sz w:val="24"/>
                <w:szCs w:val="24"/>
              </w:rPr>
            </w:pPr>
            <w:r>
              <w:rPr>
                <w:rFonts w:hint="eastAsia" w:ascii="宋体" w:hAnsi="宋体"/>
                <w:color w:val="auto"/>
                <w:sz w:val="24"/>
                <w:szCs w:val="24"/>
              </w:rPr>
              <w:t>开户银行</w:t>
            </w:r>
          </w:p>
        </w:tc>
        <w:tc>
          <w:tcPr>
            <w:tcW w:w="2572" w:type="dxa"/>
            <w:gridSpan w:val="2"/>
            <w:vAlign w:val="center"/>
          </w:tcPr>
          <w:p w14:paraId="2640FA88">
            <w:pPr>
              <w:snapToGrid w:val="0"/>
              <w:spacing w:line="440" w:lineRule="exact"/>
              <w:ind w:firstLine="480" w:firstLineChars="200"/>
              <w:jc w:val="center"/>
              <w:rPr>
                <w:rFonts w:ascii="宋体" w:hAnsi="宋体"/>
                <w:color w:val="auto"/>
                <w:sz w:val="24"/>
                <w:szCs w:val="24"/>
              </w:rPr>
            </w:pPr>
          </w:p>
        </w:tc>
        <w:tc>
          <w:tcPr>
            <w:tcW w:w="810" w:type="dxa"/>
            <w:vMerge w:val="continue"/>
            <w:vAlign w:val="center"/>
          </w:tcPr>
          <w:p w14:paraId="0CC8B804">
            <w:pPr>
              <w:snapToGrid w:val="0"/>
              <w:spacing w:line="440" w:lineRule="exact"/>
              <w:ind w:firstLine="480" w:firstLineChars="200"/>
              <w:jc w:val="center"/>
              <w:rPr>
                <w:rFonts w:ascii="宋体" w:hAnsi="宋体"/>
                <w:color w:val="auto"/>
                <w:sz w:val="24"/>
                <w:szCs w:val="24"/>
              </w:rPr>
            </w:pPr>
          </w:p>
        </w:tc>
        <w:tc>
          <w:tcPr>
            <w:tcW w:w="2353" w:type="dxa"/>
            <w:gridSpan w:val="3"/>
            <w:vAlign w:val="center"/>
          </w:tcPr>
          <w:p w14:paraId="54211C2A">
            <w:pPr>
              <w:snapToGrid w:val="0"/>
              <w:spacing w:line="440" w:lineRule="exact"/>
              <w:jc w:val="center"/>
              <w:rPr>
                <w:rFonts w:ascii="宋体" w:hAnsi="宋体"/>
                <w:color w:val="auto"/>
                <w:sz w:val="24"/>
                <w:szCs w:val="24"/>
              </w:rPr>
            </w:pPr>
            <w:r>
              <w:rPr>
                <w:rFonts w:hint="eastAsia" w:ascii="宋体" w:hAnsi="宋体"/>
                <w:color w:val="auto"/>
                <w:sz w:val="24"/>
                <w:szCs w:val="24"/>
              </w:rPr>
              <w:t>初级职称人员</w:t>
            </w:r>
          </w:p>
        </w:tc>
        <w:tc>
          <w:tcPr>
            <w:tcW w:w="1355" w:type="dxa"/>
            <w:vAlign w:val="center"/>
          </w:tcPr>
          <w:p w14:paraId="1DC76D1A">
            <w:pPr>
              <w:snapToGrid w:val="0"/>
              <w:spacing w:line="440" w:lineRule="exact"/>
              <w:ind w:firstLine="480" w:firstLineChars="200"/>
              <w:jc w:val="center"/>
              <w:rPr>
                <w:rFonts w:ascii="宋体" w:hAnsi="宋体"/>
                <w:color w:val="auto"/>
                <w:sz w:val="24"/>
                <w:szCs w:val="24"/>
              </w:rPr>
            </w:pPr>
          </w:p>
        </w:tc>
      </w:tr>
      <w:tr w14:paraId="2816A001">
        <w:tblPrEx>
          <w:tblBorders>
            <w:top w:val="thinThickSmallGap" w:color="auto" w:sz="12" w:space="0"/>
            <w:left w:val="thinThickSmallGap" w:color="auto" w:sz="12" w:space="0"/>
            <w:bottom w:val="thinThickSmallGap" w:color="auto" w:sz="12" w:space="0"/>
            <w:right w:val="thinThickSmallGap" w:color="auto" w:sz="12"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980" w:type="dxa"/>
            <w:vAlign w:val="center"/>
          </w:tcPr>
          <w:p w14:paraId="4D2156C1">
            <w:pPr>
              <w:snapToGrid w:val="0"/>
              <w:spacing w:line="440" w:lineRule="exact"/>
              <w:jc w:val="center"/>
              <w:rPr>
                <w:rFonts w:ascii="宋体" w:hAnsi="宋体"/>
                <w:color w:val="auto"/>
                <w:sz w:val="24"/>
                <w:szCs w:val="24"/>
              </w:rPr>
            </w:pPr>
            <w:r>
              <w:rPr>
                <w:rFonts w:hint="eastAsia" w:ascii="宋体" w:hAnsi="宋体"/>
                <w:color w:val="auto"/>
                <w:sz w:val="24"/>
                <w:szCs w:val="24"/>
              </w:rPr>
              <w:t>账号</w:t>
            </w:r>
          </w:p>
        </w:tc>
        <w:tc>
          <w:tcPr>
            <w:tcW w:w="2572" w:type="dxa"/>
            <w:gridSpan w:val="2"/>
            <w:vAlign w:val="center"/>
          </w:tcPr>
          <w:p w14:paraId="34C1AF2E">
            <w:pPr>
              <w:snapToGrid w:val="0"/>
              <w:spacing w:line="440" w:lineRule="exact"/>
              <w:ind w:firstLine="480" w:firstLineChars="200"/>
              <w:jc w:val="center"/>
              <w:rPr>
                <w:rFonts w:ascii="宋体" w:hAnsi="宋体"/>
                <w:color w:val="auto"/>
                <w:sz w:val="24"/>
                <w:szCs w:val="24"/>
              </w:rPr>
            </w:pPr>
          </w:p>
        </w:tc>
        <w:tc>
          <w:tcPr>
            <w:tcW w:w="810" w:type="dxa"/>
            <w:vMerge w:val="continue"/>
            <w:vAlign w:val="center"/>
          </w:tcPr>
          <w:p w14:paraId="2B50852C">
            <w:pPr>
              <w:snapToGrid w:val="0"/>
              <w:spacing w:line="440" w:lineRule="exact"/>
              <w:ind w:firstLine="480" w:firstLineChars="200"/>
              <w:jc w:val="center"/>
              <w:rPr>
                <w:rFonts w:ascii="宋体" w:hAnsi="宋体"/>
                <w:color w:val="auto"/>
                <w:sz w:val="24"/>
                <w:szCs w:val="24"/>
              </w:rPr>
            </w:pPr>
          </w:p>
        </w:tc>
        <w:tc>
          <w:tcPr>
            <w:tcW w:w="2353" w:type="dxa"/>
            <w:gridSpan w:val="3"/>
            <w:vAlign w:val="center"/>
          </w:tcPr>
          <w:p w14:paraId="31C26CCC">
            <w:pPr>
              <w:snapToGrid w:val="0"/>
              <w:spacing w:line="440" w:lineRule="exact"/>
              <w:jc w:val="center"/>
              <w:rPr>
                <w:rFonts w:ascii="宋体" w:hAnsi="宋体"/>
                <w:color w:val="auto"/>
                <w:sz w:val="24"/>
                <w:szCs w:val="24"/>
              </w:rPr>
            </w:pPr>
            <w:r>
              <w:rPr>
                <w:rFonts w:hint="eastAsia" w:ascii="宋体" w:hAnsi="宋体"/>
                <w:color w:val="auto"/>
                <w:sz w:val="24"/>
                <w:szCs w:val="24"/>
              </w:rPr>
              <w:t>技工</w:t>
            </w:r>
          </w:p>
        </w:tc>
        <w:tc>
          <w:tcPr>
            <w:tcW w:w="1355" w:type="dxa"/>
            <w:vAlign w:val="center"/>
          </w:tcPr>
          <w:p w14:paraId="38144735">
            <w:pPr>
              <w:snapToGrid w:val="0"/>
              <w:spacing w:line="440" w:lineRule="exact"/>
              <w:ind w:firstLine="480" w:firstLineChars="200"/>
              <w:jc w:val="center"/>
              <w:rPr>
                <w:rFonts w:ascii="宋体" w:hAnsi="宋体"/>
                <w:color w:val="auto"/>
                <w:sz w:val="24"/>
                <w:szCs w:val="24"/>
              </w:rPr>
            </w:pPr>
          </w:p>
        </w:tc>
      </w:tr>
      <w:tr w14:paraId="1FFD7A77">
        <w:tblPrEx>
          <w:tblBorders>
            <w:top w:val="thinThickSmallGap" w:color="auto" w:sz="12" w:space="0"/>
            <w:left w:val="thinThickSmallGap" w:color="auto" w:sz="12" w:space="0"/>
            <w:bottom w:val="thinThickSmallGap" w:color="auto" w:sz="12" w:space="0"/>
            <w:right w:val="thinThickSmallGap" w:color="auto" w:sz="12" w:space="0"/>
            <w:insideH w:val="single" w:color="000000" w:sz="4" w:space="0"/>
            <w:insideV w:val="single" w:color="000000" w:sz="4" w:space="0"/>
          </w:tblBorders>
          <w:tblCellMar>
            <w:top w:w="0" w:type="dxa"/>
            <w:left w:w="108" w:type="dxa"/>
            <w:bottom w:w="0" w:type="dxa"/>
            <w:right w:w="108" w:type="dxa"/>
          </w:tblCellMar>
        </w:tblPrEx>
        <w:trPr>
          <w:trHeight w:val="1283" w:hRule="exact"/>
          <w:jc w:val="center"/>
        </w:trPr>
        <w:tc>
          <w:tcPr>
            <w:tcW w:w="1980" w:type="dxa"/>
            <w:vAlign w:val="center"/>
          </w:tcPr>
          <w:p w14:paraId="35F85B48">
            <w:pPr>
              <w:snapToGrid w:val="0"/>
              <w:spacing w:line="440" w:lineRule="exact"/>
              <w:jc w:val="center"/>
              <w:rPr>
                <w:rFonts w:ascii="宋体" w:hAnsi="宋体"/>
                <w:color w:val="auto"/>
                <w:sz w:val="24"/>
                <w:szCs w:val="24"/>
              </w:rPr>
            </w:pPr>
            <w:r>
              <w:rPr>
                <w:rFonts w:hint="eastAsia" w:ascii="宋体" w:hAnsi="宋体"/>
                <w:color w:val="auto"/>
                <w:sz w:val="24"/>
                <w:szCs w:val="24"/>
              </w:rPr>
              <w:t>经营范围</w:t>
            </w:r>
          </w:p>
        </w:tc>
        <w:tc>
          <w:tcPr>
            <w:tcW w:w="7090" w:type="dxa"/>
            <w:gridSpan w:val="7"/>
            <w:vAlign w:val="center"/>
          </w:tcPr>
          <w:p w14:paraId="38FA9528">
            <w:pPr>
              <w:snapToGrid w:val="0"/>
              <w:spacing w:line="440" w:lineRule="exact"/>
              <w:ind w:firstLine="480" w:firstLineChars="200"/>
              <w:jc w:val="center"/>
              <w:rPr>
                <w:rFonts w:ascii="宋体" w:hAnsi="宋体"/>
                <w:color w:val="auto"/>
                <w:sz w:val="24"/>
                <w:szCs w:val="24"/>
              </w:rPr>
            </w:pPr>
          </w:p>
          <w:p w14:paraId="5B33517E">
            <w:pPr>
              <w:snapToGrid w:val="0"/>
              <w:spacing w:line="440" w:lineRule="exact"/>
              <w:ind w:firstLine="480" w:firstLineChars="200"/>
              <w:jc w:val="center"/>
              <w:rPr>
                <w:rFonts w:ascii="宋体" w:hAnsi="宋体"/>
                <w:color w:val="auto"/>
                <w:sz w:val="24"/>
                <w:szCs w:val="24"/>
              </w:rPr>
            </w:pPr>
          </w:p>
          <w:p w14:paraId="1C144118">
            <w:pPr>
              <w:snapToGrid w:val="0"/>
              <w:spacing w:line="440" w:lineRule="exact"/>
              <w:ind w:firstLine="480" w:firstLineChars="200"/>
              <w:jc w:val="center"/>
              <w:rPr>
                <w:rFonts w:ascii="宋体" w:hAnsi="宋体"/>
                <w:color w:val="auto"/>
                <w:sz w:val="24"/>
                <w:szCs w:val="24"/>
              </w:rPr>
            </w:pPr>
          </w:p>
          <w:p w14:paraId="0A8581A2">
            <w:pPr>
              <w:snapToGrid w:val="0"/>
              <w:spacing w:line="440" w:lineRule="exact"/>
              <w:ind w:firstLine="480" w:firstLineChars="200"/>
              <w:jc w:val="center"/>
              <w:rPr>
                <w:rFonts w:ascii="宋体" w:hAnsi="宋体"/>
                <w:color w:val="auto"/>
                <w:sz w:val="24"/>
                <w:szCs w:val="24"/>
              </w:rPr>
            </w:pPr>
          </w:p>
          <w:p w14:paraId="3B39F266">
            <w:pPr>
              <w:snapToGrid w:val="0"/>
              <w:spacing w:line="440" w:lineRule="exact"/>
              <w:ind w:firstLine="480" w:firstLineChars="200"/>
              <w:jc w:val="center"/>
              <w:rPr>
                <w:rFonts w:ascii="宋体" w:hAnsi="宋体"/>
                <w:color w:val="auto"/>
                <w:sz w:val="24"/>
                <w:szCs w:val="24"/>
              </w:rPr>
            </w:pPr>
          </w:p>
        </w:tc>
      </w:tr>
      <w:tr w14:paraId="4884D83B">
        <w:tblPrEx>
          <w:tblBorders>
            <w:top w:val="thinThickSmallGap" w:color="auto" w:sz="12" w:space="0"/>
            <w:left w:val="thinThickSmallGap" w:color="auto" w:sz="12" w:space="0"/>
            <w:bottom w:val="thinThickSmallGap" w:color="auto" w:sz="12" w:space="0"/>
            <w:right w:val="thinThickSmallGap" w:color="auto" w:sz="12" w:space="0"/>
            <w:insideH w:val="single" w:color="000000" w:sz="4" w:space="0"/>
            <w:insideV w:val="single" w:color="000000" w:sz="4" w:space="0"/>
          </w:tblBorders>
          <w:tblCellMar>
            <w:top w:w="0" w:type="dxa"/>
            <w:left w:w="108" w:type="dxa"/>
            <w:bottom w:w="0" w:type="dxa"/>
            <w:right w:w="108" w:type="dxa"/>
          </w:tblCellMar>
        </w:tblPrEx>
        <w:trPr>
          <w:trHeight w:val="947" w:hRule="exact"/>
          <w:jc w:val="center"/>
        </w:trPr>
        <w:tc>
          <w:tcPr>
            <w:tcW w:w="1980" w:type="dxa"/>
            <w:tcBorders>
              <w:bottom w:val="thinThickSmallGap" w:color="auto" w:sz="12" w:space="0"/>
            </w:tcBorders>
            <w:vAlign w:val="center"/>
          </w:tcPr>
          <w:p w14:paraId="08C7A679">
            <w:pPr>
              <w:snapToGrid w:val="0"/>
              <w:spacing w:line="440" w:lineRule="exact"/>
              <w:jc w:val="center"/>
              <w:rPr>
                <w:rFonts w:ascii="宋体" w:hAnsi="宋体"/>
                <w:color w:val="auto"/>
                <w:sz w:val="24"/>
                <w:szCs w:val="24"/>
              </w:rPr>
            </w:pPr>
            <w:r>
              <w:rPr>
                <w:rFonts w:hint="eastAsia" w:ascii="宋体" w:hAnsi="宋体"/>
                <w:color w:val="auto"/>
                <w:sz w:val="24"/>
                <w:szCs w:val="24"/>
              </w:rPr>
              <w:t>备注</w:t>
            </w:r>
          </w:p>
        </w:tc>
        <w:tc>
          <w:tcPr>
            <w:tcW w:w="7090" w:type="dxa"/>
            <w:gridSpan w:val="7"/>
            <w:tcBorders>
              <w:bottom w:val="thinThickSmallGap" w:color="auto" w:sz="12" w:space="0"/>
            </w:tcBorders>
            <w:vAlign w:val="center"/>
          </w:tcPr>
          <w:p w14:paraId="24BE959D">
            <w:pPr>
              <w:snapToGrid w:val="0"/>
              <w:spacing w:line="440" w:lineRule="exact"/>
              <w:ind w:firstLine="480" w:firstLineChars="200"/>
              <w:jc w:val="center"/>
              <w:rPr>
                <w:rFonts w:ascii="宋体" w:hAnsi="宋体"/>
                <w:color w:val="auto"/>
                <w:sz w:val="24"/>
                <w:szCs w:val="24"/>
              </w:rPr>
            </w:pPr>
          </w:p>
        </w:tc>
      </w:tr>
    </w:tbl>
    <w:p w14:paraId="74A58877">
      <w:pPr>
        <w:snapToGrid w:val="0"/>
        <w:spacing w:line="440" w:lineRule="exact"/>
        <w:ind w:firstLine="562" w:firstLineChars="200"/>
        <w:rPr>
          <w:rFonts w:ascii="宋体" w:hAnsi="宋体"/>
          <w:b/>
          <w:color w:val="auto"/>
        </w:rPr>
      </w:pPr>
    </w:p>
    <w:p w14:paraId="17382BEE">
      <w:pPr>
        <w:snapToGrid w:val="0"/>
        <w:spacing w:line="440" w:lineRule="exact"/>
        <w:ind w:firstLine="562" w:firstLineChars="200"/>
        <w:rPr>
          <w:rFonts w:ascii="宋体" w:hAnsi="宋体"/>
          <w:b/>
          <w:color w:val="auto"/>
        </w:rPr>
      </w:pPr>
    </w:p>
    <w:p w14:paraId="06E9A3FB">
      <w:pPr>
        <w:snapToGrid w:val="0"/>
        <w:spacing w:line="440" w:lineRule="exact"/>
        <w:ind w:firstLine="562" w:firstLineChars="200"/>
        <w:rPr>
          <w:rFonts w:ascii="宋体" w:hAnsi="宋体"/>
          <w:b/>
          <w:color w:val="auto"/>
        </w:rPr>
      </w:pPr>
    </w:p>
    <w:p w14:paraId="023693F4">
      <w:pPr>
        <w:snapToGrid w:val="0"/>
        <w:spacing w:line="440" w:lineRule="exact"/>
        <w:ind w:firstLine="562" w:firstLineChars="200"/>
        <w:rPr>
          <w:rFonts w:ascii="宋体" w:hAnsi="宋体"/>
          <w:b/>
          <w:color w:val="auto"/>
        </w:rPr>
      </w:pPr>
    </w:p>
    <w:p w14:paraId="0C1E14D4">
      <w:pPr>
        <w:snapToGrid w:val="0"/>
        <w:spacing w:line="440" w:lineRule="exact"/>
        <w:ind w:firstLine="562" w:firstLineChars="200"/>
        <w:rPr>
          <w:rFonts w:ascii="宋体" w:hAnsi="宋体"/>
          <w:b/>
          <w:color w:val="auto"/>
        </w:rPr>
      </w:pPr>
    </w:p>
    <w:p w14:paraId="7F70B4E2">
      <w:pPr>
        <w:snapToGrid w:val="0"/>
        <w:spacing w:line="440" w:lineRule="exact"/>
        <w:ind w:firstLine="562" w:firstLineChars="200"/>
        <w:rPr>
          <w:rFonts w:ascii="宋体" w:hAnsi="宋体"/>
          <w:b/>
          <w:color w:val="auto"/>
        </w:rPr>
      </w:pPr>
    </w:p>
    <w:p w14:paraId="0D6A476F">
      <w:pPr>
        <w:snapToGrid w:val="0"/>
        <w:spacing w:line="440" w:lineRule="exact"/>
        <w:ind w:firstLine="562" w:firstLineChars="200"/>
        <w:rPr>
          <w:rFonts w:ascii="宋体" w:hAnsi="宋体"/>
          <w:b/>
          <w:color w:val="auto"/>
        </w:rPr>
      </w:pPr>
    </w:p>
    <w:p w14:paraId="576F24A1">
      <w:pPr>
        <w:spacing w:before="159" w:after="8"/>
        <w:ind w:left="2728"/>
        <w:outlineLvl w:val="1"/>
        <w:rPr>
          <w:rFonts w:ascii="仿宋" w:hAnsi="仿宋" w:eastAsia="仿宋" w:cs="仿宋"/>
          <w:b/>
          <w:color w:val="auto"/>
        </w:rPr>
      </w:pPr>
      <w:bookmarkStart w:id="228" w:name="_Toc25925"/>
      <w:bookmarkStart w:id="229" w:name="_Toc11718"/>
      <w:bookmarkStart w:id="230" w:name="_Toc24946"/>
      <w:bookmarkStart w:id="231" w:name="_Toc6246"/>
      <w:r>
        <w:rPr>
          <w:rFonts w:hint="eastAsia" w:ascii="仿宋" w:hAnsi="仿宋" w:eastAsia="仿宋" w:cs="仿宋"/>
          <w:b/>
          <w:color w:val="auto"/>
        </w:rPr>
        <w:t>2.项目全部人员组成表（格式）</w:t>
      </w:r>
      <w:bookmarkEnd w:id="228"/>
      <w:bookmarkEnd w:id="229"/>
      <w:bookmarkEnd w:id="230"/>
      <w:bookmarkEnd w:id="231"/>
    </w:p>
    <w:p w14:paraId="44C06973">
      <w:pPr>
        <w:spacing w:before="61"/>
        <w:ind w:left="494"/>
        <w:rPr>
          <w:rFonts w:ascii="仿宋" w:hAnsi="仿宋" w:eastAsia="仿宋" w:cs="仿宋"/>
          <w:b/>
          <w:color w:val="auto"/>
          <w:sz w:val="24"/>
          <w:szCs w:val="24"/>
        </w:rPr>
      </w:pPr>
      <w:r>
        <w:rPr>
          <w:rFonts w:hint="eastAsia" w:ascii="仿宋" w:hAnsi="仿宋" w:eastAsia="仿宋" w:cs="仿宋"/>
          <w:color w:val="auto"/>
          <w:sz w:val="24"/>
          <w:szCs w:val="24"/>
        </w:rPr>
        <w:t>采购项目分包名称：</w:t>
      </w:r>
    </w:p>
    <w:tbl>
      <w:tblPr>
        <w:tblStyle w:val="59"/>
        <w:tblW w:w="904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7"/>
        <w:gridCol w:w="678"/>
        <w:gridCol w:w="485"/>
        <w:gridCol w:w="726"/>
        <w:gridCol w:w="686"/>
        <w:gridCol w:w="992"/>
        <w:gridCol w:w="1057"/>
        <w:gridCol w:w="582"/>
        <w:gridCol w:w="1133"/>
        <w:gridCol w:w="756"/>
        <w:gridCol w:w="754"/>
        <w:gridCol w:w="704"/>
      </w:tblGrid>
      <w:tr w14:paraId="3D5745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3" w:hRule="atLeast"/>
          <w:jc w:val="center"/>
        </w:trPr>
        <w:tc>
          <w:tcPr>
            <w:tcW w:w="487" w:type="dxa"/>
            <w:vAlign w:val="center"/>
          </w:tcPr>
          <w:p w14:paraId="72F257F6">
            <w:pPr>
              <w:pStyle w:val="244"/>
              <w:spacing w:before="60"/>
              <w:jc w:val="center"/>
              <w:rPr>
                <w:rFonts w:ascii="仿宋" w:hAnsi="仿宋" w:eastAsia="仿宋" w:cs="仿宋"/>
                <w:color w:val="auto"/>
                <w:sz w:val="21"/>
                <w:szCs w:val="21"/>
              </w:rPr>
            </w:pPr>
            <w:r>
              <w:rPr>
                <w:rFonts w:hint="eastAsia" w:ascii="仿宋" w:hAnsi="仿宋" w:eastAsia="仿宋" w:cs="仿宋"/>
                <w:color w:val="auto"/>
                <w:sz w:val="21"/>
                <w:szCs w:val="21"/>
              </w:rPr>
              <w:t>序号</w:t>
            </w:r>
          </w:p>
        </w:tc>
        <w:tc>
          <w:tcPr>
            <w:tcW w:w="678" w:type="dxa"/>
            <w:vAlign w:val="center"/>
          </w:tcPr>
          <w:p w14:paraId="24A23A7C">
            <w:pPr>
              <w:pStyle w:val="244"/>
              <w:spacing w:before="60"/>
              <w:jc w:val="center"/>
              <w:rPr>
                <w:rFonts w:ascii="仿宋" w:hAnsi="仿宋" w:eastAsia="仿宋" w:cs="仿宋"/>
                <w:color w:val="auto"/>
                <w:sz w:val="21"/>
                <w:szCs w:val="21"/>
              </w:rPr>
            </w:pPr>
            <w:r>
              <w:rPr>
                <w:rFonts w:hint="eastAsia" w:ascii="仿宋" w:hAnsi="仿宋" w:eastAsia="仿宋" w:cs="仿宋"/>
                <w:color w:val="auto"/>
                <w:sz w:val="21"/>
                <w:szCs w:val="21"/>
              </w:rPr>
              <w:t>姓名</w:t>
            </w:r>
          </w:p>
        </w:tc>
        <w:tc>
          <w:tcPr>
            <w:tcW w:w="485" w:type="dxa"/>
            <w:vAlign w:val="center"/>
          </w:tcPr>
          <w:p w14:paraId="688B3230">
            <w:pPr>
              <w:pStyle w:val="244"/>
              <w:spacing w:before="60"/>
              <w:jc w:val="center"/>
              <w:rPr>
                <w:rFonts w:ascii="仿宋" w:hAnsi="仿宋" w:eastAsia="仿宋" w:cs="仿宋"/>
                <w:color w:val="auto"/>
                <w:sz w:val="21"/>
                <w:szCs w:val="21"/>
              </w:rPr>
            </w:pPr>
            <w:r>
              <w:rPr>
                <w:rFonts w:hint="eastAsia" w:ascii="仿宋" w:hAnsi="仿宋" w:eastAsia="仿宋" w:cs="仿宋"/>
                <w:color w:val="auto"/>
                <w:sz w:val="21"/>
                <w:szCs w:val="21"/>
              </w:rPr>
              <w:t>性别</w:t>
            </w:r>
          </w:p>
        </w:tc>
        <w:tc>
          <w:tcPr>
            <w:tcW w:w="726" w:type="dxa"/>
            <w:vAlign w:val="center"/>
          </w:tcPr>
          <w:p w14:paraId="5B42CA29">
            <w:pPr>
              <w:pStyle w:val="244"/>
              <w:spacing w:before="60"/>
              <w:jc w:val="center"/>
              <w:rPr>
                <w:rFonts w:ascii="仿宋" w:hAnsi="仿宋" w:eastAsia="仿宋" w:cs="仿宋"/>
                <w:color w:val="auto"/>
                <w:sz w:val="21"/>
                <w:szCs w:val="21"/>
              </w:rPr>
            </w:pPr>
            <w:r>
              <w:rPr>
                <w:rFonts w:hint="eastAsia" w:ascii="仿宋" w:hAnsi="仿宋" w:eastAsia="仿宋" w:cs="仿宋"/>
                <w:color w:val="auto"/>
                <w:sz w:val="21"/>
                <w:szCs w:val="21"/>
              </w:rPr>
              <w:t>年龄</w:t>
            </w:r>
          </w:p>
        </w:tc>
        <w:tc>
          <w:tcPr>
            <w:tcW w:w="686" w:type="dxa"/>
            <w:vAlign w:val="center"/>
          </w:tcPr>
          <w:p w14:paraId="259CEF18">
            <w:pPr>
              <w:pStyle w:val="244"/>
              <w:spacing w:before="60"/>
              <w:jc w:val="center"/>
              <w:rPr>
                <w:rFonts w:ascii="仿宋" w:hAnsi="仿宋" w:eastAsia="仿宋" w:cs="仿宋"/>
                <w:color w:val="auto"/>
                <w:sz w:val="21"/>
                <w:szCs w:val="21"/>
              </w:rPr>
            </w:pPr>
            <w:r>
              <w:rPr>
                <w:rFonts w:hint="eastAsia" w:ascii="仿宋" w:hAnsi="仿宋" w:eastAsia="仿宋" w:cs="仿宋"/>
                <w:color w:val="auto"/>
                <w:sz w:val="21"/>
                <w:szCs w:val="21"/>
              </w:rPr>
              <w:t>学历</w:t>
            </w:r>
          </w:p>
        </w:tc>
        <w:tc>
          <w:tcPr>
            <w:tcW w:w="992" w:type="dxa"/>
            <w:vAlign w:val="center"/>
          </w:tcPr>
          <w:p w14:paraId="0B804AEB">
            <w:pPr>
              <w:pStyle w:val="244"/>
              <w:spacing w:before="60"/>
              <w:jc w:val="center"/>
              <w:rPr>
                <w:rFonts w:ascii="仿宋" w:hAnsi="仿宋" w:eastAsia="仿宋" w:cs="仿宋"/>
                <w:color w:val="auto"/>
                <w:sz w:val="21"/>
                <w:szCs w:val="21"/>
              </w:rPr>
            </w:pPr>
            <w:r>
              <w:rPr>
                <w:rFonts w:hint="eastAsia" w:ascii="仿宋" w:hAnsi="仿宋" w:eastAsia="仿宋" w:cs="仿宋"/>
                <w:color w:val="auto"/>
                <w:sz w:val="21"/>
                <w:szCs w:val="21"/>
              </w:rPr>
              <w:t>从业年限</w:t>
            </w:r>
          </w:p>
        </w:tc>
        <w:tc>
          <w:tcPr>
            <w:tcW w:w="1057" w:type="dxa"/>
            <w:vAlign w:val="center"/>
          </w:tcPr>
          <w:p w14:paraId="58CD282C">
            <w:pPr>
              <w:pStyle w:val="244"/>
              <w:spacing w:before="60"/>
              <w:jc w:val="center"/>
              <w:rPr>
                <w:rFonts w:ascii="仿宋" w:hAnsi="仿宋" w:eastAsia="仿宋" w:cs="仿宋"/>
                <w:color w:val="auto"/>
                <w:sz w:val="21"/>
                <w:szCs w:val="21"/>
              </w:rPr>
            </w:pPr>
            <w:r>
              <w:rPr>
                <w:rFonts w:hint="eastAsia" w:ascii="仿宋" w:hAnsi="仿宋" w:eastAsia="仿宋" w:cs="仿宋"/>
                <w:color w:val="auto"/>
                <w:sz w:val="21"/>
                <w:szCs w:val="21"/>
              </w:rPr>
              <w:t>拟派本项目的职务</w:t>
            </w:r>
          </w:p>
        </w:tc>
        <w:tc>
          <w:tcPr>
            <w:tcW w:w="582" w:type="dxa"/>
            <w:vAlign w:val="center"/>
          </w:tcPr>
          <w:p w14:paraId="172C9D28">
            <w:pPr>
              <w:pStyle w:val="244"/>
              <w:spacing w:before="60"/>
              <w:jc w:val="center"/>
              <w:rPr>
                <w:rFonts w:ascii="仿宋" w:hAnsi="仿宋" w:eastAsia="仿宋" w:cs="仿宋"/>
                <w:color w:val="auto"/>
                <w:sz w:val="21"/>
                <w:szCs w:val="21"/>
              </w:rPr>
            </w:pPr>
            <w:r>
              <w:rPr>
                <w:rFonts w:hint="eastAsia" w:ascii="仿宋" w:hAnsi="仿宋" w:eastAsia="仿宋" w:cs="仿宋"/>
                <w:color w:val="auto"/>
                <w:sz w:val="21"/>
                <w:szCs w:val="21"/>
              </w:rPr>
              <w:t>职称</w:t>
            </w:r>
          </w:p>
        </w:tc>
        <w:tc>
          <w:tcPr>
            <w:tcW w:w="1133" w:type="dxa"/>
            <w:vAlign w:val="center"/>
          </w:tcPr>
          <w:p w14:paraId="59CBF0C1">
            <w:pPr>
              <w:pStyle w:val="244"/>
              <w:spacing w:before="60"/>
              <w:jc w:val="center"/>
              <w:rPr>
                <w:rFonts w:ascii="仿宋" w:hAnsi="仿宋" w:eastAsia="仿宋" w:cs="仿宋"/>
                <w:color w:val="auto"/>
                <w:sz w:val="21"/>
                <w:szCs w:val="21"/>
              </w:rPr>
            </w:pPr>
            <w:r>
              <w:rPr>
                <w:rFonts w:hint="eastAsia" w:ascii="仿宋" w:hAnsi="仿宋" w:eastAsia="仿宋" w:cs="仿宋"/>
                <w:color w:val="auto"/>
                <w:sz w:val="21"/>
                <w:szCs w:val="21"/>
              </w:rPr>
              <w:t>证书名称</w:t>
            </w:r>
          </w:p>
        </w:tc>
        <w:tc>
          <w:tcPr>
            <w:tcW w:w="756" w:type="dxa"/>
            <w:vAlign w:val="center"/>
          </w:tcPr>
          <w:p w14:paraId="29CF1E94">
            <w:pPr>
              <w:pStyle w:val="244"/>
              <w:spacing w:before="60"/>
              <w:jc w:val="center"/>
              <w:rPr>
                <w:rFonts w:ascii="仿宋" w:hAnsi="仿宋" w:eastAsia="仿宋" w:cs="仿宋"/>
                <w:color w:val="auto"/>
                <w:sz w:val="21"/>
                <w:szCs w:val="21"/>
              </w:rPr>
            </w:pPr>
            <w:r>
              <w:rPr>
                <w:rFonts w:hint="eastAsia" w:ascii="仿宋" w:hAnsi="仿宋" w:eastAsia="仿宋" w:cs="仿宋"/>
                <w:color w:val="auto"/>
                <w:sz w:val="21"/>
                <w:szCs w:val="21"/>
              </w:rPr>
              <w:t>证号</w:t>
            </w:r>
          </w:p>
        </w:tc>
        <w:tc>
          <w:tcPr>
            <w:tcW w:w="754" w:type="dxa"/>
            <w:vAlign w:val="center"/>
          </w:tcPr>
          <w:p w14:paraId="11A55389">
            <w:pPr>
              <w:pStyle w:val="244"/>
              <w:spacing w:before="60"/>
              <w:jc w:val="center"/>
              <w:rPr>
                <w:rFonts w:ascii="仿宋" w:hAnsi="仿宋" w:eastAsia="仿宋" w:cs="仿宋"/>
                <w:color w:val="auto"/>
                <w:sz w:val="21"/>
                <w:szCs w:val="21"/>
              </w:rPr>
            </w:pPr>
            <w:r>
              <w:rPr>
                <w:rFonts w:hint="eastAsia" w:ascii="仿宋" w:hAnsi="仿宋" w:eastAsia="仿宋" w:cs="仿宋"/>
                <w:color w:val="auto"/>
                <w:sz w:val="21"/>
                <w:szCs w:val="21"/>
              </w:rPr>
              <w:t>专业</w:t>
            </w:r>
          </w:p>
        </w:tc>
        <w:tc>
          <w:tcPr>
            <w:tcW w:w="704" w:type="dxa"/>
            <w:vAlign w:val="center"/>
          </w:tcPr>
          <w:p w14:paraId="21BCDB30">
            <w:pPr>
              <w:pStyle w:val="244"/>
              <w:spacing w:before="60"/>
              <w:jc w:val="center"/>
              <w:rPr>
                <w:rFonts w:ascii="仿宋" w:hAnsi="仿宋" w:eastAsia="仿宋" w:cs="仿宋"/>
                <w:color w:val="auto"/>
                <w:sz w:val="21"/>
                <w:szCs w:val="21"/>
              </w:rPr>
            </w:pPr>
            <w:r>
              <w:rPr>
                <w:rFonts w:hint="eastAsia" w:ascii="仿宋" w:hAnsi="仿宋" w:eastAsia="仿宋" w:cs="仿宋"/>
                <w:color w:val="auto"/>
                <w:sz w:val="21"/>
                <w:szCs w:val="21"/>
              </w:rPr>
              <w:t>备注</w:t>
            </w:r>
          </w:p>
        </w:tc>
      </w:tr>
      <w:tr w14:paraId="0612DD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jc w:val="center"/>
        </w:trPr>
        <w:tc>
          <w:tcPr>
            <w:tcW w:w="487" w:type="dxa"/>
          </w:tcPr>
          <w:p w14:paraId="587CE820">
            <w:pPr>
              <w:pStyle w:val="244"/>
              <w:rPr>
                <w:rFonts w:ascii="仿宋" w:hAnsi="仿宋" w:eastAsia="仿宋" w:cs="仿宋"/>
                <w:color w:val="auto"/>
                <w:sz w:val="21"/>
                <w:szCs w:val="21"/>
              </w:rPr>
            </w:pPr>
          </w:p>
        </w:tc>
        <w:tc>
          <w:tcPr>
            <w:tcW w:w="678" w:type="dxa"/>
          </w:tcPr>
          <w:p w14:paraId="44B1F2BD">
            <w:pPr>
              <w:pStyle w:val="244"/>
              <w:rPr>
                <w:rFonts w:ascii="仿宋" w:hAnsi="仿宋" w:eastAsia="仿宋" w:cs="仿宋"/>
                <w:color w:val="auto"/>
                <w:sz w:val="21"/>
                <w:szCs w:val="21"/>
              </w:rPr>
            </w:pPr>
          </w:p>
        </w:tc>
        <w:tc>
          <w:tcPr>
            <w:tcW w:w="485" w:type="dxa"/>
          </w:tcPr>
          <w:p w14:paraId="5C512DDC">
            <w:pPr>
              <w:pStyle w:val="244"/>
              <w:rPr>
                <w:rFonts w:ascii="仿宋" w:hAnsi="仿宋" w:eastAsia="仿宋" w:cs="仿宋"/>
                <w:color w:val="auto"/>
                <w:sz w:val="21"/>
                <w:szCs w:val="21"/>
              </w:rPr>
            </w:pPr>
          </w:p>
        </w:tc>
        <w:tc>
          <w:tcPr>
            <w:tcW w:w="726" w:type="dxa"/>
          </w:tcPr>
          <w:p w14:paraId="62986D6B">
            <w:pPr>
              <w:pStyle w:val="244"/>
              <w:rPr>
                <w:rFonts w:ascii="仿宋" w:hAnsi="仿宋" w:eastAsia="仿宋" w:cs="仿宋"/>
                <w:color w:val="auto"/>
                <w:sz w:val="21"/>
                <w:szCs w:val="21"/>
              </w:rPr>
            </w:pPr>
          </w:p>
        </w:tc>
        <w:tc>
          <w:tcPr>
            <w:tcW w:w="686" w:type="dxa"/>
          </w:tcPr>
          <w:p w14:paraId="706E7B1D">
            <w:pPr>
              <w:pStyle w:val="244"/>
              <w:rPr>
                <w:rFonts w:ascii="仿宋" w:hAnsi="仿宋" w:eastAsia="仿宋" w:cs="仿宋"/>
                <w:color w:val="auto"/>
                <w:sz w:val="21"/>
                <w:szCs w:val="21"/>
              </w:rPr>
            </w:pPr>
          </w:p>
        </w:tc>
        <w:tc>
          <w:tcPr>
            <w:tcW w:w="992" w:type="dxa"/>
          </w:tcPr>
          <w:p w14:paraId="53B4EA44">
            <w:pPr>
              <w:pStyle w:val="244"/>
              <w:rPr>
                <w:rFonts w:ascii="仿宋" w:hAnsi="仿宋" w:eastAsia="仿宋" w:cs="仿宋"/>
                <w:color w:val="auto"/>
                <w:sz w:val="21"/>
                <w:szCs w:val="21"/>
              </w:rPr>
            </w:pPr>
          </w:p>
        </w:tc>
        <w:tc>
          <w:tcPr>
            <w:tcW w:w="1057" w:type="dxa"/>
          </w:tcPr>
          <w:p w14:paraId="5C6F2C6F">
            <w:pPr>
              <w:pStyle w:val="244"/>
              <w:rPr>
                <w:rFonts w:ascii="仿宋" w:hAnsi="仿宋" w:eastAsia="仿宋" w:cs="仿宋"/>
                <w:color w:val="auto"/>
                <w:sz w:val="21"/>
                <w:szCs w:val="21"/>
              </w:rPr>
            </w:pPr>
          </w:p>
        </w:tc>
        <w:tc>
          <w:tcPr>
            <w:tcW w:w="582" w:type="dxa"/>
          </w:tcPr>
          <w:p w14:paraId="60904E51">
            <w:pPr>
              <w:pStyle w:val="244"/>
              <w:rPr>
                <w:rFonts w:ascii="仿宋" w:hAnsi="仿宋" w:eastAsia="仿宋" w:cs="仿宋"/>
                <w:color w:val="auto"/>
                <w:sz w:val="21"/>
                <w:szCs w:val="21"/>
              </w:rPr>
            </w:pPr>
          </w:p>
        </w:tc>
        <w:tc>
          <w:tcPr>
            <w:tcW w:w="1133" w:type="dxa"/>
          </w:tcPr>
          <w:p w14:paraId="50CC6612">
            <w:pPr>
              <w:pStyle w:val="244"/>
              <w:rPr>
                <w:rFonts w:ascii="仿宋" w:hAnsi="仿宋" w:eastAsia="仿宋" w:cs="仿宋"/>
                <w:color w:val="auto"/>
                <w:sz w:val="21"/>
                <w:szCs w:val="21"/>
              </w:rPr>
            </w:pPr>
          </w:p>
        </w:tc>
        <w:tc>
          <w:tcPr>
            <w:tcW w:w="756" w:type="dxa"/>
          </w:tcPr>
          <w:p w14:paraId="39EFF9A5">
            <w:pPr>
              <w:pStyle w:val="244"/>
              <w:rPr>
                <w:rFonts w:ascii="仿宋" w:hAnsi="仿宋" w:eastAsia="仿宋" w:cs="仿宋"/>
                <w:color w:val="auto"/>
                <w:sz w:val="21"/>
                <w:szCs w:val="21"/>
              </w:rPr>
            </w:pPr>
          </w:p>
        </w:tc>
        <w:tc>
          <w:tcPr>
            <w:tcW w:w="754" w:type="dxa"/>
          </w:tcPr>
          <w:p w14:paraId="16C4FFE6">
            <w:pPr>
              <w:pStyle w:val="244"/>
              <w:rPr>
                <w:rFonts w:ascii="仿宋" w:hAnsi="仿宋" w:eastAsia="仿宋" w:cs="仿宋"/>
                <w:color w:val="auto"/>
                <w:sz w:val="21"/>
                <w:szCs w:val="21"/>
              </w:rPr>
            </w:pPr>
          </w:p>
        </w:tc>
        <w:tc>
          <w:tcPr>
            <w:tcW w:w="704" w:type="dxa"/>
          </w:tcPr>
          <w:p w14:paraId="6A3339F9">
            <w:pPr>
              <w:pStyle w:val="244"/>
              <w:rPr>
                <w:rFonts w:ascii="仿宋" w:hAnsi="仿宋" w:eastAsia="仿宋" w:cs="仿宋"/>
                <w:color w:val="auto"/>
                <w:sz w:val="21"/>
                <w:szCs w:val="21"/>
              </w:rPr>
            </w:pPr>
          </w:p>
        </w:tc>
      </w:tr>
      <w:tr w14:paraId="6FA42E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jc w:val="center"/>
        </w:trPr>
        <w:tc>
          <w:tcPr>
            <w:tcW w:w="487" w:type="dxa"/>
          </w:tcPr>
          <w:p w14:paraId="4972C760">
            <w:pPr>
              <w:pStyle w:val="244"/>
              <w:rPr>
                <w:rFonts w:ascii="仿宋" w:hAnsi="仿宋" w:eastAsia="仿宋" w:cs="仿宋"/>
                <w:color w:val="auto"/>
                <w:sz w:val="21"/>
                <w:szCs w:val="21"/>
              </w:rPr>
            </w:pPr>
          </w:p>
        </w:tc>
        <w:tc>
          <w:tcPr>
            <w:tcW w:w="678" w:type="dxa"/>
          </w:tcPr>
          <w:p w14:paraId="1837F6B0">
            <w:pPr>
              <w:pStyle w:val="244"/>
              <w:rPr>
                <w:rFonts w:ascii="仿宋" w:hAnsi="仿宋" w:eastAsia="仿宋" w:cs="仿宋"/>
                <w:color w:val="auto"/>
                <w:sz w:val="21"/>
                <w:szCs w:val="21"/>
              </w:rPr>
            </w:pPr>
          </w:p>
        </w:tc>
        <w:tc>
          <w:tcPr>
            <w:tcW w:w="485" w:type="dxa"/>
          </w:tcPr>
          <w:p w14:paraId="624E96DB">
            <w:pPr>
              <w:pStyle w:val="244"/>
              <w:rPr>
                <w:rFonts w:ascii="仿宋" w:hAnsi="仿宋" w:eastAsia="仿宋" w:cs="仿宋"/>
                <w:color w:val="auto"/>
                <w:sz w:val="21"/>
                <w:szCs w:val="21"/>
              </w:rPr>
            </w:pPr>
          </w:p>
        </w:tc>
        <w:tc>
          <w:tcPr>
            <w:tcW w:w="726" w:type="dxa"/>
          </w:tcPr>
          <w:p w14:paraId="7D70F172">
            <w:pPr>
              <w:pStyle w:val="244"/>
              <w:rPr>
                <w:rFonts w:ascii="仿宋" w:hAnsi="仿宋" w:eastAsia="仿宋" w:cs="仿宋"/>
                <w:color w:val="auto"/>
                <w:sz w:val="21"/>
                <w:szCs w:val="21"/>
              </w:rPr>
            </w:pPr>
          </w:p>
        </w:tc>
        <w:tc>
          <w:tcPr>
            <w:tcW w:w="686" w:type="dxa"/>
          </w:tcPr>
          <w:p w14:paraId="551CCA7B">
            <w:pPr>
              <w:pStyle w:val="244"/>
              <w:rPr>
                <w:rFonts w:ascii="仿宋" w:hAnsi="仿宋" w:eastAsia="仿宋" w:cs="仿宋"/>
                <w:color w:val="auto"/>
                <w:sz w:val="21"/>
                <w:szCs w:val="21"/>
              </w:rPr>
            </w:pPr>
          </w:p>
        </w:tc>
        <w:tc>
          <w:tcPr>
            <w:tcW w:w="992" w:type="dxa"/>
          </w:tcPr>
          <w:p w14:paraId="1C7AE889">
            <w:pPr>
              <w:pStyle w:val="244"/>
              <w:rPr>
                <w:rFonts w:ascii="仿宋" w:hAnsi="仿宋" w:eastAsia="仿宋" w:cs="仿宋"/>
                <w:color w:val="auto"/>
                <w:sz w:val="21"/>
                <w:szCs w:val="21"/>
              </w:rPr>
            </w:pPr>
          </w:p>
        </w:tc>
        <w:tc>
          <w:tcPr>
            <w:tcW w:w="1057" w:type="dxa"/>
          </w:tcPr>
          <w:p w14:paraId="34BBC194">
            <w:pPr>
              <w:pStyle w:val="244"/>
              <w:rPr>
                <w:rFonts w:ascii="仿宋" w:hAnsi="仿宋" w:eastAsia="仿宋" w:cs="仿宋"/>
                <w:color w:val="auto"/>
                <w:sz w:val="21"/>
                <w:szCs w:val="21"/>
              </w:rPr>
            </w:pPr>
          </w:p>
        </w:tc>
        <w:tc>
          <w:tcPr>
            <w:tcW w:w="582" w:type="dxa"/>
          </w:tcPr>
          <w:p w14:paraId="7A7DD422">
            <w:pPr>
              <w:pStyle w:val="244"/>
              <w:rPr>
                <w:rFonts w:ascii="仿宋" w:hAnsi="仿宋" w:eastAsia="仿宋" w:cs="仿宋"/>
                <w:color w:val="auto"/>
                <w:sz w:val="21"/>
                <w:szCs w:val="21"/>
              </w:rPr>
            </w:pPr>
          </w:p>
        </w:tc>
        <w:tc>
          <w:tcPr>
            <w:tcW w:w="1133" w:type="dxa"/>
          </w:tcPr>
          <w:p w14:paraId="0F74CCFE">
            <w:pPr>
              <w:pStyle w:val="244"/>
              <w:rPr>
                <w:rFonts w:ascii="仿宋" w:hAnsi="仿宋" w:eastAsia="仿宋" w:cs="仿宋"/>
                <w:color w:val="auto"/>
                <w:sz w:val="21"/>
                <w:szCs w:val="21"/>
              </w:rPr>
            </w:pPr>
          </w:p>
        </w:tc>
        <w:tc>
          <w:tcPr>
            <w:tcW w:w="756" w:type="dxa"/>
          </w:tcPr>
          <w:p w14:paraId="1BA07232">
            <w:pPr>
              <w:pStyle w:val="244"/>
              <w:rPr>
                <w:rFonts w:ascii="仿宋" w:hAnsi="仿宋" w:eastAsia="仿宋" w:cs="仿宋"/>
                <w:color w:val="auto"/>
                <w:sz w:val="21"/>
                <w:szCs w:val="21"/>
              </w:rPr>
            </w:pPr>
          </w:p>
        </w:tc>
        <w:tc>
          <w:tcPr>
            <w:tcW w:w="754" w:type="dxa"/>
          </w:tcPr>
          <w:p w14:paraId="62119D88">
            <w:pPr>
              <w:pStyle w:val="244"/>
              <w:rPr>
                <w:rFonts w:ascii="仿宋" w:hAnsi="仿宋" w:eastAsia="仿宋" w:cs="仿宋"/>
                <w:color w:val="auto"/>
                <w:sz w:val="21"/>
                <w:szCs w:val="21"/>
              </w:rPr>
            </w:pPr>
          </w:p>
        </w:tc>
        <w:tc>
          <w:tcPr>
            <w:tcW w:w="704" w:type="dxa"/>
          </w:tcPr>
          <w:p w14:paraId="2BE313D3">
            <w:pPr>
              <w:pStyle w:val="244"/>
              <w:rPr>
                <w:rFonts w:ascii="仿宋" w:hAnsi="仿宋" w:eastAsia="仿宋" w:cs="仿宋"/>
                <w:color w:val="auto"/>
                <w:sz w:val="21"/>
                <w:szCs w:val="21"/>
              </w:rPr>
            </w:pPr>
          </w:p>
        </w:tc>
      </w:tr>
      <w:tr w14:paraId="5755BA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jc w:val="center"/>
        </w:trPr>
        <w:tc>
          <w:tcPr>
            <w:tcW w:w="487" w:type="dxa"/>
          </w:tcPr>
          <w:p w14:paraId="78AE136F">
            <w:pPr>
              <w:pStyle w:val="244"/>
              <w:rPr>
                <w:rFonts w:ascii="仿宋" w:hAnsi="仿宋" w:eastAsia="仿宋" w:cs="仿宋"/>
                <w:color w:val="auto"/>
                <w:sz w:val="21"/>
                <w:szCs w:val="21"/>
              </w:rPr>
            </w:pPr>
          </w:p>
        </w:tc>
        <w:tc>
          <w:tcPr>
            <w:tcW w:w="678" w:type="dxa"/>
          </w:tcPr>
          <w:p w14:paraId="564CBFA1">
            <w:pPr>
              <w:pStyle w:val="244"/>
              <w:rPr>
                <w:rFonts w:ascii="仿宋" w:hAnsi="仿宋" w:eastAsia="仿宋" w:cs="仿宋"/>
                <w:color w:val="auto"/>
                <w:sz w:val="21"/>
                <w:szCs w:val="21"/>
              </w:rPr>
            </w:pPr>
          </w:p>
        </w:tc>
        <w:tc>
          <w:tcPr>
            <w:tcW w:w="485" w:type="dxa"/>
          </w:tcPr>
          <w:p w14:paraId="653EBFB3">
            <w:pPr>
              <w:pStyle w:val="244"/>
              <w:rPr>
                <w:rFonts w:ascii="仿宋" w:hAnsi="仿宋" w:eastAsia="仿宋" w:cs="仿宋"/>
                <w:color w:val="auto"/>
                <w:sz w:val="21"/>
                <w:szCs w:val="21"/>
              </w:rPr>
            </w:pPr>
          </w:p>
        </w:tc>
        <w:tc>
          <w:tcPr>
            <w:tcW w:w="726" w:type="dxa"/>
          </w:tcPr>
          <w:p w14:paraId="0814DD3D">
            <w:pPr>
              <w:pStyle w:val="244"/>
              <w:rPr>
                <w:rFonts w:ascii="仿宋" w:hAnsi="仿宋" w:eastAsia="仿宋" w:cs="仿宋"/>
                <w:color w:val="auto"/>
                <w:sz w:val="21"/>
                <w:szCs w:val="21"/>
              </w:rPr>
            </w:pPr>
          </w:p>
        </w:tc>
        <w:tc>
          <w:tcPr>
            <w:tcW w:w="686" w:type="dxa"/>
          </w:tcPr>
          <w:p w14:paraId="48287B57">
            <w:pPr>
              <w:pStyle w:val="244"/>
              <w:rPr>
                <w:rFonts w:ascii="仿宋" w:hAnsi="仿宋" w:eastAsia="仿宋" w:cs="仿宋"/>
                <w:color w:val="auto"/>
                <w:sz w:val="21"/>
                <w:szCs w:val="21"/>
              </w:rPr>
            </w:pPr>
          </w:p>
        </w:tc>
        <w:tc>
          <w:tcPr>
            <w:tcW w:w="992" w:type="dxa"/>
          </w:tcPr>
          <w:p w14:paraId="1A2BDE67">
            <w:pPr>
              <w:pStyle w:val="244"/>
              <w:rPr>
                <w:rFonts w:ascii="仿宋" w:hAnsi="仿宋" w:eastAsia="仿宋" w:cs="仿宋"/>
                <w:color w:val="auto"/>
                <w:sz w:val="21"/>
                <w:szCs w:val="21"/>
              </w:rPr>
            </w:pPr>
          </w:p>
        </w:tc>
        <w:tc>
          <w:tcPr>
            <w:tcW w:w="1057" w:type="dxa"/>
          </w:tcPr>
          <w:p w14:paraId="75A33047">
            <w:pPr>
              <w:pStyle w:val="244"/>
              <w:rPr>
                <w:rFonts w:ascii="仿宋" w:hAnsi="仿宋" w:eastAsia="仿宋" w:cs="仿宋"/>
                <w:color w:val="auto"/>
                <w:sz w:val="21"/>
                <w:szCs w:val="21"/>
              </w:rPr>
            </w:pPr>
          </w:p>
        </w:tc>
        <w:tc>
          <w:tcPr>
            <w:tcW w:w="582" w:type="dxa"/>
          </w:tcPr>
          <w:p w14:paraId="55D36982">
            <w:pPr>
              <w:pStyle w:val="244"/>
              <w:rPr>
                <w:rFonts w:ascii="仿宋" w:hAnsi="仿宋" w:eastAsia="仿宋" w:cs="仿宋"/>
                <w:color w:val="auto"/>
                <w:sz w:val="21"/>
                <w:szCs w:val="21"/>
              </w:rPr>
            </w:pPr>
          </w:p>
        </w:tc>
        <w:tc>
          <w:tcPr>
            <w:tcW w:w="1133" w:type="dxa"/>
          </w:tcPr>
          <w:p w14:paraId="4576107B">
            <w:pPr>
              <w:pStyle w:val="244"/>
              <w:rPr>
                <w:rFonts w:ascii="仿宋" w:hAnsi="仿宋" w:eastAsia="仿宋" w:cs="仿宋"/>
                <w:color w:val="auto"/>
                <w:sz w:val="21"/>
                <w:szCs w:val="21"/>
              </w:rPr>
            </w:pPr>
          </w:p>
        </w:tc>
        <w:tc>
          <w:tcPr>
            <w:tcW w:w="756" w:type="dxa"/>
          </w:tcPr>
          <w:p w14:paraId="2448715D">
            <w:pPr>
              <w:pStyle w:val="244"/>
              <w:rPr>
                <w:rFonts w:ascii="仿宋" w:hAnsi="仿宋" w:eastAsia="仿宋" w:cs="仿宋"/>
                <w:color w:val="auto"/>
                <w:sz w:val="21"/>
                <w:szCs w:val="21"/>
              </w:rPr>
            </w:pPr>
          </w:p>
        </w:tc>
        <w:tc>
          <w:tcPr>
            <w:tcW w:w="754" w:type="dxa"/>
          </w:tcPr>
          <w:p w14:paraId="431E3B1C">
            <w:pPr>
              <w:pStyle w:val="244"/>
              <w:rPr>
                <w:rFonts w:ascii="仿宋" w:hAnsi="仿宋" w:eastAsia="仿宋" w:cs="仿宋"/>
                <w:color w:val="auto"/>
                <w:sz w:val="21"/>
                <w:szCs w:val="21"/>
              </w:rPr>
            </w:pPr>
          </w:p>
        </w:tc>
        <w:tc>
          <w:tcPr>
            <w:tcW w:w="704" w:type="dxa"/>
          </w:tcPr>
          <w:p w14:paraId="24C5DA3F">
            <w:pPr>
              <w:pStyle w:val="244"/>
              <w:rPr>
                <w:rFonts w:ascii="仿宋" w:hAnsi="仿宋" w:eastAsia="仿宋" w:cs="仿宋"/>
                <w:color w:val="auto"/>
                <w:sz w:val="21"/>
                <w:szCs w:val="21"/>
              </w:rPr>
            </w:pPr>
          </w:p>
        </w:tc>
      </w:tr>
      <w:tr w14:paraId="092F68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jc w:val="center"/>
        </w:trPr>
        <w:tc>
          <w:tcPr>
            <w:tcW w:w="487" w:type="dxa"/>
          </w:tcPr>
          <w:p w14:paraId="380C4EBB">
            <w:pPr>
              <w:pStyle w:val="244"/>
              <w:rPr>
                <w:rFonts w:ascii="仿宋" w:hAnsi="仿宋" w:eastAsia="仿宋" w:cs="仿宋"/>
                <w:color w:val="auto"/>
                <w:sz w:val="21"/>
                <w:szCs w:val="21"/>
              </w:rPr>
            </w:pPr>
          </w:p>
        </w:tc>
        <w:tc>
          <w:tcPr>
            <w:tcW w:w="678" w:type="dxa"/>
          </w:tcPr>
          <w:p w14:paraId="0D7E7DD6">
            <w:pPr>
              <w:pStyle w:val="244"/>
              <w:rPr>
                <w:rFonts w:ascii="仿宋" w:hAnsi="仿宋" w:eastAsia="仿宋" w:cs="仿宋"/>
                <w:color w:val="auto"/>
                <w:sz w:val="21"/>
                <w:szCs w:val="21"/>
              </w:rPr>
            </w:pPr>
          </w:p>
        </w:tc>
        <w:tc>
          <w:tcPr>
            <w:tcW w:w="485" w:type="dxa"/>
          </w:tcPr>
          <w:p w14:paraId="15CB113E">
            <w:pPr>
              <w:pStyle w:val="244"/>
              <w:rPr>
                <w:rFonts w:ascii="仿宋" w:hAnsi="仿宋" w:eastAsia="仿宋" w:cs="仿宋"/>
                <w:color w:val="auto"/>
                <w:sz w:val="21"/>
                <w:szCs w:val="21"/>
              </w:rPr>
            </w:pPr>
          </w:p>
        </w:tc>
        <w:tc>
          <w:tcPr>
            <w:tcW w:w="726" w:type="dxa"/>
          </w:tcPr>
          <w:p w14:paraId="60DBB233">
            <w:pPr>
              <w:pStyle w:val="244"/>
              <w:rPr>
                <w:rFonts w:ascii="仿宋" w:hAnsi="仿宋" w:eastAsia="仿宋" w:cs="仿宋"/>
                <w:color w:val="auto"/>
                <w:sz w:val="21"/>
                <w:szCs w:val="21"/>
              </w:rPr>
            </w:pPr>
          </w:p>
        </w:tc>
        <w:tc>
          <w:tcPr>
            <w:tcW w:w="686" w:type="dxa"/>
          </w:tcPr>
          <w:p w14:paraId="6887B0B0">
            <w:pPr>
              <w:pStyle w:val="244"/>
              <w:rPr>
                <w:rFonts w:ascii="仿宋" w:hAnsi="仿宋" w:eastAsia="仿宋" w:cs="仿宋"/>
                <w:color w:val="auto"/>
                <w:sz w:val="21"/>
                <w:szCs w:val="21"/>
              </w:rPr>
            </w:pPr>
          </w:p>
        </w:tc>
        <w:tc>
          <w:tcPr>
            <w:tcW w:w="992" w:type="dxa"/>
          </w:tcPr>
          <w:p w14:paraId="25D7BF8A">
            <w:pPr>
              <w:pStyle w:val="244"/>
              <w:rPr>
                <w:rFonts w:ascii="仿宋" w:hAnsi="仿宋" w:eastAsia="仿宋" w:cs="仿宋"/>
                <w:color w:val="auto"/>
                <w:sz w:val="21"/>
                <w:szCs w:val="21"/>
              </w:rPr>
            </w:pPr>
          </w:p>
        </w:tc>
        <w:tc>
          <w:tcPr>
            <w:tcW w:w="1057" w:type="dxa"/>
          </w:tcPr>
          <w:p w14:paraId="19A81F95">
            <w:pPr>
              <w:pStyle w:val="244"/>
              <w:rPr>
                <w:rFonts w:ascii="仿宋" w:hAnsi="仿宋" w:eastAsia="仿宋" w:cs="仿宋"/>
                <w:color w:val="auto"/>
                <w:sz w:val="21"/>
                <w:szCs w:val="21"/>
              </w:rPr>
            </w:pPr>
          </w:p>
        </w:tc>
        <w:tc>
          <w:tcPr>
            <w:tcW w:w="582" w:type="dxa"/>
          </w:tcPr>
          <w:p w14:paraId="1E0BE354">
            <w:pPr>
              <w:pStyle w:val="244"/>
              <w:rPr>
                <w:rFonts w:ascii="仿宋" w:hAnsi="仿宋" w:eastAsia="仿宋" w:cs="仿宋"/>
                <w:color w:val="auto"/>
                <w:sz w:val="21"/>
                <w:szCs w:val="21"/>
              </w:rPr>
            </w:pPr>
          </w:p>
        </w:tc>
        <w:tc>
          <w:tcPr>
            <w:tcW w:w="1133" w:type="dxa"/>
          </w:tcPr>
          <w:p w14:paraId="04017B0B">
            <w:pPr>
              <w:pStyle w:val="244"/>
              <w:rPr>
                <w:rFonts w:ascii="仿宋" w:hAnsi="仿宋" w:eastAsia="仿宋" w:cs="仿宋"/>
                <w:color w:val="auto"/>
                <w:sz w:val="21"/>
                <w:szCs w:val="21"/>
              </w:rPr>
            </w:pPr>
          </w:p>
        </w:tc>
        <w:tc>
          <w:tcPr>
            <w:tcW w:w="756" w:type="dxa"/>
          </w:tcPr>
          <w:p w14:paraId="11DF4CD9">
            <w:pPr>
              <w:pStyle w:val="244"/>
              <w:rPr>
                <w:rFonts w:ascii="仿宋" w:hAnsi="仿宋" w:eastAsia="仿宋" w:cs="仿宋"/>
                <w:color w:val="auto"/>
                <w:sz w:val="21"/>
                <w:szCs w:val="21"/>
              </w:rPr>
            </w:pPr>
          </w:p>
        </w:tc>
        <w:tc>
          <w:tcPr>
            <w:tcW w:w="754" w:type="dxa"/>
          </w:tcPr>
          <w:p w14:paraId="1492B51D">
            <w:pPr>
              <w:pStyle w:val="244"/>
              <w:rPr>
                <w:rFonts w:ascii="仿宋" w:hAnsi="仿宋" w:eastAsia="仿宋" w:cs="仿宋"/>
                <w:color w:val="auto"/>
                <w:sz w:val="21"/>
                <w:szCs w:val="21"/>
              </w:rPr>
            </w:pPr>
          </w:p>
        </w:tc>
        <w:tc>
          <w:tcPr>
            <w:tcW w:w="704" w:type="dxa"/>
          </w:tcPr>
          <w:p w14:paraId="07858FE1">
            <w:pPr>
              <w:pStyle w:val="244"/>
              <w:rPr>
                <w:rFonts w:ascii="仿宋" w:hAnsi="仿宋" w:eastAsia="仿宋" w:cs="仿宋"/>
                <w:color w:val="auto"/>
                <w:sz w:val="21"/>
                <w:szCs w:val="21"/>
              </w:rPr>
            </w:pPr>
          </w:p>
        </w:tc>
      </w:tr>
      <w:tr w14:paraId="47F705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jc w:val="center"/>
        </w:trPr>
        <w:tc>
          <w:tcPr>
            <w:tcW w:w="487" w:type="dxa"/>
          </w:tcPr>
          <w:p w14:paraId="7800019E">
            <w:pPr>
              <w:pStyle w:val="244"/>
              <w:rPr>
                <w:rFonts w:ascii="仿宋" w:hAnsi="仿宋" w:eastAsia="仿宋" w:cs="仿宋"/>
                <w:color w:val="auto"/>
                <w:sz w:val="21"/>
                <w:szCs w:val="21"/>
              </w:rPr>
            </w:pPr>
          </w:p>
        </w:tc>
        <w:tc>
          <w:tcPr>
            <w:tcW w:w="678" w:type="dxa"/>
          </w:tcPr>
          <w:p w14:paraId="6C854706">
            <w:pPr>
              <w:pStyle w:val="244"/>
              <w:rPr>
                <w:rFonts w:ascii="仿宋" w:hAnsi="仿宋" w:eastAsia="仿宋" w:cs="仿宋"/>
                <w:color w:val="auto"/>
                <w:sz w:val="21"/>
                <w:szCs w:val="21"/>
              </w:rPr>
            </w:pPr>
          </w:p>
        </w:tc>
        <w:tc>
          <w:tcPr>
            <w:tcW w:w="485" w:type="dxa"/>
          </w:tcPr>
          <w:p w14:paraId="1FD5C2FC">
            <w:pPr>
              <w:pStyle w:val="244"/>
              <w:rPr>
                <w:rFonts w:ascii="仿宋" w:hAnsi="仿宋" w:eastAsia="仿宋" w:cs="仿宋"/>
                <w:color w:val="auto"/>
                <w:sz w:val="21"/>
                <w:szCs w:val="21"/>
              </w:rPr>
            </w:pPr>
          </w:p>
        </w:tc>
        <w:tc>
          <w:tcPr>
            <w:tcW w:w="726" w:type="dxa"/>
          </w:tcPr>
          <w:p w14:paraId="1912C5AE">
            <w:pPr>
              <w:pStyle w:val="244"/>
              <w:rPr>
                <w:rFonts w:ascii="仿宋" w:hAnsi="仿宋" w:eastAsia="仿宋" w:cs="仿宋"/>
                <w:color w:val="auto"/>
                <w:sz w:val="21"/>
                <w:szCs w:val="21"/>
              </w:rPr>
            </w:pPr>
          </w:p>
        </w:tc>
        <w:tc>
          <w:tcPr>
            <w:tcW w:w="686" w:type="dxa"/>
          </w:tcPr>
          <w:p w14:paraId="3CB0A2CA">
            <w:pPr>
              <w:pStyle w:val="244"/>
              <w:rPr>
                <w:rFonts w:ascii="仿宋" w:hAnsi="仿宋" w:eastAsia="仿宋" w:cs="仿宋"/>
                <w:color w:val="auto"/>
                <w:sz w:val="21"/>
                <w:szCs w:val="21"/>
              </w:rPr>
            </w:pPr>
          </w:p>
        </w:tc>
        <w:tc>
          <w:tcPr>
            <w:tcW w:w="992" w:type="dxa"/>
          </w:tcPr>
          <w:p w14:paraId="56FDB8EC">
            <w:pPr>
              <w:pStyle w:val="244"/>
              <w:rPr>
                <w:rFonts w:ascii="仿宋" w:hAnsi="仿宋" w:eastAsia="仿宋" w:cs="仿宋"/>
                <w:color w:val="auto"/>
                <w:sz w:val="21"/>
                <w:szCs w:val="21"/>
              </w:rPr>
            </w:pPr>
          </w:p>
        </w:tc>
        <w:tc>
          <w:tcPr>
            <w:tcW w:w="1057" w:type="dxa"/>
          </w:tcPr>
          <w:p w14:paraId="12E51B2A">
            <w:pPr>
              <w:pStyle w:val="244"/>
              <w:rPr>
                <w:rFonts w:ascii="仿宋" w:hAnsi="仿宋" w:eastAsia="仿宋" w:cs="仿宋"/>
                <w:color w:val="auto"/>
                <w:sz w:val="21"/>
                <w:szCs w:val="21"/>
              </w:rPr>
            </w:pPr>
          </w:p>
        </w:tc>
        <w:tc>
          <w:tcPr>
            <w:tcW w:w="582" w:type="dxa"/>
          </w:tcPr>
          <w:p w14:paraId="5CAE5F97">
            <w:pPr>
              <w:pStyle w:val="244"/>
              <w:rPr>
                <w:rFonts w:ascii="仿宋" w:hAnsi="仿宋" w:eastAsia="仿宋" w:cs="仿宋"/>
                <w:color w:val="auto"/>
                <w:sz w:val="21"/>
                <w:szCs w:val="21"/>
              </w:rPr>
            </w:pPr>
          </w:p>
        </w:tc>
        <w:tc>
          <w:tcPr>
            <w:tcW w:w="1133" w:type="dxa"/>
          </w:tcPr>
          <w:p w14:paraId="0A6B19D8">
            <w:pPr>
              <w:pStyle w:val="244"/>
              <w:rPr>
                <w:rFonts w:ascii="仿宋" w:hAnsi="仿宋" w:eastAsia="仿宋" w:cs="仿宋"/>
                <w:color w:val="auto"/>
                <w:sz w:val="21"/>
                <w:szCs w:val="21"/>
              </w:rPr>
            </w:pPr>
          </w:p>
        </w:tc>
        <w:tc>
          <w:tcPr>
            <w:tcW w:w="756" w:type="dxa"/>
          </w:tcPr>
          <w:p w14:paraId="19779B6D">
            <w:pPr>
              <w:pStyle w:val="244"/>
              <w:rPr>
                <w:rFonts w:ascii="仿宋" w:hAnsi="仿宋" w:eastAsia="仿宋" w:cs="仿宋"/>
                <w:color w:val="auto"/>
                <w:sz w:val="21"/>
                <w:szCs w:val="21"/>
              </w:rPr>
            </w:pPr>
          </w:p>
        </w:tc>
        <w:tc>
          <w:tcPr>
            <w:tcW w:w="754" w:type="dxa"/>
          </w:tcPr>
          <w:p w14:paraId="620B14A1">
            <w:pPr>
              <w:pStyle w:val="244"/>
              <w:rPr>
                <w:rFonts w:ascii="仿宋" w:hAnsi="仿宋" w:eastAsia="仿宋" w:cs="仿宋"/>
                <w:color w:val="auto"/>
                <w:sz w:val="21"/>
                <w:szCs w:val="21"/>
              </w:rPr>
            </w:pPr>
          </w:p>
        </w:tc>
        <w:tc>
          <w:tcPr>
            <w:tcW w:w="704" w:type="dxa"/>
          </w:tcPr>
          <w:p w14:paraId="41D4F578">
            <w:pPr>
              <w:pStyle w:val="244"/>
              <w:rPr>
                <w:rFonts w:ascii="仿宋" w:hAnsi="仿宋" w:eastAsia="仿宋" w:cs="仿宋"/>
                <w:color w:val="auto"/>
                <w:sz w:val="21"/>
                <w:szCs w:val="21"/>
              </w:rPr>
            </w:pPr>
          </w:p>
        </w:tc>
      </w:tr>
      <w:tr w14:paraId="2A187E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jc w:val="center"/>
        </w:trPr>
        <w:tc>
          <w:tcPr>
            <w:tcW w:w="487" w:type="dxa"/>
          </w:tcPr>
          <w:p w14:paraId="03B028CB">
            <w:pPr>
              <w:pStyle w:val="244"/>
              <w:rPr>
                <w:rFonts w:ascii="仿宋" w:hAnsi="仿宋" w:eastAsia="仿宋" w:cs="仿宋"/>
                <w:color w:val="auto"/>
                <w:sz w:val="21"/>
                <w:szCs w:val="21"/>
              </w:rPr>
            </w:pPr>
          </w:p>
        </w:tc>
        <w:tc>
          <w:tcPr>
            <w:tcW w:w="678" w:type="dxa"/>
          </w:tcPr>
          <w:p w14:paraId="108EF68B">
            <w:pPr>
              <w:pStyle w:val="244"/>
              <w:rPr>
                <w:rFonts w:ascii="仿宋" w:hAnsi="仿宋" w:eastAsia="仿宋" w:cs="仿宋"/>
                <w:color w:val="auto"/>
                <w:sz w:val="21"/>
                <w:szCs w:val="21"/>
              </w:rPr>
            </w:pPr>
          </w:p>
        </w:tc>
        <w:tc>
          <w:tcPr>
            <w:tcW w:w="485" w:type="dxa"/>
          </w:tcPr>
          <w:p w14:paraId="322B4827">
            <w:pPr>
              <w:pStyle w:val="244"/>
              <w:rPr>
                <w:rFonts w:ascii="仿宋" w:hAnsi="仿宋" w:eastAsia="仿宋" w:cs="仿宋"/>
                <w:color w:val="auto"/>
                <w:sz w:val="21"/>
                <w:szCs w:val="21"/>
              </w:rPr>
            </w:pPr>
          </w:p>
        </w:tc>
        <w:tc>
          <w:tcPr>
            <w:tcW w:w="726" w:type="dxa"/>
          </w:tcPr>
          <w:p w14:paraId="235F6170">
            <w:pPr>
              <w:pStyle w:val="244"/>
              <w:rPr>
                <w:rFonts w:ascii="仿宋" w:hAnsi="仿宋" w:eastAsia="仿宋" w:cs="仿宋"/>
                <w:color w:val="auto"/>
                <w:sz w:val="21"/>
                <w:szCs w:val="21"/>
              </w:rPr>
            </w:pPr>
          </w:p>
        </w:tc>
        <w:tc>
          <w:tcPr>
            <w:tcW w:w="686" w:type="dxa"/>
          </w:tcPr>
          <w:p w14:paraId="49E16F74">
            <w:pPr>
              <w:pStyle w:val="244"/>
              <w:rPr>
                <w:rFonts w:ascii="仿宋" w:hAnsi="仿宋" w:eastAsia="仿宋" w:cs="仿宋"/>
                <w:color w:val="auto"/>
                <w:sz w:val="21"/>
                <w:szCs w:val="21"/>
              </w:rPr>
            </w:pPr>
          </w:p>
        </w:tc>
        <w:tc>
          <w:tcPr>
            <w:tcW w:w="992" w:type="dxa"/>
          </w:tcPr>
          <w:p w14:paraId="4F8A066C">
            <w:pPr>
              <w:pStyle w:val="244"/>
              <w:rPr>
                <w:rFonts w:ascii="仿宋" w:hAnsi="仿宋" w:eastAsia="仿宋" w:cs="仿宋"/>
                <w:color w:val="auto"/>
                <w:sz w:val="21"/>
                <w:szCs w:val="21"/>
              </w:rPr>
            </w:pPr>
          </w:p>
        </w:tc>
        <w:tc>
          <w:tcPr>
            <w:tcW w:w="1057" w:type="dxa"/>
          </w:tcPr>
          <w:p w14:paraId="48CF3900">
            <w:pPr>
              <w:pStyle w:val="244"/>
              <w:rPr>
                <w:rFonts w:ascii="仿宋" w:hAnsi="仿宋" w:eastAsia="仿宋" w:cs="仿宋"/>
                <w:color w:val="auto"/>
                <w:sz w:val="21"/>
                <w:szCs w:val="21"/>
              </w:rPr>
            </w:pPr>
          </w:p>
        </w:tc>
        <w:tc>
          <w:tcPr>
            <w:tcW w:w="582" w:type="dxa"/>
          </w:tcPr>
          <w:p w14:paraId="4FD39DA4">
            <w:pPr>
              <w:pStyle w:val="244"/>
              <w:rPr>
                <w:rFonts w:ascii="仿宋" w:hAnsi="仿宋" w:eastAsia="仿宋" w:cs="仿宋"/>
                <w:color w:val="auto"/>
                <w:sz w:val="21"/>
                <w:szCs w:val="21"/>
              </w:rPr>
            </w:pPr>
          </w:p>
        </w:tc>
        <w:tc>
          <w:tcPr>
            <w:tcW w:w="1133" w:type="dxa"/>
          </w:tcPr>
          <w:p w14:paraId="358EE5C9">
            <w:pPr>
              <w:pStyle w:val="244"/>
              <w:rPr>
                <w:rFonts w:ascii="仿宋" w:hAnsi="仿宋" w:eastAsia="仿宋" w:cs="仿宋"/>
                <w:color w:val="auto"/>
                <w:sz w:val="21"/>
                <w:szCs w:val="21"/>
              </w:rPr>
            </w:pPr>
          </w:p>
        </w:tc>
        <w:tc>
          <w:tcPr>
            <w:tcW w:w="756" w:type="dxa"/>
          </w:tcPr>
          <w:p w14:paraId="318ECC29">
            <w:pPr>
              <w:pStyle w:val="244"/>
              <w:rPr>
                <w:rFonts w:ascii="仿宋" w:hAnsi="仿宋" w:eastAsia="仿宋" w:cs="仿宋"/>
                <w:color w:val="auto"/>
                <w:sz w:val="21"/>
                <w:szCs w:val="21"/>
              </w:rPr>
            </w:pPr>
          </w:p>
        </w:tc>
        <w:tc>
          <w:tcPr>
            <w:tcW w:w="754" w:type="dxa"/>
          </w:tcPr>
          <w:p w14:paraId="00DB2CA5">
            <w:pPr>
              <w:pStyle w:val="244"/>
              <w:rPr>
                <w:rFonts w:ascii="仿宋" w:hAnsi="仿宋" w:eastAsia="仿宋" w:cs="仿宋"/>
                <w:color w:val="auto"/>
                <w:sz w:val="21"/>
                <w:szCs w:val="21"/>
              </w:rPr>
            </w:pPr>
          </w:p>
        </w:tc>
        <w:tc>
          <w:tcPr>
            <w:tcW w:w="704" w:type="dxa"/>
          </w:tcPr>
          <w:p w14:paraId="2A100ED3">
            <w:pPr>
              <w:pStyle w:val="244"/>
              <w:rPr>
                <w:rFonts w:ascii="仿宋" w:hAnsi="仿宋" w:eastAsia="仿宋" w:cs="仿宋"/>
                <w:color w:val="auto"/>
                <w:sz w:val="21"/>
                <w:szCs w:val="21"/>
              </w:rPr>
            </w:pPr>
          </w:p>
        </w:tc>
      </w:tr>
      <w:tr w14:paraId="320E03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jc w:val="center"/>
        </w:trPr>
        <w:tc>
          <w:tcPr>
            <w:tcW w:w="487" w:type="dxa"/>
          </w:tcPr>
          <w:p w14:paraId="6B44D818">
            <w:pPr>
              <w:pStyle w:val="244"/>
              <w:rPr>
                <w:rFonts w:ascii="仿宋" w:hAnsi="仿宋" w:eastAsia="仿宋" w:cs="仿宋"/>
                <w:color w:val="auto"/>
                <w:sz w:val="21"/>
                <w:szCs w:val="21"/>
              </w:rPr>
            </w:pPr>
          </w:p>
        </w:tc>
        <w:tc>
          <w:tcPr>
            <w:tcW w:w="678" w:type="dxa"/>
          </w:tcPr>
          <w:p w14:paraId="7AE25E41">
            <w:pPr>
              <w:pStyle w:val="244"/>
              <w:rPr>
                <w:rFonts w:ascii="仿宋" w:hAnsi="仿宋" w:eastAsia="仿宋" w:cs="仿宋"/>
                <w:color w:val="auto"/>
                <w:sz w:val="21"/>
                <w:szCs w:val="21"/>
              </w:rPr>
            </w:pPr>
          </w:p>
        </w:tc>
        <w:tc>
          <w:tcPr>
            <w:tcW w:w="485" w:type="dxa"/>
          </w:tcPr>
          <w:p w14:paraId="35B06E32">
            <w:pPr>
              <w:pStyle w:val="244"/>
              <w:rPr>
                <w:rFonts w:ascii="仿宋" w:hAnsi="仿宋" w:eastAsia="仿宋" w:cs="仿宋"/>
                <w:color w:val="auto"/>
                <w:sz w:val="21"/>
                <w:szCs w:val="21"/>
              </w:rPr>
            </w:pPr>
          </w:p>
        </w:tc>
        <w:tc>
          <w:tcPr>
            <w:tcW w:w="726" w:type="dxa"/>
          </w:tcPr>
          <w:p w14:paraId="5C23D62D">
            <w:pPr>
              <w:pStyle w:val="244"/>
              <w:rPr>
                <w:rFonts w:ascii="仿宋" w:hAnsi="仿宋" w:eastAsia="仿宋" w:cs="仿宋"/>
                <w:color w:val="auto"/>
                <w:sz w:val="21"/>
                <w:szCs w:val="21"/>
              </w:rPr>
            </w:pPr>
          </w:p>
        </w:tc>
        <w:tc>
          <w:tcPr>
            <w:tcW w:w="686" w:type="dxa"/>
          </w:tcPr>
          <w:p w14:paraId="63DDE545">
            <w:pPr>
              <w:pStyle w:val="244"/>
              <w:rPr>
                <w:rFonts w:ascii="仿宋" w:hAnsi="仿宋" w:eastAsia="仿宋" w:cs="仿宋"/>
                <w:color w:val="auto"/>
                <w:sz w:val="21"/>
                <w:szCs w:val="21"/>
              </w:rPr>
            </w:pPr>
          </w:p>
        </w:tc>
        <w:tc>
          <w:tcPr>
            <w:tcW w:w="992" w:type="dxa"/>
          </w:tcPr>
          <w:p w14:paraId="1A705903">
            <w:pPr>
              <w:pStyle w:val="244"/>
              <w:rPr>
                <w:rFonts w:ascii="仿宋" w:hAnsi="仿宋" w:eastAsia="仿宋" w:cs="仿宋"/>
                <w:color w:val="auto"/>
                <w:sz w:val="21"/>
                <w:szCs w:val="21"/>
              </w:rPr>
            </w:pPr>
          </w:p>
        </w:tc>
        <w:tc>
          <w:tcPr>
            <w:tcW w:w="1057" w:type="dxa"/>
          </w:tcPr>
          <w:p w14:paraId="1623F603">
            <w:pPr>
              <w:pStyle w:val="244"/>
              <w:rPr>
                <w:rFonts w:ascii="仿宋" w:hAnsi="仿宋" w:eastAsia="仿宋" w:cs="仿宋"/>
                <w:color w:val="auto"/>
                <w:sz w:val="21"/>
                <w:szCs w:val="21"/>
              </w:rPr>
            </w:pPr>
          </w:p>
        </w:tc>
        <w:tc>
          <w:tcPr>
            <w:tcW w:w="582" w:type="dxa"/>
          </w:tcPr>
          <w:p w14:paraId="60C63C6D">
            <w:pPr>
              <w:pStyle w:val="244"/>
              <w:rPr>
                <w:rFonts w:ascii="仿宋" w:hAnsi="仿宋" w:eastAsia="仿宋" w:cs="仿宋"/>
                <w:color w:val="auto"/>
                <w:sz w:val="21"/>
                <w:szCs w:val="21"/>
              </w:rPr>
            </w:pPr>
          </w:p>
        </w:tc>
        <w:tc>
          <w:tcPr>
            <w:tcW w:w="1133" w:type="dxa"/>
          </w:tcPr>
          <w:p w14:paraId="387A6497">
            <w:pPr>
              <w:pStyle w:val="244"/>
              <w:rPr>
                <w:rFonts w:ascii="仿宋" w:hAnsi="仿宋" w:eastAsia="仿宋" w:cs="仿宋"/>
                <w:color w:val="auto"/>
                <w:sz w:val="21"/>
                <w:szCs w:val="21"/>
              </w:rPr>
            </w:pPr>
          </w:p>
        </w:tc>
        <w:tc>
          <w:tcPr>
            <w:tcW w:w="756" w:type="dxa"/>
          </w:tcPr>
          <w:p w14:paraId="31EB42D1">
            <w:pPr>
              <w:pStyle w:val="244"/>
              <w:rPr>
                <w:rFonts w:ascii="仿宋" w:hAnsi="仿宋" w:eastAsia="仿宋" w:cs="仿宋"/>
                <w:color w:val="auto"/>
                <w:sz w:val="21"/>
                <w:szCs w:val="21"/>
              </w:rPr>
            </w:pPr>
          </w:p>
        </w:tc>
        <w:tc>
          <w:tcPr>
            <w:tcW w:w="754" w:type="dxa"/>
          </w:tcPr>
          <w:p w14:paraId="4C670C4E">
            <w:pPr>
              <w:pStyle w:val="244"/>
              <w:rPr>
                <w:rFonts w:ascii="仿宋" w:hAnsi="仿宋" w:eastAsia="仿宋" w:cs="仿宋"/>
                <w:color w:val="auto"/>
                <w:sz w:val="21"/>
                <w:szCs w:val="21"/>
              </w:rPr>
            </w:pPr>
          </w:p>
        </w:tc>
        <w:tc>
          <w:tcPr>
            <w:tcW w:w="704" w:type="dxa"/>
          </w:tcPr>
          <w:p w14:paraId="5E59C2D9">
            <w:pPr>
              <w:pStyle w:val="244"/>
              <w:rPr>
                <w:rFonts w:ascii="仿宋" w:hAnsi="仿宋" w:eastAsia="仿宋" w:cs="仿宋"/>
                <w:color w:val="auto"/>
                <w:sz w:val="21"/>
                <w:szCs w:val="21"/>
              </w:rPr>
            </w:pPr>
          </w:p>
        </w:tc>
      </w:tr>
      <w:tr w14:paraId="1E92AA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jc w:val="center"/>
        </w:trPr>
        <w:tc>
          <w:tcPr>
            <w:tcW w:w="487" w:type="dxa"/>
          </w:tcPr>
          <w:p w14:paraId="72306FE8">
            <w:pPr>
              <w:pStyle w:val="244"/>
              <w:rPr>
                <w:rFonts w:ascii="仿宋" w:hAnsi="仿宋" w:eastAsia="仿宋" w:cs="仿宋"/>
                <w:color w:val="auto"/>
                <w:sz w:val="21"/>
                <w:szCs w:val="21"/>
              </w:rPr>
            </w:pPr>
          </w:p>
        </w:tc>
        <w:tc>
          <w:tcPr>
            <w:tcW w:w="678" w:type="dxa"/>
          </w:tcPr>
          <w:p w14:paraId="592230D0">
            <w:pPr>
              <w:pStyle w:val="244"/>
              <w:rPr>
                <w:rFonts w:ascii="仿宋" w:hAnsi="仿宋" w:eastAsia="仿宋" w:cs="仿宋"/>
                <w:color w:val="auto"/>
                <w:sz w:val="21"/>
                <w:szCs w:val="21"/>
              </w:rPr>
            </w:pPr>
          </w:p>
        </w:tc>
        <w:tc>
          <w:tcPr>
            <w:tcW w:w="485" w:type="dxa"/>
          </w:tcPr>
          <w:p w14:paraId="3584E49A">
            <w:pPr>
              <w:pStyle w:val="244"/>
              <w:rPr>
                <w:rFonts w:ascii="仿宋" w:hAnsi="仿宋" w:eastAsia="仿宋" w:cs="仿宋"/>
                <w:color w:val="auto"/>
                <w:sz w:val="21"/>
                <w:szCs w:val="21"/>
              </w:rPr>
            </w:pPr>
          </w:p>
        </w:tc>
        <w:tc>
          <w:tcPr>
            <w:tcW w:w="726" w:type="dxa"/>
          </w:tcPr>
          <w:p w14:paraId="35ACD525">
            <w:pPr>
              <w:pStyle w:val="244"/>
              <w:rPr>
                <w:rFonts w:ascii="仿宋" w:hAnsi="仿宋" w:eastAsia="仿宋" w:cs="仿宋"/>
                <w:color w:val="auto"/>
                <w:sz w:val="21"/>
                <w:szCs w:val="21"/>
              </w:rPr>
            </w:pPr>
          </w:p>
        </w:tc>
        <w:tc>
          <w:tcPr>
            <w:tcW w:w="686" w:type="dxa"/>
          </w:tcPr>
          <w:p w14:paraId="681AC153">
            <w:pPr>
              <w:pStyle w:val="244"/>
              <w:rPr>
                <w:rFonts w:ascii="仿宋" w:hAnsi="仿宋" w:eastAsia="仿宋" w:cs="仿宋"/>
                <w:color w:val="auto"/>
                <w:sz w:val="21"/>
                <w:szCs w:val="21"/>
              </w:rPr>
            </w:pPr>
          </w:p>
        </w:tc>
        <w:tc>
          <w:tcPr>
            <w:tcW w:w="992" w:type="dxa"/>
          </w:tcPr>
          <w:p w14:paraId="7C87E068">
            <w:pPr>
              <w:pStyle w:val="244"/>
              <w:rPr>
                <w:rFonts w:ascii="仿宋" w:hAnsi="仿宋" w:eastAsia="仿宋" w:cs="仿宋"/>
                <w:color w:val="auto"/>
                <w:sz w:val="21"/>
                <w:szCs w:val="21"/>
              </w:rPr>
            </w:pPr>
          </w:p>
        </w:tc>
        <w:tc>
          <w:tcPr>
            <w:tcW w:w="1057" w:type="dxa"/>
          </w:tcPr>
          <w:p w14:paraId="26CDBDDD">
            <w:pPr>
              <w:pStyle w:val="244"/>
              <w:rPr>
                <w:rFonts w:ascii="仿宋" w:hAnsi="仿宋" w:eastAsia="仿宋" w:cs="仿宋"/>
                <w:color w:val="auto"/>
                <w:sz w:val="21"/>
                <w:szCs w:val="21"/>
              </w:rPr>
            </w:pPr>
          </w:p>
        </w:tc>
        <w:tc>
          <w:tcPr>
            <w:tcW w:w="582" w:type="dxa"/>
          </w:tcPr>
          <w:p w14:paraId="3E1E8DA0">
            <w:pPr>
              <w:pStyle w:val="244"/>
              <w:rPr>
                <w:rFonts w:ascii="仿宋" w:hAnsi="仿宋" w:eastAsia="仿宋" w:cs="仿宋"/>
                <w:color w:val="auto"/>
                <w:sz w:val="21"/>
                <w:szCs w:val="21"/>
              </w:rPr>
            </w:pPr>
          </w:p>
        </w:tc>
        <w:tc>
          <w:tcPr>
            <w:tcW w:w="1133" w:type="dxa"/>
          </w:tcPr>
          <w:p w14:paraId="6B1DAC73">
            <w:pPr>
              <w:pStyle w:val="244"/>
              <w:rPr>
                <w:rFonts w:ascii="仿宋" w:hAnsi="仿宋" w:eastAsia="仿宋" w:cs="仿宋"/>
                <w:color w:val="auto"/>
                <w:sz w:val="21"/>
                <w:szCs w:val="21"/>
              </w:rPr>
            </w:pPr>
          </w:p>
        </w:tc>
        <w:tc>
          <w:tcPr>
            <w:tcW w:w="756" w:type="dxa"/>
          </w:tcPr>
          <w:p w14:paraId="785543BE">
            <w:pPr>
              <w:pStyle w:val="244"/>
              <w:rPr>
                <w:rFonts w:ascii="仿宋" w:hAnsi="仿宋" w:eastAsia="仿宋" w:cs="仿宋"/>
                <w:color w:val="auto"/>
                <w:sz w:val="21"/>
                <w:szCs w:val="21"/>
              </w:rPr>
            </w:pPr>
          </w:p>
        </w:tc>
        <w:tc>
          <w:tcPr>
            <w:tcW w:w="754" w:type="dxa"/>
          </w:tcPr>
          <w:p w14:paraId="201C11F9">
            <w:pPr>
              <w:pStyle w:val="244"/>
              <w:rPr>
                <w:rFonts w:ascii="仿宋" w:hAnsi="仿宋" w:eastAsia="仿宋" w:cs="仿宋"/>
                <w:color w:val="auto"/>
                <w:sz w:val="21"/>
                <w:szCs w:val="21"/>
              </w:rPr>
            </w:pPr>
          </w:p>
        </w:tc>
        <w:tc>
          <w:tcPr>
            <w:tcW w:w="704" w:type="dxa"/>
          </w:tcPr>
          <w:p w14:paraId="2E927419">
            <w:pPr>
              <w:pStyle w:val="244"/>
              <w:rPr>
                <w:rFonts w:ascii="仿宋" w:hAnsi="仿宋" w:eastAsia="仿宋" w:cs="仿宋"/>
                <w:color w:val="auto"/>
                <w:sz w:val="21"/>
                <w:szCs w:val="21"/>
              </w:rPr>
            </w:pPr>
          </w:p>
        </w:tc>
      </w:tr>
      <w:tr w14:paraId="1982D7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jc w:val="center"/>
        </w:trPr>
        <w:tc>
          <w:tcPr>
            <w:tcW w:w="487" w:type="dxa"/>
          </w:tcPr>
          <w:p w14:paraId="1FB793A3">
            <w:pPr>
              <w:pStyle w:val="244"/>
              <w:rPr>
                <w:rFonts w:ascii="仿宋" w:hAnsi="仿宋" w:eastAsia="仿宋" w:cs="仿宋"/>
                <w:color w:val="auto"/>
                <w:sz w:val="21"/>
                <w:szCs w:val="21"/>
              </w:rPr>
            </w:pPr>
          </w:p>
        </w:tc>
        <w:tc>
          <w:tcPr>
            <w:tcW w:w="678" w:type="dxa"/>
          </w:tcPr>
          <w:p w14:paraId="735A486F">
            <w:pPr>
              <w:pStyle w:val="244"/>
              <w:rPr>
                <w:rFonts w:ascii="仿宋" w:hAnsi="仿宋" w:eastAsia="仿宋" w:cs="仿宋"/>
                <w:color w:val="auto"/>
                <w:sz w:val="21"/>
                <w:szCs w:val="21"/>
              </w:rPr>
            </w:pPr>
          </w:p>
        </w:tc>
        <w:tc>
          <w:tcPr>
            <w:tcW w:w="485" w:type="dxa"/>
          </w:tcPr>
          <w:p w14:paraId="46896889">
            <w:pPr>
              <w:pStyle w:val="244"/>
              <w:rPr>
                <w:rFonts w:ascii="仿宋" w:hAnsi="仿宋" w:eastAsia="仿宋" w:cs="仿宋"/>
                <w:color w:val="auto"/>
                <w:sz w:val="21"/>
                <w:szCs w:val="21"/>
              </w:rPr>
            </w:pPr>
          </w:p>
        </w:tc>
        <w:tc>
          <w:tcPr>
            <w:tcW w:w="726" w:type="dxa"/>
          </w:tcPr>
          <w:p w14:paraId="4E52C927">
            <w:pPr>
              <w:pStyle w:val="244"/>
              <w:rPr>
                <w:rFonts w:ascii="仿宋" w:hAnsi="仿宋" w:eastAsia="仿宋" w:cs="仿宋"/>
                <w:color w:val="auto"/>
                <w:sz w:val="21"/>
                <w:szCs w:val="21"/>
              </w:rPr>
            </w:pPr>
          </w:p>
        </w:tc>
        <w:tc>
          <w:tcPr>
            <w:tcW w:w="686" w:type="dxa"/>
          </w:tcPr>
          <w:p w14:paraId="7F9B8DE7">
            <w:pPr>
              <w:pStyle w:val="244"/>
              <w:rPr>
                <w:rFonts w:ascii="仿宋" w:hAnsi="仿宋" w:eastAsia="仿宋" w:cs="仿宋"/>
                <w:color w:val="auto"/>
                <w:sz w:val="21"/>
                <w:szCs w:val="21"/>
              </w:rPr>
            </w:pPr>
          </w:p>
        </w:tc>
        <w:tc>
          <w:tcPr>
            <w:tcW w:w="992" w:type="dxa"/>
          </w:tcPr>
          <w:p w14:paraId="22395F1D">
            <w:pPr>
              <w:pStyle w:val="244"/>
              <w:rPr>
                <w:rFonts w:ascii="仿宋" w:hAnsi="仿宋" w:eastAsia="仿宋" w:cs="仿宋"/>
                <w:color w:val="auto"/>
                <w:sz w:val="21"/>
                <w:szCs w:val="21"/>
              </w:rPr>
            </w:pPr>
          </w:p>
        </w:tc>
        <w:tc>
          <w:tcPr>
            <w:tcW w:w="1057" w:type="dxa"/>
          </w:tcPr>
          <w:p w14:paraId="3E176A2C">
            <w:pPr>
              <w:pStyle w:val="244"/>
              <w:rPr>
                <w:rFonts w:ascii="仿宋" w:hAnsi="仿宋" w:eastAsia="仿宋" w:cs="仿宋"/>
                <w:color w:val="auto"/>
                <w:sz w:val="21"/>
                <w:szCs w:val="21"/>
              </w:rPr>
            </w:pPr>
          </w:p>
        </w:tc>
        <w:tc>
          <w:tcPr>
            <w:tcW w:w="582" w:type="dxa"/>
          </w:tcPr>
          <w:p w14:paraId="7ED396B4">
            <w:pPr>
              <w:pStyle w:val="244"/>
              <w:rPr>
                <w:rFonts w:ascii="仿宋" w:hAnsi="仿宋" w:eastAsia="仿宋" w:cs="仿宋"/>
                <w:color w:val="auto"/>
                <w:sz w:val="21"/>
                <w:szCs w:val="21"/>
              </w:rPr>
            </w:pPr>
          </w:p>
        </w:tc>
        <w:tc>
          <w:tcPr>
            <w:tcW w:w="1133" w:type="dxa"/>
          </w:tcPr>
          <w:p w14:paraId="1250A480">
            <w:pPr>
              <w:pStyle w:val="244"/>
              <w:rPr>
                <w:rFonts w:ascii="仿宋" w:hAnsi="仿宋" w:eastAsia="仿宋" w:cs="仿宋"/>
                <w:color w:val="auto"/>
                <w:sz w:val="21"/>
                <w:szCs w:val="21"/>
              </w:rPr>
            </w:pPr>
          </w:p>
        </w:tc>
        <w:tc>
          <w:tcPr>
            <w:tcW w:w="756" w:type="dxa"/>
          </w:tcPr>
          <w:p w14:paraId="693CABEC">
            <w:pPr>
              <w:pStyle w:val="244"/>
              <w:rPr>
                <w:rFonts w:ascii="仿宋" w:hAnsi="仿宋" w:eastAsia="仿宋" w:cs="仿宋"/>
                <w:color w:val="auto"/>
                <w:sz w:val="21"/>
                <w:szCs w:val="21"/>
              </w:rPr>
            </w:pPr>
          </w:p>
        </w:tc>
        <w:tc>
          <w:tcPr>
            <w:tcW w:w="754" w:type="dxa"/>
          </w:tcPr>
          <w:p w14:paraId="5EE72A3E">
            <w:pPr>
              <w:pStyle w:val="244"/>
              <w:rPr>
                <w:rFonts w:ascii="仿宋" w:hAnsi="仿宋" w:eastAsia="仿宋" w:cs="仿宋"/>
                <w:color w:val="auto"/>
                <w:sz w:val="21"/>
                <w:szCs w:val="21"/>
              </w:rPr>
            </w:pPr>
          </w:p>
        </w:tc>
        <w:tc>
          <w:tcPr>
            <w:tcW w:w="704" w:type="dxa"/>
          </w:tcPr>
          <w:p w14:paraId="3E0483B0">
            <w:pPr>
              <w:pStyle w:val="244"/>
              <w:rPr>
                <w:rFonts w:ascii="仿宋" w:hAnsi="仿宋" w:eastAsia="仿宋" w:cs="仿宋"/>
                <w:color w:val="auto"/>
                <w:sz w:val="21"/>
                <w:szCs w:val="21"/>
              </w:rPr>
            </w:pPr>
          </w:p>
        </w:tc>
      </w:tr>
      <w:tr w14:paraId="2B9496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jc w:val="center"/>
        </w:trPr>
        <w:tc>
          <w:tcPr>
            <w:tcW w:w="487" w:type="dxa"/>
          </w:tcPr>
          <w:p w14:paraId="3846E390">
            <w:pPr>
              <w:pStyle w:val="244"/>
              <w:rPr>
                <w:rFonts w:ascii="仿宋" w:hAnsi="仿宋" w:eastAsia="仿宋" w:cs="仿宋"/>
                <w:color w:val="auto"/>
                <w:sz w:val="21"/>
                <w:szCs w:val="21"/>
              </w:rPr>
            </w:pPr>
          </w:p>
        </w:tc>
        <w:tc>
          <w:tcPr>
            <w:tcW w:w="678" w:type="dxa"/>
          </w:tcPr>
          <w:p w14:paraId="7C751951">
            <w:pPr>
              <w:pStyle w:val="244"/>
              <w:rPr>
                <w:rFonts w:ascii="仿宋" w:hAnsi="仿宋" w:eastAsia="仿宋" w:cs="仿宋"/>
                <w:color w:val="auto"/>
                <w:sz w:val="21"/>
                <w:szCs w:val="21"/>
              </w:rPr>
            </w:pPr>
          </w:p>
        </w:tc>
        <w:tc>
          <w:tcPr>
            <w:tcW w:w="485" w:type="dxa"/>
          </w:tcPr>
          <w:p w14:paraId="29D779B8">
            <w:pPr>
              <w:pStyle w:val="244"/>
              <w:rPr>
                <w:rFonts w:ascii="仿宋" w:hAnsi="仿宋" w:eastAsia="仿宋" w:cs="仿宋"/>
                <w:color w:val="auto"/>
                <w:sz w:val="21"/>
                <w:szCs w:val="21"/>
              </w:rPr>
            </w:pPr>
          </w:p>
        </w:tc>
        <w:tc>
          <w:tcPr>
            <w:tcW w:w="726" w:type="dxa"/>
          </w:tcPr>
          <w:p w14:paraId="196E9F89">
            <w:pPr>
              <w:pStyle w:val="244"/>
              <w:rPr>
                <w:rFonts w:ascii="仿宋" w:hAnsi="仿宋" w:eastAsia="仿宋" w:cs="仿宋"/>
                <w:color w:val="auto"/>
                <w:sz w:val="21"/>
                <w:szCs w:val="21"/>
              </w:rPr>
            </w:pPr>
          </w:p>
        </w:tc>
        <w:tc>
          <w:tcPr>
            <w:tcW w:w="686" w:type="dxa"/>
          </w:tcPr>
          <w:p w14:paraId="2312BA9D">
            <w:pPr>
              <w:pStyle w:val="244"/>
              <w:rPr>
                <w:rFonts w:ascii="仿宋" w:hAnsi="仿宋" w:eastAsia="仿宋" w:cs="仿宋"/>
                <w:color w:val="auto"/>
                <w:sz w:val="21"/>
                <w:szCs w:val="21"/>
              </w:rPr>
            </w:pPr>
          </w:p>
        </w:tc>
        <w:tc>
          <w:tcPr>
            <w:tcW w:w="992" w:type="dxa"/>
          </w:tcPr>
          <w:p w14:paraId="67C1F47F">
            <w:pPr>
              <w:pStyle w:val="244"/>
              <w:rPr>
                <w:rFonts w:ascii="仿宋" w:hAnsi="仿宋" w:eastAsia="仿宋" w:cs="仿宋"/>
                <w:color w:val="auto"/>
                <w:sz w:val="21"/>
                <w:szCs w:val="21"/>
              </w:rPr>
            </w:pPr>
          </w:p>
        </w:tc>
        <w:tc>
          <w:tcPr>
            <w:tcW w:w="1057" w:type="dxa"/>
          </w:tcPr>
          <w:p w14:paraId="37A309E2">
            <w:pPr>
              <w:pStyle w:val="244"/>
              <w:rPr>
                <w:rFonts w:ascii="仿宋" w:hAnsi="仿宋" w:eastAsia="仿宋" w:cs="仿宋"/>
                <w:color w:val="auto"/>
                <w:sz w:val="21"/>
                <w:szCs w:val="21"/>
              </w:rPr>
            </w:pPr>
          </w:p>
        </w:tc>
        <w:tc>
          <w:tcPr>
            <w:tcW w:w="582" w:type="dxa"/>
          </w:tcPr>
          <w:p w14:paraId="4502D19E">
            <w:pPr>
              <w:pStyle w:val="244"/>
              <w:rPr>
                <w:rFonts w:ascii="仿宋" w:hAnsi="仿宋" w:eastAsia="仿宋" w:cs="仿宋"/>
                <w:color w:val="auto"/>
                <w:sz w:val="21"/>
                <w:szCs w:val="21"/>
              </w:rPr>
            </w:pPr>
          </w:p>
        </w:tc>
        <w:tc>
          <w:tcPr>
            <w:tcW w:w="1133" w:type="dxa"/>
          </w:tcPr>
          <w:p w14:paraId="5B470392">
            <w:pPr>
              <w:pStyle w:val="244"/>
              <w:rPr>
                <w:rFonts w:ascii="仿宋" w:hAnsi="仿宋" w:eastAsia="仿宋" w:cs="仿宋"/>
                <w:color w:val="auto"/>
                <w:sz w:val="21"/>
                <w:szCs w:val="21"/>
              </w:rPr>
            </w:pPr>
          </w:p>
        </w:tc>
        <w:tc>
          <w:tcPr>
            <w:tcW w:w="756" w:type="dxa"/>
          </w:tcPr>
          <w:p w14:paraId="11FF99AE">
            <w:pPr>
              <w:pStyle w:val="244"/>
              <w:rPr>
                <w:rFonts w:ascii="仿宋" w:hAnsi="仿宋" w:eastAsia="仿宋" w:cs="仿宋"/>
                <w:color w:val="auto"/>
                <w:sz w:val="21"/>
                <w:szCs w:val="21"/>
              </w:rPr>
            </w:pPr>
          </w:p>
        </w:tc>
        <w:tc>
          <w:tcPr>
            <w:tcW w:w="754" w:type="dxa"/>
          </w:tcPr>
          <w:p w14:paraId="1B7A348A">
            <w:pPr>
              <w:pStyle w:val="244"/>
              <w:rPr>
                <w:rFonts w:ascii="仿宋" w:hAnsi="仿宋" w:eastAsia="仿宋" w:cs="仿宋"/>
                <w:color w:val="auto"/>
                <w:sz w:val="21"/>
                <w:szCs w:val="21"/>
              </w:rPr>
            </w:pPr>
          </w:p>
        </w:tc>
        <w:tc>
          <w:tcPr>
            <w:tcW w:w="704" w:type="dxa"/>
          </w:tcPr>
          <w:p w14:paraId="68FBF27A">
            <w:pPr>
              <w:pStyle w:val="244"/>
              <w:rPr>
                <w:rFonts w:ascii="仿宋" w:hAnsi="仿宋" w:eastAsia="仿宋" w:cs="仿宋"/>
                <w:color w:val="auto"/>
                <w:sz w:val="21"/>
                <w:szCs w:val="21"/>
              </w:rPr>
            </w:pPr>
          </w:p>
        </w:tc>
      </w:tr>
      <w:tr w14:paraId="2E9F90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jc w:val="center"/>
        </w:trPr>
        <w:tc>
          <w:tcPr>
            <w:tcW w:w="487" w:type="dxa"/>
          </w:tcPr>
          <w:p w14:paraId="4F02CAA0">
            <w:pPr>
              <w:pStyle w:val="244"/>
              <w:rPr>
                <w:rFonts w:ascii="仿宋" w:hAnsi="仿宋" w:eastAsia="仿宋" w:cs="仿宋"/>
                <w:color w:val="auto"/>
                <w:sz w:val="21"/>
                <w:szCs w:val="21"/>
              </w:rPr>
            </w:pPr>
          </w:p>
        </w:tc>
        <w:tc>
          <w:tcPr>
            <w:tcW w:w="678" w:type="dxa"/>
          </w:tcPr>
          <w:p w14:paraId="0E51EF30">
            <w:pPr>
              <w:pStyle w:val="244"/>
              <w:rPr>
                <w:rFonts w:ascii="仿宋" w:hAnsi="仿宋" w:eastAsia="仿宋" w:cs="仿宋"/>
                <w:color w:val="auto"/>
                <w:sz w:val="21"/>
                <w:szCs w:val="21"/>
              </w:rPr>
            </w:pPr>
          </w:p>
        </w:tc>
        <w:tc>
          <w:tcPr>
            <w:tcW w:w="485" w:type="dxa"/>
          </w:tcPr>
          <w:p w14:paraId="538E4778">
            <w:pPr>
              <w:pStyle w:val="244"/>
              <w:rPr>
                <w:rFonts w:ascii="仿宋" w:hAnsi="仿宋" w:eastAsia="仿宋" w:cs="仿宋"/>
                <w:color w:val="auto"/>
                <w:sz w:val="21"/>
                <w:szCs w:val="21"/>
              </w:rPr>
            </w:pPr>
          </w:p>
        </w:tc>
        <w:tc>
          <w:tcPr>
            <w:tcW w:w="726" w:type="dxa"/>
          </w:tcPr>
          <w:p w14:paraId="49727627">
            <w:pPr>
              <w:pStyle w:val="244"/>
              <w:rPr>
                <w:rFonts w:ascii="仿宋" w:hAnsi="仿宋" w:eastAsia="仿宋" w:cs="仿宋"/>
                <w:color w:val="auto"/>
                <w:sz w:val="21"/>
                <w:szCs w:val="21"/>
              </w:rPr>
            </w:pPr>
          </w:p>
        </w:tc>
        <w:tc>
          <w:tcPr>
            <w:tcW w:w="686" w:type="dxa"/>
          </w:tcPr>
          <w:p w14:paraId="0E1C80DA">
            <w:pPr>
              <w:pStyle w:val="244"/>
              <w:rPr>
                <w:rFonts w:ascii="仿宋" w:hAnsi="仿宋" w:eastAsia="仿宋" w:cs="仿宋"/>
                <w:color w:val="auto"/>
                <w:sz w:val="21"/>
                <w:szCs w:val="21"/>
              </w:rPr>
            </w:pPr>
          </w:p>
        </w:tc>
        <w:tc>
          <w:tcPr>
            <w:tcW w:w="992" w:type="dxa"/>
          </w:tcPr>
          <w:p w14:paraId="3F8D75E6">
            <w:pPr>
              <w:pStyle w:val="244"/>
              <w:rPr>
                <w:rFonts w:ascii="仿宋" w:hAnsi="仿宋" w:eastAsia="仿宋" w:cs="仿宋"/>
                <w:color w:val="auto"/>
                <w:sz w:val="21"/>
                <w:szCs w:val="21"/>
              </w:rPr>
            </w:pPr>
          </w:p>
        </w:tc>
        <w:tc>
          <w:tcPr>
            <w:tcW w:w="1057" w:type="dxa"/>
          </w:tcPr>
          <w:p w14:paraId="6511AAEA">
            <w:pPr>
              <w:pStyle w:val="244"/>
              <w:rPr>
                <w:rFonts w:ascii="仿宋" w:hAnsi="仿宋" w:eastAsia="仿宋" w:cs="仿宋"/>
                <w:color w:val="auto"/>
                <w:sz w:val="21"/>
                <w:szCs w:val="21"/>
              </w:rPr>
            </w:pPr>
          </w:p>
        </w:tc>
        <w:tc>
          <w:tcPr>
            <w:tcW w:w="582" w:type="dxa"/>
          </w:tcPr>
          <w:p w14:paraId="45D550C5">
            <w:pPr>
              <w:pStyle w:val="244"/>
              <w:rPr>
                <w:rFonts w:ascii="仿宋" w:hAnsi="仿宋" w:eastAsia="仿宋" w:cs="仿宋"/>
                <w:color w:val="auto"/>
                <w:sz w:val="21"/>
                <w:szCs w:val="21"/>
              </w:rPr>
            </w:pPr>
          </w:p>
        </w:tc>
        <w:tc>
          <w:tcPr>
            <w:tcW w:w="1133" w:type="dxa"/>
          </w:tcPr>
          <w:p w14:paraId="3140B5CE">
            <w:pPr>
              <w:pStyle w:val="244"/>
              <w:rPr>
                <w:rFonts w:ascii="仿宋" w:hAnsi="仿宋" w:eastAsia="仿宋" w:cs="仿宋"/>
                <w:color w:val="auto"/>
                <w:sz w:val="21"/>
                <w:szCs w:val="21"/>
              </w:rPr>
            </w:pPr>
          </w:p>
        </w:tc>
        <w:tc>
          <w:tcPr>
            <w:tcW w:w="756" w:type="dxa"/>
          </w:tcPr>
          <w:p w14:paraId="6F3A607E">
            <w:pPr>
              <w:pStyle w:val="244"/>
              <w:rPr>
                <w:rFonts w:ascii="仿宋" w:hAnsi="仿宋" w:eastAsia="仿宋" w:cs="仿宋"/>
                <w:color w:val="auto"/>
                <w:sz w:val="21"/>
                <w:szCs w:val="21"/>
              </w:rPr>
            </w:pPr>
          </w:p>
        </w:tc>
        <w:tc>
          <w:tcPr>
            <w:tcW w:w="754" w:type="dxa"/>
          </w:tcPr>
          <w:p w14:paraId="65125455">
            <w:pPr>
              <w:pStyle w:val="244"/>
              <w:rPr>
                <w:rFonts w:ascii="仿宋" w:hAnsi="仿宋" w:eastAsia="仿宋" w:cs="仿宋"/>
                <w:color w:val="auto"/>
                <w:sz w:val="21"/>
                <w:szCs w:val="21"/>
              </w:rPr>
            </w:pPr>
          </w:p>
        </w:tc>
        <w:tc>
          <w:tcPr>
            <w:tcW w:w="704" w:type="dxa"/>
          </w:tcPr>
          <w:p w14:paraId="12DEF3F4">
            <w:pPr>
              <w:pStyle w:val="244"/>
              <w:rPr>
                <w:rFonts w:ascii="仿宋" w:hAnsi="仿宋" w:eastAsia="仿宋" w:cs="仿宋"/>
                <w:color w:val="auto"/>
                <w:sz w:val="21"/>
                <w:szCs w:val="21"/>
              </w:rPr>
            </w:pPr>
          </w:p>
        </w:tc>
      </w:tr>
      <w:tr w14:paraId="169509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jc w:val="center"/>
        </w:trPr>
        <w:tc>
          <w:tcPr>
            <w:tcW w:w="487" w:type="dxa"/>
          </w:tcPr>
          <w:p w14:paraId="4F152CB9">
            <w:pPr>
              <w:pStyle w:val="244"/>
              <w:rPr>
                <w:rFonts w:ascii="仿宋" w:hAnsi="仿宋" w:eastAsia="仿宋" w:cs="仿宋"/>
                <w:color w:val="auto"/>
                <w:sz w:val="21"/>
                <w:szCs w:val="21"/>
              </w:rPr>
            </w:pPr>
          </w:p>
        </w:tc>
        <w:tc>
          <w:tcPr>
            <w:tcW w:w="678" w:type="dxa"/>
          </w:tcPr>
          <w:p w14:paraId="2958C45B">
            <w:pPr>
              <w:pStyle w:val="244"/>
              <w:rPr>
                <w:rFonts w:ascii="仿宋" w:hAnsi="仿宋" w:eastAsia="仿宋" w:cs="仿宋"/>
                <w:color w:val="auto"/>
                <w:sz w:val="21"/>
                <w:szCs w:val="21"/>
              </w:rPr>
            </w:pPr>
          </w:p>
        </w:tc>
        <w:tc>
          <w:tcPr>
            <w:tcW w:w="485" w:type="dxa"/>
          </w:tcPr>
          <w:p w14:paraId="7D61C1ED">
            <w:pPr>
              <w:pStyle w:val="244"/>
              <w:rPr>
                <w:rFonts w:ascii="仿宋" w:hAnsi="仿宋" w:eastAsia="仿宋" w:cs="仿宋"/>
                <w:color w:val="auto"/>
                <w:sz w:val="21"/>
                <w:szCs w:val="21"/>
              </w:rPr>
            </w:pPr>
          </w:p>
        </w:tc>
        <w:tc>
          <w:tcPr>
            <w:tcW w:w="726" w:type="dxa"/>
          </w:tcPr>
          <w:p w14:paraId="23F0ED9B">
            <w:pPr>
              <w:pStyle w:val="244"/>
              <w:rPr>
                <w:rFonts w:ascii="仿宋" w:hAnsi="仿宋" w:eastAsia="仿宋" w:cs="仿宋"/>
                <w:color w:val="auto"/>
                <w:sz w:val="21"/>
                <w:szCs w:val="21"/>
              </w:rPr>
            </w:pPr>
          </w:p>
        </w:tc>
        <w:tc>
          <w:tcPr>
            <w:tcW w:w="686" w:type="dxa"/>
          </w:tcPr>
          <w:p w14:paraId="41E0A99D">
            <w:pPr>
              <w:pStyle w:val="244"/>
              <w:rPr>
                <w:rFonts w:ascii="仿宋" w:hAnsi="仿宋" w:eastAsia="仿宋" w:cs="仿宋"/>
                <w:color w:val="auto"/>
                <w:sz w:val="21"/>
                <w:szCs w:val="21"/>
              </w:rPr>
            </w:pPr>
          </w:p>
        </w:tc>
        <w:tc>
          <w:tcPr>
            <w:tcW w:w="992" w:type="dxa"/>
          </w:tcPr>
          <w:p w14:paraId="7ACB4441">
            <w:pPr>
              <w:pStyle w:val="244"/>
              <w:rPr>
                <w:rFonts w:ascii="仿宋" w:hAnsi="仿宋" w:eastAsia="仿宋" w:cs="仿宋"/>
                <w:color w:val="auto"/>
                <w:sz w:val="21"/>
                <w:szCs w:val="21"/>
              </w:rPr>
            </w:pPr>
          </w:p>
        </w:tc>
        <w:tc>
          <w:tcPr>
            <w:tcW w:w="1057" w:type="dxa"/>
          </w:tcPr>
          <w:p w14:paraId="4FA40EDF">
            <w:pPr>
              <w:pStyle w:val="244"/>
              <w:rPr>
                <w:rFonts w:ascii="仿宋" w:hAnsi="仿宋" w:eastAsia="仿宋" w:cs="仿宋"/>
                <w:color w:val="auto"/>
                <w:sz w:val="21"/>
                <w:szCs w:val="21"/>
              </w:rPr>
            </w:pPr>
          </w:p>
        </w:tc>
        <w:tc>
          <w:tcPr>
            <w:tcW w:w="582" w:type="dxa"/>
          </w:tcPr>
          <w:p w14:paraId="7A5099E5">
            <w:pPr>
              <w:pStyle w:val="244"/>
              <w:rPr>
                <w:rFonts w:ascii="仿宋" w:hAnsi="仿宋" w:eastAsia="仿宋" w:cs="仿宋"/>
                <w:color w:val="auto"/>
                <w:sz w:val="21"/>
                <w:szCs w:val="21"/>
              </w:rPr>
            </w:pPr>
          </w:p>
        </w:tc>
        <w:tc>
          <w:tcPr>
            <w:tcW w:w="1133" w:type="dxa"/>
          </w:tcPr>
          <w:p w14:paraId="4315BDFC">
            <w:pPr>
              <w:pStyle w:val="244"/>
              <w:rPr>
                <w:rFonts w:ascii="仿宋" w:hAnsi="仿宋" w:eastAsia="仿宋" w:cs="仿宋"/>
                <w:color w:val="auto"/>
                <w:sz w:val="21"/>
                <w:szCs w:val="21"/>
              </w:rPr>
            </w:pPr>
          </w:p>
        </w:tc>
        <w:tc>
          <w:tcPr>
            <w:tcW w:w="756" w:type="dxa"/>
          </w:tcPr>
          <w:p w14:paraId="496602A8">
            <w:pPr>
              <w:pStyle w:val="244"/>
              <w:rPr>
                <w:rFonts w:ascii="仿宋" w:hAnsi="仿宋" w:eastAsia="仿宋" w:cs="仿宋"/>
                <w:color w:val="auto"/>
                <w:sz w:val="21"/>
                <w:szCs w:val="21"/>
              </w:rPr>
            </w:pPr>
          </w:p>
        </w:tc>
        <w:tc>
          <w:tcPr>
            <w:tcW w:w="754" w:type="dxa"/>
          </w:tcPr>
          <w:p w14:paraId="570BA919">
            <w:pPr>
              <w:pStyle w:val="244"/>
              <w:rPr>
                <w:rFonts w:ascii="仿宋" w:hAnsi="仿宋" w:eastAsia="仿宋" w:cs="仿宋"/>
                <w:color w:val="auto"/>
                <w:sz w:val="21"/>
                <w:szCs w:val="21"/>
              </w:rPr>
            </w:pPr>
          </w:p>
        </w:tc>
        <w:tc>
          <w:tcPr>
            <w:tcW w:w="704" w:type="dxa"/>
          </w:tcPr>
          <w:p w14:paraId="2394A374">
            <w:pPr>
              <w:pStyle w:val="244"/>
              <w:rPr>
                <w:rFonts w:ascii="仿宋" w:hAnsi="仿宋" w:eastAsia="仿宋" w:cs="仿宋"/>
                <w:color w:val="auto"/>
                <w:sz w:val="21"/>
                <w:szCs w:val="21"/>
              </w:rPr>
            </w:pPr>
          </w:p>
        </w:tc>
      </w:tr>
      <w:tr w14:paraId="73CD2D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jc w:val="center"/>
        </w:trPr>
        <w:tc>
          <w:tcPr>
            <w:tcW w:w="487" w:type="dxa"/>
          </w:tcPr>
          <w:p w14:paraId="7D984962">
            <w:pPr>
              <w:pStyle w:val="244"/>
              <w:rPr>
                <w:rFonts w:ascii="仿宋" w:hAnsi="仿宋" w:eastAsia="仿宋" w:cs="仿宋"/>
                <w:color w:val="auto"/>
                <w:sz w:val="21"/>
                <w:szCs w:val="21"/>
              </w:rPr>
            </w:pPr>
          </w:p>
        </w:tc>
        <w:tc>
          <w:tcPr>
            <w:tcW w:w="678" w:type="dxa"/>
          </w:tcPr>
          <w:p w14:paraId="38BA3E6F">
            <w:pPr>
              <w:pStyle w:val="244"/>
              <w:rPr>
                <w:rFonts w:ascii="仿宋" w:hAnsi="仿宋" w:eastAsia="仿宋" w:cs="仿宋"/>
                <w:color w:val="auto"/>
                <w:sz w:val="21"/>
                <w:szCs w:val="21"/>
              </w:rPr>
            </w:pPr>
          </w:p>
        </w:tc>
        <w:tc>
          <w:tcPr>
            <w:tcW w:w="485" w:type="dxa"/>
          </w:tcPr>
          <w:p w14:paraId="2B68CDD0">
            <w:pPr>
              <w:pStyle w:val="244"/>
              <w:rPr>
                <w:rFonts w:ascii="仿宋" w:hAnsi="仿宋" w:eastAsia="仿宋" w:cs="仿宋"/>
                <w:color w:val="auto"/>
                <w:sz w:val="21"/>
                <w:szCs w:val="21"/>
              </w:rPr>
            </w:pPr>
          </w:p>
        </w:tc>
        <w:tc>
          <w:tcPr>
            <w:tcW w:w="726" w:type="dxa"/>
          </w:tcPr>
          <w:p w14:paraId="264257CA">
            <w:pPr>
              <w:pStyle w:val="244"/>
              <w:rPr>
                <w:rFonts w:ascii="仿宋" w:hAnsi="仿宋" w:eastAsia="仿宋" w:cs="仿宋"/>
                <w:color w:val="auto"/>
                <w:sz w:val="21"/>
                <w:szCs w:val="21"/>
              </w:rPr>
            </w:pPr>
          </w:p>
        </w:tc>
        <w:tc>
          <w:tcPr>
            <w:tcW w:w="686" w:type="dxa"/>
          </w:tcPr>
          <w:p w14:paraId="043AD2A1">
            <w:pPr>
              <w:pStyle w:val="244"/>
              <w:rPr>
                <w:rFonts w:ascii="仿宋" w:hAnsi="仿宋" w:eastAsia="仿宋" w:cs="仿宋"/>
                <w:color w:val="auto"/>
                <w:sz w:val="21"/>
                <w:szCs w:val="21"/>
              </w:rPr>
            </w:pPr>
          </w:p>
        </w:tc>
        <w:tc>
          <w:tcPr>
            <w:tcW w:w="992" w:type="dxa"/>
          </w:tcPr>
          <w:p w14:paraId="68383298">
            <w:pPr>
              <w:pStyle w:val="244"/>
              <w:rPr>
                <w:rFonts w:ascii="仿宋" w:hAnsi="仿宋" w:eastAsia="仿宋" w:cs="仿宋"/>
                <w:color w:val="auto"/>
                <w:sz w:val="21"/>
                <w:szCs w:val="21"/>
              </w:rPr>
            </w:pPr>
          </w:p>
        </w:tc>
        <w:tc>
          <w:tcPr>
            <w:tcW w:w="1057" w:type="dxa"/>
          </w:tcPr>
          <w:p w14:paraId="524F00F0">
            <w:pPr>
              <w:pStyle w:val="244"/>
              <w:rPr>
                <w:rFonts w:ascii="仿宋" w:hAnsi="仿宋" w:eastAsia="仿宋" w:cs="仿宋"/>
                <w:color w:val="auto"/>
                <w:sz w:val="21"/>
                <w:szCs w:val="21"/>
              </w:rPr>
            </w:pPr>
          </w:p>
        </w:tc>
        <w:tc>
          <w:tcPr>
            <w:tcW w:w="582" w:type="dxa"/>
          </w:tcPr>
          <w:p w14:paraId="41CB38D9">
            <w:pPr>
              <w:pStyle w:val="244"/>
              <w:rPr>
                <w:rFonts w:ascii="仿宋" w:hAnsi="仿宋" w:eastAsia="仿宋" w:cs="仿宋"/>
                <w:color w:val="auto"/>
                <w:sz w:val="21"/>
                <w:szCs w:val="21"/>
              </w:rPr>
            </w:pPr>
          </w:p>
        </w:tc>
        <w:tc>
          <w:tcPr>
            <w:tcW w:w="1133" w:type="dxa"/>
          </w:tcPr>
          <w:p w14:paraId="46F66957">
            <w:pPr>
              <w:pStyle w:val="244"/>
              <w:rPr>
                <w:rFonts w:ascii="仿宋" w:hAnsi="仿宋" w:eastAsia="仿宋" w:cs="仿宋"/>
                <w:color w:val="auto"/>
                <w:sz w:val="21"/>
                <w:szCs w:val="21"/>
              </w:rPr>
            </w:pPr>
          </w:p>
        </w:tc>
        <w:tc>
          <w:tcPr>
            <w:tcW w:w="756" w:type="dxa"/>
          </w:tcPr>
          <w:p w14:paraId="42C0C7E4">
            <w:pPr>
              <w:pStyle w:val="244"/>
              <w:rPr>
                <w:rFonts w:ascii="仿宋" w:hAnsi="仿宋" w:eastAsia="仿宋" w:cs="仿宋"/>
                <w:color w:val="auto"/>
                <w:sz w:val="21"/>
                <w:szCs w:val="21"/>
              </w:rPr>
            </w:pPr>
          </w:p>
        </w:tc>
        <w:tc>
          <w:tcPr>
            <w:tcW w:w="754" w:type="dxa"/>
          </w:tcPr>
          <w:p w14:paraId="07CFE8BD">
            <w:pPr>
              <w:pStyle w:val="244"/>
              <w:rPr>
                <w:rFonts w:ascii="仿宋" w:hAnsi="仿宋" w:eastAsia="仿宋" w:cs="仿宋"/>
                <w:color w:val="auto"/>
                <w:sz w:val="21"/>
                <w:szCs w:val="21"/>
              </w:rPr>
            </w:pPr>
          </w:p>
        </w:tc>
        <w:tc>
          <w:tcPr>
            <w:tcW w:w="704" w:type="dxa"/>
          </w:tcPr>
          <w:p w14:paraId="67E559CE">
            <w:pPr>
              <w:pStyle w:val="244"/>
              <w:rPr>
                <w:rFonts w:ascii="仿宋" w:hAnsi="仿宋" w:eastAsia="仿宋" w:cs="仿宋"/>
                <w:color w:val="auto"/>
                <w:sz w:val="21"/>
                <w:szCs w:val="21"/>
              </w:rPr>
            </w:pPr>
          </w:p>
        </w:tc>
      </w:tr>
      <w:tr w14:paraId="60A30D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jc w:val="center"/>
        </w:trPr>
        <w:tc>
          <w:tcPr>
            <w:tcW w:w="487" w:type="dxa"/>
          </w:tcPr>
          <w:p w14:paraId="11273F0F">
            <w:pPr>
              <w:pStyle w:val="244"/>
              <w:rPr>
                <w:rFonts w:ascii="仿宋" w:hAnsi="仿宋" w:eastAsia="仿宋" w:cs="仿宋"/>
                <w:color w:val="auto"/>
                <w:sz w:val="21"/>
                <w:szCs w:val="21"/>
              </w:rPr>
            </w:pPr>
          </w:p>
        </w:tc>
        <w:tc>
          <w:tcPr>
            <w:tcW w:w="678" w:type="dxa"/>
          </w:tcPr>
          <w:p w14:paraId="58AF0633">
            <w:pPr>
              <w:pStyle w:val="244"/>
              <w:rPr>
                <w:rFonts w:ascii="仿宋" w:hAnsi="仿宋" w:eastAsia="仿宋" w:cs="仿宋"/>
                <w:color w:val="auto"/>
                <w:sz w:val="21"/>
                <w:szCs w:val="21"/>
              </w:rPr>
            </w:pPr>
          </w:p>
        </w:tc>
        <w:tc>
          <w:tcPr>
            <w:tcW w:w="485" w:type="dxa"/>
          </w:tcPr>
          <w:p w14:paraId="2436292E">
            <w:pPr>
              <w:pStyle w:val="244"/>
              <w:rPr>
                <w:rFonts w:ascii="仿宋" w:hAnsi="仿宋" w:eastAsia="仿宋" w:cs="仿宋"/>
                <w:color w:val="auto"/>
                <w:sz w:val="21"/>
                <w:szCs w:val="21"/>
              </w:rPr>
            </w:pPr>
          </w:p>
        </w:tc>
        <w:tc>
          <w:tcPr>
            <w:tcW w:w="726" w:type="dxa"/>
          </w:tcPr>
          <w:p w14:paraId="22146F34">
            <w:pPr>
              <w:pStyle w:val="244"/>
              <w:rPr>
                <w:rFonts w:ascii="仿宋" w:hAnsi="仿宋" w:eastAsia="仿宋" w:cs="仿宋"/>
                <w:color w:val="auto"/>
                <w:sz w:val="21"/>
                <w:szCs w:val="21"/>
              </w:rPr>
            </w:pPr>
          </w:p>
        </w:tc>
        <w:tc>
          <w:tcPr>
            <w:tcW w:w="686" w:type="dxa"/>
          </w:tcPr>
          <w:p w14:paraId="763C9695">
            <w:pPr>
              <w:pStyle w:val="244"/>
              <w:rPr>
                <w:rFonts w:ascii="仿宋" w:hAnsi="仿宋" w:eastAsia="仿宋" w:cs="仿宋"/>
                <w:color w:val="auto"/>
                <w:sz w:val="21"/>
                <w:szCs w:val="21"/>
              </w:rPr>
            </w:pPr>
          </w:p>
        </w:tc>
        <w:tc>
          <w:tcPr>
            <w:tcW w:w="992" w:type="dxa"/>
          </w:tcPr>
          <w:p w14:paraId="01C96701">
            <w:pPr>
              <w:pStyle w:val="244"/>
              <w:rPr>
                <w:rFonts w:ascii="仿宋" w:hAnsi="仿宋" w:eastAsia="仿宋" w:cs="仿宋"/>
                <w:color w:val="auto"/>
                <w:sz w:val="21"/>
                <w:szCs w:val="21"/>
              </w:rPr>
            </w:pPr>
          </w:p>
        </w:tc>
        <w:tc>
          <w:tcPr>
            <w:tcW w:w="1057" w:type="dxa"/>
          </w:tcPr>
          <w:p w14:paraId="1A989DDC">
            <w:pPr>
              <w:pStyle w:val="244"/>
              <w:rPr>
                <w:rFonts w:ascii="仿宋" w:hAnsi="仿宋" w:eastAsia="仿宋" w:cs="仿宋"/>
                <w:color w:val="auto"/>
                <w:sz w:val="21"/>
                <w:szCs w:val="21"/>
              </w:rPr>
            </w:pPr>
          </w:p>
        </w:tc>
        <w:tc>
          <w:tcPr>
            <w:tcW w:w="582" w:type="dxa"/>
          </w:tcPr>
          <w:p w14:paraId="3ECD1417">
            <w:pPr>
              <w:pStyle w:val="244"/>
              <w:rPr>
                <w:rFonts w:ascii="仿宋" w:hAnsi="仿宋" w:eastAsia="仿宋" w:cs="仿宋"/>
                <w:color w:val="auto"/>
                <w:sz w:val="21"/>
                <w:szCs w:val="21"/>
              </w:rPr>
            </w:pPr>
          </w:p>
        </w:tc>
        <w:tc>
          <w:tcPr>
            <w:tcW w:w="1133" w:type="dxa"/>
          </w:tcPr>
          <w:p w14:paraId="543C45E2">
            <w:pPr>
              <w:pStyle w:val="244"/>
              <w:rPr>
                <w:rFonts w:ascii="仿宋" w:hAnsi="仿宋" w:eastAsia="仿宋" w:cs="仿宋"/>
                <w:color w:val="auto"/>
                <w:sz w:val="21"/>
                <w:szCs w:val="21"/>
              </w:rPr>
            </w:pPr>
          </w:p>
        </w:tc>
        <w:tc>
          <w:tcPr>
            <w:tcW w:w="756" w:type="dxa"/>
          </w:tcPr>
          <w:p w14:paraId="011BF821">
            <w:pPr>
              <w:pStyle w:val="244"/>
              <w:rPr>
                <w:rFonts w:ascii="仿宋" w:hAnsi="仿宋" w:eastAsia="仿宋" w:cs="仿宋"/>
                <w:color w:val="auto"/>
                <w:sz w:val="21"/>
                <w:szCs w:val="21"/>
              </w:rPr>
            </w:pPr>
          </w:p>
        </w:tc>
        <w:tc>
          <w:tcPr>
            <w:tcW w:w="754" w:type="dxa"/>
          </w:tcPr>
          <w:p w14:paraId="24DA3924">
            <w:pPr>
              <w:pStyle w:val="244"/>
              <w:rPr>
                <w:rFonts w:ascii="仿宋" w:hAnsi="仿宋" w:eastAsia="仿宋" w:cs="仿宋"/>
                <w:color w:val="auto"/>
                <w:sz w:val="21"/>
                <w:szCs w:val="21"/>
              </w:rPr>
            </w:pPr>
          </w:p>
        </w:tc>
        <w:tc>
          <w:tcPr>
            <w:tcW w:w="704" w:type="dxa"/>
          </w:tcPr>
          <w:p w14:paraId="110A772D">
            <w:pPr>
              <w:pStyle w:val="244"/>
              <w:rPr>
                <w:rFonts w:ascii="仿宋" w:hAnsi="仿宋" w:eastAsia="仿宋" w:cs="仿宋"/>
                <w:color w:val="auto"/>
                <w:sz w:val="21"/>
                <w:szCs w:val="21"/>
              </w:rPr>
            </w:pPr>
          </w:p>
        </w:tc>
      </w:tr>
      <w:tr w14:paraId="50E0AF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jc w:val="center"/>
        </w:trPr>
        <w:tc>
          <w:tcPr>
            <w:tcW w:w="487" w:type="dxa"/>
          </w:tcPr>
          <w:p w14:paraId="4DC44D79">
            <w:pPr>
              <w:pStyle w:val="244"/>
              <w:rPr>
                <w:rFonts w:ascii="仿宋" w:hAnsi="仿宋" w:eastAsia="仿宋" w:cs="仿宋"/>
                <w:color w:val="auto"/>
                <w:sz w:val="21"/>
                <w:szCs w:val="21"/>
              </w:rPr>
            </w:pPr>
          </w:p>
        </w:tc>
        <w:tc>
          <w:tcPr>
            <w:tcW w:w="678" w:type="dxa"/>
          </w:tcPr>
          <w:p w14:paraId="5F229597">
            <w:pPr>
              <w:pStyle w:val="244"/>
              <w:rPr>
                <w:rFonts w:ascii="仿宋" w:hAnsi="仿宋" w:eastAsia="仿宋" w:cs="仿宋"/>
                <w:color w:val="auto"/>
                <w:sz w:val="21"/>
                <w:szCs w:val="21"/>
              </w:rPr>
            </w:pPr>
          </w:p>
        </w:tc>
        <w:tc>
          <w:tcPr>
            <w:tcW w:w="485" w:type="dxa"/>
          </w:tcPr>
          <w:p w14:paraId="1DAFB349">
            <w:pPr>
              <w:pStyle w:val="244"/>
              <w:rPr>
                <w:rFonts w:ascii="仿宋" w:hAnsi="仿宋" w:eastAsia="仿宋" w:cs="仿宋"/>
                <w:color w:val="auto"/>
                <w:sz w:val="21"/>
                <w:szCs w:val="21"/>
              </w:rPr>
            </w:pPr>
          </w:p>
        </w:tc>
        <w:tc>
          <w:tcPr>
            <w:tcW w:w="726" w:type="dxa"/>
          </w:tcPr>
          <w:p w14:paraId="1C1C9E25">
            <w:pPr>
              <w:pStyle w:val="244"/>
              <w:rPr>
                <w:rFonts w:ascii="仿宋" w:hAnsi="仿宋" w:eastAsia="仿宋" w:cs="仿宋"/>
                <w:color w:val="auto"/>
                <w:sz w:val="21"/>
                <w:szCs w:val="21"/>
              </w:rPr>
            </w:pPr>
          </w:p>
        </w:tc>
        <w:tc>
          <w:tcPr>
            <w:tcW w:w="686" w:type="dxa"/>
          </w:tcPr>
          <w:p w14:paraId="5FB382F7">
            <w:pPr>
              <w:pStyle w:val="244"/>
              <w:rPr>
                <w:rFonts w:ascii="仿宋" w:hAnsi="仿宋" w:eastAsia="仿宋" w:cs="仿宋"/>
                <w:color w:val="auto"/>
                <w:sz w:val="21"/>
                <w:szCs w:val="21"/>
              </w:rPr>
            </w:pPr>
          </w:p>
        </w:tc>
        <w:tc>
          <w:tcPr>
            <w:tcW w:w="992" w:type="dxa"/>
          </w:tcPr>
          <w:p w14:paraId="6BCB8CBC">
            <w:pPr>
              <w:pStyle w:val="244"/>
              <w:rPr>
                <w:rFonts w:ascii="仿宋" w:hAnsi="仿宋" w:eastAsia="仿宋" w:cs="仿宋"/>
                <w:color w:val="auto"/>
                <w:sz w:val="21"/>
                <w:szCs w:val="21"/>
              </w:rPr>
            </w:pPr>
          </w:p>
        </w:tc>
        <w:tc>
          <w:tcPr>
            <w:tcW w:w="1057" w:type="dxa"/>
          </w:tcPr>
          <w:p w14:paraId="3B5B4058">
            <w:pPr>
              <w:pStyle w:val="244"/>
              <w:rPr>
                <w:rFonts w:ascii="仿宋" w:hAnsi="仿宋" w:eastAsia="仿宋" w:cs="仿宋"/>
                <w:color w:val="auto"/>
                <w:sz w:val="21"/>
                <w:szCs w:val="21"/>
              </w:rPr>
            </w:pPr>
          </w:p>
        </w:tc>
        <w:tc>
          <w:tcPr>
            <w:tcW w:w="582" w:type="dxa"/>
          </w:tcPr>
          <w:p w14:paraId="3C389A82">
            <w:pPr>
              <w:pStyle w:val="244"/>
              <w:rPr>
                <w:rFonts w:ascii="仿宋" w:hAnsi="仿宋" w:eastAsia="仿宋" w:cs="仿宋"/>
                <w:color w:val="auto"/>
                <w:sz w:val="21"/>
                <w:szCs w:val="21"/>
              </w:rPr>
            </w:pPr>
          </w:p>
        </w:tc>
        <w:tc>
          <w:tcPr>
            <w:tcW w:w="1133" w:type="dxa"/>
          </w:tcPr>
          <w:p w14:paraId="4B9DB703">
            <w:pPr>
              <w:pStyle w:val="244"/>
              <w:rPr>
                <w:rFonts w:ascii="仿宋" w:hAnsi="仿宋" w:eastAsia="仿宋" w:cs="仿宋"/>
                <w:color w:val="auto"/>
                <w:sz w:val="21"/>
                <w:szCs w:val="21"/>
              </w:rPr>
            </w:pPr>
          </w:p>
        </w:tc>
        <w:tc>
          <w:tcPr>
            <w:tcW w:w="756" w:type="dxa"/>
          </w:tcPr>
          <w:p w14:paraId="44083689">
            <w:pPr>
              <w:pStyle w:val="244"/>
              <w:rPr>
                <w:rFonts w:ascii="仿宋" w:hAnsi="仿宋" w:eastAsia="仿宋" w:cs="仿宋"/>
                <w:color w:val="auto"/>
                <w:sz w:val="21"/>
                <w:szCs w:val="21"/>
              </w:rPr>
            </w:pPr>
          </w:p>
        </w:tc>
        <w:tc>
          <w:tcPr>
            <w:tcW w:w="754" w:type="dxa"/>
          </w:tcPr>
          <w:p w14:paraId="019D499F">
            <w:pPr>
              <w:pStyle w:val="244"/>
              <w:rPr>
                <w:rFonts w:ascii="仿宋" w:hAnsi="仿宋" w:eastAsia="仿宋" w:cs="仿宋"/>
                <w:color w:val="auto"/>
                <w:sz w:val="21"/>
                <w:szCs w:val="21"/>
              </w:rPr>
            </w:pPr>
          </w:p>
        </w:tc>
        <w:tc>
          <w:tcPr>
            <w:tcW w:w="704" w:type="dxa"/>
          </w:tcPr>
          <w:p w14:paraId="6A496906">
            <w:pPr>
              <w:pStyle w:val="244"/>
              <w:rPr>
                <w:rFonts w:ascii="仿宋" w:hAnsi="仿宋" w:eastAsia="仿宋" w:cs="仿宋"/>
                <w:color w:val="auto"/>
                <w:sz w:val="21"/>
                <w:szCs w:val="21"/>
              </w:rPr>
            </w:pPr>
          </w:p>
        </w:tc>
      </w:tr>
    </w:tbl>
    <w:p w14:paraId="2066B905">
      <w:pPr>
        <w:spacing w:before="62"/>
        <w:ind w:left="998"/>
        <w:rPr>
          <w:rFonts w:ascii="仿宋" w:hAnsi="仿宋" w:eastAsia="仿宋" w:cs="仿宋"/>
          <w:color w:val="auto"/>
          <w:sz w:val="24"/>
          <w:szCs w:val="24"/>
        </w:rPr>
      </w:pPr>
    </w:p>
    <w:p w14:paraId="0FE0F959">
      <w:pPr>
        <w:spacing w:before="203"/>
        <w:ind w:left="998"/>
        <w:rPr>
          <w:rFonts w:ascii="仿宋" w:hAnsi="仿宋" w:eastAsia="仿宋" w:cs="仿宋"/>
          <w:color w:val="auto"/>
          <w:sz w:val="24"/>
          <w:szCs w:val="24"/>
        </w:rPr>
      </w:pPr>
      <w:r>
        <w:rPr>
          <w:rFonts w:hint="eastAsia" w:ascii="仿宋" w:hAnsi="仿宋" w:eastAsia="仿宋" w:cs="仿宋"/>
          <w:color w:val="auto"/>
          <w:sz w:val="24"/>
          <w:szCs w:val="24"/>
        </w:rPr>
        <w:t>法定代表人（单位负责人）或委托代理人（签字或盖章）：</w:t>
      </w:r>
    </w:p>
    <w:p w14:paraId="07E0EC2D">
      <w:pPr>
        <w:tabs>
          <w:tab w:val="left" w:pos="6545"/>
          <w:tab w:val="left" w:pos="7428"/>
          <w:tab w:val="left" w:pos="8312"/>
        </w:tabs>
        <w:spacing w:before="71"/>
        <w:ind w:left="5032"/>
        <w:rPr>
          <w:rFonts w:ascii="仿宋" w:hAnsi="仿宋" w:eastAsia="仿宋" w:cs="仿宋"/>
          <w:color w:val="auto"/>
          <w:sz w:val="24"/>
          <w:szCs w:val="24"/>
        </w:rPr>
      </w:pPr>
      <w:r>
        <w:rPr>
          <w:rFonts w:hint="eastAsia" w:ascii="仿宋" w:hAnsi="仿宋" w:eastAsia="仿宋" w:cs="仿宋"/>
          <w:color w:val="auto"/>
          <w:sz w:val="24"/>
          <w:szCs w:val="24"/>
          <w:u w:val="single"/>
        </w:rPr>
        <w:tab/>
      </w:r>
      <w:r>
        <w:rPr>
          <w:rFonts w:hint="eastAsia" w:ascii="仿宋" w:hAnsi="仿宋" w:eastAsia="仿宋" w:cs="仿宋"/>
          <w:color w:val="auto"/>
          <w:spacing w:val="-27"/>
          <w:sz w:val="24"/>
          <w:szCs w:val="24"/>
        </w:rPr>
        <w:t>年</w:t>
      </w:r>
      <w:r>
        <w:rPr>
          <w:rFonts w:hint="eastAsia" w:ascii="仿宋" w:hAnsi="仿宋" w:eastAsia="仿宋" w:cs="仿宋"/>
          <w:color w:val="auto"/>
          <w:spacing w:val="-27"/>
          <w:sz w:val="24"/>
          <w:szCs w:val="24"/>
          <w:u w:val="single"/>
        </w:rPr>
        <w:tab/>
      </w:r>
      <w:r>
        <w:rPr>
          <w:rFonts w:hint="eastAsia" w:ascii="仿宋" w:hAnsi="仿宋" w:eastAsia="仿宋" w:cs="仿宋"/>
          <w:color w:val="auto"/>
          <w:spacing w:val="-29"/>
          <w:sz w:val="24"/>
          <w:szCs w:val="24"/>
        </w:rPr>
        <w:t>月</w:t>
      </w:r>
      <w:r>
        <w:rPr>
          <w:rFonts w:hint="eastAsia" w:ascii="仿宋" w:hAnsi="仿宋" w:eastAsia="仿宋" w:cs="仿宋"/>
          <w:color w:val="auto"/>
          <w:spacing w:val="-29"/>
          <w:sz w:val="24"/>
          <w:szCs w:val="24"/>
          <w:u w:val="single"/>
        </w:rPr>
        <w:tab/>
      </w:r>
      <w:r>
        <w:rPr>
          <w:rFonts w:hint="eastAsia" w:ascii="仿宋" w:hAnsi="仿宋" w:eastAsia="仿宋" w:cs="仿宋"/>
          <w:color w:val="auto"/>
          <w:sz w:val="24"/>
          <w:szCs w:val="24"/>
        </w:rPr>
        <w:t>日</w:t>
      </w:r>
    </w:p>
    <w:p w14:paraId="7A6B390A">
      <w:pPr>
        <w:rPr>
          <w:rFonts w:ascii="宋体" w:hAnsi="宋体" w:cs="宋体"/>
          <w:bCs/>
          <w:color w:val="auto"/>
          <w:sz w:val="24"/>
          <w:szCs w:val="24"/>
        </w:rPr>
      </w:pPr>
    </w:p>
    <w:p w14:paraId="5E8F2F80">
      <w:pPr>
        <w:rPr>
          <w:rFonts w:ascii="宋体" w:hAnsi="宋体" w:cs="宋体"/>
          <w:bCs/>
          <w:color w:val="auto"/>
          <w:sz w:val="24"/>
          <w:szCs w:val="24"/>
        </w:rPr>
      </w:pPr>
      <w:r>
        <w:rPr>
          <w:rFonts w:hint="eastAsia" w:ascii="宋体" w:hAnsi="宋体" w:cs="宋体"/>
          <w:bCs/>
          <w:color w:val="auto"/>
          <w:sz w:val="24"/>
          <w:szCs w:val="24"/>
        </w:rPr>
        <w:t>说明：</w:t>
      </w:r>
    </w:p>
    <w:p w14:paraId="19FE3DCE">
      <w:pPr>
        <w:rPr>
          <w:rFonts w:ascii="宋体" w:hAnsi="宋体" w:cs="宋体"/>
          <w:bCs/>
          <w:color w:val="auto"/>
          <w:sz w:val="24"/>
          <w:szCs w:val="24"/>
        </w:rPr>
      </w:pPr>
      <w:r>
        <w:rPr>
          <w:rFonts w:hint="eastAsia" w:ascii="宋体" w:hAnsi="宋体" w:cs="宋体"/>
          <w:bCs/>
          <w:color w:val="auto"/>
          <w:sz w:val="24"/>
          <w:szCs w:val="24"/>
        </w:rPr>
        <w:t>1.中标人达到开业条件后，须完整填报上表，并报采购人书面备案。上表人员包含但不限于项目</w:t>
      </w:r>
      <w:r>
        <w:rPr>
          <w:rFonts w:hint="eastAsia" w:ascii="宋体" w:hAnsi="宋体" w:cs="仿宋"/>
          <w:color w:val="auto"/>
          <w:sz w:val="24"/>
          <w:szCs w:val="24"/>
        </w:rPr>
        <w:t>负责人、厨师、厨工、管理人员、其他人员等在内的为本项目服务的所有档口工作人员及管理人员。</w:t>
      </w:r>
      <w:r>
        <w:rPr>
          <w:rFonts w:hint="eastAsia" w:ascii="宋体" w:hAnsi="宋体" w:cs="宋体"/>
          <w:bCs/>
          <w:color w:val="auto"/>
          <w:sz w:val="24"/>
          <w:szCs w:val="24"/>
        </w:rPr>
        <w:t>采购人定期或不定期对所有档口工作人员的聘用合同、缴纳社保的材料、上岗情况及工资流水进行查验。此表将作为查验的基础数据和依据。</w:t>
      </w:r>
    </w:p>
    <w:p w14:paraId="5B233DDD">
      <w:pPr>
        <w:snapToGrid w:val="0"/>
        <w:spacing w:line="440" w:lineRule="exact"/>
        <w:ind w:firstLine="480" w:firstLineChars="200"/>
        <w:rPr>
          <w:rFonts w:ascii="宋体" w:hAnsi="宋体"/>
          <w:b/>
          <w:color w:val="auto"/>
        </w:rPr>
      </w:pPr>
      <w:r>
        <w:rPr>
          <w:rFonts w:hint="eastAsia" w:ascii="宋体" w:hAnsi="宋体" w:cs="仿宋"/>
          <w:color w:val="auto"/>
          <w:sz w:val="24"/>
          <w:szCs w:val="24"/>
        </w:rPr>
        <w:t>2.中标人须依法用工，工资待遇和社会保险按国家规定执行；中标人不得拖欠员工工资和第三方货物等经营款项，自行负责妥善处理各类纠纷（含用工纠纷）和投诉，并自行承担由此造成的一切经济、安全责任和法律责任；中标人自行承担员工和经营范围内发生的人身财产安全、食品卫生、消防安全等事故造成的一切经济、行政和法律责任。</w:t>
      </w:r>
    </w:p>
    <w:p w14:paraId="727A0D9A">
      <w:pPr>
        <w:snapToGrid w:val="0"/>
        <w:spacing w:line="440" w:lineRule="exact"/>
        <w:ind w:firstLine="562" w:firstLineChars="200"/>
        <w:rPr>
          <w:rFonts w:ascii="宋体" w:hAnsi="宋体"/>
          <w:b/>
          <w:color w:val="auto"/>
        </w:rPr>
      </w:pPr>
      <w:r>
        <w:rPr>
          <w:rFonts w:hint="eastAsia" w:ascii="宋体" w:hAnsi="宋体"/>
          <w:b/>
          <w:color w:val="auto"/>
        </w:rPr>
        <w:t>3</w:t>
      </w:r>
      <w:r>
        <w:rPr>
          <w:rFonts w:ascii="宋体" w:hAnsi="宋体"/>
          <w:b/>
          <w:color w:val="auto"/>
        </w:rPr>
        <w:t>.</w:t>
      </w:r>
      <w:r>
        <w:rPr>
          <w:rFonts w:hint="eastAsia" w:ascii="宋体" w:hAnsi="宋体"/>
          <w:b/>
          <w:color w:val="auto"/>
        </w:rPr>
        <w:t>商务承诺</w:t>
      </w:r>
    </w:p>
    <w:p w14:paraId="1BB1F794">
      <w:pPr>
        <w:snapToGrid w:val="0"/>
        <w:spacing w:line="440" w:lineRule="exact"/>
        <w:ind w:firstLine="560" w:firstLineChars="200"/>
        <w:rPr>
          <w:rFonts w:ascii="宋体" w:hAnsi="宋体"/>
          <w:color w:val="auto"/>
        </w:rPr>
      </w:pPr>
    </w:p>
    <w:p w14:paraId="00BC0736">
      <w:pPr>
        <w:snapToGrid w:val="0"/>
        <w:spacing w:line="440" w:lineRule="exact"/>
        <w:ind w:firstLine="560" w:firstLineChars="200"/>
        <w:rPr>
          <w:rFonts w:ascii="宋体" w:hAnsi="宋体"/>
          <w:color w:val="auto"/>
        </w:rPr>
      </w:pPr>
    </w:p>
    <w:p w14:paraId="6678588E">
      <w:pPr>
        <w:snapToGrid w:val="0"/>
        <w:spacing w:line="440" w:lineRule="exact"/>
        <w:ind w:firstLine="560" w:firstLineChars="200"/>
        <w:rPr>
          <w:rFonts w:ascii="宋体" w:hAnsi="宋体"/>
          <w:color w:val="auto"/>
        </w:rPr>
      </w:pPr>
    </w:p>
    <w:p w14:paraId="58D3189B">
      <w:pPr>
        <w:snapToGrid w:val="0"/>
        <w:spacing w:line="440" w:lineRule="exact"/>
        <w:ind w:firstLine="560" w:firstLineChars="200"/>
        <w:rPr>
          <w:rFonts w:ascii="宋体" w:hAnsi="宋体"/>
          <w:color w:val="auto"/>
        </w:rPr>
      </w:pPr>
    </w:p>
    <w:p w14:paraId="2D210151">
      <w:pPr>
        <w:snapToGrid w:val="0"/>
        <w:spacing w:line="440" w:lineRule="exact"/>
        <w:ind w:firstLine="560" w:firstLineChars="200"/>
        <w:rPr>
          <w:rFonts w:ascii="宋体" w:hAnsi="宋体"/>
          <w:color w:val="auto"/>
        </w:rPr>
      </w:pPr>
    </w:p>
    <w:p w14:paraId="20B8C3E9">
      <w:pPr>
        <w:snapToGrid w:val="0"/>
        <w:spacing w:line="440" w:lineRule="exact"/>
        <w:ind w:firstLine="560" w:firstLineChars="200"/>
        <w:rPr>
          <w:rFonts w:ascii="宋体" w:hAnsi="宋体"/>
          <w:color w:val="auto"/>
        </w:rPr>
      </w:pPr>
    </w:p>
    <w:p w14:paraId="009AAAD9">
      <w:pPr>
        <w:snapToGrid w:val="0"/>
        <w:spacing w:line="440" w:lineRule="exact"/>
        <w:ind w:firstLine="560" w:firstLineChars="200"/>
        <w:rPr>
          <w:rFonts w:ascii="宋体" w:hAnsi="宋体"/>
          <w:color w:val="auto"/>
        </w:rPr>
      </w:pPr>
    </w:p>
    <w:p w14:paraId="3B85742D">
      <w:pPr>
        <w:snapToGrid w:val="0"/>
        <w:spacing w:line="440" w:lineRule="exact"/>
        <w:ind w:firstLine="560" w:firstLineChars="200"/>
        <w:rPr>
          <w:rFonts w:ascii="宋体" w:hAnsi="宋体"/>
          <w:color w:val="auto"/>
        </w:rPr>
      </w:pPr>
    </w:p>
    <w:p w14:paraId="1A262B93">
      <w:pPr>
        <w:snapToGrid w:val="0"/>
        <w:spacing w:line="440" w:lineRule="exact"/>
        <w:ind w:firstLine="560" w:firstLineChars="200"/>
        <w:rPr>
          <w:rFonts w:ascii="宋体" w:hAnsi="宋体"/>
          <w:color w:val="auto"/>
        </w:rPr>
      </w:pPr>
    </w:p>
    <w:p w14:paraId="25EA4C19">
      <w:pPr>
        <w:snapToGrid w:val="0"/>
        <w:spacing w:line="440" w:lineRule="exact"/>
        <w:ind w:firstLine="560" w:firstLineChars="200"/>
        <w:rPr>
          <w:rFonts w:ascii="宋体" w:hAnsi="宋体"/>
          <w:color w:val="auto"/>
        </w:rPr>
      </w:pPr>
    </w:p>
    <w:p w14:paraId="777A2467">
      <w:pPr>
        <w:snapToGrid w:val="0"/>
        <w:spacing w:line="440" w:lineRule="exact"/>
        <w:ind w:firstLine="560" w:firstLineChars="200"/>
        <w:rPr>
          <w:rFonts w:ascii="宋体" w:hAnsi="宋体"/>
          <w:color w:val="auto"/>
        </w:rPr>
      </w:pPr>
    </w:p>
    <w:p w14:paraId="11B0D9D2">
      <w:pPr>
        <w:snapToGrid w:val="0"/>
        <w:spacing w:line="440" w:lineRule="exact"/>
        <w:ind w:firstLine="560" w:firstLineChars="200"/>
        <w:rPr>
          <w:rFonts w:ascii="宋体" w:hAnsi="宋体"/>
          <w:color w:val="auto"/>
        </w:rPr>
      </w:pPr>
    </w:p>
    <w:p w14:paraId="0C6D1F4A">
      <w:pPr>
        <w:snapToGrid w:val="0"/>
        <w:spacing w:line="440" w:lineRule="exact"/>
        <w:ind w:firstLine="560" w:firstLineChars="200"/>
        <w:rPr>
          <w:rFonts w:ascii="宋体" w:hAnsi="宋体"/>
          <w:color w:val="auto"/>
        </w:rPr>
      </w:pPr>
    </w:p>
    <w:p w14:paraId="40830432">
      <w:pPr>
        <w:snapToGrid w:val="0"/>
        <w:spacing w:line="440" w:lineRule="exact"/>
        <w:ind w:firstLine="560" w:firstLineChars="200"/>
        <w:rPr>
          <w:rFonts w:ascii="宋体" w:hAnsi="宋体"/>
          <w:color w:val="auto"/>
        </w:rPr>
      </w:pPr>
    </w:p>
    <w:p w14:paraId="0CE15DBD">
      <w:pPr>
        <w:snapToGrid w:val="0"/>
        <w:spacing w:line="440" w:lineRule="exact"/>
        <w:ind w:firstLine="560" w:firstLineChars="200"/>
        <w:rPr>
          <w:rFonts w:ascii="宋体" w:hAnsi="宋体"/>
          <w:color w:val="auto"/>
        </w:rPr>
      </w:pPr>
    </w:p>
    <w:p w14:paraId="45CF8A51">
      <w:pPr>
        <w:snapToGrid w:val="0"/>
        <w:spacing w:line="440" w:lineRule="exact"/>
        <w:ind w:firstLine="560" w:firstLineChars="200"/>
        <w:rPr>
          <w:rFonts w:ascii="宋体" w:hAnsi="宋体"/>
          <w:color w:val="auto"/>
        </w:rPr>
      </w:pPr>
    </w:p>
    <w:p w14:paraId="1FF064C3">
      <w:pPr>
        <w:snapToGrid w:val="0"/>
        <w:spacing w:line="440" w:lineRule="exact"/>
        <w:ind w:firstLine="560" w:firstLineChars="200"/>
        <w:rPr>
          <w:rFonts w:ascii="宋体" w:hAnsi="宋体"/>
          <w:color w:val="auto"/>
        </w:rPr>
      </w:pPr>
    </w:p>
    <w:p w14:paraId="14479E16">
      <w:pPr>
        <w:snapToGrid w:val="0"/>
        <w:spacing w:line="440" w:lineRule="exact"/>
        <w:ind w:firstLine="560" w:firstLineChars="200"/>
        <w:rPr>
          <w:rFonts w:ascii="宋体" w:hAnsi="宋体"/>
          <w:color w:val="auto"/>
        </w:rPr>
      </w:pPr>
    </w:p>
    <w:p w14:paraId="17A43DD7">
      <w:pPr>
        <w:snapToGrid w:val="0"/>
        <w:spacing w:line="440" w:lineRule="exact"/>
        <w:ind w:firstLine="560" w:firstLineChars="200"/>
        <w:rPr>
          <w:rFonts w:ascii="宋体" w:hAnsi="宋体"/>
          <w:color w:val="auto"/>
        </w:rPr>
      </w:pPr>
    </w:p>
    <w:p w14:paraId="16D5D3B3">
      <w:pPr>
        <w:snapToGrid w:val="0"/>
        <w:spacing w:line="440" w:lineRule="exact"/>
        <w:ind w:firstLine="560" w:firstLineChars="200"/>
        <w:rPr>
          <w:rFonts w:ascii="宋体" w:hAnsi="宋体"/>
          <w:color w:val="auto"/>
        </w:rPr>
      </w:pPr>
    </w:p>
    <w:p w14:paraId="1A9B33E7">
      <w:pPr>
        <w:snapToGrid w:val="0"/>
        <w:spacing w:line="440" w:lineRule="exact"/>
        <w:ind w:firstLine="560" w:firstLineChars="200"/>
        <w:rPr>
          <w:rFonts w:ascii="宋体" w:hAnsi="宋体"/>
          <w:color w:val="auto"/>
        </w:rPr>
      </w:pPr>
    </w:p>
    <w:p w14:paraId="7776438C">
      <w:pPr>
        <w:snapToGrid w:val="0"/>
        <w:spacing w:line="440" w:lineRule="exact"/>
        <w:ind w:firstLine="560" w:firstLineChars="200"/>
        <w:rPr>
          <w:rFonts w:ascii="宋体" w:hAnsi="宋体"/>
          <w:color w:val="auto"/>
        </w:rPr>
      </w:pPr>
    </w:p>
    <w:p w14:paraId="7EDC9E1A">
      <w:pPr>
        <w:snapToGrid w:val="0"/>
        <w:spacing w:line="440" w:lineRule="exact"/>
        <w:ind w:firstLine="560" w:firstLineChars="200"/>
        <w:rPr>
          <w:rFonts w:ascii="宋体" w:hAnsi="宋体"/>
          <w:color w:val="auto"/>
        </w:rPr>
      </w:pPr>
    </w:p>
    <w:p w14:paraId="0F0BC8AF">
      <w:pPr>
        <w:snapToGrid w:val="0"/>
        <w:spacing w:line="440" w:lineRule="exact"/>
        <w:ind w:firstLine="560" w:firstLineChars="200"/>
        <w:rPr>
          <w:rFonts w:ascii="宋体" w:hAnsi="宋体"/>
          <w:color w:val="auto"/>
        </w:rPr>
      </w:pPr>
    </w:p>
    <w:p w14:paraId="76A034EB">
      <w:pPr>
        <w:snapToGrid w:val="0"/>
        <w:spacing w:line="440" w:lineRule="exact"/>
        <w:ind w:firstLine="560" w:firstLineChars="200"/>
        <w:rPr>
          <w:rFonts w:ascii="宋体" w:hAnsi="宋体"/>
          <w:color w:val="auto"/>
        </w:rPr>
      </w:pPr>
    </w:p>
    <w:p w14:paraId="142C90F1">
      <w:pPr>
        <w:snapToGrid w:val="0"/>
        <w:spacing w:line="440" w:lineRule="exact"/>
        <w:ind w:firstLine="560" w:firstLineChars="200"/>
        <w:rPr>
          <w:rFonts w:ascii="宋体" w:hAnsi="宋体"/>
          <w:color w:val="auto"/>
        </w:rPr>
      </w:pPr>
    </w:p>
    <w:p w14:paraId="17BECE0E">
      <w:pPr>
        <w:snapToGrid w:val="0"/>
        <w:spacing w:line="440" w:lineRule="exact"/>
        <w:ind w:firstLine="560" w:firstLineChars="200"/>
        <w:rPr>
          <w:rFonts w:ascii="宋体" w:hAnsi="宋体"/>
          <w:color w:val="auto"/>
        </w:rPr>
      </w:pPr>
    </w:p>
    <w:p w14:paraId="181BCE73">
      <w:pPr>
        <w:snapToGrid w:val="0"/>
        <w:spacing w:line="440" w:lineRule="exact"/>
        <w:ind w:firstLine="560" w:firstLineChars="200"/>
        <w:rPr>
          <w:rFonts w:ascii="宋体" w:hAnsi="宋体"/>
          <w:color w:val="auto"/>
        </w:rPr>
      </w:pPr>
    </w:p>
    <w:p w14:paraId="78A1E618">
      <w:pPr>
        <w:snapToGrid w:val="0"/>
        <w:spacing w:line="440" w:lineRule="exact"/>
        <w:ind w:firstLine="560" w:firstLineChars="200"/>
        <w:rPr>
          <w:rFonts w:ascii="宋体" w:hAnsi="宋体"/>
          <w:color w:val="auto"/>
        </w:rPr>
      </w:pPr>
    </w:p>
    <w:p w14:paraId="46596F2D">
      <w:pPr>
        <w:snapToGrid w:val="0"/>
        <w:spacing w:line="440" w:lineRule="exact"/>
        <w:ind w:firstLine="560" w:firstLineChars="200"/>
        <w:rPr>
          <w:rFonts w:ascii="宋体" w:hAnsi="宋体"/>
          <w:color w:val="auto"/>
        </w:rPr>
      </w:pPr>
    </w:p>
    <w:p w14:paraId="4C79EE70">
      <w:pPr>
        <w:snapToGrid w:val="0"/>
        <w:spacing w:line="440" w:lineRule="exact"/>
        <w:ind w:firstLine="562" w:firstLineChars="200"/>
        <w:rPr>
          <w:rFonts w:ascii="宋体" w:hAnsi="宋体"/>
          <w:b/>
          <w:color w:val="auto"/>
        </w:rPr>
      </w:pPr>
    </w:p>
    <w:p w14:paraId="6C942357">
      <w:pPr>
        <w:snapToGrid w:val="0"/>
        <w:spacing w:line="440" w:lineRule="exact"/>
        <w:ind w:firstLine="562" w:firstLineChars="200"/>
        <w:rPr>
          <w:rFonts w:ascii="宋体" w:hAnsi="宋体"/>
          <w:b/>
          <w:color w:val="auto"/>
        </w:rPr>
      </w:pPr>
      <w:r>
        <w:rPr>
          <w:rFonts w:hint="eastAsia" w:ascii="宋体" w:hAnsi="宋体"/>
          <w:b/>
          <w:color w:val="auto"/>
        </w:rPr>
        <w:t>（三）商务部分</w:t>
      </w:r>
    </w:p>
    <w:p w14:paraId="3546F9AC">
      <w:pPr>
        <w:snapToGrid w:val="0"/>
        <w:spacing w:line="440" w:lineRule="exact"/>
        <w:ind w:firstLine="560" w:firstLineChars="200"/>
        <w:rPr>
          <w:rFonts w:ascii="宋体" w:hAnsi="宋体"/>
          <w:color w:val="auto"/>
        </w:rPr>
      </w:pPr>
      <w:r>
        <w:rPr>
          <w:rFonts w:hint="eastAsia" w:ascii="宋体" w:hAnsi="宋体"/>
          <w:color w:val="auto"/>
        </w:rPr>
        <w:t>按第三篇商务要求内容撰写，格式自定义。</w:t>
      </w:r>
    </w:p>
    <w:p w14:paraId="46DDD350">
      <w:pPr>
        <w:snapToGrid w:val="0"/>
        <w:spacing w:line="440" w:lineRule="exact"/>
        <w:ind w:firstLine="560" w:firstLineChars="200"/>
        <w:rPr>
          <w:rFonts w:ascii="宋体" w:hAnsi="宋体"/>
          <w:color w:val="auto"/>
        </w:rPr>
      </w:pPr>
    </w:p>
    <w:p w14:paraId="5A4BCA17">
      <w:pPr>
        <w:snapToGrid w:val="0"/>
        <w:spacing w:line="440" w:lineRule="exact"/>
        <w:ind w:firstLine="560" w:firstLineChars="200"/>
        <w:rPr>
          <w:rFonts w:ascii="宋体" w:hAnsi="宋体"/>
          <w:color w:val="auto"/>
        </w:rPr>
      </w:pPr>
    </w:p>
    <w:p w14:paraId="4A1A5D3A">
      <w:pPr>
        <w:snapToGrid w:val="0"/>
        <w:spacing w:line="440" w:lineRule="exact"/>
        <w:ind w:firstLine="560" w:firstLineChars="200"/>
        <w:rPr>
          <w:rFonts w:ascii="宋体" w:hAnsi="宋体"/>
          <w:color w:val="auto"/>
        </w:rPr>
      </w:pPr>
    </w:p>
    <w:p w14:paraId="23EF423B">
      <w:pPr>
        <w:snapToGrid w:val="0"/>
        <w:spacing w:line="440" w:lineRule="exact"/>
        <w:ind w:firstLine="560" w:firstLineChars="200"/>
        <w:rPr>
          <w:rFonts w:ascii="宋体" w:hAnsi="宋体"/>
          <w:color w:val="auto"/>
        </w:rPr>
      </w:pPr>
    </w:p>
    <w:p w14:paraId="072BC7FE">
      <w:pPr>
        <w:snapToGrid w:val="0"/>
        <w:spacing w:line="440" w:lineRule="exact"/>
        <w:ind w:firstLine="560" w:firstLineChars="200"/>
        <w:rPr>
          <w:rFonts w:ascii="宋体" w:hAnsi="宋体"/>
          <w:color w:val="auto"/>
        </w:rPr>
      </w:pPr>
    </w:p>
    <w:p w14:paraId="253651A0">
      <w:pPr>
        <w:snapToGrid w:val="0"/>
        <w:spacing w:line="440" w:lineRule="exact"/>
        <w:ind w:firstLine="560" w:firstLineChars="200"/>
        <w:rPr>
          <w:rFonts w:ascii="宋体" w:hAnsi="宋体"/>
          <w:color w:val="auto"/>
        </w:rPr>
      </w:pPr>
    </w:p>
    <w:p w14:paraId="2F5AE59D">
      <w:pPr>
        <w:snapToGrid w:val="0"/>
        <w:spacing w:line="440" w:lineRule="exact"/>
        <w:ind w:firstLine="560" w:firstLineChars="200"/>
        <w:rPr>
          <w:rFonts w:ascii="宋体" w:hAnsi="宋体"/>
          <w:color w:val="auto"/>
        </w:rPr>
      </w:pPr>
    </w:p>
    <w:p w14:paraId="69E1B409">
      <w:pPr>
        <w:snapToGrid w:val="0"/>
        <w:spacing w:line="440" w:lineRule="exact"/>
        <w:ind w:firstLine="560" w:firstLineChars="200"/>
        <w:rPr>
          <w:rFonts w:ascii="宋体" w:hAnsi="宋体"/>
          <w:color w:val="auto"/>
        </w:rPr>
      </w:pPr>
    </w:p>
    <w:p w14:paraId="58BF713E">
      <w:pPr>
        <w:snapToGrid w:val="0"/>
        <w:spacing w:line="440" w:lineRule="exact"/>
        <w:ind w:firstLine="560" w:firstLineChars="200"/>
        <w:rPr>
          <w:rFonts w:ascii="宋体" w:hAnsi="宋体"/>
          <w:color w:val="auto"/>
        </w:rPr>
      </w:pPr>
    </w:p>
    <w:p w14:paraId="76D5D282">
      <w:pPr>
        <w:snapToGrid w:val="0"/>
        <w:spacing w:line="440" w:lineRule="exact"/>
        <w:ind w:firstLine="560" w:firstLineChars="200"/>
        <w:rPr>
          <w:rFonts w:ascii="宋体" w:hAnsi="宋体"/>
          <w:color w:val="auto"/>
        </w:rPr>
      </w:pPr>
    </w:p>
    <w:p w14:paraId="3AB4E18D">
      <w:pPr>
        <w:snapToGrid w:val="0"/>
        <w:spacing w:line="440" w:lineRule="exact"/>
        <w:ind w:firstLine="560" w:firstLineChars="200"/>
        <w:rPr>
          <w:rFonts w:ascii="宋体" w:hAnsi="宋体"/>
          <w:color w:val="auto"/>
        </w:rPr>
      </w:pPr>
    </w:p>
    <w:p w14:paraId="3DD73F51">
      <w:pPr>
        <w:snapToGrid w:val="0"/>
        <w:spacing w:line="440" w:lineRule="exact"/>
        <w:ind w:firstLine="560" w:firstLineChars="200"/>
        <w:rPr>
          <w:rFonts w:ascii="宋体" w:hAnsi="宋体"/>
          <w:color w:val="auto"/>
        </w:rPr>
      </w:pPr>
    </w:p>
    <w:p w14:paraId="45FE984C">
      <w:pPr>
        <w:snapToGrid w:val="0"/>
        <w:spacing w:line="440" w:lineRule="exact"/>
        <w:ind w:firstLine="560" w:firstLineChars="200"/>
        <w:rPr>
          <w:rFonts w:ascii="宋体" w:hAnsi="宋体"/>
          <w:color w:val="auto"/>
        </w:rPr>
      </w:pPr>
    </w:p>
    <w:p w14:paraId="60D73736">
      <w:pPr>
        <w:snapToGrid w:val="0"/>
        <w:spacing w:line="440" w:lineRule="exact"/>
        <w:ind w:firstLine="560" w:firstLineChars="200"/>
        <w:rPr>
          <w:rFonts w:ascii="宋体" w:hAnsi="宋体"/>
          <w:color w:val="auto"/>
        </w:rPr>
      </w:pPr>
    </w:p>
    <w:p w14:paraId="40DCA352">
      <w:pPr>
        <w:snapToGrid w:val="0"/>
        <w:spacing w:line="440" w:lineRule="exact"/>
        <w:ind w:firstLine="560" w:firstLineChars="200"/>
        <w:rPr>
          <w:rFonts w:ascii="宋体" w:hAnsi="宋体"/>
          <w:color w:val="auto"/>
        </w:rPr>
      </w:pPr>
    </w:p>
    <w:p w14:paraId="6A6D6A35">
      <w:pPr>
        <w:snapToGrid w:val="0"/>
        <w:spacing w:line="440" w:lineRule="exact"/>
        <w:ind w:firstLine="560" w:firstLineChars="200"/>
        <w:rPr>
          <w:rFonts w:ascii="宋体" w:hAnsi="宋体"/>
          <w:color w:val="auto"/>
        </w:rPr>
      </w:pPr>
    </w:p>
    <w:p w14:paraId="667F05BB">
      <w:pPr>
        <w:snapToGrid w:val="0"/>
        <w:spacing w:line="440" w:lineRule="exact"/>
        <w:ind w:firstLine="560" w:firstLineChars="200"/>
        <w:rPr>
          <w:rFonts w:ascii="宋体" w:hAnsi="宋体"/>
          <w:color w:val="auto"/>
        </w:rPr>
      </w:pPr>
    </w:p>
    <w:p w14:paraId="2CDA292F">
      <w:pPr>
        <w:snapToGrid w:val="0"/>
        <w:spacing w:line="440" w:lineRule="exact"/>
        <w:ind w:firstLine="560" w:firstLineChars="200"/>
        <w:rPr>
          <w:rFonts w:ascii="宋体" w:hAnsi="宋体"/>
          <w:color w:val="auto"/>
        </w:rPr>
      </w:pPr>
    </w:p>
    <w:p w14:paraId="2EC4B1E9">
      <w:pPr>
        <w:snapToGrid w:val="0"/>
        <w:spacing w:line="440" w:lineRule="exact"/>
        <w:ind w:firstLine="560" w:firstLineChars="200"/>
        <w:rPr>
          <w:rFonts w:ascii="宋体" w:hAnsi="宋体"/>
          <w:color w:val="auto"/>
        </w:rPr>
      </w:pPr>
    </w:p>
    <w:p w14:paraId="31C975B9">
      <w:pPr>
        <w:snapToGrid w:val="0"/>
        <w:spacing w:line="440" w:lineRule="exact"/>
        <w:ind w:firstLine="560" w:firstLineChars="200"/>
        <w:rPr>
          <w:rFonts w:ascii="宋体" w:hAnsi="宋体"/>
          <w:color w:val="auto"/>
        </w:rPr>
      </w:pPr>
    </w:p>
    <w:p w14:paraId="036F39C1">
      <w:pPr>
        <w:snapToGrid w:val="0"/>
        <w:spacing w:line="440" w:lineRule="exact"/>
        <w:ind w:firstLine="560" w:firstLineChars="200"/>
        <w:rPr>
          <w:rFonts w:ascii="宋体" w:hAnsi="宋体"/>
          <w:color w:val="auto"/>
        </w:rPr>
      </w:pPr>
    </w:p>
    <w:p w14:paraId="1D7624A1">
      <w:pPr>
        <w:snapToGrid w:val="0"/>
        <w:spacing w:line="440" w:lineRule="exact"/>
        <w:ind w:firstLine="560" w:firstLineChars="200"/>
        <w:rPr>
          <w:rFonts w:ascii="宋体" w:hAnsi="宋体"/>
          <w:color w:val="auto"/>
        </w:rPr>
      </w:pPr>
    </w:p>
    <w:p w14:paraId="4B54AEE0">
      <w:pPr>
        <w:snapToGrid w:val="0"/>
        <w:spacing w:line="440" w:lineRule="exact"/>
        <w:ind w:firstLine="560" w:firstLineChars="200"/>
        <w:rPr>
          <w:rFonts w:ascii="宋体" w:hAnsi="宋体"/>
          <w:color w:val="auto"/>
        </w:rPr>
      </w:pPr>
    </w:p>
    <w:p w14:paraId="598522AB">
      <w:pPr>
        <w:snapToGrid w:val="0"/>
        <w:spacing w:line="440" w:lineRule="exact"/>
        <w:ind w:firstLine="560" w:firstLineChars="200"/>
        <w:rPr>
          <w:rFonts w:ascii="宋体" w:hAnsi="宋体"/>
          <w:color w:val="auto"/>
        </w:rPr>
      </w:pPr>
    </w:p>
    <w:p w14:paraId="34D7E3ED">
      <w:pPr>
        <w:snapToGrid w:val="0"/>
        <w:spacing w:line="440" w:lineRule="exact"/>
        <w:ind w:firstLine="560" w:firstLineChars="200"/>
        <w:rPr>
          <w:rFonts w:ascii="宋体" w:hAnsi="宋体"/>
          <w:color w:val="auto"/>
        </w:rPr>
      </w:pPr>
    </w:p>
    <w:p w14:paraId="35E1A423">
      <w:pPr>
        <w:snapToGrid w:val="0"/>
        <w:spacing w:line="440" w:lineRule="exact"/>
        <w:ind w:firstLine="560" w:firstLineChars="200"/>
        <w:rPr>
          <w:rFonts w:ascii="宋体" w:hAnsi="宋体"/>
          <w:color w:val="auto"/>
        </w:rPr>
      </w:pPr>
    </w:p>
    <w:p w14:paraId="42C5EBF3">
      <w:pPr>
        <w:snapToGrid w:val="0"/>
        <w:spacing w:line="440" w:lineRule="exact"/>
        <w:ind w:firstLine="560" w:firstLineChars="200"/>
        <w:rPr>
          <w:rFonts w:ascii="宋体" w:hAnsi="宋体"/>
          <w:color w:val="auto"/>
        </w:rPr>
      </w:pPr>
    </w:p>
    <w:p w14:paraId="0E99CD92">
      <w:pPr>
        <w:snapToGrid w:val="0"/>
        <w:spacing w:line="440" w:lineRule="exact"/>
        <w:ind w:firstLine="560" w:firstLineChars="200"/>
        <w:rPr>
          <w:rFonts w:ascii="宋体" w:hAnsi="宋体"/>
          <w:color w:val="auto"/>
        </w:rPr>
      </w:pPr>
    </w:p>
    <w:p w14:paraId="10FD71B6">
      <w:pPr>
        <w:snapToGrid w:val="0"/>
        <w:spacing w:line="440" w:lineRule="exact"/>
        <w:ind w:firstLine="560" w:firstLineChars="200"/>
        <w:rPr>
          <w:rFonts w:ascii="宋体" w:hAnsi="宋体"/>
          <w:color w:val="auto"/>
        </w:rPr>
      </w:pPr>
    </w:p>
    <w:p w14:paraId="7F006E13">
      <w:pPr>
        <w:snapToGrid w:val="0"/>
        <w:spacing w:line="440" w:lineRule="exact"/>
        <w:ind w:firstLine="560" w:firstLineChars="200"/>
        <w:rPr>
          <w:rFonts w:ascii="宋体" w:hAnsi="宋体"/>
          <w:color w:val="auto"/>
        </w:rPr>
      </w:pPr>
    </w:p>
    <w:p w14:paraId="4F04A2F7">
      <w:pPr>
        <w:snapToGrid w:val="0"/>
        <w:spacing w:line="440" w:lineRule="exact"/>
        <w:ind w:firstLine="562" w:firstLineChars="200"/>
        <w:rPr>
          <w:rFonts w:ascii="宋体" w:hAnsi="宋体"/>
          <w:b/>
          <w:color w:val="auto"/>
        </w:rPr>
      </w:pPr>
      <w:r>
        <w:rPr>
          <w:rFonts w:hint="eastAsia" w:ascii="宋体" w:hAnsi="宋体"/>
          <w:b/>
          <w:color w:val="auto"/>
        </w:rPr>
        <w:t>（四）商务条款差异表（参考）</w:t>
      </w:r>
    </w:p>
    <w:p w14:paraId="0CF37A1C">
      <w:pPr>
        <w:snapToGrid w:val="0"/>
        <w:spacing w:line="440" w:lineRule="exact"/>
        <w:ind w:firstLine="480" w:firstLineChars="200"/>
        <w:rPr>
          <w:rFonts w:ascii="宋体" w:hAnsi="宋体"/>
          <w:color w:val="auto"/>
          <w:sz w:val="24"/>
          <w:szCs w:val="24"/>
        </w:rPr>
      </w:pPr>
      <w:bookmarkStart w:id="232" w:name="_Toc186919436"/>
      <w:r>
        <w:rPr>
          <w:rFonts w:hint="eastAsia" w:ascii="宋体" w:hAnsi="宋体"/>
          <w:color w:val="auto"/>
          <w:sz w:val="24"/>
          <w:szCs w:val="24"/>
        </w:rPr>
        <w:t>项目名称：</w:t>
      </w:r>
      <w:bookmarkEnd w:id="232"/>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4"/>
        <w:gridCol w:w="2871"/>
        <w:gridCol w:w="2520"/>
        <w:gridCol w:w="1888"/>
      </w:tblGrid>
      <w:tr w14:paraId="08005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154" w:type="dxa"/>
            <w:vAlign w:val="center"/>
          </w:tcPr>
          <w:p w14:paraId="6391998A">
            <w:pPr>
              <w:snapToGrid w:val="0"/>
              <w:spacing w:line="440" w:lineRule="exact"/>
              <w:jc w:val="center"/>
              <w:rPr>
                <w:rFonts w:ascii="宋体" w:hAnsi="宋体"/>
                <w:color w:val="auto"/>
                <w:sz w:val="24"/>
                <w:szCs w:val="24"/>
              </w:rPr>
            </w:pPr>
            <w:bookmarkStart w:id="233" w:name="_Toc186919437"/>
            <w:r>
              <w:rPr>
                <w:rFonts w:hint="eastAsia" w:ascii="宋体" w:hAnsi="宋体"/>
                <w:color w:val="auto"/>
                <w:sz w:val="24"/>
                <w:szCs w:val="24"/>
              </w:rPr>
              <w:t>序号</w:t>
            </w:r>
            <w:bookmarkEnd w:id="233"/>
          </w:p>
        </w:tc>
        <w:tc>
          <w:tcPr>
            <w:tcW w:w="2871" w:type="dxa"/>
            <w:vAlign w:val="center"/>
          </w:tcPr>
          <w:p w14:paraId="6A3F0F88">
            <w:pPr>
              <w:snapToGrid w:val="0"/>
              <w:spacing w:line="440" w:lineRule="exact"/>
              <w:jc w:val="center"/>
              <w:rPr>
                <w:rFonts w:ascii="宋体" w:hAnsi="宋体"/>
                <w:color w:val="auto"/>
                <w:sz w:val="24"/>
                <w:szCs w:val="24"/>
              </w:rPr>
            </w:pPr>
            <w:bookmarkStart w:id="234" w:name="_Toc186919438"/>
            <w:r>
              <w:rPr>
                <w:rFonts w:hint="eastAsia" w:ascii="宋体" w:hAnsi="宋体"/>
                <w:color w:val="auto"/>
                <w:sz w:val="24"/>
                <w:szCs w:val="24"/>
              </w:rPr>
              <w:t>招标商务要求</w:t>
            </w:r>
            <w:bookmarkEnd w:id="234"/>
          </w:p>
        </w:tc>
        <w:tc>
          <w:tcPr>
            <w:tcW w:w="2520" w:type="dxa"/>
            <w:vAlign w:val="center"/>
          </w:tcPr>
          <w:p w14:paraId="5462DF35">
            <w:pPr>
              <w:snapToGrid w:val="0"/>
              <w:spacing w:line="440" w:lineRule="exact"/>
              <w:jc w:val="center"/>
              <w:rPr>
                <w:rFonts w:ascii="宋体" w:hAnsi="宋体"/>
                <w:color w:val="auto"/>
                <w:sz w:val="24"/>
                <w:szCs w:val="24"/>
              </w:rPr>
            </w:pPr>
            <w:bookmarkStart w:id="235" w:name="_Toc186919439"/>
            <w:r>
              <w:rPr>
                <w:rFonts w:hint="eastAsia" w:ascii="宋体" w:hAnsi="宋体"/>
                <w:color w:val="auto"/>
                <w:sz w:val="24"/>
                <w:szCs w:val="24"/>
              </w:rPr>
              <w:t>投标商务应答</w:t>
            </w:r>
            <w:bookmarkEnd w:id="235"/>
          </w:p>
        </w:tc>
        <w:tc>
          <w:tcPr>
            <w:tcW w:w="1888" w:type="dxa"/>
            <w:vAlign w:val="center"/>
          </w:tcPr>
          <w:p w14:paraId="38522037">
            <w:pPr>
              <w:snapToGrid w:val="0"/>
              <w:spacing w:line="440" w:lineRule="exact"/>
              <w:jc w:val="center"/>
              <w:rPr>
                <w:rFonts w:ascii="宋体" w:hAnsi="宋体"/>
                <w:color w:val="auto"/>
                <w:sz w:val="24"/>
                <w:szCs w:val="24"/>
              </w:rPr>
            </w:pPr>
            <w:bookmarkStart w:id="236" w:name="_Toc186919440"/>
            <w:r>
              <w:rPr>
                <w:rFonts w:hint="eastAsia" w:ascii="宋体" w:hAnsi="宋体"/>
                <w:color w:val="auto"/>
                <w:sz w:val="24"/>
                <w:szCs w:val="24"/>
              </w:rPr>
              <w:t>差异说明</w:t>
            </w:r>
            <w:bookmarkEnd w:id="236"/>
          </w:p>
        </w:tc>
      </w:tr>
      <w:tr w14:paraId="58A57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54" w:type="dxa"/>
            <w:vAlign w:val="center"/>
          </w:tcPr>
          <w:p w14:paraId="2DF5EF2C">
            <w:pPr>
              <w:snapToGrid w:val="0"/>
              <w:spacing w:line="440" w:lineRule="exact"/>
              <w:ind w:firstLine="480" w:firstLineChars="200"/>
              <w:rPr>
                <w:rFonts w:ascii="宋体" w:hAnsi="宋体"/>
                <w:color w:val="auto"/>
                <w:sz w:val="24"/>
                <w:szCs w:val="24"/>
              </w:rPr>
            </w:pPr>
          </w:p>
        </w:tc>
        <w:tc>
          <w:tcPr>
            <w:tcW w:w="2871" w:type="dxa"/>
            <w:vAlign w:val="center"/>
          </w:tcPr>
          <w:p w14:paraId="5C79D0E1">
            <w:pPr>
              <w:snapToGrid w:val="0"/>
              <w:spacing w:line="440" w:lineRule="exact"/>
              <w:ind w:firstLine="4" w:firstLineChars="2"/>
              <w:rPr>
                <w:rFonts w:ascii="宋体" w:hAnsi="宋体"/>
                <w:color w:val="auto"/>
                <w:sz w:val="24"/>
                <w:szCs w:val="24"/>
              </w:rPr>
            </w:pPr>
          </w:p>
        </w:tc>
        <w:tc>
          <w:tcPr>
            <w:tcW w:w="2520" w:type="dxa"/>
            <w:vAlign w:val="center"/>
          </w:tcPr>
          <w:p w14:paraId="013654D2">
            <w:pPr>
              <w:snapToGrid w:val="0"/>
              <w:spacing w:line="440" w:lineRule="exact"/>
              <w:ind w:firstLine="480" w:firstLineChars="200"/>
              <w:rPr>
                <w:rFonts w:ascii="宋体" w:hAnsi="宋体"/>
                <w:color w:val="auto"/>
                <w:sz w:val="24"/>
                <w:szCs w:val="24"/>
              </w:rPr>
            </w:pPr>
          </w:p>
        </w:tc>
        <w:tc>
          <w:tcPr>
            <w:tcW w:w="1888" w:type="dxa"/>
            <w:vAlign w:val="center"/>
          </w:tcPr>
          <w:p w14:paraId="3E910771">
            <w:pPr>
              <w:snapToGrid w:val="0"/>
              <w:spacing w:line="440" w:lineRule="exact"/>
              <w:ind w:firstLine="480" w:firstLineChars="200"/>
              <w:rPr>
                <w:rFonts w:ascii="宋体" w:hAnsi="宋体"/>
                <w:color w:val="auto"/>
                <w:sz w:val="24"/>
                <w:szCs w:val="24"/>
              </w:rPr>
            </w:pPr>
          </w:p>
        </w:tc>
      </w:tr>
      <w:tr w14:paraId="087BD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54" w:type="dxa"/>
            <w:vAlign w:val="center"/>
          </w:tcPr>
          <w:p w14:paraId="11FF6842">
            <w:pPr>
              <w:snapToGrid w:val="0"/>
              <w:spacing w:line="440" w:lineRule="exact"/>
              <w:ind w:firstLine="480" w:firstLineChars="200"/>
              <w:rPr>
                <w:rFonts w:ascii="宋体" w:hAnsi="宋体"/>
                <w:color w:val="auto"/>
                <w:sz w:val="24"/>
                <w:szCs w:val="24"/>
              </w:rPr>
            </w:pPr>
          </w:p>
        </w:tc>
        <w:tc>
          <w:tcPr>
            <w:tcW w:w="2871" w:type="dxa"/>
            <w:vAlign w:val="center"/>
          </w:tcPr>
          <w:p w14:paraId="7D57B6E5">
            <w:pPr>
              <w:snapToGrid w:val="0"/>
              <w:spacing w:line="440" w:lineRule="exact"/>
              <w:ind w:firstLine="480" w:firstLineChars="200"/>
              <w:rPr>
                <w:rFonts w:ascii="宋体" w:hAnsi="宋体"/>
                <w:color w:val="auto"/>
                <w:sz w:val="24"/>
                <w:szCs w:val="24"/>
              </w:rPr>
            </w:pPr>
          </w:p>
        </w:tc>
        <w:tc>
          <w:tcPr>
            <w:tcW w:w="2520" w:type="dxa"/>
            <w:vAlign w:val="center"/>
          </w:tcPr>
          <w:p w14:paraId="4EF47B64">
            <w:pPr>
              <w:snapToGrid w:val="0"/>
              <w:spacing w:line="440" w:lineRule="exact"/>
              <w:ind w:firstLine="480" w:firstLineChars="200"/>
              <w:rPr>
                <w:rFonts w:ascii="宋体" w:hAnsi="宋体"/>
                <w:color w:val="auto"/>
                <w:sz w:val="24"/>
                <w:szCs w:val="24"/>
              </w:rPr>
            </w:pPr>
          </w:p>
        </w:tc>
        <w:tc>
          <w:tcPr>
            <w:tcW w:w="1888" w:type="dxa"/>
            <w:vAlign w:val="center"/>
          </w:tcPr>
          <w:p w14:paraId="1DC46A5D">
            <w:pPr>
              <w:snapToGrid w:val="0"/>
              <w:spacing w:line="440" w:lineRule="exact"/>
              <w:ind w:firstLine="480" w:firstLineChars="200"/>
              <w:rPr>
                <w:rFonts w:ascii="宋体" w:hAnsi="宋体"/>
                <w:color w:val="auto"/>
                <w:sz w:val="24"/>
                <w:szCs w:val="24"/>
              </w:rPr>
            </w:pPr>
          </w:p>
        </w:tc>
      </w:tr>
      <w:tr w14:paraId="2092B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54" w:type="dxa"/>
            <w:vAlign w:val="center"/>
          </w:tcPr>
          <w:p w14:paraId="0CEE056A">
            <w:pPr>
              <w:snapToGrid w:val="0"/>
              <w:spacing w:line="440" w:lineRule="exact"/>
              <w:ind w:firstLine="480" w:firstLineChars="200"/>
              <w:rPr>
                <w:rFonts w:ascii="宋体" w:hAnsi="宋体"/>
                <w:color w:val="auto"/>
                <w:sz w:val="24"/>
                <w:szCs w:val="24"/>
              </w:rPr>
            </w:pPr>
          </w:p>
        </w:tc>
        <w:tc>
          <w:tcPr>
            <w:tcW w:w="2871" w:type="dxa"/>
            <w:vAlign w:val="center"/>
          </w:tcPr>
          <w:p w14:paraId="4CB66F51">
            <w:pPr>
              <w:snapToGrid w:val="0"/>
              <w:spacing w:line="440" w:lineRule="exact"/>
              <w:ind w:firstLine="480" w:firstLineChars="200"/>
              <w:rPr>
                <w:rFonts w:ascii="宋体" w:hAnsi="宋体"/>
                <w:color w:val="auto"/>
                <w:sz w:val="24"/>
                <w:szCs w:val="24"/>
              </w:rPr>
            </w:pPr>
          </w:p>
        </w:tc>
        <w:tc>
          <w:tcPr>
            <w:tcW w:w="2520" w:type="dxa"/>
            <w:vAlign w:val="center"/>
          </w:tcPr>
          <w:p w14:paraId="1618EE01">
            <w:pPr>
              <w:snapToGrid w:val="0"/>
              <w:spacing w:line="440" w:lineRule="exact"/>
              <w:ind w:firstLine="480" w:firstLineChars="200"/>
              <w:rPr>
                <w:rFonts w:ascii="宋体" w:hAnsi="宋体"/>
                <w:color w:val="auto"/>
                <w:sz w:val="24"/>
                <w:szCs w:val="24"/>
              </w:rPr>
            </w:pPr>
          </w:p>
        </w:tc>
        <w:tc>
          <w:tcPr>
            <w:tcW w:w="1888" w:type="dxa"/>
            <w:vAlign w:val="center"/>
          </w:tcPr>
          <w:p w14:paraId="6886238F">
            <w:pPr>
              <w:snapToGrid w:val="0"/>
              <w:spacing w:line="440" w:lineRule="exact"/>
              <w:ind w:firstLine="480" w:firstLineChars="200"/>
              <w:rPr>
                <w:rFonts w:ascii="宋体" w:hAnsi="宋体"/>
                <w:color w:val="auto"/>
                <w:sz w:val="24"/>
                <w:szCs w:val="24"/>
              </w:rPr>
            </w:pPr>
          </w:p>
        </w:tc>
      </w:tr>
      <w:tr w14:paraId="22775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54" w:type="dxa"/>
            <w:vAlign w:val="center"/>
          </w:tcPr>
          <w:p w14:paraId="58B1EDAC">
            <w:pPr>
              <w:snapToGrid w:val="0"/>
              <w:spacing w:line="440" w:lineRule="exact"/>
              <w:ind w:firstLine="480" w:firstLineChars="200"/>
              <w:rPr>
                <w:rFonts w:ascii="宋体" w:hAnsi="宋体"/>
                <w:color w:val="auto"/>
                <w:sz w:val="24"/>
                <w:szCs w:val="24"/>
              </w:rPr>
            </w:pPr>
          </w:p>
        </w:tc>
        <w:tc>
          <w:tcPr>
            <w:tcW w:w="2871" w:type="dxa"/>
            <w:vAlign w:val="center"/>
          </w:tcPr>
          <w:p w14:paraId="0824A157">
            <w:pPr>
              <w:snapToGrid w:val="0"/>
              <w:spacing w:line="440" w:lineRule="exact"/>
              <w:ind w:firstLine="480" w:firstLineChars="200"/>
              <w:rPr>
                <w:rFonts w:ascii="宋体" w:hAnsi="宋体"/>
                <w:color w:val="auto"/>
                <w:sz w:val="24"/>
                <w:szCs w:val="24"/>
              </w:rPr>
            </w:pPr>
          </w:p>
        </w:tc>
        <w:tc>
          <w:tcPr>
            <w:tcW w:w="2520" w:type="dxa"/>
            <w:vAlign w:val="center"/>
          </w:tcPr>
          <w:p w14:paraId="3DABCD2E">
            <w:pPr>
              <w:snapToGrid w:val="0"/>
              <w:spacing w:line="440" w:lineRule="exact"/>
              <w:ind w:firstLine="480" w:firstLineChars="200"/>
              <w:rPr>
                <w:rFonts w:ascii="宋体" w:hAnsi="宋体"/>
                <w:color w:val="auto"/>
                <w:sz w:val="24"/>
                <w:szCs w:val="24"/>
              </w:rPr>
            </w:pPr>
          </w:p>
        </w:tc>
        <w:tc>
          <w:tcPr>
            <w:tcW w:w="1888" w:type="dxa"/>
            <w:vAlign w:val="center"/>
          </w:tcPr>
          <w:p w14:paraId="1F59C2FA">
            <w:pPr>
              <w:snapToGrid w:val="0"/>
              <w:spacing w:line="440" w:lineRule="exact"/>
              <w:ind w:firstLine="480" w:firstLineChars="200"/>
              <w:rPr>
                <w:rFonts w:ascii="宋体" w:hAnsi="宋体"/>
                <w:color w:val="auto"/>
                <w:sz w:val="24"/>
                <w:szCs w:val="24"/>
              </w:rPr>
            </w:pPr>
          </w:p>
        </w:tc>
      </w:tr>
      <w:tr w14:paraId="200F3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54" w:type="dxa"/>
            <w:vAlign w:val="center"/>
          </w:tcPr>
          <w:p w14:paraId="667BC912">
            <w:pPr>
              <w:snapToGrid w:val="0"/>
              <w:spacing w:line="440" w:lineRule="exact"/>
              <w:ind w:firstLine="480" w:firstLineChars="200"/>
              <w:rPr>
                <w:rFonts w:ascii="宋体" w:hAnsi="宋体"/>
                <w:color w:val="auto"/>
                <w:sz w:val="24"/>
                <w:szCs w:val="24"/>
              </w:rPr>
            </w:pPr>
          </w:p>
        </w:tc>
        <w:tc>
          <w:tcPr>
            <w:tcW w:w="2871" w:type="dxa"/>
            <w:vAlign w:val="center"/>
          </w:tcPr>
          <w:p w14:paraId="1AA5A84E">
            <w:pPr>
              <w:snapToGrid w:val="0"/>
              <w:spacing w:line="440" w:lineRule="exact"/>
              <w:ind w:firstLine="480" w:firstLineChars="200"/>
              <w:rPr>
                <w:rFonts w:ascii="宋体" w:hAnsi="宋体"/>
                <w:color w:val="auto"/>
                <w:sz w:val="24"/>
                <w:szCs w:val="24"/>
              </w:rPr>
            </w:pPr>
          </w:p>
        </w:tc>
        <w:tc>
          <w:tcPr>
            <w:tcW w:w="2520" w:type="dxa"/>
            <w:vAlign w:val="center"/>
          </w:tcPr>
          <w:p w14:paraId="1677C673">
            <w:pPr>
              <w:snapToGrid w:val="0"/>
              <w:spacing w:line="440" w:lineRule="exact"/>
              <w:ind w:firstLine="480" w:firstLineChars="200"/>
              <w:rPr>
                <w:rFonts w:ascii="宋体" w:hAnsi="宋体"/>
                <w:color w:val="auto"/>
                <w:sz w:val="24"/>
                <w:szCs w:val="24"/>
              </w:rPr>
            </w:pPr>
          </w:p>
        </w:tc>
        <w:tc>
          <w:tcPr>
            <w:tcW w:w="1888" w:type="dxa"/>
            <w:vAlign w:val="center"/>
          </w:tcPr>
          <w:p w14:paraId="3524E245">
            <w:pPr>
              <w:snapToGrid w:val="0"/>
              <w:spacing w:line="440" w:lineRule="exact"/>
              <w:ind w:firstLine="480" w:firstLineChars="200"/>
              <w:rPr>
                <w:rFonts w:ascii="宋体" w:hAnsi="宋体"/>
                <w:color w:val="auto"/>
                <w:sz w:val="24"/>
                <w:szCs w:val="24"/>
              </w:rPr>
            </w:pPr>
          </w:p>
        </w:tc>
      </w:tr>
      <w:tr w14:paraId="57C3D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54" w:type="dxa"/>
            <w:vAlign w:val="center"/>
          </w:tcPr>
          <w:p w14:paraId="1BC0EFAC">
            <w:pPr>
              <w:snapToGrid w:val="0"/>
              <w:spacing w:line="440" w:lineRule="exact"/>
              <w:ind w:firstLine="480" w:firstLineChars="200"/>
              <w:rPr>
                <w:rFonts w:ascii="宋体" w:hAnsi="宋体"/>
                <w:color w:val="auto"/>
                <w:sz w:val="24"/>
                <w:szCs w:val="24"/>
              </w:rPr>
            </w:pPr>
          </w:p>
        </w:tc>
        <w:tc>
          <w:tcPr>
            <w:tcW w:w="2871" w:type="dxa"/>
            <w:vAlign w:val="center"/>
          </w:tcPr>
          <w:p w14:paraId="6C898463">
            <w:pPr>
              <w:snapToGrid w:val="0"/>
              <w:spacing w:line="440" w:lineRule="exact"/>
              <w:ind w:firstLine="480" w:firstLineChars="200"/>
              <w:rPr>
                <w:rFonts w:ascii="宋体" w:hAnsi="宋体"/>
                <w:color w:val="auto"/>
                <w:sz w:val="24"/>
                <w:szCs w:val="24"/>
              </w:rPr>
            </w:pPr>
          </w:p>
        </w:tc>
        <w:tc>
          <w:tcPr>
            <w:tcW w:w="2520" w:type="dxa"/>
            <w:vAlign w:val="center"/>
          </w:tcPr>
          <w:p w14:paraId="51FA2E1D">
            <w:pPr>
              <w:snapToGrid w:val="0"/>
              <w:spacing w:line="440" w:lineRule="exact"/>
              <w:ind w:firstLine="480" w:firstLineChars="200"/>
              <w:rPr>
                <w:rFonts w:ascii="宋体" w:hAnsi="宋体"/>
                <w:color w:val="auto"/>
                <w:sz w:val="24"/>
                <w:szCs w:val="24"/>
              </w:rPr>
            </w:pPr>
          </w:p>
        </w:tc>
        <w:tc>
          <w:tcPr>
            <w:tcW w:w="1888" w:type="dxa"/>
            <w:vAlign w:val="center"/>
          </w:tcPr>
          <w:p w14:paraId="72B7FC8C">
            <w:pPr>
              <w:snapToGrid w:val="0"/>
              <w:spacing w:line="440" w:lineRule="exact"/>
              <w:ind w:firstLine="480" w:firstLineChars="200"/>
              <w:rPr>
                <w:rFonts w:ascii="宋体" w:hAnsi="宋体"/>
                <w:color w:val="auto"/>
                <w:sz w:val="24"/>
                <w:szCs w:val="24"/>
              </w:rPr>
            </w:pPr>
          </w:p>
        </w:tc>
      </w:tr>
      <w:tr w14:paraId="165E4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54" w:type="dxa"/>
            <w:vAlign w:val="center"/>
          </w:tcPr>
          <w:p w14:paraId="7CEE18F0">
            <w:pPr>
              <w:snapToGrid w:val="0"/>
              <w:spacing w:line="440" w:lineRule="exact"/>
              <w:ind w:firstLine="480" w:firstLineChars="200"/>
              <w:rPr>
                <w:rFonts w:ascii="宋体" w:hAnsi="宋体"/>
                <w:color w:val="auto"/>
                <w:sz w:val="24"/>
                <w:szCs w:val="24"/>
              </w:rPr>
            </w:pPr>
          </w:p>
        </w:tc>
        <w:tc>
          <w:tcPr>
            <w:tcW w:w="2871" w:type="dxa"/>
            <w:vAlign w:val="center"/>
          </w:tcPr>
          <w:p w14:paraId="79F46C10">
            <w:pPr>
              <w:snapToGrid w:val="0"/>
              <w:spacing w:line="440" w:lineRule="exact"/>
              <w:ind w:firstLine="480" w:firstLineChars="200"/>
              <w:rPr>
                <w:rFonts w:ascii="宋体" w:hAnsi="宋体"/>
                <w:color w:val="auto"/>
                <w:sz w:val="24"/>
                <w:szCs w:val="24"/>
              </w:rPr>
            </w:pPr>
          </w:p>
        </w:tc>
        <w:tc>
          <w:tcPr>
            <w:tcW w:w="2520" w:type="dxa"/>
            <w:vAlign w:val="center"/>
          </w:tcPr>
          <w:p w14:paraId="1D096656">
            <w:pPr>
              <w:snapToGrid w:val="0"/>
              <w:spacing w:line="440" w:lineRule="exact"/>
              <w:ind w:firstLine="480" w:firstLineChars="200"/>
              <w:rPr>
                <w:rFonts w:ascii="宋体" w:hAnsi="宋体"/>
                <w:color w:val="auto"/>
                <w:sz w:val="24"/>
                <w:szCs w:val="24"/>
              </w:rPr>
            </w:pPr>
          </w:p>
        </w:tc>
        <w:tc>
          <w:tcPr>
            <w:tcW w:w="1888" w:type="dxa"/>
            <w:vAlign w:val="center"/>
          </w:tcPr>
          <w:p w14:paraId="45CBDDFA">
            <w:pPr>
              <w:snapToGrid w:val="0"/>
              <w:spacing w:line="440" w:lineRule="exact"/>
              <w:ind w:firstLine="480" w:firstLineChars="200"/>
              <w:rPr>
                <w:rFonts w:ascii="宋体" w:hAnsi="宋体"/>
                <w:color w:val="auto"/>
                <w:sz w:val="24"/>
                <w:szCs w:val="24"/>
              </w:rPr>
            </w:pPr>
          </w:p>
        </w:tc>
      </w:tr>
      <w:tr w14:paraId="4675B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54" w:type="dxa"/>
            <w:vAlign w:val="center"/>
          </w:tcPr>
          <w:p w14:paraId="24EBEB8D">
            <w:pPr>
              <w:snapToGrid w:val="0"/>
              <w:spacing w:line="440" w:lineRule="exact"/>
              <w:ind w:firstLine="480" w:firstLineChars="200"/>
              <w:rPr>
                <w:rFonts w:ascii="宋体" w:hAnsi="宋体"/>
                <w:color w:val="auto"/>
                <w:sz w:val="24"/>
                <w:szCs w:val="24"/>
              </w:rPr>
            </w:pPr>
          </w:p>
        </w:tc>
        <w:tc>
          <w:tcPr>
            <w:tcW w:w="2871" w:type="dxa"/>
            <w:vAlign w:val="center"/>
          </w:tcPr>
          <w:p w14:paraId="27670343">
            <w:pPr>
              <w:snapToGrid w:val="0"/>
              <w:spacing w:line="440" w:lineRule="exact"/>
              <w:ind w:firstLine="480" w:firstLineChars="200"/>
              <w:rPr>
                <w:rFonts w:ascii="宋体" w:hAnsi="宋体"/>
                <w:color w:val="auto"/>
                <w:sz w:val="24"/>
                <w:szCs w:val="24"/>
              </w:rPr>
            </w:pPr>
          </w:p>
        </w:tc>
        <w:tc>
          <w:tcPr>
            <w:tcW w:w="2520" w:type="dxa"/>
            <w:vAlign w:val="center"/>
          </w:tcPr>
          <w:p w14:paraId="2B519B3A">
            <w:pPr>
              <w:snapToGrid w:val="0"/>
              <w:spacing w:line="440" w:lineRule="exact"/>
              <w:ind w:firstLine="480" w:firstLineChars="200"/>
              <w:rPr>
                <w:rFonts w:ascii="宋体" w:hAnsi="宋体"/>
                <w:color w:val="auto"/>
                <w:sz w:val="24"/>
                <w:szCs w:val="24"/>
              </w:rPr>
            </w:pPr>
          </w:p>
        </w:tc>
        <w:tc>
          <w:tcPr>
            <w:tcW w:w="1888" w:type="dxa"/>
            <w:vAlign w:val="center"/>
          </w:tcPr>
          <w:p w14:paraId="32ED226C">
            <w:pPr>
              <w:snapToGrid w:val="0"/>
              <w:spacing w:line="440" w:lineRule="exact"/>
              <w:ind w:firstLine="480" w:firstLineChars="200"/>
              <w:rPr>
                <w:rFonts w:ascii="宋体" w:hAnsi="宋体"/>
                <w:color w:val="auto"/>
                <w:sz w:val="24"/>
                <w:szCs w:val="24"/>
              </w:rPr>
            </w:pPr>
          </w:p>
        </w:tc>
      </w:tr>
      <w:tr w14:paraId="1C25A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54" w:type="dxa"/>
            <w:vAlign w:val="center"/>
          </w:tcPr>
          <w:p w14:paraId="3C8B5660">
            <w:pPr>
              <w:snapToGrid w:val="0"/>
              <w:spacing w:line="440" w:lineRule="exact"/>
              <w:ind w:firstLine="480" w:firstLineChars="200"/>
              <w:rPr>
                <w:rFonts w:ascii="宋体" w:hAnsi="宋体"/>
                <w:color w:val="auto"/>
                <w:sz w:val="24"/>
                <w:szCs w:val="24"/>
              </w:rPr>
            </w:pPr>
          </w:p>
        </w:tc>
        <w:tc>
          <w:tcPr>
            <w:tcW w:w="2871" w:type="dxa"/>
            <w:vAlign w:val="center"/>
          </w:tcPr>
          <w:p w14:paraId="0A078CEA">
            <w:pPr>
              <w:snapToGrid w:val="0"/>
              <w:spacing w:line="440" w:lineRule="exact"/>
              <w:ind w:firstLine="480" w:firstLineChars="200"/>
              <w:rPr>
                <w:rFonts w:ascii="宋体" w:hAnsi="宋体"/>
                <w:color w:val="auto"/>
                <w:sz w:val="24"/>
                <w:szCs w:val="24"/>
              </w:rPr>
            </w:pPr>
          </w:p>
        </w:tc>
        <w:tc>
          <w:tcPr>
            <w:tcW w:w="2520" w:type="dxa"/>
            <w:vAlign w:val="center"/>
          </w:tcPr>
          <w:p w14:paraId="5711B7BD">
            <w:pPr>
              <w:snapToGrid w:val="0"/>
              <w:spacing w:line="440" w:lineRule="exact"/>
              <w:ind w:firstLine="480" w:firstLineChars="200"/>
              <w:rPr>
                <w:rFonts w:ascii="宋体" w:hAnsi="宋体"/>
                <w:color w:val="auto"/>
                <w:sz w:val="24"/>
                <w:szCs w:val="24"/>
              </w:rPr>
            </w:pPr>
          </w:p>
        </w:tc>
        <w:tc>
          <w:tcPr>
            <w:tcW w:w="1888" w:type="dxa"/>
            <w:vAlign w:val="center"/>
          </w:tcPr>
          <w:p w14:paraId="1C751BCB">
            <w:pPr>
              <w:snapToGrid w:val="0"/>
              <w:spacing w:line="440" w:lineRule="exact"/>
              <w:ind w:firstLine="480" w:firstLineChars="200"/>
              <w:rPr>
                <w:rFonts w:ascii="宋体" w:hAnsi="宋体"/>
                <w:color w:val="auto"/>
                <w:sz w:val="24"/>
                <w:szCs w:val="24"/>
              </w:rPr>
            </w:pPr>
          </w:p>
        </w:tc>
      </w:tr>
      <w:tr w14:paraId="34C4D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54" w:type="dxa"/>
            <w:vAlign w:val="center"/>
          </w:tcPr>
          <w:p w14:paraId="391D5569">
            <w:pPr>
              <w:snapToGrid w:val="0"/>
              <w:spacing w:line="440" w:lineRule="exact"/>
              <w:ind w:firstLine="480" w:firstLineChars="200"/>
              <w:rPr>
                <w:rFonts w:ascii="宋体" w:hAnsi="宋体"/>
                <w:color w:val="auto"/>
                <w:sz w:val="24"/>
                <w:szCs w:val="24"/>
              </w:rPr>
            </w:pPr>
          </w:p>
        </w:tc>
        <w:tc>
          <w:tcPr>
            <w:tcW w:w="2871" w:type="dxa"/>
            <w:vAlign w:val="center"/>
          </w:tcPr>
          <w:p w14:paraId="08369129">
            <w:pPr>
              <w:snapToGrid w:val="0"/>
              <w:spacing w:line="440" w:lineRule="exact"/>
              <w:ind w:firstLine="480" w:firstLineChars="200"/>
              <w:rPr>
                <w:rFonts w:ascii="宋体" w:hAnsi="宋体"/>
                <w:color w:val="auto"/>
                <w:sz w:val="24"/>
                <w:szCs w:val="24"/>
              </w:rPr>
            </w:pPr>
          </w:p>
        </w:tc>
        <w:tc>
          <w:tcPr>
            <w:tcW w:w="2520" w:type="dxa"/>
            <w:vAlign w:val="center"/>
          </w:tcPr>
          <w:p w14:paraId="1985C314">
            <w:pPr>
              <w:snapToGrid w:val="0"/>
              <w:spacing w:line="440" w:lineRule="exact"/>
              <w:ind w:firstLine="480" w:firstLineChars="200"/>
              <w:rPr>
                <w:rFonts w:ascii="宋体" w:hAnsi="宋体"/>
                <w:color w:val="auto"/>
                <w:sz w:val="24"/>
                <w:szCs w:val="24"/>
              </w:rPr>
            </w:pPr>
          </w:p>
        </w:tc>
        <w:tc>
          <w:tcPr>
            <w:tcW w:w="1888" w:type="dxa"/>
            <w:vAlign w:val="center"/>
          </w:tcPr>
          <w:p w14:paraId="07C5C513">
            <w:pPr>
              <w:snapToGrid w:val="0"/>
              <w:spacing w:line="440" w:lineRule="exact"/>
              <w:ind w:firstLine="480" w:firstLineChars="200"/>
              <w:rPr>
                <w:rFonts w:ascii="宋体" w:hAnsi="宋体"/>
                <w:color w:val="auto"/>
                <w:sz w:val="24"/>
                <w:szCs w:val="24"/>
              </w:rPr>
            </w:pPr>
          </w:p>
        </w:tc>
      </w:tr>
      <w:tr w14:paraId="463F6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54" w:type="dxa"/>
            <w:vAlign w:val="center"/>
          </w:tcPr>
          <w:p w14:paraId="0E2ABBC5">
            <w:pPr>
              <w:snapToGrid w:val="0"/>
              <w:spacing w:line="440" w:lineRule="exact"/>
              <w:ind w:firstLine="480" w:firstLineChars="200"/>
              <w:rPr>
                <w:rFonts w:ascii="宋体" w:hAnsi="宋体"/>
                <w:color w:val="auto"/>
                <w:sz w:val="24"/>
                <w:szCs w:val="24"/>
              </w:rPr>
            </w:pPr>
          </w:p>
        </w:tc>
        <w:tc>
          <w:tcPr>
            <w:tcW w:w="2871" w:type="dxa"/>
            <w:vAlign w:val="center"/>
          </w:tcPr>
          <w:p w14:paraId="7650396E">
            <w:pPr>
              <w:snapToGrid w:val="0"/>
              <w:spacing w:line="440" w:lineRule="exact"/>
              <w:ind w:firstLine="480" w:firstLineChars="200"/>
              <w:rPr>
                <w:rFonts w:ascii="宋体" w:hAnsi="宋体"/>
                <w:color w:val="auto"/>
                <w:sz w:val="24"/>
                <w:szCs w:val="24"/>
              </w:rPr>
            </w:pPr>
          </w:p>
        </w:tc>
        <w:tc>
          <w:tcPr>
            <w:tcW w:w="2520" w:type="dxa"/>
            <w:vAlign w:val="center"/>
          </w:tcPr>
          <w:p w14:paraId="46F5265C">
            <w:pPr>
              <w:snapToGrid w:val="0"/>
              <w:spacing w:line="440" w:lineRule="exact"/>
              <w:ind w:firstLine="480" w:firstLineChars="200"/>
              <w:rPr>
                <w:rFonts w:ascii="宋体" w:hAnsi="宋体"/>
                <w:color w:val="auto"/>
                <w:sz w:val="24"/>
                <w:szCs w:val="24"/>
              </w:rPr>
            </w:pPr>
          </w:p>
        </w:tc>
        <w:tc>
          <w:tcPr>
            <w:tcW w:w="1888" w:type="dxa"/>
            <w:vAlign w:val="center"/>
          </w:tcPr>
          <w:p w14:paraId="74FBDE8D">
            <w:pPr>
              <w:snapToGrid w:val="0"/>
              <w:spacing w:line="440" w:lineRule="exact"/>
              <w:ind w:firstLine="480" w:firstLineChars="200"/>
              <w:rPr>
                <w:rFonts w:ascii="宋体" w:hAnsi="宋体"/>
                <w:color w:val="auto"/>
                <w:sz w:val="24"/>
                <w:szCs w:val="24"/>
              </w:rPr>
            </w:pPr>
          </w:p>
        </w:tc>
      </w:tr>
      <w:tr w14:paraId="3FBA7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54" w:type="dxa"/>
            <w:vAlign w:val="center"/>
          </w:tcPr>
          <w:p w14:paraId="4633D752">
            <w:pPr>
              <w:snapToGrid w:val="0"/>
              <w:spacing w:line="440" w:lineRule="exact"/>
              <w:ind w:firstLine="480" w:firstLineChars="200"/>
              <w:rPr>
                <w:rFonts w:ascii="宋体" w:hAnsi="宋体"/>
                <w:color w:val="auto"/>
                <w:sz w:val="24"/>
                <w:szCs w:val="24"/>
              </w:rPr>
            </w:pPr>
          </w:p>
        </w:tc>
        <w:tc>
          <w:tcPr>
            <w:tcW w:w="2871" w:type="dxa"/>
            <w:vAlign w:val="center"/>
          </w:tcPr>
          <w:p w14:paraId="77344A3F">
            <w:pPr>
              <w:snapToGrid w:val="0"/>
              <w:spacing w:line="440" w:lineRule="exact"/>
              <w:ind w:firstLine="480" w:firstLineChars="200"/>
              <w:rPr>
                <w:rFonts w:ascii="宋体" w:hAnsi="宋体"/>
                <w:color w:val="auto"/>
                <w:sz w:val="24"/>
                <w:szCs w:val="24"/>
              </w:rPr>
            </w:pPr>
          </w:p>
        </w:tc>
        <w:tc>
          <w:tcPr>
            <w:tcW w:w="2520" w:type="dxa"/>
            <w:vAlign w:val="center"/>
          </w:tcPr>
          <w:p w14:paraId="090B62A0">
            <w:pPr>
              <w:snapToGrid w:val="0"/>
              <w:spacing w:line="440" w:lineRule="exact"/>
              <w:ind w:firstLine="480" w:firstLineChars="200"/>
              <w:rPr>
                <w:rFonts w:ascii="宋体" w:hAnsi="宋体"/>
                <w:color w:val="auto"/>
                <w:sz w:val="24"/>
                <w:szCs w:val="24"/>
              </w:rPr>
            </w:pPr>
          </w:p>
        </w:tc>
        <w:tc>
          <w:tcPr>
            <w:tcW w:w="1888" w:type="dxa"/>
            <w:vAlign w:val="center"/>
          </w:tcPr>
          <w:p w14:paraId="2E005055">
            <w:pPr>
              <w:snapToGrid w:val="0"/>
              <w:spacing w:line="440" w:lineRule="exact"/>
              <w:ind w:firstLine="480" w:firstLineChars="200"/>
              <w:rPr>
                <w:rFonts w:ascii="宋体" w:hAnsi="宋体"/>
                <w:color w:val="auto"/>
                <w:sz w:val="24"/>
                <w:szCs w:val="24"/>
              </w:rPr>
            </w:pPr>
          </w:p>
        </w:tc>
      </w:tr>
    </w:tbl>
    <w:p w14:paraId="5311A987">
      <w:pPr>
        <w:snapToGrid w:val="0"/>
        <w:spacing w:line="440" w:lineRule="exact"/>
        <w:ind w:firstLine="480" w:firstLineChars="200"/>
        <w:rPr>
          <w:rFonts w:ascii="宋体" w:hAnsi="宋体"/>
          <w:color w:val="auto"/>
          <w:sz w:val="24"/>
          <w:szCs w:val="24"/>
        </w:rPr>
      </w:pPr>
    </w:p>
    <w:p w14:paraId="692DA2BD">
      <w:pPr>
        <w:snapToGrid w:val="0"/>
        <w:spacing w:line="440" w:lineRule="exact"/>
        <w:ind w:firstLine="480" w:firstLineChars="200"/>
        <w:rPr>
          <w:rFonts w:ascii="宋体" w:hAnsi="宋体"/>
          <w:color w:val="auto"/>
          <w:sz w:val="24"/>
          <w:szCs w:val="24"/>
        </w:rPr>
      </w:pPr>
    </w:p>
    <w:p w14:paraId="54CD7C2D">
      <w:pPr>
        <w:snapToGrid w:val="0"/>
        <w:spacing w:line="440" w:lineRule="exact"/>
        <w:ind w:firstLine="480" w:firstLineChars="200"/>
        <w:rPr>
          <w:rFonts w:ascii="宋体" w:hAnsi="宋体"/>
          <w:color w:val="auto"/>
          <w:sz w:val="24"/>
          <w:szCs w:val="24"/>
        </w:rPr>
      </w:pPr>
      <w:r>
        <w:rPr>
          <w:rFonts w:hint="eastAsia" w:ascii="宋体" w:hAnsi="宋体"/>
          <w:color w:val="auto"/>
          <w:sz w:val="24"/>
          <w:szCs w:val="24"/>
        </w:rPr>
        <w:t>投标人：             　　　　　       法定代表人授权代表：</w:t>
      </w:r>
    </w:p>
    <w:p w14:paraId="26366253">
      <w:pPr>
        <w:snapToGrid w:val="0"/>
        <w:spacing w:line="440" w:lineRule="exact"/>
        <w:ind w:firstLine="480" w:firstLineChars="200"/>
        <w:rPr>
          <w:rFonts w:ascii="宋体" w:hAnsi="宋体"/>
          <w:color w:val="auto"/>
          <w:sz w:val="24"/>
          <w:szCs w:val="24"/>
        </w:rPr>
      </w:pPr>
      <w:r>
        <w:rPr>
          <w:rFonts w:hint="eastAsia" w:ascii="宋体" w:hAnsi="宋体"/>
          <w:color w:val="auto"/>
          <w:sz w:val="24"/>
          <w:szCs w:val="24"/>
        </w:rPr>
        <w:t>（投标人公章）　　　　                  （签字）</w:t>
      </w:r>
    </w:p>
    <w:p w14:paraId="22699610">
      <w:pPr>
        <w:snapToGrid w:val="0"/>
        <w:spacing w:line="440" w:lineRule="exact"/>
        <w:ind w:firstLine="480" w:firstLineChars="200"/>
        <w:rPr>
          <w:rFonts w:ascii="宋体" w:hAnsi="宋体"/>
          <w:color w:val="auto"/>
          <w:sz w:val="24"/>
          <w:szCs w:val="24"/>
        </w:rPr>
      </w:pPr>
      <w:r>
        <w:rPr>
          <w:rFonts w:hint="eastAsia" w:ascii="宋体" w:hAnsi="宋体"/>
          <w:color w:val="auto"/>
          <w:sz w:val="24"/>
          <w:szCs w:val="24"/>
        </w:rPr>
        <w:t>　　年  月  日                            年 月  日</w:t>
      </w:r>
    </w:p>
    <w:p w14:paraId="47F87092">
      <w:pPr>
        <w:snapToGrid w:val="0"/>
        <w:spacing w:line="440" w:lineRule="exact"/>
        <w:ind w:firstLine="480" w:firstLineChars="200"/>
        <w:rPr>
          <w:rFonts w:ascii="宋体" w:hAnsi="宋体"/>
          <w:color w:val="auto"/>
          <w:sz w:val="24"/>
          <w:szCs w:val="24"/>
        </w:rPr>
      </w:pPr>
    </w:p>
    <w:p w14:paraId="0E407799">
      <w:pPr>
        <w:snapToGrid w:val="0"/>
        <w:spacing w:line="440" w:lineRule="exact"/>
        <w:ind w:firstLine="480" w:firstLineChars="200"/>
        <w:rPr>
          <w:rFonts w:ascii="宋体" w:hAnsi="宋体"/>
          <w:color w:val="auto"/>
          <w:sz w:val="24"/>
          <w:szCs w:val="24"/>
        </w:rPr>
      </w:pPr>
      <w:r>
        <w:rPr>
          <w:rFonts w:hint="eastAsia" w:ascii="宋体" w:hAnsi="宋体"/>
          <w:color w:val="auto"/>
          <w:sz w:val="24"/>
          <w:szCs w:val="24"/>
        </w:rPr>
        <w:t>注：</w:t>
      </w:r>
    </w:p>
    <w:p w14:paraId="704C32B4">
      <w:pPr>
        <w:snapToGrid w:val="0"/>
        <w:spacing w:line="440" w:lineRule="exact"/>
        <w:ind w:firstLine="480" w:firstLineChars="200"/>
        <w:rPr>
          <w:rFonts w:ascii="宋体" w:hAnsi="宋体"/>
          <w:color w:val="auto"/>
          <w:sz w:val="24"/>
          <w:szCs w:val="24"/>
        </w:rPr>
      </w:pPr>
      <w:r>
        <w:rPr>
          <w:rFonts w:ascii="宋体" w:hAnsi="宋体"/>
          <w:color w:val="auto"/>
          <w:sz w:val="24"/>
          <w:szCs w:val="24"/>
        </w:rPr>
        <w:t>1.</w:t>
      </w:r>
      <w:r>
        <w:rPr>
          <w:rFonts w:hint="eastAsia" w:ascii="宋体" w:hAnsi="宋体"/>
          <w:color w:val="auto"/>
          <w:sz w:val="24"/>
          <w:szCs w:val="24"/>
        </w:rPr>
        <w:t>本表即为对本项目“第三篇项目商务要求”中所列商务条款进行比较和响应；</w:t>
      </w:r>
    </w:p>
    <w:p w14:paraId="597FF52E">
      <w:pPr>
        <w:snapToGrid w:val="0"/>
        <w:spacing w:line="440" w:lineRule="exact"/>
        <w:ind w:firstLine="480" w:firstLineChars="200"/>
        <w:rPr>
          <w:rFonts w:ascii="宋体" w:hAnsi="宋体"/>
          <w:color w:val="auto"/>
          <w:sz w:val="24"/>
          <w:szCs w:val="24"/>
        </w:rPr>
      </w:pPr>
      <w:r>
        <w:rPr>
          <w:rFonts w:ascii="宋体" w:hAnsi="宋体"/>
          <w:color w:val="auto"/>
          <w:sz w:val="24"/>
          <w:szCs w:val="24"/>
        </w:rPr>
        <w:t>2.</w:t>
      </w:r>
      <w:r>
        <w:rPr>
          <w:rFonts w:hint="eastAsia" w:ascii="宋体" w:hAnsi="宋体"/>
          <w:color w:val="auto"/>
          <w:sz w:val="24"/>
          <w:szCs w:val="24"/>
        </w:rPr>
        <w:t>该表必须按照招标文件要求逐条如实填写，根据投标情况在“差异说明”项填写正偏离或负偏离及原因，完全符合的填写“无差异”。</w:t>
      </w:r>
    </w:p>
    <w:p w14:paraId="69CB8B92">
      <w:pPr>
        <w:snapToGrid w:val="0"/>
        <w:spacing w:line="440" w:lineRule="exact"/>
        <w:ind w:firstLine="480" w:firstLineChars="200"/>
        <w:rPr>
          <w:rFonts w:ascii="宋体" w:hAnsi="宋体"/>
          <w:color w:val="auto"/>
          <w:sz w:val="24"/>
          <w:szCs w:val="24"/>
        </w:rPr>
      </w:pPr>
      <w:r>
        <w:rPr>
          <w:rFonts w:ascii="宋体" w:hAnsi="宋体"/>
          <w:color w:val="auto"/>
          <w:sz w:val="24"/>
          <w:szCs w:val="24"/>
        </w:rPr>
        <w:t>3.</w:t>
      </w:r>
      <w:r>
        <w:rPr>
          <w:rFonts w:hint="eastAsia" w:ascii="宋体" w:hAnsi="宋体"/>
          <w:color w:val="auto"/>
          <w:sz w:val="24"/>
          <w:szCs w:val="24"/>
        </w:rPr>
        <w:t>该表可扩展。</w:t>
      </w:r>
    </w:p>
    <w:p w14:paraId="60BEF7A5">
      <w:pPr>
        <w:snapToGrid w:val="0"/>
        <w:spacing w:line="440" w:lineRule="exact"/>
        <w:ind w:firstLine="480" w:firstLineChars="200"/>
        <w:rPr>
          <w:rFonts w:ascii="宋体" w:hAnsi="宋体"/>
          <w:color w:val="auto"/>
          <w:sz w:val="24"/>
          <w:szCs w:val="24"/>
        </w:rPr>
      </w:pPr>
    </w:p>
    <w:p w14:paraId="7D57040E">
      <w:pPr>
        <w:snapToGrid w:val="0"/>
        <w:spacing w:line="440" w:lineRule="exact"/>
        <w:ind w:firstLine="480" w:firstLineChars="200"/>
        <w:rPr>
          <w:rFonts w:ascii="宋体" w:hAnsi="宋体"/>
          <w:color w:val="auto"/>
          <w:sz w:val="24"/>
          <w:szCs w:val="24"/>
        </w:rPr>
      </w:pPr>
      <w:r>
        <w:rPr>
          <w:rFonts w:hint="eastAsia" w:ascii="宋体" w:hAnsi="宋体"/>
          <w:color w:val="auto"/>
          <w:sz w:val="24"/>
          <w:szCs w:val="24"/>
        </w:rPr>
        <w:t>（五）委托经营服务承诺（格式自定）</w:t>
      </w:r>
    </w:p>
    <w:p w14:paraId="0199A24F">
      <w:pPr>
        <w:snapToGrid w:val="0"/>
        <w:spacing w:line="440" w:lineRule="exact"/>
        <w:ind w:firstLine="560" w:firstLineChars="200"/>
        <w:rPr>
          <w:rFonts w:ascii="宋体" w:hAnsi="宋体"/>
          <w:color w:val="auto"/>
        </w:rPr>
      </w:pPr>
    </w:p>
    <w:p w14:paraId="6F0F6B0D">
      <w:pPr>
        <w:snapToGrid w:val="0"/>
        <w:spacing w:line="440" w:lineRule="exact"/>
        <w:ind w:firstLine="560" w:firstLineChars="200"/>
        <w:rPr>
          <w:rFonts w:ascii="宋体" w:hAnsi="宋体"/>
          <w:color w:val="auto"/>
        </w:rPr>
      </w:pPr>
    </w:p>
    <w:p w14:paraId="14DBB7D9">
      <w:pPr>
        <w:snapToGrid w:val="0"/>
        <w:spacing w:line="440" w:lineRule="exact"/>
        <w:ind w:firstLine="560" w:firstLineChars="200"/>
        <w:rPr>
          <w:rFonts w:ascii="宋体" w:hAnsi="宋体"/>
          <w:color w:val="auto"/>
        </w:rPr>
      </w:pPr>
    </w:p>
    <w:p w14:paraId="1584A1CF">
      <w:pPr>
        <w:snapToGrid w:val="0"/>
        <w:spacing w:line="440" w:lineRule="exact"/>
        <w:ind w:firstLine="560" w:firstLineChars="200"/>
        <w:rPr>
          <w:rFonts w:ascii="宋体" w:hAnsi="宋体"/>
          <w:color w:val="auto"/>
        </w:rPr>
      </w:pPr>
    </w:p>
    <w:p w14:paraId="23555B8A">
      <w:pPr>
        <w:snapToGrid w:val="0"/>
        <w:spacing w:line="440" w:lineRule="exact"/>
        <w:ind w:firstLine="560" w:firstLineChars="200"/>
        <w:rPr>
          <w:rFonts w:ascii="宋体" w:hAnsi="宋体"/>
          <w:color w:val="auto"/>
        </w:rPr>
      </w:pPr>
    </w:p>
    <w:p w14:paraId="23FA03B7">
      <w:pPr>
        <w:snapToGrid w:val="0"/>
        <w:spacing w:line="440" w:lineRule="exact"/>
        <w:ind w:firstLine="560" w:firstLineChars="200"/>
        <w:rPr>
          <w:rFonts w:ascii="宋体" w:hAnsi="宋体"/>
          <w:color w:val="auto"/>
        </w:rPr>
      </w:pPr>
    </w:p>
    <w:p w14:paraId="5E8F84AF">
      <w:pPr>
        <w:snapToGrid w:val="0"/>
        <w:spacing w:line="440" w:lineRule="exact"/>
        <w:ind w:firstLine="560" w:firstLineChars="200"/>
        <w:rPr>
          <w:rFonts w:ascii="宋体" w:hAnsi="宋体"/>
          <w:color w:val="auto"/>
        </w:rPr>
      </w:pPr>
    </w:p>
    <w:p w14:paraId="34DF4981">
      <w:pPr>
        <w:snapToGrid w:val="0"/>
        <w:spacing w:line="440" w:lineRule="exact"/>
        <w:ind w:firstLine="560" w:firstLineChars="200"/>
        <w:rPr>
          <w:rFonts w:ascii="宋体" w:hAnsi="宋体"/>
          <w:color w:val="auto"/>
        </w:rPr>
      </w:pPr>
    </w:p>
    <w:p w14:paraId="2F041E0E">
      <w:pPr>
        <w:snapToGrid w:val="0"/>
        <w:spacing w:line="440" w:lineRule="exact"/>
        <w:ind w:firstLine="560" w:firstLineChars="200"/>
        <w:rPr>
          <w:rFonts w:ascii="宋体" w:hAnsi="宋体"/>
          <w:color w:val="auto"/>
        </w:rPr>
      </w:pPr>
    </w:p>
    <w:p w14:paraId="3B3B4357">
      <w:pPr>
        <w:snapToGrid w:val="0"/>
        <w:spacing w:line="440" w:lineRule="exact"/>
        <w:ind w:firstLine="560" w:firstLineChars="200"/>
        <w:rPr>
          <w:rFonts w:ascii="宋体" w:hAnsi="宋体"/>
          <w:color w:val="auto"/>
        </w:rPr>
      </w:pPr>
    </w:p>
    <w:p w14:paraId="0EF45BA1">
      <w:pPr>
        <w:snapToGrid w:val="0"/>
        <w:spacing w:line="440" w:lineRule="exact"/>
        <w:ind w:firstLine="560" w:firstLineChars="200"/>
        <w:rPr>
          <w:rFonts w:ascii="宋体" w:hAnsi="宋体"/>
          <w:color w:val="auto"/>
        </w:rPr>
      </w:pPr>
    </w:p>
    <w:p w14:paraId="0680335B">
      <w:pPr>
        <w:snapToGrid w:val="0"/>
        <w:spacing w:line="440" w:lineRule="exact"/>
        <w:ind w:firstLine="560" w:firstLineChars="200"/>
        <w:rPr>
          <w:rFonts w:ascii="宋体" w:hAnsi="宋体"/>
          <w:color w:val="auto"/>
        </w:rPr>
      </w:pPr>
    </w:p>
    <w:p w14:paraId="13F88848">
      <w:pPr>
        <w:snapToGrid w:val="0"/>
        <w:spacing w:line="440" w:lineRule="exact"/>
        <w:ind w:firstLine="560" w:firstLineChars="200"/>
        <w:rPr>
          <w:rFonts w:ascii="宋体" w:hAnsi="宋体"/>
          <w:color w:val="auto"/>
        </w:rPr>
      </w:pPr>
    </w:p>
    <w:p w14:paraId="0E47B761">
      <w:pPr>
        <w:snapToGrid w:val="0"/>
        <w:spacing w:line="440" w:lineRule="exact"/>
        <w:ind w:firstLine="560" w:firstLineChars="200"/>
        <w:rPr>
          <w:rFonts w:ascii="宋体" w:hAnsi="宋体"/>
          <w:color w:val="auto"/>
        </w:rPr>
      </w:pPr>
    </w:p>
    <w:p w14:paraId="5E6B3533">
      <w:pPr>
        <w:snapToGrid w:val="0"/>
        <w:spacing w:line="440" w:lineRule="exact"/>
        <w:ind w:firstLine="560" w:firstLineChars="200"/>
        <w:rPr>
          <w:rFonts w:ascii="宋体" w:hAnsi="宋体"/>
          <w:color w:val="auto"/>
        </w:rPr>
      </w:pPr>
    </w:p>
    <w:p w14:paraId="4F39FA9C">
      <w:pPr>
        <w:snapToGrid w:val="0"/>
        <w:spacing w:line="440" w:lineRule="exact"/>
        <w:ind w:firstLine="560" w:firstLineChars="200"/>
        <w:rPr>
          <w:rFonts w:ascii="宋体" w:hAnsi="宋体"/>
          <w:color w:val="auto"/>
        </w:rPr>
      </w:pPr>
    </w:p>
    <w:p w14:paraId="27DD00C7">
      <w:pPr>
        <w:snapToGrid w:val="0"/>
        <w:spacing w:line="440" w:lineRule="exact"/>
        <w:ind w:firstLine="560" w:firstLineChars="200"/>
        <w:rPr>
          <w:rFonts w:ascii="宋体" w:hAnsi="宋体"/>
          <w:color w:val="auto"/>
        </w:rPr>
      </w:pPr>
    </w:p>
    <w:p w14:paraId="15678101">
      <w:pPr>
        <w:snapToGrid w:val="0"/>
        <w:spacing w:line="440" w:lineRule="exact"/>
        <w:ind w:firstLine="560" w:firstLineChars="200"/>
        <w:rPr>
          <w:rFonts w:ascii="宋体" w:hAnsi="宋体"/>
          <w:color w:val="auto"/>
        </w:rPr>
      </w:pPr>
    </w:p>
    <w:p w14:paraId="2662ACD0">
      <w:pPr>
        <w:snapToGrid w:val="0"/>
        <w:spacing w:line="440" w:lineRule="exact"/>
        <w:ind w:firstLine="560" w:firstLineChars="200"/>
        <w:rPr>
          <w:rFonts w:ascii="宋体" w:hAnsi="宋体"/>
          <w:color w:val="auto"/>
        </w:rPr>
      </w:pPr>
    </w:p>
    <w:p w14:paraId="06763D56">
      <w:pPr>
        <w:snapToGrid w:val="0"/>
        <w:spacing w:line="440" w:lineRule="exact"/>
        <w:ind w:firstLine="560" w:firstLineChars="200"/>
        <w:rPr>
          <w:rFonts w:ascii="宋体" w:hAnsi="宋体"/>
          <w:color w:val="auto"/>
        </w:rPr>
      </w:pPr>
    </w:p>
    <w:p w14:paraId="472291C9">
      <w:pPr>
        <w:snapToGrid w:val="0"/>
        <w:spacing w:line="440" w:lineRule="exact"/>
        <w:ind w:firstLine="560" w:firstLineChars="200"/>
        <w:rPr>
          <w:rFonts w:ascii="宋体" w:hAnsi="宋体"/>
          <w:color w:val="auto"/>
        </w:rPr>
      </w:pPr>
    </w:p>
    <w:p w14:paraId="377B000A">
      <w:pPr>
        <w:snapToGrid w:val="0"/>
        <w:spacing w:line="440" w:lineRule="exact"/>
        <w:ind w:firstLine="560" w:firstLineChars="200"/>
        <w:rPr>
          <w:rFonts w:ascii="宋体" w:hAnsi="宋体"/>
          <w:color w:val="auto"/>
        </w:rPr>
      </w:pPr>
    </w:p>
    <w:p w14:paraId="00F18F0F">
      <w:pPr>
        <w:snapToGrid w:val="0"/>
        <w:spacing w:line="440" w:lineRule="exact"/>
        <w:ind w:firstLine="560" w:firstLineChars="200"/>
        <w:rPr>
          <w:rFonts w:ascii="宋体" w:hAnsi="宋体"/>
          <w:color w:val="auto"/>
        </w:rPr>
      </w:pPr>
    </w:p>
    <w:p w14:paraId="288C3A7D">
      <w:pPr>
        <w:snapToGrid w:val="0"/>
        <w:spacing w:line="440" w:lineRule="exact"/>
        <w:ind w:firstLine="560" w:firstLineChars="200"/>
        <w:rPr>
          <w:rFonts w:ascii="宋体" w:hAnsi="宋体"/>
          <w:color w:val="auto"/>
        </w:rPr>
      </w:pPr>
    </w:p>
    <w:p w14:paraId="7BA04205">
      <w:pPr>
        <w:snapToGrid w:val="0"/>
        <w:spacing w:line="440" w:lineRule="exact"/>
        <w:ind w:firstLine="560" w:firstLineChars="200"/>
        <w:rPr>
          <w:rFonts w:ascii="宋体" w:hAnsi="宋体"/>
          <w:color w:val="auto"/>
        </w:rPr>
      </w:pPr>
    </w:p>
    <w:p w14:paraId="51031ED4">
      <w:pPr>
        <w:snapToGrid w:val="0"/>
        <w:spacing w:line="440" w:lineRule="exact"/>
        <w:ind w:firstLine="560" w:firstLineChars="200"/>
        <w:rPr>
          <w:rFonts w:ascii="宋体" w:hAnsi="宋体"/>
          <w:color w:val="auto"/>
        </w:rPr>
      </w:pPr>
    </w:p>
    <w:p w14:paraId="0E02FCEE">
      <w:pPr>
        <w:snapToGrid w:val="0"/>
        <w:spacing w:line="440" w:lineRule="exact"/>
        <w:ind w:firstLine="560" w:firstLineChars="200"/>
        <w:rPr>
          <w:rFonts w:ascii="宋体" w:hAnsi="宋体"/>
          <w:color w:val="auto"/>
        </w:rPr>
      </w:pPr>
    </w:p>
    <w:p w14:paraId="56D8C522">
      <w:pPr>
        <w:snapToGrid w:val="0"/>
        <w:spacing w:line="440" w:lineRule="exact"/>
        <w:ind w:firstLine="560" w:firstLineChars="200"/>
        <w:rPr>
          <w:rFonts w:ascii="宋体" w:hAnsi="宋体"/>
          <w:color w:val="auto"/>
        </w:rPr>
      </w:pPr>
    </w:p>
    <w:p w14:paraId="39545484">
      <w:pPr>
        <w:snapToGrid w:val="0"/>
        <w:spacing w:line="440" w:lineRule="exact"/>
        <w:ind w:firstLine="560" w:firstLineChars="200"/>
        <w:rPr>
          <w:rFonts w:ascii="宋体" w:hAnsi="宋体"/>
          <w:color w:val="auto"/>
        </w:rPr>
      </w:pPr>
    </w:p>
    <w:p w14:paraId="0959DFFB">
      <w:pPr>
        <w:snapToGrid w:val="0"/>
        <w:spacing w:line="440" w:lineRule="exact"/>
        <w:ind w:firstLine="560" w:firstLineChars="200"/>
        <w:rPr>
          <w:rFonts w:ascii="宋体" w:hAnsi="宋体"/>
          <w:color w:val="auto"/>
        </w:rPr>
      </w:pPr>
    </w:p>
    <w:p w14:paraId="6CA8717F">
      <w:pPr>
        <w:snapToGrid w:val="0"/>
        <w:spacing w:line="440" w:lineRule="exact"/>
        <w:ind w:firstLine="560" w:firstLineChars="200"/>
        <w:rPr>
          <w:rFonts w:ascii="宋体" w:hAnsi="宋体"/>
          <w:color w:val="auto"/>
        </w:rPr>
      </w:pPr>
    </w:p>
    <w:p w14:paraId="694BBA7D">
      <w:pPr>
        <w:snapToGrid w:val="0"/>
        <w:spacing w:line="440" w:lineRule="exact"/>
        <w:ind w:firstLine="562" w:firstLineChars="200"/>
        <w:rPr>
          <w:rFonts w:ascii="宋体" w:hAnsi="宋体"/>
          <w:b/>
          <w:bCs/>
          <w:color w:val="auto"/>
        </w:rPr>
      </w:pPr>
      <w:bookmarkStart w:id="237" w:name="_Toc186919441"/>
      <w:r>
        <w:rPr>
          <w:rFonts w:hint="eastAsia" w:ascii="宋体" w:hAnsi="宋体"/>
          <w:b/>
          <w:bCs/>
          <w:color w:val="auto"/>
        </w:rPr>
        <w:t>四、经济与技术文件</w:t>
      </w:r>
      <w:bookmarkEnd w:id="237"/>
    </w:p>
    <w:p w14:paraId="7E6D7B5A">
      <w:pPr>
        <w:snapToGrid w:val="0"/>
        <w:spacing w:line="440" w:lineRule="exact"/>
        <w:ind w:firstLine="560" w:firstLineChars="200"/>
        <w:rPr>
          <w:rFonts w:ascii="宋体" w:hAnsi="宋体"/>
          <w:color w:val="auto"/>
        </w:rPr>
      </w:pPr>
    </w:p>
    <w:p w14:paraId="7AC0796C">
      <w:pPr>
        <w:snapToGrid w:val="0"/>
        <w:spacing w:line="440" w:lineRule="exact"/>
        <w:ind w:firstLine="562" w:firstLineChars="200"/>
        <w:rPr>
          <w:rFonts w:ascii="宋体" w:hAnsi="宋体"/>
          <w:b/>
          <w:color w:val="auto"/>
        </w:rPr>
      </w:pPr>
      <w:r>
        <w:rPr>
          <w:rFonts w:hint="eastAsia" w:ascii="宋体" w:hAnsi="宋体"/>
          <w:b/>
          <w:color w:val="auto"/>
        </w:rPr>
        <w:t>（一）经济与技术文件</w:t>
      </w:r>
    </w:p>
    <w:p w14:paraId="43677906">
      <w:pPr>
        <w:snapToGrid w:val="0"/>
        <w:spacing w:line="440" w:lineRule="exact"/>
        <w:ind w:firstLine="560" w:firstLineChars="200"/>
        <w:rPr>
          <w:rFonts w:ascii="宋体" w:hAnsi="宋体"/>
          <w:color w:val="auto"/>
        </w:rPr>
      </w:pPr>
      <w:r>
        <w:rPr>
          <w:rFonts w:hint="eastAsia" w:ascii="宋体" w:hAnsi="宋体"/>
          <w:color w:val="auto"/>
        </w:rPr>
        <w:t>按第二篇要求内容撰写，格式自定义。</w:t>
      </w:r>
    </w:p>
    <w:p w14:paraId="026A9FE8">
      <w:pPr>
        <w:snapToGrid w:val="0"/>
        <w:spacing w:line="440" w:lineRule="exact"/>
        <w:ind w:firstLine="562" w:firstLineChars="200"/>
        <w:rPr>
          <w:rFonts w:ascii="宋体" w:hAnsi="宋体"/>
          <w:b/>
          <w:color w:val="auto"/>
        </w:rPr>
      </w:pPr>
    </w:p>
    <w:p w14:paraId="56281687">
      <w:pPr>
        <w:snapToGrid w:val="0"/>
        <w:spacing w:line="440" w:lineRule="exact"/>
        <w:ind w:firstLine="562" w:firstLineChars="200"/>
        <w:rPr>
          <w:rFonts w:ascii="宋体" w:hAnsi="宋体"/>
          <w:b/>
          <w:color w:val="auto"/>
        </w:rPr>
      </w:pPr>
    </w:p>
    <w:p w14:paraId="7204FE77">
      <w:pPr>
        <w:snapToGrid w:val="0"/>
        <w:spacing w:line="440" w:lineRule="exact"/>
        <w:ind w:firstLine="562" w:firstLineChars="200"/>
        <w:rPr>
          <w:rFonts w:ascii="宋体" w:hAnsi="宋体"/>
          <w:b/>
          <w:color w:val="auto"/>
        </w:rPr>
      </w:pPr>
    </w:p>
    <w:p w14:paraId="45BA2FB0">
      <w:pPr>
        <w:snapToGrid w:val="0"/>
        <w:spacing w:line="440" w:lineRule="exact"/>
        <w:ind w:firstLine="562" w:firstLineChars="200"/>
        <w:rPr>
          <w:rFonts w:ascii="宋体" w:hAnsi="宋体"/>
          <w:b/>
          <w:color w:val="auto"/>
        </w:rPr>
      </w:pPr>
    </w:p>
    <w:p w14:paraId="1E7531C7">
      <w:pPr>
        <w:snapToGrid w:val="0"/>
        <w:spacing w:line="440" w:lineRule="exact"/>
        <w:ind w:firstLine="562" w:firstLineChars="200"/>
        <w:rPr>
          <w:rFonts w:ascii="宋体" w:hAnsi="宋体"/>
          <w:b/>
          <w:color w:val="auto"/>
        </w:rPr>
      </w:pPr>
    </w:p>
    <w:p w14:paraId="7CC64807">
      <w:pPr>
        <w:snapToGrid w:val="0"/>
        <w:spacing w:line="440" w:lineRule="exact"/>
        <w:ind w:firstLine="562" w:firstLineChars="200"/>
        <w:rPr>
          <w:rFonts w:ascii="宋体" w:hAnsi="宋体"/>
          <w:b/>
          <w:color w:val="auto"/>
        </w:rPr>
      </w:pPr>
    </w:p>
    <w:p w14:paraId="462CAACD">
      <w:pPr>
        <w:snapToGrid w:val="0"/>
        <w:spacing w:line="440" w:lineRule="exact"/>
        <w:ind w:firstLine="562" w:firstLineChars="200"/>
        <w:rPr>
          <w:rFonts w:ascii="宋体" w:hAnsi="宋体"/>
          <w:b/>
          <w:color w:val="auto"/>
        </w:rPr>
      </w:pPr>
    </w:p>
    <w:p w14:paraId="6222E6A5">
      <w:pPr>
        <w:snapToGrid w:val="0"/>
        <w:spacing w:line="440" w:lineRule="exact"/>
        <w:ind w:firstLine="562" w:firstLineChars="200"/>
        <w:rPr>
          <w:rFonts w:ascii="宋体" w:hAnsi="宋体"/>
          <w:b/>
          <w:color w:val="auto"/>
        </w:rPr>
      </w:pPr>
    </w:p>
    <w:p w14:paraId="2BEED7CC">
      <w:pPr>
        <w:snapToGrid w:val="0"/>
        <w:spacing w:line="440" w:lineRule="exact"/>
        <w:ind w:firstLine="562" w:firstLineChars="200"/>
        <w:rPr>
          <w:rFonts w:ascii="宋体" w:hAnsi="宋体"/>
          <w:b/>
          <w:color w:val="auto"/>
        </w:rPr>
      </w:pPr>
    </w:p>
    <w:p w14:paraId="5886FE18">
      <w:pPr>
        <w:snapToGrid w:val="0"/>
        <w:spacing w:line="440" w:lineRule="exact"/>
        <w:ind w:firstLine="562" w:firstLineChars="200"/>
        <w:rPr>
          <w:rFonts w:ascii="宋体" w:hAnsi="宋体"/>
          <w:b/>
          <w:color w:val="auto"/>
        </w:rPr>
      </w:pPr>
    </w:p>
    <w:p w14:paraId="7872803F">
      <w:pPr>
        <w:snapToGrid w:val="0"/>
        <w:spacing w:line="440" w:lineRule="exact"/>
        <w:ind w:firstLine="562" w:firstLineChars="200"/>
        <w:rPr>
          <w:rFonts w:ascii="宋体" w:hAnsi="宋体"/>
          <w:b/>
          <w:color w:val="auto"/>
        </w:rPr>
      </w:pPr>
    </w:p>
    <w:p w14:paraId="57D01194">
      <w:pPr>
        <w:snapToGrid w:val="0"/>
        <w:spacing w:line="440" w:lineRule="exact"/>
        <w:ind w:firstLine="562" w:firstLineChars="200"/>
        <w:rPr>
          <w:rFonts w:ascii="宋体" w:hAnsi="宋体"/>
          <w:b/>
          <w:color w:val="auto"/>
        </w:rPr>
      </w:pPr>
    </w:p>
    <w:p w14:paraId="22AD3570">
      <w:pPr>
        <w:snapToGrid w:val="0"/>
        <w:spacing w:line="440" w:lineRule="exact"/>
        <w:ind w:firstLine="562" w:firstLineChars="200"/>
        <w:rPr>
          <w:rFonts w:ascii="宋体" w:hAnsi="宋体"/>
          <w:b/>
          <w:color w:val="auto"/>
        </w:rPr>
      </w:pPr>
    </w:p>
    <w:p w14:paraId="6B9BA8BC">
      <w:pPr>
        <w:snapToGrid w:val="0"/>
        <w:spacing w:line="440" w:lineRule="exact"/>
        <w:ind w:firstLine="562" w:firstLineChars="200"/>
        <w:rPr>
          <w:rFonts w:ascii="宋体" w:hAnsi="宋体"/>
          <w:b/>
          <w:color w:val="auto"/>
        </w:rPr>
      </w:pPr>
    </w:p>
    <w:p w14:paraId="0FA63344">
      <w:pPr>
        <w:snapToGrid w:val="0"/>
        <w:spacing w:line="440" w:lineRule="exact"/>
        <w:ind w:firstLine="562" w:firstLineChars="200"/>
        <w:rPr>
          <w:rFonts w:ascii="宋体" w:hAnsi="宋体"/>
          <w:b/>
          <w:color w:val="auto"/>
        </w:rPr>
      </w:pPr>
    </w:p>
    <w:p w14:paraId="5B21FED8">
      <w:pPr>
        <w:snapToGrid w:val="0"/>
        <w:spacing w:line="440" w:lineRule="exact"/>
        <w:ind w:firstLine="562" w:firstLineChars="200"/>
        <w:rPr>
          <w:rFonts w:ascii="宋体" w:hAnsi="宋体"/>
          <w:b/>
          <w:color w:val="auto"/>
        </w:rPr>
      </w:pPr>
    </w:p>
    <w:p w14:paraId="60539766">
      <w:pPr>
        <w:snapToGrid w:val="0"/>
        <w:spacing w:line="440" w:lineRule="exact"/>
        <w:ind w:firstLine="562" w:firstLineChars="200"/>
        <w:rPr>
          <w:rFonts w:ascii="宋体" w:hAnsi="宋体"/>
          <w:b/>
          <w:color w:val="auto"/>
        </w:rPr>
      </w:pPr>
    </w:p>
    <w:p w14:paraId="03FD647B">
      <w:pPr>
        <w:snapToGrid w:val="0"/>
        <w:spacing w:line="440" w:lineRule="exact"/>
        <w:ind w:firstLine="562" w:firstLineChars="200"/>
        <w:rPr>
          <w:rFonts w:ascii="宋体" w:hAnsi="宋体"/>
          <w:b/>
          <w:color w:val="auto"/>
        </w:rPr>
      </w:pPr>
    </w:p>
    <w:p w14:paraId="7DE0707F">
      <w:pPr>
        <w:snapToGrid w:val="0"/>
        <w:spacing w:line="440" w:lineRule="exact"/>
        <w:ind w:firstLine="562" w:firstLineChars="200"/>
        <w:rPr>
          <w:rFonts w:ascii="宋体" w:hAnsi="宋体"/>
          <w:b/>
          <w:color w:val="auto"/>
        </w:rPr>
      </w:pPr>
    </w:p>
    <w:p w14:paraId="7AADCCDC">
      <w:pPr>
        <w:snapToGrid w:val="0"/>
        <w:spacing w:line="440" w:lineRule="exact"/>
        <w:ind w:firstLine="562" w:firstLineChars="200"/>
        <w:rPr>
          <w:rFonts w:ascii="宋体" w:hAnsi="宋体"/>
          <w:b/>
          <w:color w:val="auto"/>
        </w:rPr>
      </w:pPr>
    </w:p>
    <w:p w14:paraId="5C56182D">
      <w:pPr>
        <w:snapToGrid w:val="0"/>
        <w:spacing w:line="440" w:lineRule="exact"/>
        <w:ind w:firstLine="562" w:firstLineChars="200"/>
        <w:rPr>
          <w:rFonts w:ascii="宋体" w:hAnsi="宋体"/>
          <w:b/>
          <w:color w:val="auto"/>
        </w:rPr>
      </w:pPr>
    </w:p>
    <w:p w14:paraId="68995B61">
      <w:pPr>
        <w:snapToGrid w:val="0"/>
        <w:spacing w:line="440" w:lineRule="exact"/>
        <w:ind w:firstLine="562" w:firstLineChars="200"/>
        <w:rPr>
          <w:rFonts w:ascii="宋体" w:hAnsi="宋体"/>
          <w:b/>
          <w:color w:val="auto"/>
        </w:rPr>
      </w:pPr>
    </w:p>
    <w:p w14:paraId="3F91FD3A">
      <w:pPr>
        <w:snapToGrid w:val="0"/>
        <w:spacing w:line="440" w:lineRule="exact"/>
        <w:ind w:firstLine="562" w:firstLineChars="200"/>
        <w:rPr>
          <w:rFonts w:ascii="宋体" w:hAnsi="宋体"/>
          <w:b/>
          <w:color w:val="auto"/>
        </w:rPr>
      </w:pPr>
    </w:p>
    <w:p w14:paraId="00EDF95D">
      <w:pPr>
        <w:snapToGrid w:val="0"/>
        <w:spacing w:line="440" w:lineRule="exact"/>
        <w:ind w:firstLine="562" w:firstLineChars="200"/>
        <w:rPr>
          <w:rFonts w:ascii="宋体" w:hAnsi="宋体"/>
          <w:b/>
          <w:color w:val="auto"/>
        </w:rPr>
      </w:pPr>
    </w:p>
    <w:p w14:paraId="4ECDCA72">
      <w:pPr>
        <w:snapToGrid w:val="0"/>
        <w:spacing w:line="440" w:lineRule="exact"/>
        <w:ind w:firstLine="562" w:firstLineChars="200"/>
        <w:rPr>
          <w:rFonts w:ascii="宋体" w:hAnsi="宋体"/>
          <w:b/>
          <w:color w:val="auto"/>
        </w:rPr>
      </w:pPr>
    </w:p>
    <w:p w14:paraId="7F9AAFA1">
      <w:pPr>
        <w:snapToGrid w:val="0"/>
        <w:spacing w:line="440" w:lineRule="exact"/>
        <w:ind w:firstLine="562" w:firstLineChars="200"/>
        <w:rPr>
          <w:rFonts w:ascii="宋体" w:hAnsi="宋体"/>
          <w:b/>
          <w:color w:val="auto"/>
        </w:rPr>
      </w:pPr>
    </w:p>
    <w:p w14:paraId="11FE4B95">
      <w:pPr>
        <w:snapToGrid w:val="0"/>
        <w:spacing w:line="440" w:lineRule="exact"/>
        <w:ind w:firstLine="562" w:firstLineChars="200"/>
        <w:rPr>
          <w:rFonts w:ascii="宋体" w:hAnsi="宋体"/>
          <w:b/>
          <w:color w:val="auto"/>
        </w:rPr>
      </w:pPr>
    </w:p>
    <w:p w14:paraId="4634AD9C">
      <w:pPr>
        <w:snapToGrid w:val="0"/>
        <w:spacing w:line="440" w:lineRule="exact"/>
        <w:ind w:firstLine="562" w:firstLineChars="200"/>
        <w:rPr>
          <w:rFonts w:ascii="宋体" w:hAnsi="宋体"/>
          <w:b/>
          <w:color w:val="auto"/>
        </w:rPr>
      </w:pPr>
    </w:p>
    <w:p w14:paraId="4C9867DC">
      <w:pPr>
        <w:snapToGrid w:val="0"/>
        <w:spacing w:line="440" w:lineRule="exact"/>
        <w:ind w:firstLine="562" w:firstLineChars="200"/>
        <w:rPr>
          <w:rFonts w:ascii="宋体" w:hAnsi="宋体"/>
          <w:b/>
          <w:color w:val="auto"/>
        </w:rPr>
      </w:pPr>
      <w:r>
        <w:rPr>
          <w:rFonts w:hint="eastAsia" w:ascii="宋体" w:hAnsi="宋体"/>
          <w:b/>
          <w:color w:val="auto"/>
        </w:rPr>
        <w:t>（二）经济与技术条款差异表（参考）</w:t>
      </w:r>
    </w:p>
    <w:p w14:paraId="101A4DA0">
      <w:pPr>
        <w:snapToGrid w:val="0"/>
        <w:spacing w:line="440" w:lineRule="exact"/>
        <w:ind w:firstLine="480" w:firstLineChars="200"/>
        <w:rPr>
          <w:rFonts w:ascii="宋体" w:hAnsi="宋体"/>
          <w:color w:val="auto"/>
          <w:sz w:val="24"/>
          <w:szCs w:val="24"/>
        </w:rPr>
      </w:pPr>
      <w:bookmarkStart w:id="238" w:name="_Toc186919442"/>
      <w:r>
        <w:rPr>
          <w:rFonts w:hint="eastAsia" w:ascii="宋体" w:hAnsi="宋体"/>
          <w:color w:val="auto"/>
          <w:sz w:val="24"/>
          <w:szCs w:val="24"/>
        </w:rPr>
        <w:t>项目名称：</w:t>
      </w:r>
      <w:bookmarkEnd w:id="238"/>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0"/>
        <w:gridCol w:w="2702"/>
        <w:gridCol w:w="2520"/>
        <w:gridCol w:w="1888"/>
      </w:tblGrid>
      <w:tr w14:paraId="2A3F3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660" w:type="dxa"/>
            <w:vAlign w:val="center"/>
          </w:tcPr>
          <w:p w14:paraId="7AAC945D">
            <w:pPr>
              <w:snapToGrid w:val="0"/>
              <w:spacing w:line="440" w:lineRule="exact"/>
              <w:jc w:val="center"/>
              <w:rPr>
                <w:rFonts w:ascii="宋体" w:hAnsi="宋体"/>
                <w:color w:val="auto"/>
                <w:sz w:val="24"/>
                <w:szCs w:val="24"/>
              </w:rPr>
            </w:pPr>
            <w:bookmarkStart w:id="239" w:name="_Toc186919443"/>
            <w:r>
              <w:rPr>
                <w:rFonts w:hint="eastAsia" w:ascii="宋体" w:hAnsi="宋体"/>
                <w:color w:val="auto"/>
                <w:sz w:val="24"/>
                <w:szCs w:val="24"/>
              </w:rPr>
              <w:t>序号</w:t>
            </w:r>
            <w:bookmarkEnd w:id="239"/>
          </w:p>
        </w:tc>
        <w:tc>
          <w:tcPr>
            <w:tcW w:w="2702" w:type="dxa"/>
            <w:vAlign w:val="center"/>
          </w:tcPr>
          <w:p w14:paraId="0F480C0B">
            <w:pPr>
              <w:snapToGrid w:val="0"/>
              <w:spacing w:line="440" w:lineRule="exact"/>
              <w:jc w:val="center"/>
              <w:rPr>
                <w:rFonts w:ascii="宋体" w:hAnsi="宋体"/>
                <w:color w:val="auto"/>
                <w:sz w:val="24"/>
                <w:szCs w:val="24"/>
              </w:rPr>
            </w:pPr>
            <w:bookmarkStart w:id="240" w:name="_Toc186919444"/>
            <w:r>
              <w:rPr>
                <w:rFonts w:hint="eastAsia" w:ascii="宋体" w:hAnsi="宋体"/>
                <w:color w:val="auto"/>
                <w:sz w:val="24"/>
                <w:szCs w:val="24"/>
              </w:rPr>
              <w:t>招标要求</w:t>
            </w:r>
            <w:bookmarkEnd w:id="240"/>
          </w:p>
        </w:tc>
        <w:tc>
          <w:tcPr>
            <w:tcW w:w="2520" w:type="dxa"/>
            <w:vAlign w:val="center"/>
          </w:tcPr>
          <w:p w14:paraId="2CF1A4B5">
            <w:pPr>
              <w:snapToGrid w:val="0"/>
              <w:spacing w:line="440" w:lineRule="exact"/>
              <w:jc w:val="center"/>
              <w:rPr>
                <w:rFonts w:ascii="宋体" w:hAnsi="宋体"/>
                <w:color w:val="auto"/>
                <w:sz w:val="24"/>
                <w:szCs w:val="24"/>
              </w:rPr>
            </w:pPr>
            <w:bookmarkStart w:id="241" w:name="_Toc186919445"/>
            <w:r>
              <w:rPr>
                <w:rFonts w:hint="eastAsia" w:ascii="宋体" w:hAnsi="宋体"/>
                <w:color w:val="auto"/>
                <w:sz w:val="24"/>
                <w:szCs w:val="24"/>
              </w:rPr>
              <w:t>投标应答</w:t>
            </w:r>
            <w:bookmarkEnd w:id="241"/>
          </w:p>
        </w:tc>
        <w:tc>
          <w:tcPr>
            <w:tcW w:w="1888" w:type="dxa"/>
            <w:vAlign w:val="center"/>
          </w:tcPr>
          <w:p w14:paraId="40EF7A7C">
            <w:pPr>
              <w:snapToGrid w:val="0"/>
              <w:spacing w:line="440" w:lineRule="exact"/>
              <w:jc w:val="center"/>
              <w:rPr>
                <w:rFonts w:ascii="宋体" w:hAnsi="宋体"/>
                <w:color w:val="auto"/>
                <w:sz w:val="24"/>
                <w:szCs w:val="24"/>
              </w:rPr>
            </w:pPr>
            <w:bookmarkStart w:id="242" w:name="_Toc186919446"/>
            <w:r>
              <w:rPr>
                <w:rFonts w:hint="eastAsia" w:ascii="宋体" w:hAnsi="宋体"/>
                <w:color w:val="auto"/>
                <w:sz w:val="24"/>
                <w:szCs w:val="24"/>
              </w:rPr>
              <w:t>差异说明</w:t>
            </w:r>
            <w:bookmarkEnd w:id="242"/>
          </w:p>
        </w:tc>
      </w:tr>
      <w:tr w14:paraId="522B4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660" w:type="dxa"/>
            <w:vAlign w:val="center"/>
          </w:tcPr>
          <w:p w14:paraId="64674F32">
            <w:pPr>
              <w:snapToGrid w:val="0"/>
              <w:spacing w:line="440" w:lineRule="exact"/>
              <w:ind w:left="2" w:leftChars="-8" w:hanging="24" w:hangingChars="10"/>
              <w:rPr>
                <w:rFonts w:ascii="宋体" w:hAnsi="宋体"/>
                <w:color w:val="auto"/>
                <w:sz w:val="24"/>
                <w:szCs w:val="24"/>
              </w:rPr>
            </w:pPr>
          </w:p>
        </w:tc>
        <w:tc>
          <w:tcPr>
            <w:tcW w:w="2702" w:type="dxa"/>
            <w:vAlign w:val="center"/>
          </w:tcPr>
          <w:p w14:paraId="6FC6A1D7">
            <w:pPr>
              <w:snapToGrid w:val="0"/>
              <w:spacing w:line="440" w:lineRule="exact"/>
              <w:ind w:firstLine="480" w:firstLineChars="200"/>
              <w:rPr>
                <w:rFonts w:ascii="宋体" w:hAnsi="宋体"/>
                <w:color w:val="auto"/>
                <w:sz w:val="24"/>
                <w:szCs w:val="24"/>
              </w:rPr>
            </w:pPr>
          </w:p>
        </w:tc>
        <w:tc>
          <w:tcPr>
            <w:tcW w:w="2520" w:type="dxa"/>
            <w:vAlign w:val="center"/>
          </w:tcPr>
          <w:p w14:paraId="4D40C850">
            <w:pPr>
              <w:snapToGrid w:val="0"/>
              <w:spacing w:line="440" w:lineRule="exact"/>
              <w:ind w:firstLine="480" w:firstLineChars="200"/>
              <w:rPr>
                <w:rFonts w:ascii="宋体" w:hAnsi="宋体"/>
                <w:color w:val="auto"/>
                <w:sz w:val="24"/>
                <w:szCs w:val="24"/>
              </w:rPr>
            </w:pPr>
          </w:p>
        </w:tc>
        <w:tc>
          <w:tcPr>
            <w:tcW w:w="1888" w:type="dxa"/>
            <w:vAlign w:val="center"/>
          </w:tcPr>
          <w:p w14:paraId="3793466D">
            <w:pPr>
              <w:snapToGrid w:val="0"/>
              <w:spacing w:line="440" w:lineRule="exact"/>
              <w:ind w:firstLine="480" w:firstLineChars="200"/>
              <w:rPr>
                <w:rFonts w:ascii="宋体" w:hAnsi="宋体"/>
                <w:color w:val="auto"/>
                <w:sz w:val="24"/>
                <w:szCs w:val="24"/>
              </w:rPr>
            </w:pPr>
          </w:p>
        </w:tc>
      </w:tr>
      <w:tr w14:paraId="775EF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660" w:type="dxa"/>
            <w:vAlign w:val="center"/>
          </w:tcPr>
          <w:p w14:paraId="1B719A9D">
            <w:pPr>
              <w:snapToGrid w:val="0"/>
              <w:spacing w:line="440" w:lineRule="exact"/>
              <w:ind w:firstLine="480" w:firstLineChars="200"/>
              <w:rPr>
                <w:rFonts w:ascii="宋体" w:hAnsi="宋体"/>
                <w:color w:val="auto"/>
                <w:sz w:val="24"/>
                <w:szCs w:val="24"/>
              </w:rPr>
            </w:pPr>
          </w:p>
        </w:tc>
        <w:tc>
          <w:tcPr>
            <w:tcW w:w="2702" w:type="dxa"/>
            <w:vAlign w:val="center"/>
          </w:tcPr>
          <w:p w14:paraId="76014781">
            <w:pPr>
              <w:snapToGrid w:val="0"/>
              <w:spacing w:line="440" w:lineRule="exact"/>
              <w:ind w:firstLine="480" w:firstLineChars="200"/>
              <w:rPr>
                <w:rFonts w:ascii="宋体" w:hAnsi="宋体"/>
                <w:color w:val="auto"/>
                <w:sz w:val="24"/>
                <w:szCs w:val="24"/>
              </w:rPr>
            </w:pPr>
          </w:p>
        </w:tc>
        <w:tc>
          <w:tcPr>
            <w:tcW w:w="2520" w:type="dxa"/>
            <w:vAlign w:val="center"/>
          </w:tcPr>
          <w:p w14:paraId="37D2CA1B">
            <w:pPr>
              <w:snapToGrid w:val="0"/>
              <w:spacing w:line="440" w:lineRule="exact"/>
              <w:ind w:firstLine="480" w:firstLineChars="200"/>
              <w:rPr>
                <w:rFonts w:ascii="宋体" w:hAnsi="宋体"/>
                <w:color w:val="auto"/>
                <w:sz w:val="24"/>
                <w:szCs w:val="24"/>
              </w:rPr>
            </w:pPr>
          </w:p>
        </w:tc>
        <w:tc>
          <w:tcPr>
            <w:tcW w:w="1888" w:type="dxa"/>
            <w:vAlign w:val="center"/>
          </w:tcPr>
          <w:p w14:paraId="4240A4CA">
            <w:pPr>
              <w:snapToGrid w:val="0"/>
              <w:spacing w:line="440" w:lineRule="exact"/>
              <w:ind w:firstLine="480" w:firstLineChars="200"/>
              <w:rPr>
                <w:rFonts w:ascii="宋体" w:hAnsi="宋体"/>
                <w:color w:val="auto"/>
                <w:sz w:val="24"/>
                <w:szCs w:val="24"/>
              </w:rPr>
            </w:pPr>
          </w:p>
        </w:tc>
      </w:tr>
      <w:tr w14:paraId="33449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660" w:type="dxa"/>
            <w:vAlign w:val="center"/>
          </w:tcPr>
          <w:p w14:paraId="47E8221C">
            <w:pPr>
              <w:snapToGrid w:val="0"/>
              <w:spacing w:line="440" w:lineRule="exact"/>
              <w:ind w:firstLine="480" w:firstLineChars="200"/>
              <w:rPr>
                <w:rFonts w:ascii="宋体" w:hAnsi="宋体"/>
                <w:color w:val="auto"/>
                <w:sz w:val="24"/>
                <w:szCs w:val="24"/>
              </w:rPr>
            </w:pPr>
          </w:p>
        </w:tc>
        <w:tc>
          <w:tcPr>
            <w:tcW w:w="2702" w:type="dxa"/>
            <w:vAlign w:val="center"/>
          </w:tcPr>
          <w:p w14:paraId="34FAC9BE">
            <w:pPr>
              <w:snapToGrid w:val="0"/>
              <w:spacing w:line="440" w:lineRule="exact"/>
              <w:ind w:firstLine="480" w:firstLineChars="200"/>
              <w:rPr>
                <w:rFonts w:ascii="宋体" w:hAnsi="宋体"/>
                <w:color w:val="auto"/>
                <w:sz w:val="24"/>
                <w:szCs w:val="24"/>
              </w:rPr>
            </w:pPr>
          </w:p>
        </w:tc>
        <w:tc>
          <w:tcPr>
            <w:tcW w:w="2520" w:type="dxa"/>
            <w:vAlign w:val="center"/>
          </w:tcPr>
          <w:p w14:paraId="249238EE">
            <w:pPr>
              <w:snapToGrid w:val="0"/>
              <w:spacing w:line="440" w:lineRule="exact"/>
              <w:ind w:firstLine="480" w:firstLineChars="200"/>
              <w:rPr>
                <w:rFonts w:ascii="宋体" w:hAnsi="宋体"/>
                <w:color w:val="auto"/>
                <w:sz w:val="24"/>
                <w:szCs w:val="24"/>
              </w:rPr>
            </w:pPr>
          </w:p>
        </w:tc>
        <w:tc>
          <w:tcPr>
            <w:tcW w:w="1888" w:type="dxa"/>
            <w:vAlign w:val="center"/>
          </w:tcPr>
          <w:p w14:paraId="3801FDBB">
            <w:pPr>
              <w:snapToGrid w:val="0"/>
              <w:spacing w:line="440" w:lineRule="exact"/>
              <w:ind w:firstLine="480" w:firstLineChars="200"/>
              <w:rPr>
                <w:rFonts w:ascii="宋体" w:hAnsi="宋体"/>
                <w:color w:val="auto"/>
                <w:sz w:val="24"/>
                <w:szCs w:val="24"/>
              </w:rPr>
            </w:pPr>
          </w:p>
        </w:tc>
      </w:tr>
      <w:tr w14:paraId="6E06B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660" w:type="dxa"/>
            <w:vAlign w:val="center"/>
          </w:tcPr>
          <w:p w14:paraId="785691D2">
            <w:pPr>
              <w:snapToGrid w:val="0"/>
              <w:spacing w:line="440" w:lineRule="exact"/>
              <w:ind w:firstLine="480" w:firstLineChars="200"/>
              <w:rPr>
                <w:rFonts w:ascii="宋体" w:hAnsi="宋体"/>
                <w:color w:val="auto"/>
                <w:sz w:val="24"/>
                <w:szCs w:val="24"/>
              </w:rPr>
            </w:pPr>
          </w:p>
        </w:tc>
        <w:tc>
          <w:tcPr>
            <w:tcW w:w="2702" w:type="dxa"/>
            <w:vAlign w:val="center"/>
          </w:tcPr>
          <w:p w14:paraId="63B31215">
            <w:pPr>
              <w:snapToGrid w:val="0"/>
              <w:spacing w:line="440" w:lineRule="exact"/>
              <w:ind w:firstLine="480" w:firstLineChars="200"/>
              <w:rPr>
                <w:rFonts w:ascii="宋体" w:hAnsi="宋体"/>
                <w:color w:val="auto"/>
                <w:sz w:val="24"/>
                <w:szCs w:val="24"/>
              </w:rPr>
            </w:pPr>
          </w:p>
        </w:tc>
        <w:tc>
          <w:tcPr>
            <w:tcW w:w="2520" w:type="dxa"/>
            <w:vAlign w:val="center"/>
          </w:tcPr>
          <w:p w14:paraId="74E81D29">
            <w:pPr>
              <w:snapToGrid w:val="0"/>
              <w:spacing w:line="440" w:lineRule="exact"/>
              <w:ind w:firstLine="480" w:firstLineChars="200"/>
              <w:rPr>
                <w:rFonts w:ascii="宋体" w:hAnsi="宋体"/>
                <w:color w:val="auto"/>
                <w:sz w:val="24"/>
                <w:szCs w:val="24"/>
              </w:rPr>
            </w:pPr>
          </w:p>
        </w:tc>
        <w:tc>
          <w:tcPr>
            <w:tcW w:w="1888" w:type="dxa"/>
            <w:vAlign w:val="center"/>
          </w:tcPr>
          <w:p w14:paraId="722013A8">
            <w:pPr>
              <w:snapToGrid w:val="0"/>
              <w:spacing w:line="440" w:lineRule="exact"/>
              <w:ind w:firstLine="480" w:firstLineChars="200"/>
              <w:rPr>
                <w:rFonts w:ascii="宋体" w:hAnsi="宋体"/>
                <w:color w:val="auto"/>
                <w:sz w:val="24"/>
                <w:szCs w:val="24"/>
              </w:rPr>
            </w:pPr>
          </w:p>
        </w:tc>
      </w:tr>
      <w:tr w14:paraId="51F0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660" w:type="dxa"/>
            <w:vAlign w:val="center"/>
          </w:tcPr>
          <w:p w14:paraId="515EB4EA">
            <w:pPr>
              <w:snapToGrid w:val="0"/>
              <w:spacing w:line="440" w:lineRule="exact"/>
              <w:ind w:firstLine="480" w:firstLineChars="200"/>
              <w:rPr>
                <w:rFonts w:ascii="宋体" w:hAnsi="宋体"/>
                <w:color w:val="auto"/>
                <w:sz w:val="24"/>
                <w:szCs w:val="24"/>
              </w:rPr>
            </w:pPr>
          </w:p>
        </w:tc>
        <w:tc>
          <w:tcPr>
            <w:tcW w:w="2702" w:type="dxa"/>
            <w:vAlign w:val="center"/>
          </w:tcPr>
          <w:p w14:paraId="1B1CD2A1">
            <w:pPr>
              <w:snapToGrid w:val="0"/>
              <w:spacing w:line="440" w:lineRule="exact"/>
              <w:ind w:firstLine="480" w:firstLineChars="200"/>
              <w:rPr>
                <w:rFonts w:ascii="宋体" w:hAnsi="宋体"/>
                <w:color w:val="auto"/>
                <w:sz w:val="24"/>
                <w:szCs w:val="24"/>
              </w:rPr>
            </w:pPr>
          </w:p>
        </w:tc>
        <w:tc>
          <w:tcPr>
            <w:tcW w:w="2520" w:type="dxa"/>
            <w:vAlign w:val="center"/>
          </w:tcPr>
          <w:p w14:paraId="40B638DD">
            <w:pPr>
              <w:snapToGrid w:val="0"/>
              <w:spacing w:line="440" w:lineRule="exact"/>
              <w:ind w:firstLine="480" w:firstLineChars="200"/>
              <w:rPr>
                <w:rFonts w:ascii="宋体" w:hAnsi="宋体"/>
                <w:color w:val="auto"/>
                <w:sz w:val="24"/>
                <w:szCs w:val="24"/>
              </w:rPr>
            </w:pPr>
          </w:p>
        </w:tc>
        <w:tc>
          <w:tcPr>
            <w:tcW w:w="1888" w:type="dxa"/>
            <w:vAlign w:val="center"/>
          </w:tcPr>
          <w:p w14:paraId="117C4362">
            <w:pPr>
              <w:snapToGrid w:val="0"/>
              <w:spacing w:line="440" w:lineRule="exact"/>
              <w:ind w:firstLine="480" w:firstLineChars="200"/>
              <w:rPr>
                <w:rFonts w:ascii="宋体" w:hAnsi="宋体"/>
                <w:color w:val="auto"/>
                <w:sz w:val="24"/>
                <w:szCs w:val="24"/>
              </w:rPr>
            </w:pPr>
          </w:p>
        </w:tc>
      </w:tr>
      <w:tr w14:paraId="0843E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660" w:type="dxa"/>
            <w:vAlign w:val="center"/>
          </w:tcPr>
          <w:p w14:paraId="7BA21FD2">
            <w:pPr>
              <w:snapToGrid w:val="0"/>
              <w:spacing w:line="440" w:lineRule="exact"/>
              <w:ind w:firstLine="480" w:firstLineChars="200"/>
              <w:rPr>
                <w:rFonts w:ascii="宋体" w:hAnsi="宋体"/>
                <w:color w:val="auto"/>
                <w:sz w:val="24"/>
                <w:szCs w:val="24"/>
              </w:rPr>
            </w:pPr>
          </w:p>
        </w:tc>
        <w:tc>
          <w:tcPr>
            <w:tcW w:w="2702" w:type="dxa"/>
            <w:vAlign w:val="center"/>
          </w:tcPr>
          <w:p w14:paraId="56AE0B50">
            <w:pPr>
              <w:snapToGrid w:val="0"/>
              <w:spacing w:line="440" w:lineRule="exact"/>
              <w:ind w:firstLine="480" w:firstLineChars="200"/>
              <w:rPr>
                <w:rFonts w:ascii="宋体" w:hAnsi="宋体"/>
                <w:color w:val="auto"/>
                <w:sz w:val="24"/>
                <w:szCs w:val="24"/>
              </w:rPr>
            </w:pPr>
          </w:p>
        </w:tc>
        <w:tc>
          <w:tcPr>
            <w:tcW w:w="2520" w:type="dxa"/>
            <w:vAlign w:val="center"/>
          </w:tcPr>
          <w:p w14:paraId="1C1A8707">
            <w:pPr>
              <w:snapToGrid w:val="0"/>
              <w:spacing w:line="440" w:lineRule="exact"/>
              <w:ind w:firstLine="480" w:firstLineChars="200"/>
              <w:rPr>
                <w:rFonts w:ascii="宋体" w:hAnsi="宋体"/>
                <w:color w:val="auto"/>
                <w:sz w:val="24"/>
                <w:szCs w:val="24"/>
              </w:rPr>
            </w:pPr>
          </w:p>
        </w:tc>
        <w:tc>
          <w:tcPr>
            <w:tcW w:w="1888" w:type="dxa"/>
            <w:vAlign w:val="center"/>
          </w:tcPr>
          <w:p w14:paraId="751E6B39">
            <w:pPr>
              <w:snapToGrid w:val="0"/>
              <w:spacing w:line="440" w:lineRule="exact"/>
              <w:ind w:firstLine="480" w:firstLineChars="200"/>
              <w:rPr>
                <w:rFonts w:ascii="宋体" w:hAnsi="宋体"/>
                <w:color w:val="auto"/>
                <w:sz w:val="24"/>
                <w:szCs w:val="24"/>
              </w:rPr>
            </w:pPr>
          </w:p>
        </w:tc>
      </w:tr>
      <w:tr w14:paraId="4C21B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660" w:type="dxa"/>
            <w:vAlign w:val="center"/>
          </w:tcPr>
          <w:p w14:paraId="7909BBE1">
            <w:pPr>
              <w:snapToGrid w:val="0"/>
              <w:spacing w:line="440" w:lineRule="exact"/>
              <w:ind w:firstLine="480" w:firstLineChars="200"/>
              <w:rPr>
                <w:rFonts w:ascii="宋体" w:hAnsi="宋体"/>
                <w:color w:val="auto"/>
                <w:sz w:val="24"/>
                <w:szCs w:val="24"/>
              </w:rPr>
            </w:pPr>
          </w:p>
        </w:tc>
        <w:tc>
          <w:tcPr>
            <w:tcW w:w="2702" w:type="dxa"/>
            <w:vAlign w:val="center"/>
          </w:tcPr>
          <w:p w14:paraId="2892E72C">
            <w:pPr>
              <w:snapToGrid w:val="0"/>
              <w:spacing w:line="440" w:lineRule="exact"/>
              <w:ind w:firstLine="480" w:firstLineChars="200"/>
              <w:rPr>
                <w:rFonts w:ascii="宋体" w:hAnsi="宋体"/>
                <w:color w:val="auto"/>
                <w:sz w:val="24"/>
                <w:szCs w:val="24"/>
              </w:rPr>
            </w:pPr>
          </w:p>
        </w:tc>
        <w:tc>
          <w:tcPr>
            <w:tcW w:w="2520" w:type="dxa"/>
            <w:vAlign w:val="center"/>
          </w:tcPr>
          <w:p w14:paraId="1BFA575A">
            <w:pPr>
              <w:snapToGrid w:val="0"/>
              <w:spacing w:line="440" w:lineRule="exact"/>
              <w:ind w:firstLine="480" w:firstLineChars="200"/>
              <w:rPr>
                <w:rFonts w:ascii="宋体" w:hAnsi="宋体"/>
                <w:color w:val="auto"/>
                <w:sz w:val="24"/>
                <w:szCs w:val="24"/>
              </w:rPr>
            </w:pPr>
          </w:p>
        </w:tc>
        <w:tc>
          <w:tcPr>
            <w:tcW w:w="1888" w:type="dxa"/>
            <w:vAlign w:val="center"/>
          </w:tcPr>
          <w:p w14:paraId="13D779F1">
            <w:pPr>
              <w:snapToGrid w:val="0"/>
              <w:spacing w:line="440" w:lineRule="exact"/>
              <w:ind w:firstLine="480" w:firstLineChars="200"/>
              <w:rPr>
                <w:rFonts w:ascii="宋体" w:hAnsi="宋体"/>
                <w:color w:val="auto"/>
                <w:sz w:val="24"/>
                <w:szCs w:val="24"/>
              </w:rPr>
            </w:pPr>
          </w:p>
        </w:tc>
      </w:tr>
      <w:tr w14:paraId="30AA2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660" w:type="dxa"/>
            <w:vAlign w:val="center"/>
          </w:tcPr>
          <w:p w14:paraId="5DBBAB34">
            <w:pPr>
              <w:snapToGrid w:val="0"/>
              <w:spacing w:line="440" w:lineRule="exact"/>
              <w:ind w:firstLine="480" w:firstLineChars="200"/>
              <w:rPr>
                <w:rFonts w:ascii="宋体" w:hAnsi="宋体"/>
                <w:color w:val="auto"/>
                <w:sz w:val="24"/>
                <w:szCs w:val="24"/>
              </w:rPr>
            </w:pPr>
          </w:p>
        </w:tc>
        <w:tc>
          <w:tcPr>
            <w:tcW w:w="2702" w:type="dxa"/>
            <w:vAlign w:val="center"/>
          </w:tcPr>
          <w:p w14:paraId="0DEC551A">
            <w:pPr>
              <w:snapToGrid w:val="0"/>
              <w:spacing w:line="440" w:lineRule="exact"/>
              <w:ind w:firstLine="480" w:firstLineChars="200"/>
              <w:rPr>
                <w:rFonts w:ascii="宋体" w:hAnsi="宋体"/>
                <w:color w:val="auto"/>
                <w:sz w:val="24"/>
                <w:szCs w:val="24"/>
              </w:rPr>
            </w:pPr>
          </w:p>
        </w:tc>
        <w:tc>
          <w:tcPr>
            <w:tcW w:w="2520" w:type="dxa"/>
            <w:vAlign w:val="center"/>
          </w:tcPr>
          <w:p w14:paraId="1DF69865">
            <w:pPr>
              <w:snapToGrid w:val="0"/>
              <w:spacing w:line="440" w:lineRule="exact"/>
              <w:ind w:firstLine="480" w:firstLineChars="200"/>
              <w:rPr>
                <w:rFonts w:ascii="宋体" w:hAnsi="宋体"/>
                <w:color w:val="auto"/>
                <w:sz w:val="24"/>
                <w:szCs w:val="24"/>
              </w:rPr>
            </w:pPr>
          </w:p>
        </w:tc>
        <w:tc>
          <w:tcPr>
            <w:tcW w:w="1888" w:type="dxa"/>
            <w:vAlign w:val="center"/>
          </w:tcPr>
          <w:p w14:paraId="6B504284">
            <w:pPr>
              <w:snapToGrid w:val="0"/>
              <w:spacing w:line="440" w:lineRule="exact"/>
              <w:ind w:firstLine="480" w:firstLineChars="200"/>
              <w:rPr>
                <w:rFonts w:ascii="宋体" w:hAnsi="宋体"/>
                <w:color w:val="auto"/>
                <w:sz w:val="24"/>
                <w:szCs w:val="24"/>
              </w:rPr>
            </w:pPr>
          </w:p>
        </w:tc>
      </w:tr>
    </w:tbl>
    <w:p w14:paraId="7126A793">
      <w:pPr>
        <w:snapToGrid w:val="0"/>
        <w:spacing w:line="440" w:lineRule="exact"/>
        <w:ind w:firstLine="480" w:firstLineChars="200"/>
        <w:rPr>
          <w:rFonts w:ascii="宋体" w:hAnsi="宋体"/>
          <w:color w:val="auto"/>
          <w:sz w:val="24"/>
          <w:szCs w:val="24"/>
        </w:rPr>
      </w:pPr>
    </w:p>
    <w:p w14:paraId="218CEBAF">
      <w:pPr>
        <w:snapToGrid w:val="0"/>
        <w:spacing w:line="440" w:lineRule="exact"/>
        <w:ind w:firstLine="480" w:firstLineChars="200"/>
        <w:rPr>
          <w:rFonts w:ascii="宋体" w:hAnsi="宋体"/>
          <w:color w:val="auto"/>
          <w:sz w:val="24"/>
          <w:szCs w:val="24"/>
        </w:rPr>
      </w:pPr>
    </w:p>
    <w:p w14:paraId="1FD962E9">
      <w:pPr>
        <w:snapToGrid w:val="0"/>
        <w:spacing w:line="440" w:lineRule="exact"/>
        <w:ind w:firstLine="480" w:firstLineChars="200"/>
        <w:rPr>
          <w:rFonts w:ascii="宋体" w:hAnsi="宋体"/>
          <w:color w:val="auto"/>
          <w:sz w:val="24"/>
          <w:szCs w:val="24"/>
        </w:rPr>
      </w:pPr>
    </w:p>
    <w:p w14:paraId="1C724608">
      <w:pPr>
        <w:snapToGrid w:val="0"/>
        <w:spacing w:line="440" w:lineRule="exact"/>
        <w:ind w:firstLine="480" w:firstLineChars="200"/>
        <w:rPr>
          <w:rFonts w:ascii="宋体" w:hAnsi="宋体"/>
          <w:color w:val="auto"/>
          <w:sz w:val="24"/>
          <w:szCs w:val="24"/>
        </w:rPr>
      </w:pPr>
    </w:p>
    <w:p w14:paraId="63C13965">
      <w:pPr>
        <w:snapToGrid w:val="0"/>
        <w:spacing w:line="440" w:lineRule="exact"/>
        <w:ind w:firstLine="480" w:firstLineChars="200"/>
        <w:rPr>
          <w:rFonts w:ascii="宋体" w:hAnsi="宋体"/>
          <w:color w:val="auto"/>
          <w:sz w:val="24"/>
          <w:szCs w:val="24"/>
        </w:rPr>
      </w:pPr>
      <w:r>
        <w:rPr>
          <w:rFonts w:hint="eastAsia" w:ascii="宋体" w:hAnsi="宋体"/>
          <w:color w:val="auto"/>
          <w:sz w:val="24"/>
          <w:szCs w:val="24"/>
        </w:rPr>
        <w:t>投标人：　　　　                 　法定代表人授权代表：</w:t>
      </w:r>
    </w:p>
    <w:p w14:paraId="759A10CF">
      <w:pPr>
        <w:snapToGrid w:val="0"/>
        <w:spacing w:line="440" w:lineRule="exact"/>
        <w:ind w:firstLine="480" w:firstLineChars="200"/>
        <w:rPr>
          <w:rFonts w:ascii="宋体" w:hAnsi="宋体"/>
          <w:color w:val="auto"/>
          <w:sz w:val="24"/>
          <w:szCs w:val="24"/>
        </w:rPr>
      </w:pPr>
      <w:r>
        <w:rPr>
          <w:rFonts w:hint="eastAsia" w:ascii="宋体" w:hAnsi="宋体"/>
          <w:color w:val="auto"/>
          <w:sz w:val="24"/>
          <w:szCs w:val="24"/>
        </w:rPr>
        <w:t>（投标人公章）　　　　                 （签字）</w:t>
      </w:r>
    </w:p>
    <w:p w14:paraId="359476E9">
      <w:pPr>
        <w:snapToGrid w:val="0"/>
        <w:spacing w:line="440" w:lineRule="exact"/>
        <w:ind w:firstLine="480" w:firstLineChars="200"/>
        <w:rPr>
          <w:rFonts w:ascii="宋体" w:hAnsi="宋体"/>
          <w:color w:val="auto"/>
          <w:sz w:val="24"/>
          <w:szCs w:val="24"/>
        </w:rPr>
      </w:pPr>
      <w:r>
        <w:rPr>
          <w:rFonts w:hint="eastAsia" w:ascii="宋体" w:hAnsi="宋体"/>
          <w:color w:val="auto"/>
          <w:sz w:val="24"/>
          <w:szCs w:val="24"/>
        </w:rPr>
        <w:t>　　年  月  日                           年  月  日</w:t>
      </w:r>
    </w:p>
    <w:p w14:paraId="57AE9824">
      <w:pPr>
        <w:snapToGrid w:val="0"/>
        <w:spacing w:line="440" w:lineRule="exact"/>
        <w:ind w:firstLine="560" w:firstLineChars="200"/>
        <w:rPr>
          <w:rFonts w:ascii="宋体" w:hAnsi="宋体"/>
          <w:color w:val="auto"/>
        </w:rPr>
      </w:pPr>
    </w:p>
    <w:p w14:paraId="0643FF23">
      <w:pPr>
        <w:snapToGrid w:val="0"/>
        <w:spacing w:line="440" w:lineRule="exact"/>
        <w:ind w:firstLine="560" w:firstLineChars="200"/>
        <w:rPr>
          <w:rFonts w:ascii="宋体" w:hAnsi="宋体"/>
          <w:color w:val="auto"/>
        </w:rPr>
      </w:pPr>
    </w:p>
    <w:p w14:paraId="1242C6A8">
      <w:pPr>
        <w:snapToGrid w:val="0"/>
        <w:spacing w:line="440" w:lineRule="exact"/>
        <w:ind w:firstLine="560" w:firstLineChars="200"/>
        <w:rPr>
          <w:rFonts w:ascii="宋体" w:hAnsi="宋体"/>
          <w:color w:val="auto"/>
        </w:rPr>
      </w:pPr>
    </w:p>
    <w:p w14:paraId="126E50B2">
      <w:pPr>
        <w:snapToGrid w:val="0"/>
        <w:spacing w:line="440" w:lineRule="exact"/>
        <w:ind w:firstLine="560" w:firstLineChars="200"/>
        <w:rPr>
          <w:rFonts w:ascii="宋体" w:hAnsi="宋体"/>
          <w:color w:val="auto"/>
        </w:rPr>
      </w:pPr>
      <w:r>
        <w:rPr>
          <w:rFonts w:hint="eastAsia" w:ascii="宋体" w:hAnsi="宋体"/>
          <w:color w:val="auto"/>
        </w:rPr>
        <w:t>注：</w:t>
      </w:r>
    </w:p>
    <w:p w14:paraId="6BC65835">
      <w:pPr>
        <w:snapToGrid w:val="0"/>
        <w:spacing w:line="440" w:lineRule="exact"/>
        <w:ind w:firstLine="560" w:firstLineChars="200"/>
        <w:rPr>
          <w:rFonts w:ascii="宋体" w:hAnsi="宋体"/>
          <w:color w:val="auto"/>
        </w:rPr>
      </w:pPr>
      <w:r>
        <w:rPr>
          <w:rFonts w:ascii="宋体" w:hAnsi="宋体"/>
          <w:color w:val="auto"/>
        </w:rPr>
        <w:t>1.</w:t>
      </w:r>
      <w:r>
        <w:rPr>
          <w:rFonts w:hint="eastAsia" w:ascii="宋体" w:hAnsi="宋体"/>
          <w:color w:val="auto"/>
        </w:rPr>
        <w:t>本表即为对本项目第二篇要求进行比较和响应；</w:t>
      </w:r>
    </w:p>
    <w:p w14:paraId="21D569E2">
      <w:pPr>
        <w:snapToGrid w:val="0"/>
        <w:spacing w:line="440" w:lineRule="exact"/>
        <w:ind w:firstLine="560" w:firstLineChars="200"/>
        <w:rPr>
          <w:rFonts w:ascii="宋体" w:hAnsi="宋体"/>
          <w:color w:val="auto"/>
        </w:rPr>
      </w:pPr>
      <w:r>
        <w:rPr>
          <w:rFonts w:ascii="宋体" w:hAnsi="宋体"/>
          <w:color w:val="auto"/>
        </w:rPr>
        <w:t>2.</w:t>
      </w:r>
      <w:r>
        <w:rPr>
          <w:rFonts w:hint="eastAsia" w:ascii="宋体" w:hAnsi="宋体"/>
          <w:color w:val="auto"/>
        </w:rPr>
        <w:t>该表必须按照招标文件要求逐条如实填写，根据投标情况在“差异说明”项填写正偏离或负偏离及原因，完全符合的填写“无差异”；</w:t>
      </w:r>
    </w:p>
    <w:p w14:paraId="4A7F822C">
      <w:pPr>
        <w:snapToGrid w:val="0"/>
        <w:spacing w:line="440" w:lineRule="exact"/>
        <w:ind w:firstLine="560" w:firstLineChars="200"/>
        <w:rPr>
          <w:rFonts w:ascii="宋体" w:hAnsi="宋体"/>
          <w:color w:val="auto"/>
        </w:rPr>
      </w:pPr>
      <w:r>
        <w:rPr>
          <w:rFonts w:ascii="宋体" w:hAnsi="宋体"/>
          <w:color w:val="auto"/>
        </w:rPr>
        <w:t>3.</w:t>
      </w:r>
      <w:r>
        <w:rPr>
          <w:rFonts w:hint="eastAsia" w:ascii="宋体" w:hAnsi="宋体"/>
          <w:color w:val="auto"/>
        </w:rPr>
        <w:t>该表可扩展；</w:t>
      </w:r>
    </w:p>
    <w:p w14:paraId="47A98F0C">
      <w:pPr>
        <w:snapToGrid w:val="0"/>
        <w:spacing w:line="440" w:lineRule="exact"/>
        <w:ind w:firstLine="560" w:firstLineChars="200"/>
        <w:rPr>
          <w:rFonts w:ascii="宋体" w:hAnsi="宋体"/>
          <w:color w:val="auto"/>
        </w:rPr>
      </w:pPr>
      <w:r>
        <w:rPr>
          <w:rFonts w:ascii="宋体" w:hAnsi="宋体"/>
          <w:color w:val="auto"/>
        </w:rPr>
        <w:t>4.</w:t>
      </w:r>
      <w:r>
        <w:rPr>
          <w:rFonts w:hint="eastAsia" w:ascii="宋体" w:hAnsi="宋体"/>
          <w:color w:val="auto"/>
        </w:rPr>
        <w:t>可附相关技术支撑材料（格式自定）。</w:t>
      </w:r>
    </w:p>
    <w:p w14:paraId="6ECEB113">
      <w:pPr>
        <w:snapToGrid w:val="0"/>
        <w:spacing w:line="440" w:lineRule="exact"/>
        <w:ind w:firstLine="562" w:firstLineChars="200"/>
        <w:rPr>
          <w:rFonts w:ascii="宋体" w:hAnsi="宋体"/>
          <w:b/>
          <w:bCs/>
          <w:color w:val="auto"/>
        </w:rPr>
      </w:pPr>
    </w:p>
    <w:p w14:paraId="26E78713">
      <w:pPr>
        <w:snapToGrid w:val="0"/>
        <w:spacing w:line="440" w:lineRule="exact"/>
        <w:rPr>
          <w:rFonts w:ascii="宋体" w:hAnsi="宋体"/>
          <w:color w:val="auto"/>
        </w:rPr>
      </w:pPr>
    </w:p>
    <w:p w14:paraId="2423030D">
      <w:pPr>
        <w:pStyle w:val="4"/>
        <w:spacing w:before="0" w:after="0" w:line="360" w:lineRule="auto"/>
        <w:rPr>
          <w:rFonts w:ascii="方正仿宋_GBK" w:hAnsi="宋体" w:eastAsia="方正仿宋_GBK"/>
          <w:color w:val="auto"/>
          <w:sz w:val="24"/>
          <w:szCs w:val="24"/>
        </w:rPr>
      </w:pPr>
      <w:bookmarkStart w:id="243" w:name="_Toc31251"/>
      <w:bookmarkStart w:id="244" w:name="_Toc42790110"/>
      <w:r>
        <w:rPr>
          <w:rFonts w:hint="eastAsia" w:ascii="方正仿宋_GBK" w:hAnsi="宋体" w:eastAsia="方正仿宋_GBK"/>
          <w:color w:val="auto"/>
          <w:sz w:val="24"/>
          <w:szCs w:val="24"/>
        </w:rPr>
        <w:t>五、</w:t>
      </w:r>
      <w:r>
        <w:rPr>
          <w:rFonts w:hint="eastAsia" w:ascii="方正仿宋_GBK" w:eastAsia="方正仿宋_GBK"/>
          <w:color w:val="auto"/>
          <w:sz w:val="24"/>
          <w:szCs w:val="24"/>
        </w:rPr>
        <w:t>其他资料</w:t>
      </w:r>
      <w:bookmarkEnd w:id="243"/>
      <w:bookmarkEnd w:id="244"/>
    </w:p>
    <w:p w14:paraId="0C860918">
      <w:pPr>
        <w:tabs>
          <w:tab w:val="left" w:pos="6300"/>
        </w:tabs>
        <w:snapToGrid w:val="0"/>
        <w:spacing w:line="360" w:lineRule="auto"/>
        <w:rPr>
          <w:rFonts w:ascii="方正仿宋_GBK" w:hAnsi="宋体" w:eastAsia="方正仿宋_GBK"/>
          <w:color w:val="auto"/>
          <w:sz w:val="24"/>
          <w:szCs w:val="24"/>
        </w:rPr>
      </w:pPr>
      <w:r>
        <w:rPr>
          <w:rFonts w:hint="eastAsia" w:ascii="方正仿宋_GBK" w:hAnsi="宋体" w:eastAsia="方正仿宋_GBK"/>
          <w:color w:val="auto"/>
          <w:sz w:val="24"/>
          <w:szCs w:val="24"/>
        </w:rPr>
        <w:t>（一）中小微企业声明函、监狱企业证明文件、残疾人福利性单位声明函</w:t>
      </w:r>
    </w:p>
    <w:p w14:paraId="35C84109">
      <w:pPr>
        <w:tabs>
          <w:tab w:val="left" w:pos="6300"/>
        </w:tabs>
        <w:snapToGrid w:val="0"/>
        <w:spacing w:line="500" w:lineRule="exact"/>
        <w:ind w:firstLine="560" w:firstLineChars="200"/>
        <w:jc w:val="center"/>
        <w:rPr>
          <w:rFonts w:ascii="方正仿宋_GBK" w:hAnsi="宋体" w:eastAsia="方正仿宋_GBK"/>
          <w:color w:val="auto"/>
        </w:rPr>
      </w:pPr>
      <w:r>
        <w:rPr>
          <w:rFonts w:hint="eastAsia" w:ascii="方正仿宋_GBK" w:hAnsi="宋体" w:eastAsia="方正仿宋_GBK"/>
          <w:color w:val="auto"/>
        </w:rPr>
        <w:t>中小微企业声明函</w:t>
      </w:r>
    </w:p>
    <w:p w14:paraId="0077ED91">
      <w:pPr>
        <w:tabs>
          <w:tab w:val="left" w:pos="6300"/>
        </w:tabs>
        <w:snapToGrid w:val="0"/>
        <w:spacing w:line="500" w:lineRule="exact"/>
        <w:ind w:firstLine="480" w:firstLineChars="200"/>
        <w:rPr>
          <w:rFonts w:ascii="方正仿宋_GBK" w:hAnsi="仿宋" w:eastAsia="方正仿宋_GBK"/>
          <w:color w:val="auto"/>
          <w:sz w:val="24"/>
          <w:szCs w:val="28"/>
        </w:rPr>
      </w:pPr>
    </w:p>
    <w:p w14:paraId="48AF1B46">
      <w:pPr>
        <w:tabs>
          <w:tab w:val="left" w:pos="6300"/>
        </w:tabs>
        <w:snapToGrid w:val="0"/>
        <w:spacing w:line="500" w:lineRule="exact"/>
        <w:ind w:firstLine="480" w:firstLineChars="200"/>
        <w:rPr>
          <w:rFonts w:ascii="方正仿宋_GBK" w:hAnsi="仿宋" w:eastAsia="方正仿宋_GBK"/>
          <w:color w:val="auto"/>
          <w:sz w:val="24"/>
        </w:rPr>
      </w:pPr>
      <w:r>
        <w:rPr>
          <w:rFonts w:hint="eastAsia" w:ascii="方正仿宋_GBK" w:hAnsi="仿宋" w:eastAsia="方正仿宋_GBK"/>
          <w:color w:val="auto"/>
          <w:sz w:val="24"/>
          <w:szCs w:val="28"/>
        </w:rPr>
        <w:t>采购项目名称</w:t>
      </w:r>
      <w:r>
        <w:rPr>
          <w:rFonts w:hint="eastAsia" w:ascii="方正仿宋_GBK" w:hAnsi="仿宋" w:eastAsia="方正仿宋_GBK"/>
          <w:color w:val="auto"/>
          <w:sz w:val="24"/>
        </w:rPr>
        <w:t>：</w:t>
      </w:r>
      <w:r>
        <w:rPr>
          <w:rFonts w:hint="eastAsia" w:ascii="方正仿宋_GBK" w:hAnsi="仿宋" w:eastAsia="方正仿宋_GBK"/>
          <w:color w:val="auto"/>
          <w:sz w:val="24"/>
          <w:u w:val="single"/>
        </w:rPr>
        <w:t xml:space="preserve">                        </w:t>
      </w:r>
    </w:p>
    <w:p w14:paraId="65257ACE">
      <w:pPr>
        <w:tabs>
          <w:tab w:val="left" w:pos="6300"/>
        </w:tabs>
        <w:snapToGrid w:val="0"/>
        <w:spacing w:line="500" w:lineRule="exact"/>
        <w:ind w:firstLine="480" w:firstLineChars="200"/>
        <w:rPr>
          <w:rFonts w:ascii="方正仿宋_GBK" w:hAnsi="仿宋" w:eastAsia="方正仿宋_GBK"/>
          <w:color w:val="auto"/>
          <w:sz w:val="24"/>
        </w:rPr>
      </w:pPr>
      <w:r>
        <w:rPr>
          <w:rFonts w:hint="eastAsia" w:ascii="方正仿宋_GBK" w:hAnsi="仿宋" w:eastAsia="方正仿宋_GBK"/>
          <w:color w:val="auto"/>
          <w:sz w:val="24"/>
        </w:rPr>
        <w:t>致：</w:t>
      </w:r>
      <w:r>
        <w:rPr>
          <w:rFonts w:hint="eastAsia" w:ascii="方正仿宋_GBK" w:hAnsi="仿宋" w:eastAsia="方正仿宋_GBK"/>
          <w:color w:val="auto"/>
          <w:sz w:val="24"/>
          <w:u w:val="single"/>
        </w:rPr>
        <w:t xml:space="preserve">                   </w:t>
      </w:r>
      <w:r>
        <w:rPr>
          <w:rFonts w:hint="eastAsia" w:ascii="方正仿宋_GBK" w:hAnsi="仿宋" w:eastAsia="方正仿宋_GBK"/>
          <w:color w:val="auto"/>
          <w:sz w:val="24"/>
        </w:rPr>
        <w:t>（采购人名称）：</w:t>
      </w:r>
    </w:p>
    <w:p w14:paraId="08B94E88">
      <w:pPr>
        <w:tabs>
          <w:tab w:val="left" w:pos="6300"/>
        </w:tabs>
        <w:snapToGrid w:val="0"/>
        <w:spacing w:line="500" w:lineRule="exact"/>
        <w:ind w:firstLine="480" w:firstLineChars="200"/>
        <w:rPr>
          <w:rFonts w:ascii="方正仿宋_GBK" w:hAnsi="仿宋" w:eastAsia="方正仿宋_GBK"/>
          <w:color w:val="auto"/>
          <w:sz w:val="24"/>
          <w:szCs w:val="28"/>
        </w:rPr>
      </w:pPr>
      <w:r>
        <w:rPr>
          <w:rFonts w:hint="eastAsia" w:ascii="方正仿宋_GBK" w:hAnsi="仿宋" w:eastAsia="方正仿宋_GBK"/>
          <w:color w:val="auto"/>
          <w:sz w:val="24"/>
          <w:szCs w:val="28"/>
        </w:rPr>
        <w:t>本企业郑重声明，根据《政府采购促进中小企业发展暂行办法》（财库〔2011〕181号）的规定，本企业为</w:t>
      </w:r>
      <w:r>
        <w:rPr>
          <w:rFonts w:hint="eastAsia" w:ascii="方正仿宋_GBK" w:hAnsi="仿宋" w:eastAsia="方正仿宋_GBK"/>
          <w:color w:val="auto"/>
          <w:sz w:val="24"/>
          <w:szCs w:val="28"/>
          <w:u w:val="single"/>
        </w:rPr>
        <w:t xml:space="preserve">          </w:t>
      </w:r>
      <w:r>
        <w:rPr>
          <w:rFonts w:hint="eastAsia" w:ascii="方正仿宋_GBK" w:hAnsi="仿宋" w:eastAsia="方正仿宋_GBK"/>
          <w:color w:val="auto"/>
          <w:sz w:val="24"/>
          <w:szCs w:val="28"/>
        </w:rPr>
        <w:t>（请填写：中型、小型、微型）企业。即，本企业同时满足以下条件：</w:t>
      </w:r>
    </w:p>
    <w:p w14:paraId="7DC6C343">
      <w:pPr>
        <w:tabs>
          <w:tab w:val="left" w:pos="6300"/>
        </w:tabs>
        <w:snapToGrid w:val="0"/>
        <w:spacing w:line="500" w:lineRule="exact"/>
        <w:ind w:firstLine="480" w:firstLineChars="200"/>
        <w:rPr>
          <w:rFonts w:ascii="方正仿宋_GBK" w:hAnsi="仿宋" w:eastAsia="方正仿宋_GBK"/>
          <w:color w:val="auto"/>
          <w:sz w:val="24"/>
          <w:szCs w:val="28"/>
        </w:rPr>
      </w:pPr>
      <w:r>
        <w:rPr>
          <w:rFonts w:hint="eastAsia" w:ascii="方正仿宋_GBK" w:hAnsi="仿宋" w:eastAsia="方正仿宋_GBK"/>
          <w:color w:val="auto"/>
          <w:sz w:val="24"/>
          <w:szCs w:val="28"/>
        </w:rPr>
        <w:t>1.根据《工业和信息化部 国家统计局 国家发展和改革委员会 财政部关于印发中小企业划型标准规定的通知》（工信部联企业〔2011〕300号）的划分标准，本企业为行业</w:t>
      </w:r>
      <w:r>
        <w:rPr>
          <w:rFonts w:hint="eastAsia" w:ascii="方正仿宋_GBK" w:hAnsi="仿宋" w:eastAsia="方正仿宋_GBK"/>
          <w:color w:val="auto"/>
          <w:sz w:val="24"/>
          <w:szCs w:val="28"/>
          <w:u w:val="single"/>
        </w:rPr>
        <w:t xml:space="preserve">  </w:t>
      </w:r>
      <w:r>
        <w:rPr>
          <w:rFonts w:hint="eastAsia" w:ascii="方正仿宋_GBK" w:hAnsi="仿宋" w:eastAsia="方正仿宋_GBK"/>
          <w:color w:val="auto"/>
          <w:sz w:val="24"/>
          <w:szCs w:val="28"/>
        </w:rPr>
        <w:t>（行业类别）的</w:t>
      </w:r>
      <w:r>
        <w:rPr>
          <w:rFonts w:hint="eastAsia" w:ascii="方正仿宋_GBK" w:hAnsi="仿宋" w:eastAsia="方正仿宋_GBK"/>
          <w:color w:val="auto"/>
          <w:sz w:val="24"/>
          <w:szCs w:val="28"/>
          <w:u w:val="single"/>
        </w:rPr>
        <w:t xml:space="preserve">        </w:t>
      </w:r>
      <w:r>
        <w:rPr>
          <w:rFonts w:hint="eastAsia" w:ascii="方正仿宋_GBK" w:hAnsi="仿宋" w:eastAsia="方正仿宋_GBK"/>
          <w:color w:val="auto"/>
          <w:sz w:val="24"/>
          <w:szCs w:val="28"/>
        </w:rPr>
        <w:t>（请填写：中型、小型、微型）企业。</w:t>
      </w:r>
    </w:p>
    <w:p w14:paraId="400B407D">
      <w:pPr>
        <w:tabs>
          <w:tab w:val="left" w:pos="6300"/>
        </w:tabs>
        <w:snapToGrid w:val="0"/>
        <w:spacing w:line="500" w:lineRule="exact"/>
        <w:ind w:firstLine="480" w:firstLineChars="200"/>
        <w:rPr>
          <w:rFonts w:ascii="方正仿宋_GBK" w:hAnsi="仿宋" w:eastAsia="方正仿宋_GBK"/>
          <w:color w:val="auto"/>
          <w:sz w:val="24"/>
          <w:szCs w:val="28"/>
        </w:rPr>
      </w:pPr>
      <w:r>
        <w:rPr>
          <w:rFonts w:hint="eastAsia" w:ascii="方正仿宋_GBK" w:hAnsi="仿宋" w:eastAsia="方正仿宋_GBK"/>
          <w:color w:val="auto"/>
          <w:sz w:val="24"/>
          <w:szCs w:val="28"/>
        </w:rPr>
        <w:t>2.本企业参加本项目提供本企业制造的货物、承担的工程或者服务，或者提供其他小微企业制造的货物。</w:t>
      </w:r>
    </w:p>
    <w:p w14:paraId="076D73C0">
      <w:pPr>
        <w:tabs>
          <w:tab w:val="left" w:pos="6300"/>
        </w:tabs>
        <w:snapToGrid w:val="0"/>
        <w:spacing w:line="500" w:lineRule="exact"/>
        <w:ind w:firstLine="480" w:firstLineChars="200"/>
        <w:jc w:val="center"/>
        <w:rPr>
          <w:rFonts w:ascii="方正仿宋_GBK" w:hAnsi="宋体" w:eastAsia="方正仿宋_GBK" w:cs="宋体"/>
          <w:color w:val="auto"/>
          <w:kern w:val="0"/>
          <w:sz w:val="24"/>
        </w:rPr>
      </w:pPr>
      <w:r>
        <w:rPr>
          <w:rFonts w:hint="eastAsia" w:ascii="方正仿宋_GBK" w:hAnsi="宋体" w:eastAsia="方正仿宋_GBK" w:cs="宋体"/>
          <w:color w:val="auto"/>
          <w:kern w:val="0"/>
          <w:sz w:val="24"/>
        </w:rPr>
        <w:t>企业基本情况表</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7"/>
        <w:gridCol w:w="2407"/>
        <w:gridCol w:w="2407"/>
        <w:gridCol w:w="2407"/>
      </w:tblGrid>
      <w:tr w14:paraId="4975E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2407" w:type="dxa"/>
            <w:vAlign w:val="center"/>
          </w:tcPr>
          <w:p w14:paraId="29B9128B">
            <w:pPr>
              <w:spacing w:line="400" w:lineRule="exact"/>
              <w:jc w:val="center"/>
              <w:rPr>
                <w:rFonts w:eastAsia="方正仿宋_GBK"/>
                <w:color w:val="auto"/>
                <w:sz w:val="24"/>
                <w:szCs w:val="24"/>
              </w:rPr>
            </w:pPr>
            <w:r>
              <w:rPr>
                <w:rFonts w:hint="eastAsia" w:eastAsia="方正仿宋_GBK"/>
                <w:color w:val="auto"/>
                <w:sz w:val="24"/>
                <w:szCs w:val="24"/>
              </w:rPr>
              <w:t>行业类别</w:t>
            </w:r>
          </w:p>
        </w:tc>
        <w:tc>
          <w:tcPr>
            <w:tcW w:w="2407" w:type="dxa"/>
            <w:vAlign w:val="center"/>
          </w:tcPr>
          <w:p w14:paraId="58EAEAEE">
            <w:pPr>
              <w:spacing w:line="400" w:lineRule="exact"/>
              <w:jc w:val="center"/>
              <w:rPr>
                <w:rFonts w:eastAsia="方正仿宋_GBK"/>
                <w:color w:val="auto"/>
                <w:sz w:val="24"/>
                <w:szCs w:val="24"/>
              </w:rPr>
            </w:pPr>
            <w:r>
              <w:rPr>
                <w:rFonts w:hint="eastAsia" w:eastAsia="方正仿宋_GBK"/>
                <w:color w:val="auto"/>
                <w:sz w:val="24"/>
                <w:szCs w:val="24"/>
              </w:rPr>
              <w:t>营业收入（万元）</w:t>
            </w:r>
          </w:p>
        </w:tc>
        <w:tc>
          <w:tcPr>
            <w:tcW w:w="2407" w:type="dxa"/>
            <w:vAlign w:val="center"/>
          </w:tcPr>
          <w:p w14:paraId="5D267B96">
            <w:pPr>
              <w:spacing w:line="400" w:lineRule="exact"/>
              <w:jc w:val="center"/>
              <w:rPr>
                <w:rFonts w:eastAsia="方正仿宋_GBK"/>
                <w:color w:val="auto"/>
                <w:sz w:val="24"/>
                <w:szCs w:val="24"/>
              </w:rPr>
            </w:pPr>
            <w:r>
              <w:rPr>
                <w:rFonts w:hint="eastAsia" w:eastAsia="方正仿宋_GBK"/>
                <w:color w:val="auto"/>
                <w:sz w:val="24"/>
                <w:szCs w:val="24"/>
              </w:rPr>
              <w:t>从业人员（人）</w:t>
            </w:r>
          </w:p>
        </w:tc>
        <w:tc>
          <w:tcPr>
            <w:tcW w:w="2407" w:type="dxa"/>
            <w:vAlign w:val="center"/>
          </w:tcPr>
          <w:p w14:paraId="492C5BAF">
            <w:pPr>
              <w:spacing w:line="400" w:lineRule="exact"/>
              <w:jc w:val="center"/>
              <w:rPr>
                <w:rFonts w:eastAsia="方正仿宋_GBK"/>
                <w:color w:val="auto"/>
                <w:sz w:val="24"/>
                <w:szCs w:val="24"/>
              </w:rPr>
            </w:pPr>
            <w:r>
              <w:rPr>
                <w:rFonts w:hint="eastAsia" w:eastAsia="方正仿宋_GBK"/>
                <w:color w:val="auto"/>
                <w:sz w:val="24"/>
                <w:szCs w:val="24"/>
              </w:rPr>
              <w:t>资产总额（万元）</w:t>
            </w:r>
          </w:p>
        </w:tc>
      </w:tr>
      <w:tr w14:paraId="4A9E6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2407" w:type="dxa"/>
            <w:vAlign w:val="center"/>
          </w:tcPr>
          <w:p w14:paraId="31FB3213">
            <w:pPr>
              <w:spacing w:line="400" w:lineRule="exact"/>
              <w:jc w:val="center"/>
              <w:rPr>
                <w:rFonts w:eastAsia="方正仿宋_GBK"/>
                <w:color w:val="auto"/>
                <w:sz w:val="24"/>
                <w:szCs w:val="24"/>
              </w:rPr>
            </w:pPr>
          </w:p>
        </w:tc>
        <w:tc>
          <w:tcPr>
            <w:tcW w:w="2407" w:type="dxa"/>
            <w:vAlign w:val="center"/>
          </w:tcPr>
          <w:p w14:paraId="302E4C0A">
            <w:pPr>
              <w:spacing w:line="400" w:lineRule="exact"/>
              <w:jc w:val="center"/>
              <w:rPr>
                <w:rFonts w:eastAsia="方正仿宋_GBK"/>
                <w:color w:val="auto"/>
                <w:sz w:val="24"/>
                <w:szCs w:val="24"/>
              </w:rPr>
            </w:pPr>
          </w:p>
        </w:tc>
        <w:tc>
          <w:tcPr>
            <w:tcW w:w="2407" w:type="dxa"/>
            <w:vAlign w:val="center"/>
          </w:tcPr>
          <w:p w14:paraId="71F4910A">
            <w:pPr>
              <w:spacing w:line="400" w:lineRule="exact"/>
              <w:jc w:val="center"/>
              <w:rPr>
                <w:rFonts w:eastAsia="方正仿宋_GBK"/>
                <w:color w:val="auto"/>
                <w:sz w:val="24"/>
                <w:szCs w:val="24"/>
              </w:rPr>
            </w:pPr>
          </w:p>
        </w:tc>
        <w:tc>
          <w:tcPr>
            <w:tcW w:w="2407" w:type="dxa"/>
            <w:vAlign w:val="center"/>
          </w:tcPr>
          <w:p w14:paraId="55F91883">
            <w:pPr>
              <w:spacing w:line="400" w:lineRule="exact"/>
              <w:jc w:val="center"/>
              <w:rPr>
                <w:rFonts w:eastAsia="方正仿宋_GBK"/>
                <w:color w:val="auto"/>
                <w:sz w:val="24"/>
                <w:szCs w:val="24"/>
              </w:rPr>
            </w:pPr>
          </w:p>
        </w:tc>
      </w:tr>
    </w:tbl>
    <w:p w14:paraId="148BE4B2">
      <w:pPr>
        <w:tabs>
          <w:tab w:val="left" w:pos="6300"/>
        </w:tabs>
        <w:snapToGrid w:val="0"/>
        <w:spacing w:line="500" w:lineRule="exact"/>
        <w:ind w:firstLine="480" w:firstLineChars="200"/>
        <w:rPr>
          <w:rFonts w:ascii="方正仿宋_GBK" w:hAnsi="仿宋" w:eastAsia="方正仿宋_GBK"/>
          <w:color w:val="auto"/>
          <w:sz w:val="24"/>
          <w:szCs w:val="28"/>
        </w:rPr>
      </w:pPr>
      <w:r>
        <w:rPr>
          <w:rFonts w:hint="eastAsia" w:ascii="方正仿宋_GBK" w:hAnsi="宋体" w:eastAsia="方正仿宋_GBK" w:cs="宋体"/>
          <w:color w:val="auto"/>
          <w:kern w:val="0"/>
          <w:sz w:val="24"/>
        </w:rPr>
        <w:t>本企业对上述声明的真实性负责。如有虚假，将依法承担相应责任。</w:t>
      </w:r>
    </w:p>
    <w:p w14:paraId="69CAADCA">
      <w:pPr>
        <w:tabs>
          <w:tab w:val="left" w:pos="6300"/>
        </w:tabs>
        <w:snapToGrid w:val="0"/>
        <w:spacing w:line="500" w:lineRule="exact"/>
        <w:ind w:firstLine="480" w:firstLineChars="200"/>
        <w:rPr>
          <w:rFonts w:ascii="方正仿宋_GBK" w:hAnsi="宋体" w:eastAsia="方正仿宋_GBK" w:cs="宋体"/>
          <w:color w:val="auto"/>
          <w:kern w:val="0"/>
          <w:sz w:val="24"/>
          <w:u w:val="single"/>
        </w:rPr>
      </w:pPr>
    </w:p>
    <w:p w14:paraId="673347C2">
      <w:pPr>
        <w:tabs>
          <w:tab w:val="left" w:pos="6300"/>
        </w:tabs>
        <w:snapToGrid w:val="0"/>
        <w:spacing w:line="500" w:lineRule="exact"/>
        <w:ind w:right="784" w:firstLine="5760" w:firstLineChars="2400"/>
        <w:rPr>
          <w:rFonts w:ascii="方正仿宋_GBK" w:hAnsi="仿宋" w:eastAsia="方正仿宋_GBK"/>
          <w:color w:val="auto"/>
          <w:sz w:val="24"/>
        </w:rPr>
      </w:pPr>
      <w:r>
        <w:rPr>
          <w:rFonts w:hint="eastAsia" w:ascii="方正仿宋_GBK" w:hAnsi="仿宋" w:eastAsia="方正仿宋_GBK"/>
          <w:color w:val="auto"/>
          <w:sz w:val="24"/>
        </w:rPr>
        <w:t>供应商名称（公章）：</w:t>
      </w:r>
    </w:p>
    <w:p w14:paraId="4B11E770">
      <w:pPr>
        <w:tabs>
          <w:tab w:val="left" w:pos="6300"/>
        </w:tabs>
        <w:snapToGrid w:val="0"/>
        <w:spacing w:line="500" w:lineRule="exact"/>
        <w:ind w:right="784" w:firstLine="5760" w:firstLineChars="2400"/>
        <w:rPr>
          <w:rFonts w:ascii="方正仿宋_GBK" w:hAnsi="仿宋" w:eastAsia="方正仿宋_GBK"/>
          <w:color w:val="auto"/>
          <w:sz w:val="24"/>
        </w:rPr>
      </w:pPr>
      <w:r>
        <w:rPr>
          <w:rFonts w:hint="eastAsia" w:ascii="方正仿宋_GBK" w:hAnsi="仿宋" w:eastAsia="方正仿宋_GBK"/>
          <w:color w:val="auto"/>
          <w:sz w:val="24"/>
        </w:rPr>
        <w:t xml:space="preserve">   年  月  日</w:t>
      </w:r>
    </w:p>
    <w:p w14:paraId="7418707E">
      <w:pPr>
        <w:tabs>
          <w:tab w:val="left" w:pos="6300"/>
        </w:tabs>
        <w:snapToGrid w:val="0"/>
        <w:rPr>
          <w:rFonts w:ascii="方正仿宋_GBK" w:hAnsi="宋体" w:eastAsia="方正仿宋_GBK" w:cs="宋体"/>
          <w:color w:val="auto"/>
          <w:kern w:val="0"/>
          <w:sz w:val="24"/>
        </w:rPr>
      </w:pPr>
    </w:p>
    <w:p w14:paraId="193912D1">
      <w:pPr>
        <w:tabs>
          <w:tab w:val="left" w:pos="6300"/>
        </w:tabs>
        <w:snapToGrid w:val="0"/>
        <w:rPr>
          <w:rFonts w:ascii="方正仿宋_GBK" w:hAnsi="宋体" w:eastAsia="方正仿宋_GBK" w:cs="宋体"/>
          <w:color w:val="auto"/>
          <w:kern w:val="0"/>
          <w:sz w:val="24"/>
        </w:rPr>
      </w:pPr>
      <w:r>
        <w:rPr>
          <w:rFonts w:hint="eastAsia" w:ascii="方正仿宋_GBK" w:hAnsi="宋体" w:eastAsia="方正仿宋_GBK" w:cs="宋体"/>
          <w:color w:val="auto"/>
          <w:kern w:val="0"/>
          <w:sz w:val="24"/>
        </w:rPr>
        <w:t>填写《企业基本情况表》时，应注意以下事项：</w:t>
      </w:r>
    </w:p>
    <w:p w14:paraId="2654827C">
      <w:pPr>
        <w:tabs>
          <w:tab w:val="left" w:pos="6300"/>
        </w:tabs>
        <w:snapToGrid w:val="0"/>
        <w:ind w:firstLine="480" w:firstLineChars="200"/>
        <w:rPr>
          <w:rFonts w:ascii="方正仿宋_GBK" w:hAnsi="宋体" w:eastAsia="方正仿宋_GBK" w:cs="宋体"/>
          <w:color w:val="auto"/>
          <w:kern w:val="0"/>
          <w:sz w:val="24"/>
        </w:rPr>
      </w:pPr>
      <w:r>
        <w:rPr>
          <w:rFonts w:hint="eastAsia" w:ascii="方正仿宋_GBK" w:hAnsi="宋体" w:eastAsia="方正仿宋_GBK" w:cs="宋体"/>
          <w:color w:val="auto"/>
          <w:kern w:val="0"/>
          <w:sz w:val="24"/>
        </w:rPr>
        <w:t>1.除建筑业、房地产开发经营、租赁和商务服务业等三个行业外，其余行业无需填写资产总额项；</w:t>
      </w:r>
    </w:p>
    <w:p w14:paraId="734EE6FF">
      <w:pPr>
        <w:tabs>
          <w:tab w:val="left" w:pos="6300"/>
        </w:tabs>
        <w:snapToGrid w:val="0"/>
        <w:ind w:firstLine="480" w:firstLineChars="200"/>
        <w:rPr>
          <w:rFonts w:ascii="方正仿宋_GBK" w:hAnsi="宋体" w:eastAsia="方正仿宋_GBK" w:cs="宋体"/>
          <w:color w:val="auto"/>
          <w:kern w:val="0"/>
          <w:sz w:val="24"/>
        </w:rPr>
      </w:pPr>
      <w:r>
        <w:rPr>
          <w:rFonts w:hint="eastAsia" w:ascii="方正仿宋_GBK" w:hAnsi="宋体" w:eastAsia="方正仿宋_GBK" w:cs="宋体"/>
          <w:color w:val="auto"/>
          <w:kern w:val="0"/>
          <w:sz w:val="24"/>
        </w:rPr>
        <w:t>2.农、林、牧、渔业无需填写从业人员和资产总额项。</w:t>
      </w:r>
    </w:p>
    <w:p w14:paraId="2AA162A8">
      <w:pPr>
        <w:tabs>
          <w:tab w:val="left" w:pos="6300"/>
        </w:tabs>
        <w:snapToGrid w:val="0"/>
        <w:ind w:firstLine="480" w:firstLineChars="200"/>
        <w:rPr>
          <w:rFonts w:ascii="方正仿宋_GBK" w:hAnsi="宋体" w:eastAsia="方正仿宋_GBK" w:cs="宋体"/>
          <w:color w:val="auto"/>
          <w:kern w:val="0"/>
          <w:sz w:val="24"/>
        </w:rPr>
      </w:pPr>
      <w:r>
        <w:rPr>
          <w:rFonts w:hint="eastAsia" w:ascii="方正仿宋_GBK" w:hAnsi="宋体" w:eastAsia="方正仿宋_GBK" w:cs="宋体"/>
          <w:color w:val="auto"/>
          <w:kern w:val="0"/>
          <w:sz w:val="24"/>
        </w:rPr>
        <w:t>3.小微企业供应的产品若涉及到其他企业制造且符合扶持小微企业政策的，还需提供所涉及的其他企业的《中小微企业声明函》，否则将不被认定为小微企业。</w:t>
      </w:r>
    </w:p>
    <w:p w14:paraId="5B0C4C99">
      <w:pPr>
        <w:tabs>
          <w:tab w:val="left" w:pos="6300"/>
        </w:tabs>
        <w:snapToGrid w:val="0"/>
        <w:ind w:firstLine="480" w:firstLineChars="200"/>
        <w:rPr>
          <w:rFonts w:ascii="方正仿宋_GBK" w:hAnsi="宋体" w:eastAsia="方正仿宋_GBK"/>
          <w:color w:val="auto"/>
          <w:sz w:val="24"/>
          <w:szCs w:val="24"/>
        </w:rPr>
      </w:pPr>
      <w:r>
        <w:rPr>
          <w:rFonts w:hint="eastAsia" w:ascii="方正仿宋_GBK" w:hAnsi="宋体" w:eastAsia="方正仿宋_GBK" w:cs="宋体"/>
          <w:color w:val="auto"/>
          <w:kern w:val="0"/>
          <w:sz w:val="24"/>
        </w:rPr>
        <w:t>4.若中标人为小微企业的，将在结果公告时公告其属于小型企业或微型企业，中标人供应的产品若涉及到其他企业制造的将一并进行公告。</w:t>
      </w:r>
    </w:p>
    <w:p w14:paraId="53FE49EB">
      <w:pPr>
        <w:tabs>
          <w:tab w:val="left" w:pos="6300"/>
        </w:tabs>
        <w:snapToGrid w:val="0"/>
        <w:spacing w:line="500" w:lineRule="exact"/>
        <w:ind w:firstLine="480" w:firstLineChars="200"/>
        <w:jc w:val="center"/>
        <w:rPr>
          <w:rFonts w:ascii="方正仿宋_GBK" w:hAnsi="宋体" w:eastAsia="方正仿宋_GBK"/>
          <w:color w:val="auto"/>
        </w:rPr>
      </w:pPr>
      <w:r>
        <w:rPr>
          <w:rFonts w:ascii="方正仿宋_GBK" w:hAnsi="宋体" w:eastAsia="方正仿宋_GBK"/>
          <w:color w:val="auto"/>
          <w:sz w:val="24"/>
          <w:szCs w:val="24"/>
        </w:rPr>
        <w:br w:type="page"/>
      </w:r>
      <w:r>
        <w:rPr>
          <w:rFonts w:hint="eastAsia" w:ascii="方正仿宋_GBK" w:hAnsi="宋体" w:eastAsia="方正仿宋_GBK"/>
          <w:color w:val="auto"/>
        </w:rPr>
        <w:t>监狱企业证明文件</w:t>
      </w:r>
    </w:p>
    <w:p w14:paraId="69F2318C">
      <w:pPr>
        <w:tabs>
          <w:tab w:val="left" w:pos="6300"/>
        </w:tabs>
        <w:snapToGrid w:val="0"/>
        <w:spacing w:line="500" w:lineRule="exact"/>
        <w:ind w:firstLine="480" w:firstLineChars="200"/>
        <w:rPr>
          <w:rFonts w:ascii="方正仿宋_GBK" w:hAnsi="仿宋" w:eastAsia="方正仿宋_GBK"/>
          <w:color w:val="auto"/>
          <w:sz w:val="24"/>
        </w:rPr>
      </w:pPr>
      <w:r>
        <w:rPr>
          <w:rFonts w:hint="eastAsia" w:ascii="方正仿宋_GBK" w:hAnsi="仿宋" w:eastAsia="方正仿宋_GBK"/>
          <w:color w:val="auto"/>
          <w:sz w:val="24"/>
        </w:rPr>
        <w:t>以省级以上监狱管理局、戒毒管理局（含新疆生产建设兵团）出具的属于监狱企业的证明文件为准。</w:t>
      </w:r>
    </w:p>
    <w:p w14:paraId="5E331CFD">
      <w:pPr>
        <w:tabs>
          <w:tab w:val="left" w:pos="6300"/>
        </w:tabs>
        <w:snapToGrid w:val="0"/>
        <w:spacing w:line="500" w:lineRule="exact"/>
        <w:ind w:firstLine="480" w:firstLineChars="200"/>
        <w:jc w:val="center"/>
        <w:rPr>
          <w:rFonts w:ascii="方正仿宋_GBK" w:hAnsi="宋体" w:eastAsia="方正仿宋_GBK"/>
          <w:color w:val="auto"/>
        </w:rPr>
      </w:pPr>
      <w:r>
        <w:rPr>
          <w:rFonts w:ascii="方正仿宋_GBK" w:hAnsi="仿宋" w:eastAsia="方正仿宋_GBK"/>
          <w:color w:val="auto"/>
          <w:sz w:val="24"/>
        </w:rPr>
        <w:br w:type="page"/>
      </w:r>
      <w:r>
        <w:rPr>
          <w:rFonts w:hint="eastAsia" w:ascii="方正仿宋_GBK" w:hAnsi="宋体" w:eastAsia="方正仿宋_GBK"/>
          <w:color w:val="auto"/>
        </w:rPr>
        <w:t>残疾人福利性单位声明函</w:t>
      </w:r>
    </w:p>
    <w:p w14:paraId="3F075D66">
      <w:pPr>
        <w:tabs>
          <w:tab w:val="left" w:pos="6300"/>
        </w:tabs>
        <w:snapToGrid w:val="0"/>
        <w:spacing w:line="500" w:lineRule="exact"/>
        <w:ind w:firstLine="480" w:firstLineChars="200"/>
        <w:rPr>
          <w:rFonts w:ascii="方正仿宋_GBK" w:hAnsi="仿宋" w:eastAsia="方正仿宋_GBK"/>
          <w:color w:val="auto"/>
          <w:sz w:val="24"/>
        </w:rPr>
      </w:pPr>
      <w:r>
        <w:rPr>
          <w:rFonts w:hint="eastAsia" w:ascii="方正仿宋_GBK" w:hAnsi="仿宋" w:eastAsia="方正仿宋_GBK"/>
          <w:color w:val="auto"/>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30E1FBE9">
      <w:pPr>
        <w:tabs>
          <w:tab w:val="left" w:pos="6300"/>
        </w:tabs>
        <w:snapToGrid w:val="0"/>
        <w:spacing w:line="500" w:lineRule="exact"/>
        <w:ind w:firstLine="480" w:firstLineChars="200"/>
        <w:rPr>
          <w:rFonts w:ascii="方正仿宋_GBK" w:hAnsi="仿宋" w:eastAsia="方正仿宋_GBK"/>
          <w:color w:val="auto"/>
          <w:sz w:val="24"/>
        </w:rPr>
      </w:pPr>
      <w:r>
        <w:rPr>
          <w:rFonts w:hint="eastAsia" w:ascii="方正仿宋_GBK" w:hAnsi="仿宋" w:eastAsia="方正仿宋_GBK"/>
          <w:color w:val="auto"/>
          <w:sz w:val="24"/>
        </w:rPr>
        <w:t>本单位对上述声明的真实性负责。如有虚假，将依法承担相应责任。</w:t>
      </w:r>
    </w:p>
    <w:p w14:paraId="7DE5C024">
      <w:pPr>
        <w:tabs>
          <w:tab w:val="left" w:pos="6300"/>
        </w:tabs>
        <w:snapToGrid w:val="0"/>
        <w:spacing w:line="500" w:lineRule="exact"/>
        <w:ind w:firstLine="480" w:firstLineChars="200"/>
        <w:rPr>
          <w:rFonts w:ascii="方正仿宋_GBK" w:hAnsi="仿宋" w:eastAsia="方正仿宋_GBK"/>
          <w:color w:val="auto"/>
          <w:sz w:val="24"/>
        </w:rPr>
      </w:pPr>
    </w:p>
    <w:p w14:paraId="269ABD25">
      <w:pPr>
        <w:tabs>
          <w:tab w:val="left" w:pos="6300"/>
        </w:tabs>
        <w:snapToGrid w:val="0"/>
        <w:spacing w:line="500" w:lineRule="exact"/>
        <w:ind w:firstLine="480" w:firstLineChars="200"/>
        <w:rPr>
          <w:rFonts w:ascii="方正仿宋_GBK" w:hAnsi="仿宋" w:eastAsia="方正仿宋_GBK"/>
          <w:color w:val="auto"/>
          <w:sz w:val="24"/>
        </w:rPr>
      </w:pPr>
    </w:p>
    <w:p w14:paraId="011619D5">
      <w:pPr>
        <w:tabs>
          <w:tab w:val="left" w:pos="6300"/>
        </w:tabs>
        <w:snapToGrid w:val="0"/>
        <w:spacing w:line="500" w:lineRule="exact"/>
        <w:ind w:firstLine="480" w:firstLineChars="200"/>
        <w:rPr>
          <w:rFonts w:ascii="方正仿宋_GBK" w:hAnsi="仿宋" w:eastAsia="方正仿宋_GBK"/>
          <w:color w:val="auto"/>
          <w:sz w:val="24"/>
        </w:rPr>
      </w:pPr>
      <w:r>
        <w:rPr>
          <w:rFonts w:hint="eastAsia" w:ascii="方正仿宋_GBK" w:hAnsi="仿宋" w:eastAsia="方正仿宋_GBK"/>
          <w:color w:val="auto"/>
          <w:sz w:val="24"/>
        </w:rPr>
        <w:t xml:space="preserve">                                                 供应商名称（盖章）：</w:t>
      </w:r>
    </w:p>
    <w:p w14:paraId="04DA5ACC">
      <w:pPr>
        <w:snapToGrid w:val="0"/>
        <w:spacing w:line="440" w:lineRule="exact"/>
        <w:ind w:firstLine="480" w:firstLineChars="200"/>
        <w:rPr>
          <w:rFonts w:ascii="方正仿宋_GBK" w:hAnsi="宋体" w:eastAsia="方正仿宋_GBK"/>
          <w:color w:val="auto"/>
          <w:sz w:val="24"/>
          <w:szCs w:val="24"/>
        </w:rPr>
      </w:pPr>
      <w:r>
        <w:rPr>
          <w:rFonts w:hint="eastAsia" w:ascii="方正仿宋_GBK" w:hAnsi="仿宋" w:eastAsia="方正仿宋_GBK"/>
          <w:color w:val="auto"/>
          <w:sz w:val="24"/>
        </w:rPr>
        <w:t xml:space="preserve">                                                  日  期：</w:t>
      </w:r>
      <w:r>
        <w:rPr>
          <w:rFonts w:ascii="方正仿宋_GBK" w:hAnsi="宋体" w:eastAsia="方正仿宋_GBK"/>
          <w:color w:val="auto"/>
          <w:sz w:val="24"/>
          <w:szCs w:val="24"/>
        </w:rPr>
        <w:br w:type="page"/>
      </w:r>
      <w:r>
        <w:rPr>
          <w:rFonts w:hint="eastAsia" w:ascii="方正仿宋_GBK" w:hAnsi="宋体" w:eastAsia="方正仿宋_GBK"/>
          <w:color w:val="auto"/>
          <w:sz w:val="24"/>
          <w:szCs w:val="24"/>
        </w:rPr>
        <w:t>（二）其他与项目有关的资料</w:t>
      </w:r>
    </w:p>
    <w:p w14:paraId="3A1C0094">
      <w:pPr>
        <w:spacing w:line="360" w:lineRule="auto"/>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其他与项目有关的资料（自附）：供应商总体情况介绍、其他与本项目有关的资料等。</w:t>
      </w:r>
    </w:p>
    <w:p w14:paraId="22557B8F">
      <w:pPr>
        <w:spacing w:line="360" w:lineRule="auto"/>
        <w:ind w:firstLine="480" w:firstLineChars="200"/>
        <w:rPr>
          <w:rFonts w:ascii="方正仿宋_GBK" w:hAnsi="宋体" w:eastAsia="方正仿宋_GBK"/>
          <w:color w:val="auto"/>
          <w:sz w:val="24"/>
          <w:szCs w:val="24"/>
        </w:rPr>
      </w:pPr>
    </w:p>
    <w:p w14:paraId="7EBB38CD">
      <w:pPr>
        <w:spacing w:line="360" w:lineRule="auto"/>
        <w:ind w:firstLine="480" w:firstLineChars="200"/>
        <w:jc w:val="center"/>
        <w:rPr>
          <w:rFonts w:ascii="方正仿宋_GBK" w:hAnsi="宋体" w:eastAsia="方正仿宋_GBK"/>
          <w:color w:val="auto"/>
          <w:sz w:val="24"/>
          <w:szCs w:val="24"/>
        </w:rPr>
      </w:pPr>
    </w:p>
    <w:p w14:paraId="7E2C962F">
      <w:pPr>
        <w:spacing w:line="360" w:lineRule="auto"/>
        <w:ind w:firstLine="480" w:firstLineChars="200"/>
        <w:jc w:val="center"/>
        <w:rPr>
          <w:rFonts w:ascii="方正仿宋_GBK" w:hAnsi="宋体" w:eastAsia="方正仿宋_GBK"/>
          <w:color w:val="auto"/>
          <w:sz w:val="24"/>
          <w:szCs w:val="24"/>
        </w:rPr>
      </w:pPr>
    </w:p>
    <w:p w14:paraId="6209A9C5">
      <w:pPr>
        <w:spacing w:line="360" w:lineRule="auto"/>
        <w:ind w:firstLine="480" w:firstLineChars="200"/>
        <w:jc w:val="center"/>
        <w:rPr>
          <w:rFonts w:ascii="方正仿宋_GBK" w:hAnsi="宋体" w:eastAsia="方正仿宋_GBK"/>
          <w:color w:val="auto"/>
          <w:sz w:val="24"/>
          <w:szCs w:val="24"/>
        </w:rPr>
      </w:pPr>
    </w:p>
    <w:p w14:paraId="5140D07F">
      <w:pPr>
        <w:spacing w:line="360" w:lineRule="auto"/>
        <w:ind w:firstLine="480" w:firstLineChars="200"/>
        <w:jc w:val="center"/>
        <w:rPr>
          <w:rFonts w:ascii="方正仿宋_GBK" w:hAnsi="宋体" w:eastAsia="方正仿宋_GBK"/>
          <w:color w:val="auto"/>
          <w:sz w:val="24"/>
          <w:szCs w:val="24"/>
        </w:rPr>
      </w:pPr>
    </w:p>
    <w:p w14:paraId="63679E7A">
      <w:pPr>
        <w:spacing w:line="360" w:lineRule="auto"/>
        <w:ind w:firstLine="480" w:firstLineChars="200"/>
        <w:jc w:val="center"/>
        <w:rPr>
          <w:rFonts w:ascii="方正仿宋_GBK" w:hAnsi="宋体" w:eastAsia="方正仿宋_GBK"/>
          <w:color w:val="auto"/>
          <w:sz w:val="24"/>
          <w:szCs w:val="24"/>
        </w:rPr>
      </w:pPr>
    </w:p>
    <w:p w14:paraId="4689DDE6">
      <w:pPr>
        <w:spacing w:line="360" w:lineRule="auto"/>
        <w:ind w:firstLine="480" w:firstLineChars="200"/>
        <w:jc w:val="center"/>
        <w:rPr>
          <w:rFonts w:ascii="方正仿宋_GBK" w:hAnsi="宋体" w:eastAsia="方正仿宋_GBK"/>
          <w:color w:val="auto"/>
          <w:sz w:val="24"/>
          <w:szCs w:val="24"/>
        </w:rPr>
      </w:pPr>
    </w:p>
    <w:p w14:paraId="1999710C">
      <w:pPr>
        <w:spacing w:line="360" w:lineRule="auto"/>
        <w:ind w:firstLine="480" w:firstLineChars="200"/>
        <w:jc w:val="center"/>
        <w:rPr>
          <w:rFonts w:ascii="方正仿宋_GBK" w:hAnsi="宋体" w:eastAsia="方正仿宋_GBK"/>
          <w:color w:val="auto"/>
          <w:sz w:val="24"/>
          <w:szCs w:val="24"/>
        </w:rPr>
      </w:pPr>
    </w:p>
    <w:p w14:paraId="3B7A7D3C">
      <w:pPr>
        <w:spacing w:line="360" w:lineRule="auto"/>
        <w:ind w:firstLine="480" w:firstLineChars="200"/>
        <w:jc w:val="center"/>
        <w:rPr>
          <w:rFonts w:ascii="方正仿宋_GBK" w:hAnsi="宋体" w:eastAsia="方正仿宋_GBK"/>
          <w:color w:val="auto"/>
          <w:sz w:val="24"/>
          <w:szCs w:val="24"/>
        </w:rPr>
      </w:pPr>
    </w:p>
    <w:p w14:paraId="3FFA9DB3">
      <w:pPr>
        <w:spacing w:line="360" w:lineRule="auto"/>
        <w:ind w:firstLine="480" w:firstLineChars="200"/>
        <w:jc w:val="center"/>
        <w:rPr>
          <w:rFonts w:ascii="方正仿宋_GBK" w:hAnsi="宋体" w:eastAsia="方正仿宋_GBK"/>
          <w:color w:val="auto"/>
          <w:sz w:val="24"/>
          <w:szCs w:val="24"/>
        </w:rPr>
      </w:pPr>
    </w:p>
    <w:p w14:paraId="36F276D4">
      <w:pPr>
        <w:spacing w:line="360" w:lineRule="auto"/>
        <w:ind w:firstLine="480" w:firstLineChars="200"/>
        <w:jc w:val="center"/>
        <w:rPr>
          <w:rFonts w:ascii="方正仿宋_GBK" w:hAnsi="宋体" w:eastAsia="方正仿宋_GBK"/>
          <w:color w:val="auto"/>
          <w:sz w:val="24"/>
          <w:szCs w:val="24"/>
        </w:rPr>
      </w:pPr>
    </w:p>
    <w:p w14:paraId="5B2184A8">
      <w:pPr>
        <w:spacing w:line="360" w:lineRule="auto"/>
        <w:ind w:firstLine="480" w:firstLineChars="200"/>
        <w:jc w:val="center"/>
        <w:rPr>
          <w:rFonts w:ascii="方正仿宋_GBK" w:hAnsi="宋体" w:eastAsia="方正仿宋_GBK"/>
          <w:color w:val="auto"/>
          <w:sz w:val="24"/>
          <w:szCs w:val="24"/>
        </w:rPr>
      </w:pPr>
    </w:p>
    <w:p w14:paraId="3ED250FA">
      <w:pPr>
        <w:spacing w:line="360" w:lineRule="auto"/>
        <w:ind w:firstLine="480" w:firstLineChars="200"/>
        <w:jc w:val="center"/>
        <w:rPr>
          <w:rFonts w:ascii="方正仿宋_GBK" w:hAnsi="宋体" w:eastAsia="方正仿宋_GBK"/>
          <w:color w:val="auto"/>
          <w:sz w:val="24"/>
          <w:szCs w:val="24"/>
        </w:rPr>
      </w:pPr>
    </w:p>
    <w:p w14:paraId="0C5489D6">
      <w:pPr>
        <w:spacing w:line="360" w:lineRule="auto"/>
        <w:ind w:firstLine="480" w:firstLineChars="200"/>
        <w:jc w:val="center"/>
        <w:rPr>
          <w:rFonts w:ascii="方正仿宋_GBK" w:hAnsi="宋体" w:eastAsia="方正仿宋_GBK"/>
          <w:color w:val="auto"/>
          <w:sz w:val="24"/>
          <w:szCs w:val="24"/>
        </w:rPr>
      </w:pPr>
    </w:p>
    <w:p w14:paraId="50BA1F94">
      <w:pPr>
        <w:spacing w:line="360" w:lineRule="auto"/>
        <w:ind w:firstLine="480" w:firstLineChars="200"/>
        <w:jc w:val="center"/>
        <w:rPr>
          <w:rFonts w:ascii="方正仿宋_GBK" w:hAnsi="宋体" w:eastAsia="方正仿宋_GBK"/>
          <w:color w:val="auto"/>
          <w:sz w:val="24"/>
          <w:szCs w:val="24"/>
        </w:rPr>
      </w:pPr>
    </w:p>
    <w:p w14:paraId="30A9499C">
      <w:pPr>
        <w:spacing w:line="360" w:lineRule="auto"/>
        <w:ind w:firstLine="480" w:firstLineChars="200"/>
        <w:jc w:val="center"/>
        <w:rPr>
          <w:rFonts w:ascii="方正仿宋_GBK" w:hAnsi="宋体" w:eastAsia="方正仿宋_GBK"/>
          <w:color w:val="auto"/>
          <w:sz w:val="24"/>
          <w:szCs w:val="24"/>
        </w:rPr>
      </w:pPr>
    </w:p>
    <w:p w14:paraId="61D84262">
      <w:pPr>
        <w:spacing w:line="360" w:lineRule="auto"/>
        <w:ind w:firstLine="480" w:firstLineChars="200"/>
        <w:jc w:val="center"/>
        <w:rPr>
          <w:rFonts w:ascii="方正仿宋_GBK" w:hAnsi="宋体" w:eastAsia="方正仿宋_GBK"/>
          <w:color w:val="auto"/>
        </w:rPr>
      </w:pPr>
      <w:r>
        <w:rPr>
          <w:rFonts w:hint="eastAsia" w:ascii="方正仿宋_GBK" w:hAnsi="宋体" w:eastAsia="方正仿宋_GBK"/>
          <w:color w:val="auto"/>
          <w:sz w:val="24"/>
          <w:szCs w:val="24"/>
        </w:rPr>
        <w:t>（结束）</w:t>
      </w:r>
    </w:p>
    <w:p w14:paraId="34BF5D04">
      <w:pPr>
        <w:pStyle w:val="3"/>
        <w:adjustRightInd w:val="0"/>
        <w:snapToGrid w:val="0"/>
        <w:spacing w:before="0" w:after="0" w:line="400" w:lineRule="exact"/>
        <w:ind w:firstLine="482" w:firstLineChars="200"/>
        <w:rPr>
          <w:rFonts w:ascii="宋体" w:hAnsi="宋体" w:eastAsia="宋体" w:cs="宋体"/>
          <w:color w:val="auto"/>
          <w:sz w:val="24"/>
        </w:rPr>
      </w:pPr>
    </w:p>
    <w:p w14:paraId="5A480B66">
      <w:pPr>
        <w:rPr>
          <w:rFonts w:ascii="宋体" w:hAnsi="宋体" w:cs="宋体"/>
          <w:color w:val="auto"/>
          <w:sz w:val="24"/>
        </w:rPr>
      </w:pPr>
    </w:p>
    <w:p w14:paraId="5ED75236">
      <w:pPr>
        <w:rPr>
          <w:rFonts w:ascii="宋体" w:hAnsi="宋体" w:cs="宋体"/>
          <w:color w:val="auto"/>
          <w:sz w:val="24"/>
        </w:rPr>
      </w:pPr>
    </w:p>
    <w:p w14:paraId="45B0FF4E">
      <w:pPr>
        <w:rPr>
          <w:rFonts w:ascii="宋体" w:hAnsi="宋体" w:cs="宋体"/>
          <w:color w:val="auto"/>
          <w:sz w:val="24"/>
        </w:rPr>
      </w:pPr>
    </w:p>
    <w:p w14:paraId="40E718DA">
      <w:pPr>
        <w:rPr>
          <w:rFonts w:ascii="宋体" w:hAnsi="宋体" w:cs="宋体"/>
          <w:color w:val="auto"/>
          <w:sz w:val="24"/>
        </w:rPr>
      </w:pPr>
    </w:p>
    <w:p w14:paraId="15AED4E0">
      <w:pPr>
        <w:rPr>
          <w:rFonts w:ascii="宋体" w:hAnsi="宋体" w:cs="宋体"/>
          <w:color w:val="auto"/>
          <w:sz w:val="24"/>
        </w:rPr>
      </w:pPr>
    </w:p>
    <w:p w14:paraId="20DB48EC">
      <w:pPr>
        <w:rPr>
          <w:rFonts w:ascii="宋体" w:hAnsi="宋体" w:cs="宋体"/>
          <w:color w:val="auto"/>
          <w:sz w:val="24"/>
        </w:rPr>
      </w:pPr>
    </w:p>
    <w:p w14:paraId="1B166C18">
      <w:pPr>
        <w:rPr>
          <w:rFonts w:ascii="宋体" w:hAnsi="宋体" w:cs="宋体"/>
          <w:color w:val="auto"/>
          <w:sz w:val="24"/>
        </w:rPr>
      </w:pPr>
    </w:p>
    <w:p w14:paraId="109D4051">
      <w:pPr>
        <w:rPr>
          <w:rFonts w:ascii="宋体" w:hAnsi="宋体" w:cs="宋体"/>
          <w:color w:val="auto"/>
          <w:sz w:val="24"/>
        </w:rPr>
      </w:pPr>
    </w:p>
    <w:p w14:paraId="17D5208E">
      <w:pPr>
        <w:rPr>
          <w:rFonts w:ascii="宋体" w:hAnsi="宋体" w:cs="宋体"/>
          <w:color w:val="auto"/>
          <w:sz w:val="24"/>
        </w:rPr>
      </w:pPr>
    </w:p>
    <w:bookmarkEnd w:id="222"/>
    <w:bookmarkEnd w:id="223"/>
    <w:p w14:paraId="3EC99A30">
      <w:pPr>
        <w:rPr>
          <w:rFonts w:ascii="宋体" w:hAnsi="宋体" w:cs="宋体"/>
          <w:color w:val="auto"/>
          <w:sz w:val="24"/>
        </w:rPr>
      </w:pPr>
    </w:p>
    <w:p w14:paraId="2146E32F">
      <w:pPr>
        <w:snapToGrid w:val="0"/>
        <w:spacing w:line="400" w:lineRule="exact"/>
        <w:ind w:firstLine="465"/>
        <w:rPr>
          <w:rFonts w:ascii="宋体" w:hAnsi="宋体" w:cs="宋体"/>
          <w:color w:val="auto"/>
          <w:sz w:val="24"/>
          <w:szCs w:val="24"/>
        </w:rPr>
      </w:pPr>
    </w:p>
    <w:p w14:paraId="5334BE37">
      <w:pPr>
        <w:rPr>
          <w:rFonts w:ascii="宋体" w:hAnsi="宋体" w:cs="宋体"/>
          <w:color w:val="auto"/>
          <w:sz w:val="24"/>
        </w:rPr>
      </w:pPr>
    </w:p>
    <w:sectPr>
      <w:headerReference r:id="rId13" w:type="default"/>
      <w:footerReference r:id="rId14" w:type="default"/>
      <w:pgSz w:w="11907" w:h="16840"/>
      <w:pgMar w:top="1134" w:right="1191" w:bottom="1134" w:left="1304" w:header="964" w:footer="992"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仿宋_GB2312">
    <w:altName w:val="仿宋"/>
    <w:panose1 w:val="00000000000000000000"/>
    <w:charset w:val="86"/>
    <w:family w:val="modern"/>
    <w:pitch w:val="default"/>
    <w:sig w:usb0="00000000" w:usb1="00000000" w:usb2="00000010" w:usb3="00000000" w:csb0="00040000" w:csb1="00000000"/>
    <w:embedRegular r:id="rId1" w:fontKey="{F045C336-F8BE-497F-A147-78BA6B8757C8}"/>
  </w:font>
  <w:font w:name="仿宋">
    <w:panose1 w:val="02010609060101010101"/>
    <w:charset w:val="86"/>
    <w:family w:val="modern"/>
    <w:pitch w:val="default"/>
    <w:sig w:usb0="800002BF" w:usb1="38CF7CFA" w:usb2="00000016" w:usb3="00000000" w:csb0="00040001" w:csb1="00000000"/>
    <w:embedRegular r:id="rId2" w:fontKey="{D9E01E0A-C7F7-41AF-90FB-4F5F7D1B3FF2}"/>
  </w:font>
  <w:font w:name="Consolas">
    <w:panose1 w:val="020B0609020204030204"/>
    <w:charset w:val="00"/>
    <w:family w:val="auto"/>
    <w:pitch w:val="default"/>
    <w:sig w:usb0="E00006FF" w:usb1="0000FCFF" w:usb2="00000001" w:usb3="00000000" w:csb0="6000019F" w:csb1="DFD70000"/>
  </w:font>
  <w:font w:name="_x000B__x000C_">
    <w:altName w:val="Times New Roman"/>
    <w:panose1 w:val="00000000000000000000"/>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Arial Narrow">
    <w:altName w:val="Arial"/>
    <w:panose1 w:val="020B0606020202030204"/>
    <w:charset w:val="00"/>
    <w:family w:val="swiss"/>
    <w:pitch w:val="default"/>
    <w:sig w:usb0="00000000" w:usb1="00000000" w:usb2="00000000" w:usb3="00000000" w:csb0="0000009F" w:csb1="00000000"/>
  </w:font>
  <w:font w:name="文鼎粗黑">
    <w:altName w:val="黑体"/>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embedRegular r:id="rId3" w:fontKey="{185B4515-57AC-48DE-8A62-ADC244795D48}"/>
  </w:font>
  <w:font w:name="方正仿宋_GBK">
    <w:panose1 w:val="02000000000000000000"/>
    <w:charset w:val="86"/>
    <w:family w:val="script"/>
    <w:pitch w:val="default"/>
    <w:sig w:usb0="A00002BF" w:usb1="38CF7CFA" w:usb2="00082016" w:usb3="00000000" w:csb0="00040001" w:csb1="00000000"/>
    <w:embedRegular r:id="rId4" w:fontKey="{EC78F76C-A1B4-4BC7-8935-4B066FFEAAC7}"/>
  </w:font>
  <w:font w:name="方正公文小标宋">
    <w:panose1 w:val="02000500000000000000"/>
    <w:charset w:val="86"/>
    <w:family w:val="auto"/>
    <w:pitch w:val="default"/>
    <w:sig w:usb0="A00002BF" w:usb1="38CF7CFA" w:usb2="00000016" w:usb3="00000000" w:csb0="00040001" w:csb1="00000000"/>
    <w:embedRegular r:id="rId5" w:fontKey="{9539B748-659E-4F77-8BD0-ECBF789796B2}"/>
  </w:font>
  <w:font w:name="华文仿宋">
    <w:panose1 w:val="02010600040101010101"/>
    <w:charset w:val="86"/>
    <w:family w:val="auto"/>
    <w:pitch w:val="default"/>
    <w:sig w:usb0="00000287" w:usb1="080F0000" w:usb2="00000000" w:usb3="00000000" w:csb0="0004009F" w:csb1="DFD70000"/>
    <w:embedRegular r:id="rId6" w:fontKey="{209060CE-B2F3-4CD5-A537-2B1639E6A042}"/>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53E5F">
    <w:pPr>
      <w:pStyle w:val="35"/>
      <w:framePr w:wrap="around" w:vAnchor="text" w:hAnchor="margin" w:xAlign="center" w:y="1"/>
      <w:jc w:val="center"/>
      <w:rPr>
        <w:rStyle w:val="63"/>
        <w:rFonts w:ascii="宋体"/>
        <w:sz w:val="21"/>
        <w:szCs w:val="21"/>
      </w:rPr>
    </w:pPr>
    <w:r>
      <w:rPr>
        <w:rFonts w:ascii="宋体"/>
        <w:sz w:val="21"/>
        <w:szCs w:val="21"/>
      </w:rPr>
      <w:fldChar w:fldCharType="begin"/>
    </w:r>
    <w:r>
      <w:rPr>
        <w:rStyle w:val="63"/>
        <w:rFonts w:ascii="宋体"/>
        <w:sz w:val="21"/>
        <w:szCs w:val="21"/>
      </w:rPr>
      <w:instrText xml:space="preserve">PAGE  </w:instrText>
    </w:r>
    <w:r>
      <w:rPr>
        <w:rFonts w:ascii="宋体"/>
        <w:sz w:val="21"/>
        <w:szCs w:val="21"/>
      </w:rPr>
      <w:fldChar w:fldCharType="separate"/>
    </w:r>
    <w:r>
      <w:rPr>
        <w:rStyle w:val="63"/>
        <w:rFonts w:ascii="宋体"/>
        <w:sz w:val="21"/>
        <w:szCs w:val="21"/>
      </w:rPr>
      <w:t>- 3 -</w:t>
    </w:r>
    <w:r>
      <w:rPr>
        <w:rFonts w:ascii="宋体"/>
        <w:sz w:val="21"/>
        <w:szCs w:val="21"/>
      </w:rPr>
      <w:fldChar w:fldCharType="end"/>
    </w:r>
  </w:p>
  <w:p w14:paraId="1EC695FE">
    <w:pPr>
      <w:pStyle w:val="3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66BB0">
    <w:pPr>
      <w:pStyle w:val="35"/>
      <w:framePr w:wrap="around" w:vAnchor="text" w:hAnchor="margin" w:xAlign="center" w:y="1"/>
      <w:rPr>
        <w:rStyle w:val="63"/>
      </w:rPr>
    </w:pPr>
    <w:r>
      <w:fldChar w:fldCharType="begin"/>
    </w:r>
    <w:r>
      <w:rPr>
        <w:rStyle w:val="63"/>
      </w:rPr>
      <w:instrText xml:space="preserve">PAGE  </w:instrText>
    </w:r>
    <w:r>
      <w:fldChar w:fldCharType="end"/>
    </w:r>
  </w:p>
  <w:p w14:paraId="376F3832">
    <w:pPr>
      <w:pStyle w:val="3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70E6B">
    <w:pPr>
      <w:pStyle w:val="35"/>
      <w:framePr w:wrap="around" w:vAnchor="text" w:hAnchor="margin" w:xAlign="center" w:y="1"/>
      <w:rPr>
        <w:rStyle w:val="63"/>
      </w:rPr>
    </w:pPr>
  </w:p>
  <w:p w14:paraId="1BAFBFCC">
    <w:pPr>
      <w:pStyle w:val="35"/>
      <w:jc w:val="center"/>
      <w:rPr>
        <w:rFonts w:ascii="宋体" w:hAnsi="宋体"/>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C9731">
    <w:pPr>
      <w:pStyle w:val="35"/>
      <w:framePr w:wrap="around" w:vAnchor="text" w:hAnchor="margin" w:xAlign="center" w:y="1"/>
      <w:jc w:val="center"/>
      <w:rPr>
        <w:rStyle w:val="63"/>
        <w:rFonts w:ascii="宋体"/>
        <w:sz w:val="21"/>
        <w:szCs w:val="21"/>
      </w:rPr>
    </w:pPr>
    <w:r>
      <w:rPr>
        <w:rFonts w:ascii="宋体"/>
        <w:sz w:val="21"/>
        <w:szCs w:val="21"/>
      </w:rPr>
      <w:fldChar w:fldCharType="begin"/>
    </w:r>
    <w:r>
      <w:rPr>
        <w:rStyle w:val="63"/>
        <w:rFonts w:ascii="宋体"/>
        <w:sz w:val="21"/>
        <w:szCs w:val="21"/>
      </w:rPr>
      <w:instrText xml:space="preserve">PAGE  </w:instrText>
    </w:r>
    <w:r>
      <w:rPr>
        <w:rFonts w:ascii="宋体"/>
        <w:sz w:val="21"/>
        <w:szCs w:val="21"/>
      </w:rPr>
      <w:fldChar w:fldCharType="separate"/>
    </w:r>
    <w:r>
      <w:rPr>
        <w:rStyle w:val="63"/>
        <w:rFonts w:ascii="宋体"/>
        <w:sz w:val="21"/>
        <w:szCs w:val="21"/>
      </w:rPr>
      <w:t>- 7 -</w:t>
    </w:r>
    <w:r>
      <w:rPr>
        <w:rFonts w:ascii="宋体"/>
        <w:sz w:val="21"/>
        <w:szCs w:val="21"/>
      </w:rPr>
      <w:fldChar w:fldCharType="end"/>
    </w:r>
  </w:p>
  <w:p w14:paraId="322B8300">
    <w:pPr>
      <w:pStyle w:val="3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3613F">
    <w:pPr>
      <w:pStyle w:val="35"/>
      <w:jc w:val="center"/>
      <w:rPr>
        <w:rFonts w:ascii="宋体" w:hAnsi="宋体"/>
        <w:sz w:val="21"/>
        <w:szCs w:val="21"/>
      </w:rPr>
    </w:pPr>
    <w:r>
      <w:rPr>
        <w:rFonts w:ascii="宋体" w:hAnsi="宋体"/>
        <w:sz w:val="21"/>
        <w:szCs w:val="21"/>
      </w:rPr>
      <w:fldChar w:fldCharType="begin"/>
    </w:r>
    <w:r>
      <w:rPr>
        <w:rStyle w:val="63"/>
        <w:rFonts w:ascii="宋体" w:hAnsi="宋体"/>
        <w:sz w:val="21"/>
        <w:szCs w:val="21"/>
      </w:rPr>
      <w:instrText xml:space="preserve"> PAGE </w:instrText>
    </w:r>
    <w:r>
      <w:rPr>
        <w:rFonts w:ascii="宋体" w:hAnsi="宋体"/>
        <w:sz w:val="21"/>
        <w:szCs w:val="21"/>
      </w:rPr>
      <w:fldChar w:fldCharType="separate"/>
    </w:r>
    <w:r>
      <w:rPr>
        <w:rStyle w:val="63"/>
        <w:rFonts w:ascii="宋体" w:hAnsi="宋体"/>
        <w:sz w:val="21"/>
        <w:szCs w:val="21"/>
      </w:rPr>
      <w:t>- 81 -</w:t>
    </w:r>
    <w:r>
      <w:rPr>
        <w:rFonts w:ascii="宋体" w:hAnsi="宋体"/>
        <w:sz w:val="21"/>
        <w:szCs w:val="21"/>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B0C66">
    <w:pPr>
      <w:pStyle w:val="35"/>
      <w:framePr w:wrap="around" w:vAnchor="text" w:hAnchor="margin" w:xAlign="center" w:y="1"/>
      <w:rPr>
        <w:rStyle w:val="63"/>
      </w:rPr>
    </w:pPr>
    <w:r>
      <w:fldChar w:fldCharType="begin"/>
    </w:r>
    <w:r>
      <w:rPr>
        <w:rStyle w:val="63"/>
      </w:rPr>
      <w:instrText xml:space="preserve">PAGE  </w:instrText>
    </w:r>
    <w:r>
      <w:fldChar w:fldCharType="end"/>
    </w:r>
  </w:p>
  <w:p w14:paraId="5A9D4096">
    <w:pPr>
      <w:pStyle w:val="35"/>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EF6284">
    <w:pPr>
      <w:pStyle w:val="35"/>
      <w:jc w:val="center"/>
      <w:rPr>
        <w:rFonts w:ascii="宋体" w:hAnsi="宋体"/>
        <w:sz w:val="21"/>
        <w:szCs w:val="21"/>
      </w:rPr>
    </w:pPr>
    <w:r>
      <w:rPr>
        <w:rFonts w:ascii="宋体" w:hAnsi="宋体"/>
        <w:sz w:val="21"/>
        <w:szCs w:val="21"/>
      </w:rPr>
      <w:fldChar w:fldCharType="begin"/>
    </w:r>
    <w:r>
      <w:rPr>
        <w:rStyle w:val="63"/>
        <w:rFonts w:ascii="宋体" w:hAnsi="宋体"/>
        <w:sz w:val="21"/>
        <w:szCs w:val="21"/>
      </w:rPr>
      <w:instrText xml:space="preserve"> PAGE </w:instrText>
    </w:r>
    <w:r>
      <w:rPr>
        <w:rFonts w:ascii="宋体" w:hAnsi="宋体"/>
        <w:sz w:val="21"/>
        <w:szCs w:val="21"/>
      </w:rPr>
      <w:fldChar w:fldCharType="separate"/>
    </w:r>
    <w:r>
      <w:rPr>
        <w:rStyle w:val="63"/>
        <w:rFonts w:ascii="宋体" w:hAnsi="宋体"/>
        <w:sz w:val="21"/>
        <w:szCs w:val="21"/>
      </w:rPr>
      <w:t>- 99 -</w:t>
    </w:r>
    <w:r>
      <w:rPr>
        <w:rFonts w:ascii="宋体" w:hAnsi="宋体"/>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657582">
    <w:pPr>
      <w:pStyle w:val="38"/>
      <w:jc w:val="both"/>
      <w:rPr>
        <w:rFonts w:ascii="方正仿宋_GBK" w:eastAsia="方正仿宋_GBK"/>
        <w:sz w:val="21"/>
        <w:szCs w:val="21"/>
      </w:rPr>
    </w:pPr>
    <w:r>
      <w:rPr>
        <w:rFonts w:hint="eastAsia" w:ascii="方正仿宋_GBK" w:eastAsia="方正仿宋_GBK"/>
        <w:sz w:val="21"/>
        <w:szCs w:val="21"/>
      </w:rPr>
      <w:t xml:space="preserve">                                                                       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4133C">
    <w:pPr>
      <w:pStyle w:val="38"/>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554C70">
    <w:pPr>
      <w:pStyle w:val="38"/>
      <w:jc w:val="both"/>
      <w:rPr>
        <w:rFonts w:ascii="方正仿宋_GBK" w:eastAsia="方正仿宋_GBK"/>
        <w:sz w:val="21"/>
        <w:szCs w:val="21"/>
      </w:rPr>
    </w:pPr>
    <w:r>
      <w:rPr>
        <w:rFonts w:hint="eastAsia" w:ascii="方正仿宋_GBK" w:eastAsia="方正仿宋_GBK"/>
        <w:sz w:val="21"/>
        <w:szCs w:val="21"/>
      </w:rPr>
      <w:t xml:space="preserve">                                                                       竞争性磋商文件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1EEA7">
    <w:pPr>
      <w:pStyle w:val="38"/>
      <w:jc w:val="both"/>
    </w:pPr>
    <w:r>
      <w:rPr>
        <w:rFonts w:hint="eastAsia" w:ascii="方正仿宋_GBK" w:eastAsia="方正仿宋_GBK"/>
        <w:sz w:val="21"/>
        <w:szCs w:val="21"/>
      </w:rPr>
      <w:t xml:space="preserve">                                                                          竞争性磋商文件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F7453">
    <w:pPr>
      <w:pStyle w:val="38"/>
      <w:ind w:firstLine="2100" w:firstLineChars="1000"/>
      <w:jc w:val="both"/>
      <w:rPr>
        <w:rFonts w:ascii="方正仿宋_GBK" w:eastAsia="方正仿宋_GBK"/>
        <w:sz w:val="21"/>
        <w:szCs w:val="21"/>
      </w:rPr>
    </w:pPr>
    <w:r>
      <w:rPr>
        <w:rFonts w:hint="eastAsia" w:ascii="方正仿宋_GBK" w:eastAsia="方正仿宋_GBK"/>
        <w:sz w:val="21"/>
        <w:szCs w:val="21"/>
      </w:rPr>
      <w:t xml:space="preserve">                                                    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461FB2"/>
    <w:multiLevelType w:val="singleLevel"/>
    <w:tmpl w:val="80461FB2"/>
    <w:lvl w:ilvl="0" w:tentative="0">
      <w:start w:val="1"/>
      <w:numFmt w:val="decimal"/>
      <w:suff w:val="nothing"/>
      <w:lvlText w:val="(%1)"/>
      <w:lvlJc w:val="left"/>
      <w:pPr>
        <w:ind w:left="425" w:hanging="425"/>
      </w:pPr>
      <w:rPr>
        <w:rFonts w:hint="default"/>
      </w:rPr>
    </w:lvl>
  </w:abstractNum>
  <w:abstractNum w:abstractNumId="1">
    <w:nsid w:val="82A0EA49"/>
    <w:multiLevelType w:val="singleLevel"/>
    <w:tmpl w:val="82A0EA49"/>
    <w:lvl w:ilvl="0" w:tentative="0">
      <w:start w:val="1"/>
      <w:numFmt w:val="decimalEnclosedCircleChinese"/>
      <w:suff w:val="nothing"/>
      <w:lvlText w:val="%1　"/>
      <w:lvlJc w:val="left"/>
      <w:pPr>
        <w:ind w:left="0" w:firstLine="400"/>
      </w:pPr>
      <w:rPr>
        <w:rFonts w:hint="eastAsia"/>
      </w:rPr>
    </w:lvl>
  </w:abstractNum>
  <w:abstractNum w:abstractNumId="2">
    <w:nsid w:val="8533ADED"/>
    <w:multiLevelType w:val="singleLevel"/>
    <w:tmpl w:val="8533ADED"/>
    <w:lvl w:ilvl="0" w:tentative="0">
      <w:start w:val="1"/>
      <w:numFmt w:val="decimal"/>
      <w:suff w:val="nothing"/>
      <w:lvlText w:val="(%1)"/>
      <w:lvlJc w:val="left"/>
      <w:pPr>
        <w:ind w:left="425" w:hanging="425"/>
      </w:pPr>
      <w:rPr>
        <w:rFonts w:hint="default"/>
      </w:rPr>
    </w:lvl>
  </w:abstractNum>
  <w:abstractNum w:abstractNumId="3">
    <w:nsid w:val="870C5D80"/>
    <w:multiLevelType w:val="singleLevel"/>
    <w:tmpl w:val="870C5D80"/>
    <w:lvl w:ilvl="0" w:tentative="0">
      <w:start w:val="1"/>
      <w:numFmt w:val="decimal"/>
      <w:suff w:val="nothing"/>
      <w:lvlText w:val="%1."/>
      <w:lvlJc w:val="left"/>
      <w:pPr>
        <w:ind w:left="425" w:hanging="425"/>
      </w:pPr>
      <w:rPr>
        <w:rFonts w:hint="default" w:ascii="宋体" w:hAnsi="宋体" w:eastAsia="宋体" w:cs="宋体"/>
        <w:sz w:val="24"/>
        <w:szCs w:val="24"/>
      </w:rPr>
    </w:lvl>
  </w:abstractNum>
  <w:abstractNum w:abstractNumId="4">
    <w:nsid w:val="87523113"/>
    <w:multiLevelType w:val="singleLevel"/>
    <w:tmpl w:val="87523113"/>
    <w:lvl w:ilvl="0" w:tentative="0">
      <w:start w:val="1"/>
      <w:numFmt w:val="decimal"/>
      <w:suff w:val="nothing"/>
      <w:lvlText w:val="(%1)"/>
      <w:lvlJc w:val="left"/>
      <w:pPr>
        <w:ind w:left="425" w:hanging="425"/>
      </w:pPr>
      <w:rPr>
        <w:rFonts w:hint="default"/>
      </w:rPr>
    </w:lvl>
  </w:abstractNum>
  <w:abstractNum w:abstractNumId="5">
    <w:nsid w:val="87ACF760"/>
    <w:multiLevelType w:val="singleLevel"/>
    <w:tmpl w:val="87ACF760"/>
    <w:lvl w:ilvl="0" w:tentative="0">
      <w:start w:val="1"/>
      <w:numFmt w:val="decimalEnclosedCircleChinese"/>
      <w:suff w:val="nothing"/>
      <w:lvlText w:val="%1　"/>
      <w:lvlJc w:val="left"/>
      <w:pPr>
        <w:ind w:left="0" w:firstLine="400"/>
      </w:pPr>
      <w:rPr>
        <w:rFonts w:hint="eastAsia"/>
      </w:rPr>
    </w:lvl>
  </w:abstractNum>
  <w:abstractNum w:abstractNumId="6">
    <w:nsid w:val="88542A4B"/>
    <w:multiLevelType w:val="singleLevel"/>
    <w:tmpl w:val="88542A4B"/>
    <w:lvl w:ilvl="0" w:tentative="0">
      <w:start w:val="1"/>
      <w:numFmt w:val="decimalEnclosedCircleChinese"/>
      <w:suff w:val="nothing"/>
      <w:lvlText w:val="%1　"/>
      <w:lvlJc w:val="left"/>
      <w:pPr>
        <w:ind w:left="0" w:firstLine="400"/>
      </w:pPr>
      <w:rPr>
        <w:rFonts w:hint="eastAsia"/>
      </w:rPr>
    </w:lvl>
  </w:abstractNum>
  <w:abstractNum w:abstractNumId="7">
    <w:nsid w:val="89633AA3"/>
    <w:multiLevelType w:val="singleLevel"/>
    <w:tmpl w:val="89633AA3"/>
    <w:lvl w:ilvl="0" w:tentative="0">
      <w:start w:val="1"/>
      <w:numFmt w:val="decimalEnclosedCircleChinese"/>
      <w:suff w:val="nothing"/>
      <w:lvlText w:val="%1　"/>
      <w:lvlJc w:val="left"/>
      <w:pPr>
        <w:ind w:left="0" w:firstLine="400"/>
      </w:pPr>
      <w:rPr>
        <w:rFonts w:hint="eastAsia"/>
        <w:sz w:val="24"/>
        <w:szCs w:val="24"/>
      </w:rPr>
    </w:lvl>
  </w:abstractNum>
  <w:abstractNum w:abstractNumId="8">
    <w:nsid w:val="8ADB5C91"/>
    <w:multiLevelType w:val="singleLevel"/>
    <w:tmpl w:val="8ADB5C91"/>
    <w:lvl w:ilvl="0" w:tentative="0">
      <w:start w:val="1"/>
      <w:numFmt w:val="decimal"/>
      <w:suff w:val="nothing"/>
      <w:lvlText w:val="%1."/>
      <w:lvlJc w:val="left"/>
      <w:pPr>
        <w:ind w:left="425" w:hanging="425"/>
      </w:pPr>
      <w:rPr>
        <w:rFonts w:hint="default" w:ascii="宋体" w:hAnsi="宋体" w:eastAsia="宋体" w:cs="宋体"/>
        <w:sz w:val="24"/>
        <w:szCs w:val="24"/>
      </w:rPr>
    </w:lvl>
  </w:abstractNum>
  <w:abstractNum w:abstractNumId="9">
    <w:nsid w:val="8F84673D"/>
    <w:multiLevelType w:val="singleLevel"/>
    <w:tmpl w:val="8F84673D"/>
    <w:lvl w:ilvl="0" w:tentative="0">
      <w:start w:val="1"/>
      <w:numFmt w:val="decimalEnclosedCircleChinese"/>
      <w:suff w:val="nothing"/>
      <w:lvlText w:val="%1　"/>
      <w:lvlJc w:val="left"/>
      <w:pPr>
        <w:ind w:left="0" w:firstLine="400"/>
      </w:pPr>
      <w:rPr>
        <w:rFonts w:hint="eastAsia"/>
      </w:rPr>
    </w:lvl>
  </w:abstractNum>
  <w:abstractNum w:abstractNumId="10">
    <w:nsid w:val="90C5E6C4"/>
    <w:multiLevelType w:val="singleLevel"/>
    <w:tmpl w:val="90C5E6C4"/>
    <w:lvl w:ilvl="0" w:tentative="0">
      <w:start w:val="1"/>
      <w:numFmt w:val="decimal"/>
      <w:suff w:val="nothing"/>
      <w:lvlText w:val="(%1)"/>
      <w:lvlJc w:val="left"/>
      <w:pPr>
        <w:ind w:left="425" w:hanging="425"/>
      </w:pPr>
      <w:rPr>
        <w:rFonts w:hint="default" w:ascii="宋体" w:hAnsi="宋体" w:eastAsia="宋体" w:cs="宋体"/>
        <w:sz w:val="24"/>
        <w:szCs w:val="24"/>
      </w:rPr>
    </w:lvl>
  </w:abstractNum>
  <w:abstractNum w:abstractNumId="11">
    <w:nsid w:val="90C70336"/>
    <w:multiLevelType w:val="singleLevel"/>
    <w:tmpl w:val="90C70336"/>
    <w:lvl w:ilvl="0" w:tentative="0">
      <w:start w:val="1"/>
      <w:numFmt w:val="decimal"/>
      <w:suff w:val="nothing"/>
      <w:lvlText w:val="(%1)"/>
      <w:lvlJc w:val="left"/>
      <w:pPr>
        <w:ind w:left="425" w:hanging="425"/>
      </w:pPr>
      <w:rPr>
        <w:rFonts w:hint="default"/>
      </w:rPr>
    </w:lvl>
  </w:abstractNum>
  <w:abstractNum w:abstractNumId="12">
    <w:nsid w:val="93E6AADB"/>
    <w:multiLevelType w:val="singleLevel"/>
    <w:tmpl w:val="93E6AADB"/>
    <w:lvl w:ilvl="0" w:tentative="0">
      <w:start w:val="1"/>
      <w:numFmt w:val="decimal"/>
      <w:suff w:val="nothing"/>
      <w:lvlText w:val="(%1)"/>
      <w:lvlJc w:val="left"/>
      <w:pPr>
        <w:ind w:left="425" w:hanging="425"/>
      </w:pPr>
      <w:rPr>
        <w:rFonts w:hint="default" w:ascii="宋体" w:hAnsi="宋体" w:eastAsia="宋体" w:cs="宋体"/>
        <w:sz w:val="24"/>
        <w:szCs w:val="24"/>
      </w:rPr>
    </w:lvl>
  </w:abstractNum>
  <w:abstractNum w:abstractNumId="13">
    <w:nsid w:val="946B7AF9"/>
    <w:multiLevelType w:val="singleLevel"/>
    <w:tmpl w:val="946B7AF9"/>
    <w:lvl w:ilvl="0" w:tentative="0">
      <w:start w:val="1"/>
      <w:numFmt w:val="decimal"/>
      <w:suff w:val="nothing"/>
      <w:lvlText w:val="(%1)"/>
      <w:lvlJc w:val="left"/>
      <w:pPr>
        <w:ind w:left="425" w:hanging="425"/>
      </w:pPr>
      <w:rPr>
        <w:rFonts w:hint="default"/>
      </w:rPr>
    </w:lvl>
  </w:abstractNum>
  <w:abstractNum w:abstractNumId="14">
    <w:nsid w:val="97E5846A"/>
    <w:multiLevelType w:val="singleLevel"/>
    <w:tmpl w:val="97E5846A"/>
    <w:lvl w:ilvl="0" w:tentative="0">
      <w:start w:val="1"/>
      <w:numFmt w:val="decimalEnclosedCircleChinese"/>
      <w:suff w:val="nothing"/>
      <w:lvlText w:val="%1　"/>
      <w:lvlJc w:val="left"/>
      <w:pPr>
        <w:ind w:left="0" w:firstLine="400"/>
      </w:pPr>
      <w:rPr>
        <w:rFonts w:hint="eastAsia"/>
      </w:rPr>
    </w:lvl>
  </w:abstractNum>
  <w:abstractNum w:abstractNumId="15">
    <w:nsid w:val="9801C1C6"/>
    <w:multiLevelType w:val="singleLevel"/>
    <w:tmpl w:val="9801C1C6"/>
    <w:lvl w:ilvl="0" w:tentative="0">
      <w:start w:val="1"/>
      <w:numFmt w:val="decimal"/>
      <w:suff w:val="nothing"/>
      <w:lvlText w:val="(%1)"/>
      <w:lvlJc w:val="left"/>
    </w:lvl>
  </w:abstractNum>
  <w:abstractNum w:abstractNumId="16">
    <w:nsid w:val="98DE9427"/>
    <w:multiLevelType w:val="singleLevel"/>
    <w:tmpl w:val="98DE9427"/>
    <w:lvl w:ilvl="0" w:tentative="0">
      <w:start w:val="1"/>
      <w:numFmt w:val="decimal"/>
      <w:suff w:val="nothing"/>
      <w:lvlText w:val="(%1)"/>
      <w:lvlJc w:val="left"/>
      <w:pPr>
        <w:ind w:left="425" w:hanging="425"/>
      </w:pPr>
      <w:rPr>
        <w:rFonts w:hint="default" w:ascii="宋体" w:hAnsi="宋体" w:eastAsia="宋体" w:cs="宋体"/>
        <w:sz w:val="24"/>
        <w:szCs w:val="24"/>
      </w:rPr>
    </w:lvl>
  </w:abstractNum>
  <w:abstractNum w:abstractNumId="17">
    <w:nsid w:val="9A375024"/>
    <w:multiLevelType w:val="singleLevel"/>
    <w:tmpl w:val="9A375024"/>
    <w:lvl w:ilvl="0" w:tentative="0">
      <w:start w:val="1"/>
      <w:numFmt w:val="decimal"/>
      <w:suff w:val="nothing"/>
      <w:lvlText w:val="%1."/>
      <w:lvlJc w:val="left"/>
      <w:pPr>
        <w:ind w:left="425" w:hanging="425"/>
      </w:pPr>
      <w:rPr>
        <w:rFonts w:hint="default"/>
      </w:rPr>
    </w:lvl>
  </w:abstractNum>
  <w:abstractNum w:abstractNumId="18">
    <w:nsid w:val="9CD87B3B"/>
    <w:multiLevelType w:val="singleLevel"/>
    <w:tmpl w:val="9CD87B3B"/>
    <w:lvl w:ilvl="0" w:tentative="0">
      <w:start w:val="1"/>
      <w:numFmt w:val="decimal"/>
      <w:suff w:val="nothing"/>
      <w:lvlText w:val="%1."/>
      <w:lvlJc w:val="left"/>
      <w:pPr>
        <w:ind w:left="425" w:hanging="425"/>
      </w:pPr>
      <w:rPr>
        <w:rFonts w:hint="default"/>
      </w:rPr>
    </w:lvl>
  </w:abstractNum>
  <w:abstractNum w:abstractNumId="19">
    <w:nsid w:val="9D8C627B"/>
    <w:multiLevelType w:val="singleLevel"/>
    <w:tmpl w:val="9D8C627B"/>
    <w:lvl w:ilvl="0" w:tentative="0">
      <w:start w:val="1"/>
      <w:numFmt w:val="decimal"/>
      <w:suff w:val="nothing"/>
      <w:lvlText w:val="%1."/>
      <w:lvlJc w:val="left"/>
      <w:pPr>
        <w:ind w:left="425" w:hanging="425"/>
      </w:pPr>
      <w:rPr>
        <w:rFonts w:hint="default"/>
      </w:rPr>
    </w:lvl>
  </w:abstractNum>
  <w:abstractNum w:abstractNumId="20">
    <w:nsid w:val="9F9E6130"/>
    <w:multiLevelType w:val="singleLevel"/>
    <w:tmpl w:val="9F9E6130"/>
    <w:lvl w:ilvl="0" w:tentative="0">
      <w:start w:val="1"/>
      <w:numFmt w:val="decimalEnclosedCircleChinese"/>
      <w:suff w:val="nothing"/>
      <w:lvlText w:val="%1　"/>
      <w:lvlJc w:val="left"/>
      <w:pPr>
        <w:ind w:left="0" w:firstLine="400"/>
      </w:pPr>
      <w:rPr>
        <w:rFonts w:hint="eastAsia" w:ascii="宋体" w:hAnsi="宋体" w:eastAsia="宋体" w:cs="宋体"/>
        <w:sz w:val="24"/>
        <w:szCs w:val="24"/>
      </w:rPr>
    </w:lvl>
  </w:abstractNum>
  <w:abstractNum w:abstractNumId="21">
    <w:nsid w:val="A0792261"/>
    <w:multiLevelType w:val="singleLevel"/>
    <w:tmpl w:val="A0792261"/>
    <w:lvl w:ilvl="0" w:tentative="0">
      <w:start w:val="1"/>
      <w:numFmt w:val="decimalEnclosedCircleChinese"/>
      <w:suff w:val="nothing"/>
      <w:lvlText w:val="%1　"/>
      <w:lvlJc w:val="left"/>
      <w:pPr>
        <w:ind w:left="0" w:firstLine="400"/>
      </w:pPr>
      <w:rPr>
        <w:rFonts w:hint="eastAsia"/>
        <w:sz w:val="24"/>
        <w:szCs w:val="24"/>
      </w:rPr>
    </w:lvl>
  </w:abstractNum>
  <w:abstractNum w:abstractNumId="22">
    <w:nsid w:val="A13491F3"/>
    <w:multiLevelType w:val="singleLevel"/>
    <w:tmpl w:val="A13491F3"/>
    <w:lvl w:ilvl="0" w:tentative="0">
      <w:start w:val="1"/>
      <w:numFmt w:val="decimal"/>
      <w:suff w:val="nothing"/>
      <w:lvlText w:val="(%1)"/>
      <w:lvlJc w:val="left"/>
      <w:pPr>
        <w:ind w:left="425" w:hanging="425"/>
      </w:pPr>
      <w:rPr>
        <w:rFonts w:hint="default" w:ascii="宋体" w:hAnsi="宋体" w:eastAsia="宋体" w:cs="宋体"/>
        <w:sz w:val="24"/>
        <w:szCs w:val="24"/>
      </w:rPr>
    </w:lvl>
  </w:abstractNum>
  <w:abstractNum w:abstractNumId="23">
    <w:nsid w:val="A1442270"/>
    <w:multiLevelType w:val="singleLevel"/>
    <w:tmpl w:val="A1442270"/>
    <w:lvl w:ilvl="0" w:tentative="0">
      <w:start w:val="1"/>
      <w:numFmt w:val="decimalEnclosedCircleChinese"/>
      <w:suff w:val="nothing"/>
      <w:lvlText w:val="%1　"/>
      <w:lvlJc w:val="left"/>
      <w:pPr>
        <w:ind w:left="0" w:firstLine="400"/>
      </w:pPr>
      <w:rPr>
        <w:rFonts w:hint="eastAsia" w:ascii="宋体" w:hAnsi="宋体" w:eastAsia="宋体" w:cs="宋体"/>
        <w:color w:val="auto"/>
        <w:sz w:val="24"/>
        <w:szCs w:val="24"/>
      </w:rPr>
    </w:lvl>
  </w:abstractNum>
  <w:abstractNum w:abstractNumId="24">
    <w:nsid w:val="A185B019"/>
    <w:multiLevelType w:val="singleLevel"/>
    <w:tmpl w:val="A185B019"/>
    <w:lvl w:ilvl="0" w:tentative="0">
      <w:start w:val="1"/>
      <w:numFmt w:val="decimalEnclosedCircleChinese"/>
      <w:suff w:val="nothing"/>
      <w:lvlText w:val="%1　"/>
      <w:lvlJc w:val="left"/>
      <w:pPr>
        <w:ind w:left="0" w:firstLine="400"/>
      </w:pPr>
      <w:rPr>
        <w:rFonts w:hint="eastAsia"/>
        <w:sz w:val="24"/>
        <w:szCs w:val="24"/>
      </w:rPr>
    </w:lvl>
  </w:abstractNum>
  <w:abstractNum w:abstractNumId="25">
    <w:nsid w:val="A7586DB7"/>
    <w:multiLevelType w:val="singleLevel"/>
    <w:tmpl w:val="A7586DB7"/>
    <w:lvl w:ilvl="0" w:tentative="0">
      <w:start w:val="1"/>
      <w:numFmt w:val="decimal"/>
      <w:suff w:val="nothing"/>
      <w:lvlText w:val="(%1)"/>
      <w:lvlJc w:val="left"/>
      <w:pPr>
        <w:ind w:left="425" w:hanging="425"/>
      </w:pPr>
      <w:rPr>
        <w:rFonts w:hint="default"/>
      </w:rPr>
    </w:lvl>
  </w:abstractNum>
  <w:abstractNum w:abstractNumId="26">
    <w:nsid w:val="A87CC35D"/>
    <w:multiLevelType w:val="singleLevel"/>
    <w:tmpl w:val="A87CC35D"/>
    <w:lvl w:ilvl="0" w:tentative="0">
      <w:start w:val="1"/>
      <w:numFmt w:val="decimalEnclosedCircleChinese"/>
      <w:suff w:val="nothing"/>
      <w:lvlText w:val="%1　"/>
      <w:lvlJc w:val="left"/>
      <w:pPr>
        <w:ind w:left="0" w:firstLine="400"/>
      </w:pPr>
      <w:rPr>
        <w:rFonts w:hint="eastAsia"/>
      </w:rPr>
    </w:lvl>
  </w:abstractNum>
  <w:abstractNum w:abstractNumId="27">
    <w:nsid w:val="A9A735A8"/>
    <w:multiLevelType w:val="singleLevel"/>
    <w:tmpl w:val="A9A735A8"/>
    <w:lvl w:ilvl="0" w:tentative="0">
      <w:start w:val="1"/>
      <w:numFmt w:val="decimal"/>
      <w:suff w:val="nothing"/>
      <w:lvlText w:val="%1."/>
      <w:lvlJc w:val="left"/>
      <w:pPr>
        <w:ind w:left="425" w:hanging="425"/>
      </w:pPr>
      <w:rPr>
        <w:rFonts w:hint="default"/>
      </w:rPr>
    </w:lvl>
  </w:abstractNum>
  <w:abstractNum w:abstractNumId="28">
    <w:nsid w:val="AB3F5815"/>
    <w:multiLevelType w:val="singleLevel"/>
    <w:tmpl w:val="AB3F5815"/>
    <w:lvl w:ilvl="0" w:tentative="0">
      <w:start w:val="1"/>
      <w:numFmt w:val="decimalEnclosedCircleChinese"/>
      <w:suff w:val="nothing"/>
      <w:lvlText w:val="%1　"/>
      <w:lvlJc w:val="left"/>
      <w:pPr>
        <w:ind w:left="0" w:firstLine="400"/>
      </w:pPr>
      <w:rPr>
        <w:rFonts w:hint="eastAsia"/>
        <w:sz w:val="24"/>
        <w:szCs w:val="24"/>
      </w:rPr>
    </w:lvl>
  </w:abstractNum>
  <w:abstractNum w:abstractNumId="29">
    <w:nsid w:val="AB700886"/>
    <w:multiLevelType w:val="singleLevel"/>
    <w:tmpl w:val="AB700886"/>
    <w:lvl w:ilvl="0" w:tentative="0">
      <w:start w:val="1"/>
      <w:numFmt w:val="decimal"/>
      <w:suff w:val="nothing"/>
      <w:lvlText w:val="(%1)"/>
      <w:lvlJc w:val="left"/>
      <w:pPr>
        <w:ind w:left="425" w:hanging="425"/>
      </w:pPr>
      <w:rPr>
        <w:rFonts w:hint="default" w:ascii="宋体" w:hAnsi="宋体" w:eastAsia="宋体" w:cs="宋体"/>
        <w:sz w:val="24"/>
        <w:szCs w:val="24"/>
      </w:rPr>
    </w:lvl>
  </w:abstractNum>
  <w:abstractNum w:abstractNumId="30">
    <w:nsid w:val="ABB2531B"/>
    <w:multiLevelType w:val="singleLevel"/>
    <w:tmpl w:val="ABB2531B"/>
    <w:lvl w:ilvl="0" w:tentative="0">
      <w:start w:val="1"/>
      <w:numFmt w:val="decimalEnclosedCircleChinese"/>
      <w:suff w:val="nothing"/>
      <w:lvlText w:val="%1　"/>
      <w:lvlJc w:val="left"/>
      <w:pPr>
        <w:ind w:left="0" w:firstLine="400"/>
      </w:pPr>
      <w:rPr>
        <w:rFonts w:hint="eastAsia"/>
        <w:sz w:val="24"/>
        <w:szCs w:val="24"/>
      </w:rPr>
    </w:lvl>
  </w:abstractNum>
  <w:abstractNum w:abstractNumId="31">
    <w:nsid w:val="ABD54E74"/>
    <w:multiLevelType w:val="singleLevel"/>
    <w:tmpl w:val="ABD54E74"/>
    <w:lvl w:ilvl="0" w:tentative="0">
      <w:start w:val="1"/>
      <w:numFmt w:val="decimal"/>
      <w:suff w:val="nothing"/>
      <w:lvlText w:val="(%1)"/>
      <w:lvlJc w:val="left"/>
      <w:pPr>
        <w:ind w:left="425" w:hanging="425"/>
      </w:pPr>
      <w:rPr>
        <w:rFonts w:hint="default" w:ascii="宋体" w:hAnsi="宋体" w:eastAsia="宋体" w:cs="宋体"/>
        <w:sz w:val="24"/>
        <w:szCs w:val="24"/>
      </w:rPr>
    </w:lvl>
  </w:abstractNum>
  <w:abstractNum w:abstractNumId="32">
    <w:nsid w:val="AE043C5D"/>
    <w:multiLevelType w:val="singleLevel"/>
    <w:tmpl w:val="AE043C5D"/>
    <w:lvl w:ilvl="0" w:tentative="0">
      <w:start w:val="1"/>
      <w:numFmt w:val="decimalEnclosedCircleChinese"/>
      <w:suff w:val="nothing"/>
      <w:lvlText w:val="%1　"/>
      <w:lvlJc w:val="left"/>
      <w:pPr>
        <w:ind w:left="0" w:firstLine="400"/>
      </w:pPr>
      <w:rPr>
        <w:rFonts w:hint="eastAsia"/>
        <w:color w:val="auto"/>
      </w:rPr>
    </w:lvl>
  </w:abstractNum>
  <w:abstractNum w:abstractNumId="33">
    <w:nsid w:val="B0033C0A"/>
    <w:multiLevelType w:val="singleLevel"/>
    <w:tmpl w:val="B0033C0A"/>
    <w:lvl w:ilvl="0" w:tentative="0">
      <w:start w:val="1"/>
      <w:numFmt w:val="decimalEnclosedCircleChinese"/>
      <w:suff w:val="nothing"/>
      <w:lvlText w:val="%1　"/>
      <w:lvlJc w:val="left"/>
      <w:pPr>
        <w:ind w:left="0" w:firstLine="400"/>
      </w:pPr>
      <w:rPr>
        <w:rFonts w:hint="eastAsia"/>
        <w:sz w:val="24"/>
        <w:szCs w:val="24"/>
      </w:rPr>
    </w:lvl>
  </w:abstractNum>
  <w:abstractNum w:abstractNumId="34">
    <w:nsid w:val="B0C86DAA"/>
    <w:multiLevelType w:val="singleLevel"/>
    <w:tmpl w:val="B0C86DAA"/>
    <w:lvl w:ilvl="0" w:tentative="0">
      <w:start w:val="1"/>
      <w:numFmt w:val="decimalEnclosedCircleChinese"/>
      <w:suff w:val="nothing"/>
      <w:lvlText w:val="%1　"/>
      <w:lvlJc w:val="left"/>
      <w:pPr>
        <w:ind w:left="0" w:firstLine="400"/>
      </w:pPr>
      <w:rPr>
        <w:rFonts w:hint="eastAsia"/>
      </w:rPr>
    </w:lvl>
  </w:abstractNum>
  <w:abstractNum w:abstractNumId="35">
    <w:nsid w:val="B2E42025"/>
    <w:multiLevelType w:val="singleLevel"/>
    <w:tmpl w:val="B2E42025"/>
    <w:lvl w:ilvl="0" w:tentative="0">
      <w:start w:val="1"/>
      <w:numFmt w:val="decimal"/>
      <w:suff w:val="nothing"/>
      <w:lvlText w:val="(%1)"/>
      <w:lvlJc w:val="left"/>
      <w:pPr>
        <w:ind w:left="425" w:hanging="425"/>
      </w:pPr>
      <w:rPr>
        <w:rFonts w:hint="default" w:ascii="宋体" w:hAnsi="宋体" w:eastAsia="宋体" w:cs="宋体"/>
        <w:sz w:val="24"/>
        <w:szCs w:val="24"/>
      </w:rPr>
    </w:lvl>
  </w:abstractNum>
  <w:abstractNum w:abstractNumId="36">
    <w:nsid w:val="B42E5322"/>
    <w:multiLevelType w:val="singleLevel"/>
    <w:tmpl w:val="B42E5322"/>
    <w:lvl w:ilvl="0" w:tentative="0">
      <w:start w:val="1"/>
      <w:numFmt w:val="decimal"/>
      <w:suff w:val="nothing"/>
      <w:lvlText w:val="(%1)"/>
      <w:lvlJc w:val="left"/>
      <w:pPr>
        <w:ind w:left="425" w:hanging="425"/>
      </w:pPr>
      <w:rPr>
        <w:rFonts w:hint="default"/>
      </w:rPr>
    </w:lvl>
  </w:abstractNum>
  <w:abstractNum w:abstractNumId="37">
    <w:nsid w:val="B69CA7F1"/>
    <w:multiLevelType w:val="singleLevel"/>
    <w:tmpl w:val="B69CA7F1"/>
    <w:lvl w:ilvl="0" w:tentative="0">
      <w:start w:val="1"/>
      <w:numFmt w:val="decimal"/>
      <w:suff w:val="nothing"/>
      <w:lvlText w:val="(%1)"/>
      <w:lvlJc w:val="left"/>
      <w:pPr>
        <w:ind w:left="425" w:hanging="425"/>
      </w:pPr>
      <w:rPr>
        <w:rFonts w:hint="default" w:ascii="宋体" w:hAnsi="宋体" w:eastAsia="宋体" w:cs="宋体"/>
        <w:sz w:val="24"/>
        <w:szCs w:val="24"/>
      </w:rPr>
    </w:lvl>
  </w:abstractNum>
  <w:abstractNum w:abstractNumId="38">
    <w:nsid w:val="B93F1E2A"/>
    <w:multiLevelType w:val="singleLevel"/>
    <w:tmpl w:val="B93F1E2A"/>
    <w:lvl w:ilvl="0" w:tentative="0">
      <w:start w:val="1"/>
      <w:numFmt w:val="decimal"/>
      <w:suff w:val="nothing"/>
      <w:lvlText w:val="(%1)"/>
      <w:lvlJc w:val="left"/>
      <w:pPr>
        <w:ind w:left="425" w:hanging="425"/>
      </w:pPr>
      <w:rPr>
        <w:rFonts w:hint="default"/>
      </w:rPr>
    </w:lvl>
  </w:abstractNum>
  <w:abstractNum w:abstractNumId="39">
    <w:nsid w:val="BE06F0C6"/>
    <w:multiLevelType w:val="singleLevel"/>
    <w:tmpl w:val="BE06F0C6"/>
    <w:lvl w:ilvl="0" w:tentative="0">
      <w:start w:val="1"/>
      <w:numFmt w:val="decimalEnclosedCircleChinese"/>
      <w:suff w:val="nothing"/>
      <w:lvlText w:val="%1　"/>
      <w:lvlJc w:val="left"/>
      <w:pPr>
        <w:ind w:left="0" w:firstLine="400"/>
      </w:pPr>
      <w:rPr>
        <w:rFonts w:hint="eastAsia"/>
      </w:rPr>
    </w:lvl>
  </w:abstractNum>
  <w:abstractNum w:abstractNumId="40">
    <w:nsid w:val="C027B747"/>
    <w:multiLevelType w:val="singleLevel"/>
    <w:tmpl w:val="C027B747"/>
    <w:lvl w:ilvl="0" w:tentative="0">
      <w:start w:val="1"/>
      <w:numFmt w:val="chineseCounting"/>
      <w:suff w:val="nothing"/>
      <w:lvlText w:val="（%1）"/>
      <w:lvlJc w:val="left"/>
      <w:rPr>
        <w:rFonts w:hint="eastAsia"/>
      </w:rPr>
    </w:lvl>
  </w:abstractNum>
  <w:abstractNum w:abstractNumId="41">
    <w:nsid w:val="C07B525F"/>
    <w:multiLevelType w:val="singleLevel"/>
    <w:tmpl w:val="C07B525F"/>
    <w:lvl w:ilvl="0" w:tentative="0">
      <w:start w:val="1"/>
      <w:numFmt w:val="decimalEnclosedCircleChinese"/>
      <w:suff w:val="nothing"/>
      <w:lvlText w:val="%1　"/>
      <w:lvlJc w:val="left"/>
      <w:pPr>
        <w:ind w:left="0" w:firstLine="400"/>
      </w:pPr>
      <w:rPr>
        <w:rFonts w:hint="eastAsia"/>
        <w:sz w:val="24"/>
        <w:szCs w:val="24"/>
      </w:rPr>
    </w:lvl>
  </w:abstractNum>
  <w:abstractNum w:abstractNumId="42">
    <w:nsid w:val="C36C44CF"/>
    <w:multiLevelType w:val="singleLevel"/>
    <w:tmpl w:val="C36C44CF"/>
    <w:lvl w:ilvl="0" w:tentative="0">
      <w:start w:val="1"/>
      <w:numFmt w:val="decimalEnclosedCircleChinese"/>
      <w:suff w:val="nothing"/>
      <w:lvlText w:val="%1　"/>
      <w:lvlJc w:val="left"/>
      <w:pPr>
        <w:ind w:left="0" w:firstLine="400"/>
      </w:pPr>
      <w:rPr>
        <w:rFonts w:hint="eastAsia"/>
      </w:rPr>
    </w:lvl>
  </w:abstractNum>
  <w:abstractNum w:abstractNumId="43">
    <w:nsid w:val="C58DBDAE"/>
    <w:multiLevelType w:val="singleLevel"/>
    <w:tmpl w:val="C58DBDAE"/>
    <w:lvl w:ilvl="0" w:tentative="0">
      <w:start w:val="1"/>
      <w:numFmt w:val="decimal"/>
      <w:suff w:val="nothing"/>
      <w:lvlText w:val="(%1)"/>
      <w:lvlJc w:val="left"/>
      <w:pPr>
        <w:ind w:left="425" w:hanging="425"/>
      </w:pPr>
      <w:rPr>
        <w:rFonts w:hint="default" w:ascii="宋体" w:hAnsi="宋体" w:eastAsia="宋体" w:cs="宋体"/>
        <w:sz w:val="24"/>
        <w:szCs w:val="24"/>
      </w:rPr>
    </w:lvl>
  </w:abstractNum>
  <w:abstractNum w:abstractNumId="44">
    <w:nsid w:val="C7272B03"/>
    <w:multiLevelType w:val="singleLevel"/>
    <w:tmpl w:val="C7272B03"/>
    <w:lvl w:ilvl="0" w:tentative="0">
      <w:start w:val="1"/>
      <w:numFmt w:val="decimal"/>
      <w:suff w:val="nothing"/>
      <w:lvlText w:val="%1."/>
      <w:lvlJc w:val="left"/>
      <w:pPr>
        <w:ind w:left="425" w:hanging="425"/>
      </w:pPr>
      <w:rPr>
        <w:rFonts w:hint="default"/>
      </w:rPr>
    </w:lvl>
  </w:abstractNum>
  <w:abstractNum w:abstractNumId="45">
    <w:nsid w:val="C90A1D26"/>
    <w:multiLevelType w:val="singleLevel"/>
    <w:tmpl w:val="C90A1D26"/>
    <w:lvl w:ilvl="0" w:tentative="0">
      <w:start w:val="1"/>
      <w:numFmt w:val="decimal"/>
      <w:suff w:val="nothing"/>
      <w:lvlText w:val="(%1)"/>
      <w:lvlJc w:val="left"/>
      <w:pPr>
        <w:ind w:left="425" w:hanging="425"/>
      </w:pPr>
      <w:rPr>
        <w:rFonts w:hint="default" w:ascii="宋体" w:hAnsi="宋体" w:eastAsia="宋体" w:cs="宋体"/>
        <w:sz w:val="24"/>
        <w:szCs w:val="24"/>
      </w:rPr>
    </w:lvl>
  </w:abstractNum>
  <w:abstractNum w:abstractNumId="46">
    <w:nsid w:val="CB0EE5F1"/>
    <w:multiLevelType w:val="singleLevel"/>
    <w:tmpl w:val="CB0EE5F1"/>
    <w:lvl w:ilvl="0" w:tentative="0">
      <w:start w:val="1"/>
      <w:numFmt w:val="decimalEnclosedCircleChinese"/>
      <w:suff w:val="nothing"/>
      <w:lvlText w:val="%1　"/>
      <w:lvlJc w:val="left"/>
      <w:pPr>
        <w:ind w:left="0" w:firstLine="400"/>
      </w:pPr>
      <w:rPr>
        <w:rFonts w:hint="eastAsia"/>
      </w:rPr>
    </w:lvl>
  </w:abstractNum>
  <w:abstractNum w:abstractNumId="47">
    <w:nsid w:val="CD725466"/>
    <w:multiLevelType w:val="singleLevel"/>
    <w:tmpl w:val="CD725466"/>
    <w:lvl w:ilvl="0" w:tentative="0">
      <w:start w:val="1"/>
      <w:numFmt w:val="decimal"/>
      <w:suff w:val="nothing"/>
      <w:lvlText w:val="(%1)"/>
      <w:lvlJc w:val="left"/>
      <w:pPr>
        <w:ind w:left="425" w:hanging="425"/>
      </w:pPr>
      <w:rPr>
        <w:rFonts w:hint="default" w:ascii="宋体" w:hAnsi="宋体" w:eastAsia="宋体" w:cs="宋体"/>
        <w:sz w:val="24"/>
        <w:szCs w:val="24"/>
      </w:rPr>
    </w:lvl>
  </w:abstractNum>
  <w:abstractNum w:abstractNumId="48">
    <w:nsid w:val="CF43AEBC"/>
    <w:multiLevelType w:val="singleLevel"/>
    <w:tmpl w:val="CF43AEBC"/>
    <w:lvl w:ilvl="0" w:tentative="0">
      <w:start w:val="1"/>
      <w:numFmt w:val="decimal"/>
      <w:suff w:val="nothing"/>
      <w:lvlText w:val="(%1)"/>
      <w:lvlJc w:val="left"/>
      <w:pPr>
        <w:ind w:left="425" w:hanging="425"/>
      </w:pPr>
      <w:rPr>
        <w:rFonts w:hint="default" w:ascii="宋体" w:hAnsi="宋体" w:eastAsia="宋体" w:cs="宋体"/>
        <w:sz w:val="24"/>
        <w:szCs w:val="24"/>
      </w:rPr>
    </w:lvl>
  </w:abstractNum>
  <w:abstractNum w:abstractNumId="49">
    <w:nsid w:val="D1C700DA"/>
    <w:multiLevelType w:val="singleLevel"/>
    <w:tmpl w:val="D1C700DA"/>
    <w:lvl w:ilvl="0" w:tentative="0">
      <w:start w:val="1"/>
      <w:numFmt w:val="decimalEnclosedCircleChinese"/>
      <w:suff w:val="nothing"/>
      <w:lvlText w:val="%1　"/>
      <w:lvlJc w:val="left"/>
      <w:pPr>
        <w:ind w:left="0" w:firstLine="400"/>
      </w:pPr>
      <w:rPr>
        <w:rFonts w:hint="eastAsia"/>
      </w:rPr>
    </w:lvl>
  </w:abstractNum>
  <w:abstractNum w:abstractNumId="50">
    <w:nsid w:val="D1D74717"/>
    <w:multiLevelType w:val="singleLevel"/>
    <w:tmpl w:val="D1D74717"/>
    <w:lvl w:ilvl="0" w:tentative="0">
      <w:start w:val="1"/>
      <w:numFmt w:val="decimal"/>
      <w:suff w:val="nothing"/>
      <w:lvlText w:val="%1."/>
      <w:lvlJc w:val="left"/>
      <w:pPr>
        <w:ind w:left="425" w:hanging="425"/>
      </w:pPr>
      <w:rPr>
        <w:rFonts w:hint="default"/>
        <w:color w:val="auto"/>
      </w:rPr>
    </w:lvl>
  </w:abstractNum>
  <w:abstractNum w:abstractNumId="51">
    <w:nsid w:val="D1F99286"/>
    <w:multiLevelType w:val="singleLevel"/>
    <w:tmpl w:val="D1F99286"/>
    <w:lvl w:ilvl="0" w:tentative="0">
      <w:start w:val="1"/>
      <w:numFmt w:val="decimalEnclosedCircleChinese"/>
      <w:suff w:val="nothing"/>
      <w:lvlText w:val="%1　"/>
      <w:lvlJc w:val="left"/>
      <w:pPr>
        <w:ind w:left="0" w:firstLine="400"/>
      </w:pPr>
      <w:rPr>
        <w:rFonts w:hint="eastAsia"/>
      </w:rPr>
    </w:lvl>
  </w:abstractNum>
  <w:abstractNum w:abstractNumId="52">
    <w:nsid w:val="D24503B8"/>
    <w:multiLevelType w:val="singleLevel"/>
    <w:tmpl w:val="D24503B8"/>
    <w:lvl w:ilvl="0" w:tentative="0">
      <w:start w:val="1"/>
      <w:numFmt w:val="decimalEnclosedCircleChinese"/>
      <w:suff w:val="nothing"/>
      <w:lvlText w:val="%1　"/>
      <w:lvlJc w:val="left"/>
      <w:pPr>
        <w:ind w:left="0" w:firstLine="400"/>
      </w:pPr>
      <w:rPr>
        <w:rFonts w:hint="eastAsia" w:ascii="Times New Roman" w:hAnsi="Times New Roman" w:cs="Times New Roman"/>
        <w:sz w:val="24"/>
        <w:szCs w:val="24"/>
      </w:rPr>
    </w:lvl>
  </w:abstractNum>
  <w:abstractNum w:abstractNumId="53">
    <w:nsid w:val="D3225836"/>
    <w:multiLevelType w:val="singleLevel"/>
    <w:tmpl w:val="D3225836"/>
    <w:lvl w:ilvl="0" w:tentative="0">
      <w:start w:val="1"/>
      <w:numFmt w:val="decimalEnclosedCircleChinese"/>
      <w:suff w:val="nothing"/>
      <w:lvlText w:val="%1　"/>
      <w:lvlJc w:val="left"/>
      <w:pPr>
        <w:ind w:left="0" w:firstLine="400"/>
      </w:pPr>
      <w:rPr>
        <w:rFonts w:hint="eastAsia"/>
      </w:rPr>
    </w:lvl>
  </w:abstractNum>
  <w:abstractNum w:abstractNumId="54">
    <w:nsid w:val="D33165D6"/>
    <w:multiLevelType w:val="singleLevel"/>
    <w:tmpl w:val="D33165D6"/>
    <w:lvl w:ilvl="0" w:tentative="0">
      <w:start w:val="1"/>
      <w:numFmt w:val="decimal"/>
      <w:suff w:val="nothing"/>
      <w:lvlText w:val="%1."/>
      <w:lvlJc w:val="left"/>
      <w:pPr>
        <w:ind w:left="425" w:hanging="425"/>
      </w:pPr>
      <w:rPr>
        <w:rFonts w:hint="default"/>
        <w:color w:val="auto"/>
      </w:rPr>
    </w:lvl>
  </w:abstractNum>
  <w:abstractNum w:abstractNumId="55">
    <w:nsid w:val="D5AD0F84"/>
    <w:multiLevelType w:val="singleLevel"/>
    <w:tmpl w:val="D5AD0F84"/>
    <w:lvl w:ilvl="0" w:tentative="0">
      <w:start w:val="1"/>
      <w:numFmt w:val="decimal"/>
      <w:suff w:val="nothing"/>
      <w:lvlText w:val="(%1)"/>
      <w:lvlJc w:val="left"/>
      <w:pPr>
        <w:ind w:left="425" w:hanging="425"/>
      </w:pPr>
      <w:rPr>
        <w:rFonts w:hint="default" w:ascii="宋体" w:hAnsi="宋体" w:eastAsia="宋体" w:cs="宋体"/>
        <w:sz w:val="24"/>
        <w:szCs w:val="24"/>
      </w:rPr>
    </w:lvl>
  </w:abstractNum>
  <w:abstractNum w:abstractNumId="56">
    <w:nsid w:val="D92DA71A"/>
    <w:multiLevelType w:val="singleLevel"/>
    <w:tmpl w:val="D92DA71A"/>
    <w:lvl w:ilvl="0" w:tentative="0">
      <w:start w:val="1"/>
      <w:numFmt w:val="decimal"/>
      <w:suff w:val="nothing"/>
      <w:lvlText w:val="(%1)"/>
      <w:lvlJc w:val="left"/>
      <w:pPr>
        <w:ind w:left="425" w:hanging="425"/>
      </w:pPr>
      <w:rPr>
        <w:rFonts w:hint="default" w:ascii="宋体" w:hAnsi="宋体" w:eastAsia="宋体" w:cs="宋体"/>
        <w:sz w:val="24"/>
        <w:szCs w:val="24"/>
      </w:rPr>
    </w:lvl>
  </w:abstractNum>
  <w:abstractNum w:abstractNumId="57">
    <w:nsid w:val="D9A30150"/>
    <w:multiLevelType w:val="singleLevel"/>
    <w:tmpl w:val="D9A30150"/>
    <w:lvl w:ilvl="0" w:tentative="0">
      <w:start w:val="1"/>
      <w:numFmt w:val="decimal"/>
      <w:suff w:val="nothing"/>
      <w:lvlText w:val="%1."/>
      <w:lvlJc w:val="left"/>
      <w:pPr>
        <w:ind w:left="425" w:hanging="425"/>
      </w:pPr>
      <w:rPr>
        <w:rFonts w:hint="default"/>
      </w:rPr>
    </w:lvl>
  </w:abstractNum>
  <w:abstractNum w:abstractNumId="58">
    <w:nsid w:val="DB267180"/>
    <w:multiLevelType w:val="singleLevel"/>
    <w:tmpl w:val="DB267180"/>
    <w:lvl w:ilvl="0" w:tentative="0">
      <w:start w:val="1"/>
      <w:numFmt w:val="decimalEnclosedCircleChinese"/>
      <w:suff w:val="nothing"/>
      <w:lvlText w:val="%1　"/>
      <w:lvlJc w:val="left"/>
      <w:pPr>
        <w:ind w:left="0" w:firstLine="400"/>
      </w:pPr>
      <w:rPr>
        <w:rFonts w:hint="eastAsia" w:ascii="宋体" w:hAnsi="宋体" w:eastAsia="宋体" w:cs="宋体"/>
        <w:sz w:val="24"/>
        <w:szCs w:val="24"/>
      </w:rPr>
    </w:lvl>
  </w:abstractNum>
  <w:abstractNum w:abstractNumId="59">
    <w:nsid w:val="DBB1B968"/>
    <w:multiLevelType w:val="singleLevel"/>
    <w:tmpl w:val="DBB1B968"/>
    <w:lvl w:ilvl="0" w:tentative="0">
      <w:start w:val="1"/>
      <w:numFmt w:val="decimalEnclosedCircleChinese"/>
      <w:suff w:val="nothing"/>
      <w:lvlText w:val="%1　"/>
      <w:lvlJc w:val="left"/>
      <w:pPr>
        <w:ind w:left="0" w:firstLine="400"/>
      </w:pPr>
      <w:rPr>
        <w:rFonts w:hint="eastAsia" w:ascii="宋体" w:hAnsi="宋体" w:eastAsia="宋体" w:cs="宋体"/>
        <w:sz w:val="24"/>
        <w:szCs w:val="24"/>
      </w:rPr>
    </w:lvl>
  </w:abstractNum>
  <w:abstractNum w:abstractNumId="60">
    <w:nsid w:val="DBE5443F"/>
    <w:multiLevelType w:val="singleLevel"/>
    <w:tmpl w:val="DBE5443F"/>
    <w:lvl w:ilvl="0" w:tentative="0">
      <w:start w:val="1"/>
      <w:numFmt w:val="decimal"/>
      <w:suff w:val="nothing"/>
      <w:lvlText w:val="(%1)"/>
      <w:lvlJc w:val="left"/>
      <w:pPr>
        <w:ind w:left="425" w:hanging="425"/>
      </w:pPr>
      <w:rPr>
        <w:rFonts w:hint="default"/>
      </w:rPr>
    </w:lvl>
  </w:abstractNum>
  <w:abstractNum w:abstractNumId="61">
    <w:nsid w:val="DD7E0282"/>
    <w:multiLevelType w:val="singleLevel"/>
    <w:tmpl w:val="DD7E0282"/>
    <w:lvl w:ilvl="0" w:tentative="0">
      <w:start w:val="1"/>
      <w:numFmt w:val="decimalEnclosedCircleChinese"/>
      <w:suff w:val="nothing"/>
      <w:lvlText w:val="%1　"/>
      <w:lvlJc w:val="left"/>
      <w:pPr>
        <w:ind w:left="0" w:firstLine="400"/>
      </w:pPr>
      <w:rPr>
        <w:rFonts w:hint="eastAsia"/>
      </w:rPr>
    </w:lvl>
  </w:abstractNum>
  <w:abstractNum w:abstractNumId="62">
    <w:nsid w:val="E0585A55"/>
    <w:multiLevelType w:val="singleLevel"/>
    <w:tmpl w:val="E0585A55"/>
    <w:lvl w:ilvl="0" w:tentative="0">
      <w:start w:val="1"/>
      <w:numFmt w:val="decimalEnclosedCircleChinese"/>
      <w:suff w:val="nothing"/>
      <w:lvlText w:val="%1　"/>
      <w:lvlJc w:val="left"/>
      <w:pPr>
        <w:ind w:left="0" w:firstLine="400"/>
      </w:pPr>
      <w:rPr>
        <w:rFonts w:hint="eastAsia"/>
      </w:rPr>
    </w:lvl>
  </w:abstractNum>
  <w:abstractNum w:abstractNumId="63">
    <w:nsid w:val="E0CE1EE1"/>
    <w:multiLevelType w:val="singleLevel"/>
    <w:tmpl w:val="E0CE1EE1"/>
    <w:lvl w:ilvl="0" w:tentative="0">
      <w:start w:val="1"/>
      <w:numFmt w:val="decimal"/>
      <w:suff w:val="nothing"/>
      <w:lvlText w:val="%1."/>
      <w:lvlJc w:val="left"/>
      <w:pPr>
        <w:ind w:left="425" w:hanging="425"/>
      </w:pPr>
      <w:rPr>
        <w:rFonts w:hint="default" w:ascii="宋体" w:hAnsi="宋体" w:eastAsia="宋体" w:cs="宋体"/>
        <w:sz w:val="24"/>
        <w:szCs w:val="24"/>
      </w:rPr>
    </w:lvl>
  </w:abstractNum>
  <w:abstractNum w:abstractNumId="64">
    <w:nsid w:val="E3DF3516"/>
    <w:multiLevelType w:val="singleLevel"/>
    <w:tmpl w:val="E3DF3516"/>
    <w:lvl w:ilvl="0" w:tentative="0">
      <w:start w:val="1"/>
      <w:numFmt w:val="decimal"/>
      <w:suff w:val="nothing"/>
      <w:lvlText w:val="(%1)"/>
      <w:lvlJc w:val="left"/>
      <w:pPr>
        <w:ind w:left="425" w:hanging="425"/>
      </w:pPr>
      <w:rPr>
        <w:rFonts w:hint="default"/>
      </w:rPr>
    </w:lvl>
  </w:abstractNum>
  <w:abstractNum w:abstractNumId="65">
    <w:nsid w:val="E5141261"/>
    <w:multiLevelType w:val="singleLevel"/>
    <w:tmpl w:val="E5141261"/>
    <w:lvl w:ilvl="0" w:tentative="0">
      <w:start w:val="1"/>
      <w:numFmt w:val="decimal"/>
      <w:suff w:val="nothing"/>
      <w:lvlText w:val="(%1)"/>
      <w:lvlJc w:val="left"/>
      <w:pPr>
        <w:ind w:left="425" w:hanging="425"/>
      </w:pPr>
      <w:rPr>
        <w:rFonts w:hint="default" w:ascii="宋体" w:hAnsi="宋体" w:eastAsia="宋体" w:cs="宋体"/>
        <w:sz w:val="24"/>
        <w:szCs w:val="24"/>
      </w:rPr>
    </w:lvl>
  </w:abstractNum>
  <w:abstractNum w:abstractNumId="66">
    <w:nsid w:val="E592129B"/>
    <w:multiLevelType w:val="singleLevel"/>
    <w:tmpl w:val="E592129B"/>
    <w:lvl w:ilvl="0" w:tentative="0">
      <w:start w:val="1"/>
      <w:numFmt w:val="decimalEnclosedCircleChinese"/>
      <w:suff w:val="nothing"/>
      <w:lvlText w:val="%1　"/>
      <w:lvlJc w:val="left"/>
      <w:pPr>
        <w:ind w:left="0" w:firstLine="400"/>
      </w:pPr>
      <w:rPr>
        <w:rFonts w:hint="eastAsia"/>
      </w:rPr>
    </w:lvl>
  </w:abstractNum>
  <w:abstractNum w:abstractNumId="67">
    <w:nsid w:val="E6314DEA"/>
    <w:multiLevelType w:val="singleLevel"/>
    <w:tmpl w:val="E6314DEA"/>
    <w:lvl w:ilvl="0" w:tentative="0">
      <w:start w:val="1"/>
      <w:numFmt w:val="decimal"/>
      <w:suff w:val="nothing"/>
      <w:lvlText w:val="(%1)"/>
      <w:lvlJc w:val="left"/>
      <w:pPr>
        <w:ind w:left="425" w:hanging="425"/>
      </w:pPr>
      <w:rPr>
        <w:rFonts w:hint="default" w:ascii="宋体" w:hAnsi="宋体" w:eastAsia="宋体" w:cs="宋体"/>
        <w:sz w:val="24"/>
        <w:szCs w:val="24"/>
      </w:rPr>
    </w:lvl>
  </w:abstractNum>
  <w:abstractNum w:abstractNumId="68">
    <w:nsid w:val="E6E24089"/>
    <w:multiLevelType w:val="singleLevel"/>
    <w:tmpl w:val="E6E24089"/>
    <w:lvl w:ilvl="0" w:tentative="0">
      <w:start w:val="1"/>
      <w:numFmt w:val="decimalEnclosedCircleChinese"/>
      <w:suff w:val="nothing"/>
      <w:lvlText w:val="%1　"/>
      <w:lvlJc w:val="left"/>
      <w:pPr>
        <w:ind w:left="0" w:firstLine="400"/>
      </w:pPr>
      <w:rPr>
        <w:rFonts w:hint="eastAsia"/>
      </w:rPr>
    </w:lvl>
  </w:abstractNum>
  <w:abstractNum w:abstractNumId="69">
    <w:nsid w:val="E792D5A1"/>
    <w:multiLevelType w:val="singleLevel"/>
    <w:tmpl w:val="E792D5A1"/>
    <w:lvl w:ilvl="0" w:tentative="0">
      <w:start w:val="1"/>
      <w:numFmt w:val="decimalEnclosedCircleChinese"/>
      <w:suff w:val="nothing"/>
      <w:lvlText w:val="%1　"/>
      <w:lvlJc w:val="left"/>
      <w:pPr>
        <w:ind w:left="0" w:firstLine="400"/>
      </w:pPr>
      <w:rPr>
        <w:rFonts w:hint="eastAsia"/>
      </w:rPr>
    </w:lvl>
  </w:abstractNum>
  <w:abstractNum w:abstractNumId="70">
    <w:nsid w:val="E9278978"/>
    <w:multiLevelType w:val="singleLevel"/>
    <w:tmpl w:val="E9278978"/>
    <w:lvl w:ilvl="0" w:tentative="0">
      <w:start w:val="1"/>
      <w:numFmt w:val="decimal"/>
      <w:suff w:val="nothing"/>
      <w:lvlText w:val="(%1)"/>
      <w:lvlJc w:val="left"/>
      <w:pPr>
        <w:ind w:left="425" w:hanging="425"/>
      </w:pPr>
      <w:rPr>
        <w:rFonts w:hint="default"/>
      </w:rPr>
    </w:lvl>
  </w:abstractNum>
  <w:abstractNum w:abstractNumId="71">
    <w:nsid w:val="EA72B527"/>
    <w:multiLevelType w:val="singleLevel"/>
    <w:tmpl w:val="EA72B527"/>
    <w:lvl w:ilvl="0" w:tentative="0">
      <w:start w:val="1"/>
      <w:numFmt w:val="decimalEnclosedCircleChinese"/>
      <w:suff w:val="nothing"/>
      <w:lvlText w:val="%1　"/>
      <w:lvlJc w:val="left"/>
      <w:pPr>
        <w:ind w:left="0" w:firstLine="400"/>
      </w:pPr>
      <w:rPr>
        <w:rFonts w:hint="eastAsia"/>
      </w:rPr>
    </w:lvl>
  </w:abstractNum>
  <w:abstractNum w:abstractNumId="72">
    <w:nsid w:val="EE8ED7A1"/>
    <w:multiLevelType w:val="singleLevel"/>
    <w:tmpl w:val="EE8ED7A1"/>
    <w:lvl w:ilvl="0" w:tentative="0">
      <w:start w:val="1"/>
      <w:numFmt w:val="decimal"/>
      <w:suff w:val="nothing"/>
      <w:lvlText w:val="(%1)"/>
      <w:lvlJc w:val="left"/>
      <w:pPr>
        <w:ind w:left="425" w:hanging="425"/>
      </w:pPr>
      <w:rPr>
        <w:rFonts w:hint="default" w:ascii="宋体" w:hAnsi="宋体" w:eastAsia="宋体" w:cs="宋体"/>
        <w:color w:val="auto"/>
        <w:sz w:val="24"/>
        <w:szCs w:val="24"/>
      </w:rPr>
    </w:lvl>
  </w:abstractNum>
  <w:abstractNum w:abstractNumId="73">
    <w:nsid w:val="EEEABBF8"/>
    <w:multiLevelType w:val="singleLevel"/>
    <w:tmpl w:val="EEEABBF8"/>
    <w:lvl w:ilvl="0" w:tentative="0">
      <w:start w:val="1"/>
      <w:numFmt w:val="decimalEnclosedCircleChinese"/>
      <w:suff w:val="nothing"/>
      <w:lvlText w:val="%1　"/>
      <w:lvlJc w:val="left"/>
      <w:pPr>
        <w:ind w:left="0" w:firstLine="400"/>
      </w:pPr>
      <w:rPr>
        <w:rFonts w:hint="eastAsia"/>
      </w:rPr>
    </w:lvl>
  </w:abstractNum>
  <w:abstractNum w:abstractNumId="74">
    <w:nsid w:val="EF488E77"/>
    <w:multiLevelType w:val="singleLevel"/>
    <w:tmpl w:val="EF488E77"/>
    <w:lvl w:ilvl="0" w:tentative="0">
      <w:start w:val="1"/>
      <w:numFmt w:val="decimalEnclosedCircleChinese"/>
      <w:suff w:val="nothing"/>
      <w:lvlText w:val="%1　"/>
      <w:lvlJc w:val="left"/>
      <w:pPr>
        <w:ind w:left="0" w:firstLine="400"/>
      </w:pPr>
      <w:rPr>
        <w:rFonts w:hint="eastAsia"/>
      </w:rPr>
    </w:lvl>
  </w:abstractNum>
  <w:abstractNum w:abstractNumId="75">
    <w:nsid w:val="F0AC4D57"/>
    <w:multiLevelType w:val="singleLevel"/>
    <w:tmpl w:val="F0AC4D57"/>
    <w:lvl w:ilvl="0" w:tentative="0">
      <w:start w:val="1"/>
      <w:numFmt w:val="decimalEnclosedCircleChinese"/>
      <w:suff w:val="nothing"/>
      <w:lvlText w:val="%1　"/>
      <w:lvlJc w:val="left"/>
      <w:pPr>
        <w:ind w:left="0" w:firstLine="400"/>
      </w:pPr>
      <w:rPr>
        <w:rFonts w:hint="eastAsia"/>
      </w:rPr>
    </w:lvl>
  </w:abstractNum>
  <w:abstractNum w:abstractNumId="76">
    <w:nsid w:val="F1D3A8B4"/>
    <w:multiLevelType w:val="singleLevel"/>
    <w:tmpl w:val="F1D3A8B4"/>
    <w:lvl w:ilvl="0" w:tentative="0">
      <w:start w:val="1"/>
      <w:numFmt w:val="decimal"/>
      <w:suff w:val="nothing"/>
      <w:lvlText w:val="(%1)"/>
      <w:lvlJc w:val="left"/>
      <w:pPr>
        <w:ind w:left="425" w:hanging="425"/>
      </w:pPr>
      <w:rPr>
        <w:rFonts w:hint="default"/>
      </w:rPr>
    </w:lvl>
  </w:abstractNum>
  <w:abstractNum w:abstractNumId="77">
    <w:nsid w:val="F44A5049"/>
    <w:multiLevelType w:val="singleLevel"/>
    <w:tmpl w:val="F44A5049"/>
    <w:lvl w:ilvl="0" w:tentative="0">
      <w:start w:val="1"/>
      <w:numFmt w:val="decimal"/>
      <w:suff w:val="nothing"/>
      <w:lvlText w:val="(%1)"/>
      <w:lvlJc w:val="left"/>
    </w:lvl>
  </w:abstractNum>
  <w:abstractNum w:abstractNumId="78">
    <w:nsid w:val="F63D95A8"/>
    <w:multiLevelType w:val="singleLevel"/>
    <w:tmpl w:val="F63D95A8"/>
    <w:lvl w:ilvl="0" w:tentative="0">
      <w:start w:val="1"/>
      <w:numFmt w:val="decimal"/>
      <w:suff w:val="nothing"/>
      <w:lvlText w:val="(%1)"/>
      <w:lvlJc w:val="left"/>
      <w:pPr>
        <w:ind w:left="425" w:hanging="425"/>
      </w:pPr>
      <w:rPr>
        <w:rFonts w:hint="default"/>
      </w:rPr>
    </w:lvl>
  </w:abstractNum>
  <w:abstractNum w:abstractNumId="79">
    <w:nsid w:val="F8E58469"/>
    <w:multiLevelType w:val="singleLevel"/>
    <w:tmpl w:val="F8E58469"/>
    <w:lvl w:ilvl="0" w:tentative="0">
      <w:start w:val="1"/>
      <w:numFmt w:val="decimal"/>
      <w:suff w:val="nothing"/>
      <w:lvlText w:val="%1."/>
      <w:lvlJc w:val="left"/>
      <w:pPr>
        <w:ind w:left="425" w:hanging="425"/>
      </w:pPr>
      <w:rPr>
        <w:rFonts w:hint="default"/>
      </w:rPr>
    </w:lvl>
  </w:abstractNum>
  <w:abstractNum w:abstractNumId="80">
    <w:nsid w:val="FB4E9596"/>
    <w:multiLevelType w:val="singleLevel"/>
    <w:tmpl w:val="FB4E9596"/>
    <w:lvl w:ilvl="0" w:tentative="0">
      <w:start w:val="1"/>
      <w:numFmt w:val="decimal"/>
      <w:suff w:val="nothing"/>
      <w:lvlText w:val="(%1)"/>
      <w:lvlJc w:val="left"/>
      <w:pPr>
        <w:ind w:left="425" w:hanging="425"/>
      </w:pPr>
      <w:rPr>
        <w:rFonts w:hint="default" w:ascii="宋体" w:hAnsi="宋体" w:eastAsia="宋体" w:cs="宋体"/>
        <w:sz w:val="24"/>
        <w:szCs w:val="24"/>
      </w:rPr>
    </w:lvl>
  </w:abstractNum>
  <w:abstractNum w:abstractNumId="81">
    <w:nsid w:val="FCCADA79"/>
    <w:multiLevelType w:val="singleLevel"/>
    <w:tmpl w:val="FCCADA79"/>
    <w:lvl w:ilvl="0" w:tentative="0">
      <w:start w:val="1"/>
      <w:numFmt w:val="decimal"/>
      <w:suff w:val="nothing"/>
      <w:lvlText w:val="%1."/>
      <w:lvlJc w:val="left"/>
      <w:pPr>
        <w:ind w:left="425" w:hanging="425"/>
      </w:pPr>
      <w:rPr>
        <w:rFonts w:hint="default" w:ascii="宋体" w:hAnsi="宋体" w:eastAsia="宋体" w:cs="宋体"/>
        <w:sz w:val="24"/>
        <w:szCs w:val="24"/>
      </w:rPr>
    </w:lvl>
  </w:abstractNum>
  <w:abstractNum w:abstractNumId="82">
    <w:nsid w:val="FE7F8058"/>
    <w:multiLevelType w:val="singleLevel"/>
    <w:tmpl w:val="FE7F8058"/>
    <w:lvl w:ilvl="0" w:tentative="0">
      <w:start w:val="1"/>
      <w:numFmt w:val="decimalEnclosedCircleChinese"/>
      <w:suff w:val="nothing"/>
      <w:lvlText w:val="%1　"/>
      <w:lvlJc w:val="left"/>
      <w:pPr>
        <w:ind w:left="0" w:firstLine="400"/>
      </w:pPr>
      <w:rPr>
        <w:rFonts w:hint="eastAsia"/>
      </w:rPr>
    </w:lvl>
  </w:abstractNum>
  <w:abstractNum w:abstractNumId="83">
    <w:nsid w:val="FFD72A8C"/>
    <w:multiLevelType w:val="singleLevel"/>
    <w:tmpl w:val="FFD72A8C"/>
    <w:lvl w:ilvl="0" w:tentative="0">
      <w:start w:val="1"/>
      <w:numFmt w:val="decimal"/>
      <w:suff w:val="nothing"/>
      <w:lvlText w:val="(%1)"/>
      <w:lvlJc w:val="left"/>
      <w:pPr>
        <w:ind w:left="425" w:hanging="425"/>
      </w:pPr>
      <w:rPr>
        <w:rFonts w:hint="default"/>
      </w:rPr>
    </w:lvl>
  </w:abstractNum>
  <w:abstractNum w:abstractNumId="84">
    <w:nsid w:val="00000001"/>
    <w:multiLevelType w:val="singleLevel"/>
    <w:tmpl w:val="00000001"/>
    <w:lvl w:ilvl="0" w:tentative="0">
      <w:start w:val="1"/>
      <w:numFmt w:val="decimal"/>
      <w:pStyle w:val="157"/>
      <w:lvlText w:val="%1)"/>
      <w:lvlJc w:val="left"/>
      <w:pPr>
        <w:tabs>
          <w:tab w:val="left" w:pos="425"/>
        </w:tabs>
        <w:ind w:left="425" w:hanging="425"/>
      </w:pPr>
      <w:rPr>
        <w:rFonts w:hint="eastAsia"/>
      </w:rPr>
    </w:lvl>
  </w:abstractNum>
  <w:abstractNum w:abstractNumId="85">
    <w:nsid w:val="0000000D"/>
    <w:multiLevelType w:val="multilevel"/>
    <w:tmpl w:val="0000000D"/>
    <w:lvl w:ilvl="0" w:tentative="0">
      <w:start w:val="1"/>
      <w:numFmt w:val="bullet"/>
      <w:pStyle w:val="156"/>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6">
    <w:nsid w:val="0000000E"/>
    <w:multiLevelType w:val="singleLevel"/>
    <w:tmpl w:val="0000000E"/>
    <w:lvl w:ilvl="0" w:tentative="0">
      <w:start w:val="1"/>
      <w:numFmt w:val="bullet"/>
      <w:pStyle w:val="229"/>
      <w:lvlText w:val=""/>
      <w:lvlJc w:val="left"/>
      <w:pPr>
        <w:tabs>
          <w:tab w:val="left" w:pos="360"/>
        </w:tabs>
        <w:ind w:left="360" w:hanging="360"/>
      </w:pPr>
      <w:rPr>
        <w:rFonts w:hint="default" w:ascii="Wingdings" w:hAnsi="Wingdings"/>
      </w:rPr>
    </w:lvl>
  </w:abstractNum>
  <w:abstractNum w:abstractNumId="87">
    <w:nsid w:val="00000011"/>
    <w:multiLevelType w:val="multilevel"/>
    <w:tmpl w:val="00000011"/>
    <w:lvl w:ilvl="0" w:tentative="0">
      <w:start w:val="1"/>
      <w:numFmt w:val="upperLetter"/>
      <w:pStyle w:val="220"/>
      <w:suff w:val="nothing"/>
      <w:lvlText w:val="附　录　%1"/>
      <w:lvlJc w:val="left"/>
      <w:pPr>
        <w:ind w:left="0" w:firstLine="0"/>
      </w:pPr>
      <w:rPr>
        <w:rFonts w:hint="eastAsia" w:ascii="黑体" w:hAnsi="Times New Roman" w:eastAsia="黑体"/>
        <w:b w:val="0"/>
        <w:i w:val="0"/>
        <w:sz w:val="21"/>
      </w:rPr>
    </w:lvl>
    <w:lvl w:ilvl="1" w:tentative="0">
      <w:start w:val="1"/>
      <w:numFmt w:val="decimal"/>
      <w:pStyle w:val="17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88">
    <w:nsid w:val="00000012"/>
    <w:multiLevelType w:val="singleLevel"/>
    <w:tmpl w:val="00000012"/>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89">
    <w:nsid w:val="00000014"/>
    <w:multiLevelType w:val="multilevel"/>
    <w:tmpl w:val="00000014"/>
    <w:lvl w:ilvl="0" w:tentative="0">
      <w:start w:val="1"/>
      <w:numFmt w:val="bullet"/>
      <w:pStyle w:val="149"/>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90">
    <w:nsid w:val="00000015"/>
    <w:multiLevelType w:val="singleLevel"/>
    <w:tmpl w:val="00000015"/>
    <w:lvl w:ilvl="0" w:tentative="0">
      <w:start w:val="1"/>
      <w:numFmt w:val="bullet"/>
      <w:pStyle w:val="184"/>
      <w:lvlText w:val=""/>
      <w:lvlJc w:val="left"/>
      <w:pPr>
        <w:tabs>
          <w:tab w:val="left" w:pos="1620"/>
        </w:tabs>
        <w:ind w:left="1620" w:hanging="360"/>
      </w:pPr>
      <w:rPr>
        <w:rFonts w:hint="default" w:ascii="Wingdings" w:hAnsi="Wingdings"/>
      </w:rPr>
    </w:lvl>
  </w:abstractNum>
  <w:abstractNum w:abstractNumId="91">
    <w:nsid w:val="00000016"/>
    <w:multiLevelType w:val="multilevel"/>
    <w:tmpl w:val="00000016"/>
    <w:lvl w:ilvl="0" w:tentative="0">
      <w:start w:val="1"/>
      <w:numFmt w:val="decimal"/>
      <w:pStyle w:val="122"/>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2">
    <w:nsid w:val="00000017"/>
    <w:multiLevelType w:val="multilevel"/>
    <w:tmpl w:val="00000017"/>
    <w:lvl w:ilvl="0" w:tentative="0">
      <w:start w:val="1"/>
      <w:numFmt w:val="chineseCountingThousand"/>
      <w:pStyle w:val="161"/>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3">
    <w:nsid w:val="00000019"/>
    <w:multiLevelType w:val="multilevel"/>
    <w:tmpl w:val="00000019"/>
    <w:lvl w:ilvl="0" w:tentative="0">
      <w:start w:val="1"/>
      <w:numFmt w:val="bullet"/>
      <w:pStyle w:val="23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4">
    <w:nsid w:val="0000001A"/>
    <w:multiLevelType w:val="singleLevel"/>
    <w:tmpl w:val="0000001A"/>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95">
    <w:nsid w:val="0000001D"/>
    <w:multiLevelType w:val="singleLevel"/>
    <w:tmpl w:val="0000001D"/>
    <w:lvl w:ilvl="0" w:tentative="0">
      <w:start w:val="1"/>
      <w:numFmt w:val="decimal"/>
      <w:pStyle w:val="13"/>
      <w:lvlText w:val="%1."/>
      <w:lvlJc w:val="left"/>
      <w:pPr>
        <w:tabs>
          <w:tab w:val="left" w:pos="425"/>
        </w:tabs>
        <w:ind w:left="425" w:hanging="425"/>
      </w:pPr>
      <w:rPr>
        <w:rFonts w:hint="default"/>
      </w:rPr>
    </w:lvl>
  </w:abstractNum>
  <w:abstractNum w:abstractNumId="96">
    <w:nsid w:val="0055CE2A"/>
    <w:multiLevelType w:val="singleLevel"/>
    <w:tmpl w:val="0055CE2A"/>
    <w:lvl w:ilvl="0" w:tentative="0">
      <w:start w:val="1"/>
      <w:numFmt w:val="decimal"/>
      <w:suff w:val="nothing"/>
      <w:lvlText w:val="(%1)"/>
      <w:lvlJc w:val="left"/>
    </w:lvl>
  </w:abstractNum>
  <w:abstractNum w:abstractNumId="97">
    <w:nsid w:val="00FA1999"/>
    <w:multiLevelType w:val="singleLevel"/>
    <w:tmpl w:val="00FA1999"/>
    <w:lvl w:ilvl="0" w:tentative="0">
      <w:start w:val="1"/>
      <w:numFmt w:val="decimalEnclosedCircleChinese"/>
      <w:suff w:val="nothing"/>
      <w:lvlText w:val="%1　"/>
      <w:lvlJc w:val="left"/>
      <w:pPr>
        <w:ind w:left="0" w:firstLine="400"/>
      </w:pPr>
      <w:rPr>
        <w:rFonts w:hint="eastAsia"/>
      </w:rPr>
    </w:lvl>
  </w:abstractNum>
  <w:abstractNum w:abstractNumId="98">
    <w:nsid w:val="0214BFF5"/>
    <w:multiLevelType w:val="singleLevel"/>
    <w:tmpl w:val="0214BFF5"/>
    <w:lvl w:ilvl="0" w:tentative="0">
      <w:start w:val="1"/>
      <w:numFmt w:val="decimalEnclosedCircleChinese"/>
      <w:suff w:val="nothing"/>
      <w:lvlText w:val="%1　"/>
      <w:lvlJc w:val="left"/>
      <w:pPr>
        <w:ind w:left="0" w:firstLine="400"/>
      </w:pPr>
      <w:rPr>
        <w:rFonts w:hint="eastAsia"/>
      </w:rPr>
    </w:lvl>
  </w:abstractNum>
  <w:abstractNum w:abstractNumId="99">
    <w:nsid w:val="02575DEF"/>
    <w:multiLevelType w:val="singleLevel"/>
    <w:tmpl w:val="02575DEF"/>
    <w:lvl w:ilvl="0" w:tentative="0">
      <w:start w:val="1"/>
      <w:numFmt w:val="decimalEnclosedCircleChinese"/>
      <w:suff w:val="nothing"/>
      <w:lvlText w:val="%1　"/>
      <w:lvlJc w:val="left"/>
      <w:pPr>
        <w:ind w:left="0" w:firstLine="400"/>
      </w:pPr>
      <w:rPr>
        <w:rFonts w:hint="eastAsia" w:ascii="宋体" w:hAnsi="宋体" w:eastAsia="宋体" w:cs="宋体"/>
        <w:sz w:val="24"/>
        <w:szCs w:val="24"/>
      </w:rPr>
    </w:lvl>
  </w:abstractNum>
  <w:abstractNum w:abstractNumId="100">
    <w:nsid w:val="0258DBED"/>
    <w:multiLevelType w:val="singleLevel"/>
    <w:tmpl w:val="0258DBED"/>
    <w:lvl w:ilvl="0" w:tentative="0">
      <w:start w:val="1"/>
      <w:numFmt w:val="decimal"/>
      <w:suff w:val="nothing"/>
      <w:lvlText w:val="%1."/>
      <w:lvlJc w:val="left"/>
      <w:pPr>
        <w:ind w:left="425" w:hanging="425"/>
      </w:pPr>
      <w:rPr>
        <w:rFonts w:hint="default"/>
      </w:rPr>
    </w:lvl>
  </w:abstractNum>
  <w:abstractNum w:abstractNumId="101">
    <w:nsid w:val="03D266E5"/>
    <w:multiLevelType w:val="singleLevel"/>
    <w:tmpl w:val="03D266E5"/>
    <w:lvl w:ilvl="0" w:tentative="0">
      <w:start w:val="1"/>
      <w:numFmt w:val="decimal"/>
      <w:suff w:val="nothing"/>
      <w:lvlText w:val="(%1)"/>
      <w:lvlJc w:val="left"/>
      <w:pPr>
        <w:ind w:left="425" w:hanging="425"/>
      </w:pPr>
      <w:rPr>
        <w:rFonts w:hint="default"/>
      </w:rPr>
    </w:lvl>
  </w:abstractNum>
  <w:abstractNum w:abstractNumId="102">
    <w:nsid w:val="043EDA63"/>
    <w:multiLevelType w:val="singleLevel"/>
    <w:tmpl w:val="043EDA63"/>
    <w:lvl w:ilvl="0" w:tentative="0">
      <w:start w:val="1"/>
      <w:numFmt w:val="decimalEnclosedCircleChinese"/>
      <w:suff w:val="nothing"/>
      <w:lvlText w:val="%1　"/>
      <w:lvlJc w:val="left"/>
      <w:pPr>
        <w:ind w:left="0" w:firstLine="400"/>
      </w:pPr>
      <w:rPr>
        <w:rFonts w:hint="eastAsia"/>
      </w:rPr>
    </w:lvl>
  </w:abstractNum>
  <w:abstractNum w:abstractNumId="103">
    <w:nsid w:val="05134F35"/>
    <w:multiLevelType w:val="singleLevel"/>
    <w:tmpl w:val="05134F35"/>
    <w:lvl w:ilvl="0" w:tentative="0">
      <w:start w:val="1"/>
      <w:numFmt w:val="decimal"/>
      <w:suff w:val="nothing"/>
      <w:lvlText w:val="%1."/>
      <w:lvlJc w:val="left"/>
      <w:pPr>
        <w:ind w:left="425" w:hanging="425"/>
      </w:pPr>
      <w:rPr>
        <w:rFonts w:hint="default"/>
      </w:rPr>
    </w:lvl>
  </w:abstractNum>
  <w:abstractNum w:abstractNumId="104">
    <w:nsid w:val="068B260F"/>
    <w:multiLevelType w:val="singleLevel"/>
    <w:tmpl w:val="068B260F"/>
    <w:lvl w:ilvl="0" w:tentative="0">
      <w:start w:val="1"/>
      <w:numFmt w:val="decimal"/>
      <w:suff w:val="nothing"/>
      <w:lvlText w:val="(%1)"/>
      <w:lvlJc w:val="left"/>
      <w:pPr>
        <w:ind w:left="425" w:hanging="425"/>
      </w:pPr>
      <w:rPr>
        <w:rFonts w:hint="default" w:ascii="宋体" w:hAnsi="宋体" w:eastAsia="宋体" w:cs="宋体"/>
        <w:sz w:val="24"/>
        <w:szCs w:val="24"/>
      </w:rPr>
    </w:lvl>
  </w:abstractNum>
  <w:abstractNum w:abstractNumId="105">
    <w:nsid w:val="06CE1F9D"/>
    <w:multiLevelType w:val="singleLevel"/>
    <w:tmpl w:val="06CE1F9D"/>
    <w:lvl w:ilvl="0" w:tentative="0">
      <w:start w:val="1"/>
      <w:numFmt w:val="decimal"/>
      <w:suff w:val="nothing"/>
      <w:lvlText w:val="(%1)"/>
      <w:lvlJc w:val="left"/>
      <w:pPr>
        <w:ind w:left="425" w:hanging="425"/>
      </w:pPr>
      <w:rPr>
        <w:rFonts w:hint="default" w:ascii="宋体" w:hAnsi="宋体" w:eastAsia="宋体" w:cs="宋体"/>
        <w:sz w:val="24"/>
        <w:szCs w:val="24"/>
      </w:rPr>
    </w:lvl>
  </w:abstractNum>
  <w:abstractNum w:abstractNumId="106">
    <w:nsid w:val="07C25DBD"/>
    <w:multiLevelType w:val="singleLevel"/>
    <w:tmpl w:val="07C25DBD"/>
    <w:lvl w:ilvl="0" w:tentative="0">
      <w:start w:val="1"/>
      <w:numFmt w:val="decimal"/>
      <w:suff w:val="nothing"/>
      <w:lvlText w:val="%1."/>
      <w:lvlJc w:val="left"/>
      <w:pPr>
        <w:ind w:left="425" w:hanging="425"/>
      </w:pPr>
      <w:rPr>
        <w:rFonts w:hint="default"/>
      </w:rPr>
    </w:lvl>
  </w:abstractNum>
  <w:abstractNum w:abstractNumId="107">
    <w:nsid w:val="089A0D0A"/>
    <w:multiLevelType w:val="singleLevel"/>
    <w:tmpl w:val="089A0D0A"/>
    <w:lvl w:ilvl="0" w:tentative="0">
      <w:start w:val="1"/>
      <w:numFmt w:val="decimal"/>
      <w:suff w:val="nothing"/>
      <w:lvlText w:val="(%1)"/>
      <w:lvlJc w:val="left"/>
      <w:pPr>
        <w:ind w:left="425" w:hanging="425"/>
      </w:pPr>
      <w:rPr>
        <w:rFonts w:hint="default" w:ascii="宋体" w:hAnsi="宋体" w:eastAsia="宋体" w:cs="宋体"/>
        <w:sz w:val="24"/>
        <w:szCs w:val="24"/>
      </w:rPr>
    </w:lvl>
  </w:abstractNum>
  <w:abstractNum w:abstractNumId="108">
    <w:nsid w:val="08A2CC4F"/>
    <w:multiLevelType w:val="singleLevel"/>
    <w:tmpl w:val="08A2CC4F"/>
    <w:lvl w:ilvl="0" w:tentative="0">
      <w:start w:val="1"/>
      <w:numFmt w:val="decimalEnclosedCircleChinese"/>
      <w:suff w:val="nothing"/>
      <w:lvlText w:val="%1　"/>
      <w:lvlJc w:val="left"/>
      <w:pPr>
        <w:ind w:left="0" w:firstLine="400"/>
      </w:pPr>
      <w:rPr>
        <w:rFonts w:hint="eastAsia" w:ascii="宋体" w:hAnsi="宋体" w:eastAsia="宋体" w:cs="宋体"/>
        <w:sz w:val="24"/>
        <w:szCs w:val="24"/>
      </w:rPr>
    </w:lvl>
  </w:abstractNum>
  <w:abstractNum w:abstractNumId="109">
    <w:nsid w:val="08B0726A"/>
    <w:multiLevelType w:val="singleLevel"/>
    <w:tmpl w:val="08B0726A"/>
    <w:lvl w:ilvl="0" w:tentative="0">
      <w:start w:val="1"/>
      <w:numFmt w:val="decimalEnclosedCircleChinese"/>
      <w:suff w:val="nothing"/>
      <w:lvlText w:val="%1　"/>
      <w:lvlJc w:val="left"/>
      <w:pPr>
        <w:ind w:left="0" w:firstLine="400"/>
      </w:pPr>
      <w:rPr>
        <w:rFonts w:hint="eastAsia"/>
      </w:rPr>
    </w:lvl>
  </w:abstractNum>
  <w:abstractNum w:abstractNumId="110">
    <w:nsid w:val="0AC73033"/>
    <w:multiLevelType w:val="singleLevel"/>
    <w:tmpl w:val="0AC73033"/>
    <w:lvl w:ilvl="0" w:tentative="0">
      <w:start w:val="1"/>
      <w:numFmt w:val="decimalEnclosedCircleChinese"/>
      <w:suff w:val="nothing"/>
      <w:lvlText w:val="%1　"/>
      <w:lvlJc w:val="left"/>
      <w:pPr>
        <w:ind w:left="0" w:firstLine="400"/>
      </w:pPr>
      <w:rPr>
        <w:rFonts w:hint="eastAsia"/>
      </w:rPr>
    </w:lvl>
  </w:abstractNum>
  <w:abstractNum w:abstractNumId="111">
    <w:nsid w:val="0C905AD2"/>
    <w:multiLevelType w:val="singleLevel"/>
    <w:tmpl w:val="0C905AD2"/>
    <w:lvl w:ilvl="0" w:tentative="0">
      <w:start w:val="1"/>
      <w:numFmt w:val="decimalEnclosedCircleChinese"/>
      <w:suff w:val="nothing"/>
      <w:lvlText w:val="%1　"/>
      <w:lvlJc w:val="left"/>
      <w:pPr>
        <w:ind w:left="0" w:firstLine="400"/>
      </w:pPr>
      <w:rPr>
        <w:rFonts w:hint="eastAsia"/>
      </w:rPr>
    </w:lvl>
  </w:abstractNum>
  <w:abstractNum w:abstractNumId="112">
    <w:nsid w:val="0CCBB1B0"/>
    <w:multiLevelType w:val="singleLevel"/>
    <w:tmpl w:val="0CCBB1B0"/>
    <w:lvl w:ilvl="0" w:tentative="0">
      <w:start w:val="1"/>
      <w:numFmt w:val="decimal"/>
      <w:suff w:val="nothing"/>
      <w:lvlText w:val="(%1)"/>
      <w:lvlJc w:val="left"/>
      <w:pPr>
        <w:ind w:left="425" w:hanging="425"/>
      </w:pPr>
      <w:rPr>
        <w:rFonts w:hint="default"/>
      </w:rPr>
    </w:lvl>
  </w:abstractNum>
  <w:abstractNum w:abstractNumId="113">
    <w:nsid w:val="0D956663"/>
    <w:multiLevelType w:val="singleLevel"/>
    <w:tmpl w:val="0D956663"/>
    <w:lvl w:ilvl="0" w:tentative="0">
      <w:start w:val="1"/>
      <w:numFmt w:val="decimalEnclosedCircleChinese"/>
      <w:suff w:val="nothing"/>
      <w:lvlText w:val="%1　"/>
      <w:lvlJc w:val="left"/>
      <w:pPr>
        <w:ind w:left="0" w:firstLine="400"/>
      </w:pPr>
      <w:rPr>
        <w:rFonts w:hint="eastAsia"/>
      </w:rPr>
    </w:lvl>
  </w:abstractNum>
  <w:abstractNum w:abstractNumId="114">
    <w:nsid w:val="0F68D7C8"/>
    <w:multiLevelType w:val="singleLevel"/>
    <w:tmpl w:val="0F68D7C8"/>
    <w:lvl w:ilvl="0" w:tentative="0">
      <w:start w:val="1"/>
      <w:numFmt w:val="decimal"/>
      <w:lvlText w:val="(%1)"/>
      <w:lvlJc w:val="left"/>
      <w:pPr>
        <w:ind w:left="425" w:hanging="425"/>
      </w:pPr>
      <w:rPr>
        <w:rFonts w:hint="default"/>
      </w:rPr>
    </w:lvl>
  </w:abstractNum>
  <w:abstractNum w:abstractNumId="115">
    <w:nsid w:val="0F6CA442"/>
    <w:multiLevelType w:val="singleLevel"/>
    <w:tmpl w:val="0F6CA442"/>
    <w:lvl w:ilvl="0" w:tentative="0">
      <w:start w:val="1"/>
      <w:numFmt w:val="decimalEnclosedCircleChinese"/>
      <w:suff w:val="nothing"/>
      <w:lvlText w:val="%1　"/>
      <w:lvlJc w:val="left"/>
      <w:pPr>
        <w:ind w:left="0" w:firstLine="400"/>
      </w:pPr>
      <w:rPr>
        <w:rFonts w:hint="eastAsia"/>
      </w:rPr>
    </w:lvl>
  </w:abstractNum>
  <w:abstractNum w:abstractNumId="116">
    <w:nsid w:val="1030A150"/>
    <w:multiLevelType w:val="singleLevel"/>
    <w:tmpl w:val="1030A150"/>
    <w:lvl w:ilvl="0" w:tentative="0">
      <w:start w:val="1"/>
      <w:numFmt w:val="decimal"/>
      <w:suff w:val="nothing"/>
      <w:lvlText w:val="%1."/>
      <w:lvlJc w:val="left"/>
      <w:pPr>
        <w:ind w:left="425" w:hanging="425"/>
      </w:pPr>
      <w:rPr>
        <w:rFonts w:hint="default"/>
      </w:rPr>
    </w:lvl>
  </w:abstractNum>
  <w:abstractNum w:abstractNumId="117">
    <w:nsid w:val="11567DB8"/>
    <w:multiLevelType w:val="singleLevel"/>
    <w:tmpl w:val="11567DB8"/>
    <w:lvl w:ilvl="0" w:tentative="0">
      <w:start w:val="1"/>
      <w:numFmt w:val="decimal"/>
      <w:suff w:val="nothing"/>
      <w:lvlText w:val="%1."/>
      <w:lvlJc w:val="left"/>
      <w:pPr>
        <w:ind w:left="425" w:hanging="425"/>
      </w:pPr>
      <w:rPr>
        <w:rFonts w:hint="default"/>
        <w:color w:val="auto"/>
      </w:rPr>
    </w:lvl>
  </w:abstractNum>
  <w:abstractNum w:abstractNumId="118">
    <w:nsid w:val="131D7FBB"/>
    <w:multiLevelType w:val="singleLevel"/>
    <w:tmpl w:val="131D7FBB"/>
    <w:lvl w:ilvl="0" w:tentative="0">
      <w:start w:val="1"/>
      <w:numFmt w:val="decimal"/>
      <w:suff w:val="nothing"/>
      <w:lvlText w:val="(%1)"/>
      <w:lvlJc w:val="left"/>
      <w:pPr>
        <w:ind w:left="425" w:hanging="425"/>
      </w:pPr>
      <w:rPr>
        <w:rFonts w:hint="default"/>
      </w:rPr>
    </w:lvl>
  </w:abstractNum>
  <w:abstractNum w:abstractNumId="119">
    <w:nsid w:val="140837BD"/>
    <w:multiLevelType w:val="singleLevel"/>
    <w:tmpl w:val="140837BD"/>
    <w:lvl w:ilvl="0" w:tentative="0">
      <w:start w:val="1"/>
      <w:numFmt w:val="decimal"/>
      <w:suff w:val="nothing"/>
      <w:lvlText w:val="(%1)"/>
      <w:lvlJc w:val="left"/>
      <w:pPr>
        <w:ind w:left="425" w:hanging="425"/>
      </w:pPr>
      <w:rPr>
        <w:rFonts w:hint="default" w:ascii="宋体" w:hAnsi="宋体" w:eastAsia="宋体" w:cs="宋体"/>
        <w:sz w:val="24"/>
        <w:szCs w:val="24"/>
      </w:rPr>
    </w:lvl>
  </w:abstractNum>
  <w:abstractNum w:abstractNumId="120">
    <w:nsid w:val="1494F038"/>
    <w:multiLevelType w:val="singleLevel"/>
    <w:tmpl w:val="1494F038"/>
    <w:lvl w:ilvl="0" w:tentative="0">
      <w:start w:val="1"/>
      <w:numFmt w:val="decimalEnclosedCircleChinese"/>
      <w:suff w:val="nothing"/>
      <w:lvlText w:val="%1　"/>
      <w:lvlJc w:val="left"/>
      <w:pPr>
        <w:ind w:left="0" w:firstLine="400"/>
      </w:pPr>
      <w:rPr>
        <w:rFonts w:hint="eastAsia"/>
      </w:rPr>
    </w:lvl>
  </w:abstractNum>
  <w:abstractNum w:abstractNumId="121">
    <w:nsid w:val="14A1EEF3"/>
    <w:multiLevelType w:val="singleLevel"/>
    <w:tmpl w:val="14A1EEF3"/>
    <w:lvl w:ilvl="0" w:tentative="0">
      <w:start w:val="1"/>
      <w:numFmt w:val="decimal"/>
      <w:suff w:val="nothing"/>
      <w:lvlText w:val="(%1)"/>
      <w:lvlJc w:val="left"/>
      <w:pPr>
        <w:ind w:left="425" w:hanging="425"/>
      </w:pPr>
      <w:rPr>
        <w:rFonts w:hint="default"/>
      </w:rPr>
    </w:lvl>
  </w:abstractNum>
  <w:abstractNum w:abstractNumId="122">
    <w:nsid w:val="16D9F870"/>
    <w:multiLevelType w:val="singleLevel"/>
    <w:tmpl w:val="16D9F870"/>
    <w:lvl w:ilvl="0" w:tentative="0">
      <w:start w:val="1"/>
      <w:numFmt w:val="decimal"/>
      <w:suff w:val="nothing"/>
      <w:lvlText w:val="(%1)"/>
      <w:lvlJc w:val="left"/>
      <w:pPr>
        <w:ind w:left="425" w:hanging="425"/>
      </w:pPr>
      <w:rPr>
        <w:rFonts w:hint="default"/>
      </w:rPr>
    </w:lvl>
  </w:abstractNum>
  <w:abstractNum w:abstractNumId="123">
    <w:nsid w:val="17B1FD00"/>
    <w:multiLevelType w:val="singleLevel"/>
    <w:tmpl w:val="17B1FD00"/>
    <w:lvl w:ilvl="0" w:tentative="0">
      <w:start w:val="1"/>
      <w:numFmt w:val="decimalEnclosedCircleChinese"/>
      <w:suff w:val="nothing"/>
      <w:lvlText w:val="%1　"/>
      <w:lvlJc w:val="left"/>
      <w:pPr>
        <w:ind w:left="0" w:firstLine="400"/>
      </w:pPr>
      <w:rPr>
        <w:rFonts w:hint="eastAsia"/>
      </w:rPr>
    </w:lvl>
  </w:abstractNum>
  <w:abstractNum w:abstractNumId="124">
    <w:nsid w:val="1902E4D4"/>
    <w:multiLevelType w:val="singleLevel"/>
    <w:tmpl w:val="1902E4D4"/>
    <w:lvl w:ilvl="0" w:tentative="0">
      <w:start w:val="1"/>
      <w:numFmt w:val="decimalEnclosedCircleChinese"/>
      <w:suff w:val="nothing"/>
      <w:lvlText w:val="%1　"/>
      <w:lvlJc w:val="left"/>
      <w:pPr>
        <w:ind w:left="0" w:firstLine="400"/>
      </w:pPr>
      <w:rPr>
        <w:rFonts w:hint="eastAsia"/>
      </w:rPr>
    </w:lvl>
  </w:abstractNum>
  <w:abstractNum w:abstractNumId="125">
    <w:nsid w:val="1A08E3BA"/>
    <w:multiLevelType w:val="singleLevel"/>
    <w:tmpl w:val="1A08E3BA"/>
    <w:lvl w:ilvl="0" w:tentative="0">
      <w:start w:val="1"/>
      <w:numFmt w:val="decimal"/>
      <w:suff w:val="nothing"/>
      <w:lvlText w:val="(%1)"/>
      <w:lvlJc w:val="left"/>
      <w:pPr>
        <w:ind w:left="425" w:hanging="425"/>
      </w:pPr>
      <w:rPr>
        <w:rFonts w:hint="default" w:ascii="宋体" w:hAnsi="宋体" w:eastAsia="宋体" w:cs="宋体"/>
        <w:sz w:val="24"/>
        <w:szCs w:val="24"/>
      </w:rPr>
    </w:lvl>
  </w:abstractNum>
  <w:abstractNum w:abstractNumId="126">
    <w:nsid w:val="1BFA4CA4"/>
    <w:multiLevelType w:val="singleLevel"/>
    <w:tmpl w:val="1BFA4CA4"/>
    <w:lvl w:ilvl="0" w:tentative="0">
      <w:start w:val="1"/>
      <w:numFmt w:val="decimalEnclosedCircleChinese"/>
      <w:suff w:val="nothing"/>
      <w:lvlText w:val="%1　"/>
      <w:lvlJc w:val="left"/>
      <w:pPr>
        <w:ind w:left="0" w:firstLine="400"/>
      </w:pPr>
      <w:rPr>
        <w:rFonts w:hint="eastAsia"/>
      </w:rPr>
    </w:lvl>
  </w:abstractNum>
  <w:abstractNum w:abstractNumId="127">
    <w:nsid w:val="1C32DB6D"/>
    <w:multiLevelType w:val="singleLevel"/>
    <w:tmpl w:val="1C32DB6D"/>
    <w:lvl w:ilvl="0" w:tentative="0">
      <w:start w:val="1"/>
      <w:numFmt w:val="decimal"/>
      <w:suff w:val="nothing"/>
      <w:lvlText w:val="(%1)"/>
      <w:lvlJc w:val="left"/>
      <w:pPr>
        <w:ind w:left="425" w:hanging="425"/>
      </w:pPr>
      <w:rPr>
        <w:rFonts w:hint="default" w:ascii="宋体" w:hAnsi="宋体" w:eastAsia="宋体" w:cs="宋体"/>
        <w:sz w:val="24"/>
        <w:szCs w:val="24"/>
      </w:rPr>
    </w:lvl>
  </w:abstractNum>
  <w:abstractNum w:abstractNumId="128">
    <w:nsid w:val="1D5FBA12"/>
    <w:multiLevelType w:val="singleLevel"/>
    <w:tmpl w:val="1D5FBA12"/>
    <w:lvl w:ilvl="0" w:tentative="0">
      <w:start w:val="1"/>
      <w:numFmt w:val="decimalEnclosedCircleChinese"/>
      <w:suff w:val="nothing"/>
      <w:lvlText w:val="%1　"/>
      <w:lvlJc w:val="left"/>
      <w:pPr>
        <w:ind w:left="0" w:firstLine="400"/>
      </w:pPr>
      <w:rPr>
        <w:rFonts w:hint="eastAsia"/>
        <w:sz w:val="24"/>
        <w:szCs w:val="24"/>
      </w:rPr>
    </w:lvl>
  </w:abstractNum>
  <w:abstractNum w:abstractNumId="129">
    <w:nsid w:val="1DF5635A"/>
    <w:multiLevelType w:val="singleLevel"/>
    <w:tmpl w:val="1DF5635A"/>
    <w:lvl w:ilvl="0" w:tentative="0">
      <w:start w:val="1"/>
      <w:numFmt w:val="decimalEnclosedCircleChinese"/>
      <w:suff w:val="nothing"/>
      <w:lvlText w:val="%1　"/>
      <w:lvlJc w:val="left"/>
      <w:pPr>
        <w:ind w:left="0" w:firstLine="400"/>
      </w:pPr>
      <w:rPr>
        <w:rFonts w:hint="eastAsia"/>
      </w:rPr>
    </w:lvl>
  </w:abstractNum>
  <w:abstractNum w:abstractNumId="130">
    <w:nsid w:val="1E8CF7D5"/>
    <w:multiLevelType w:val="singleLevel"/>
    <w:tmpl w:val="1E8CF7D5"/>
    <w:lvl w:ilvl="0" w:tentative="0">
      <w:start w:val="1"/>
      <w:numFmt w:val="decimal"/>
      <w:suff w:val="nothing"/>
      <w:lvlText w:val="(%1)"/>
      <w:lvlJc w:val="left"/>
      <w:pPr>
        <w:ind w:left="425" w:hanging="425"/>
      </w:pPr>
      <w:rPr>
        <w:rFonts w:hint="default" w:ascii="宋体" w:hAnsi="宋体" w:eastAsia="宋体" w:cs="宋体"/>
        <w:sz w:val="24"/>
        <w:szCs w:val="24"/>
      </w:rPr>
    </w:lvl>
  </w:abstractNum>
  <w:abstractNum w:abstractNumId="131">
    <w:nsid w:val="204E6827"/>
    <w:multiLevelType w:val="singleLevel"/>
    <w:tmpl w:val="204E6827"/>
    <w:lvl w:ilvl="0" w:tentative="0">
      <w:start w:val="1"/>
      <w:numFmt w:val="decimalEnclosedCircleChinese"/>
      <w:suff w:val="nothing"/>
      <w:lvlText w:val="%1　"/>
      <w:lvlJc w:val="left"/>
      <w:pPr>
        <w:ind w:left="0" w:firstLine="400"/>
      </w:pPr>
      <w:rPr>
        <w:rFonts w:hint="eastAsia"/>
      </w:rPr>
    </w:lvl>
  </w:abstractNum>
  <w:abstractNum w:abstractNumId="132">
    <w:nsid w:val="20B7CF8C"/>
    <w:multiLevelType w:val="singleLevel"/>
    <w:tmpl w:val="20B7CF8C"/>
    <w:lvl w:ilvl="0" w:tentative="0">
      <w:start w:val="1"/>
      <w:numFmt w:val="decimal"/>
      <w:suff w:val="nothing"/>
      <w:lvlText w:val="(%1)"/>
      <w:lvlJc w:val="left"/>
      <w:pPr>
        <w:ind w:left="425" w:hanging="425"/>
      </w:pPr>
      <w:rPr>
        <w:rFonts w:hint="default" w:ascii="宋体" w:hAnsi="宋体" w:eastAsia="宋体" w:cs="宋体"/>
        <w:sz w:val="24"/>
        <w:szCs w:val="24"/>
      </w:rPr>
    </w:lvl>
  </w:abstractNum>
  <w:abstractNum w:abstractNumId="133">
    <w:nsid w:val="2263E63F"/>
    <w:multiLevelType w:val="singleLevel"/>
    <w:tmpl w:val="2263E63F"/>
    <w:lvl w:ilvl="0" w:tentative="0">
      <w:start w:val="1"/>
      <w:numFmt w:val="decimalEnclosedCircleChinese"/>
      <w:suff w:val="nothing"/>
      <w:lvlText w:val="%1　"/>
      <w:lvlJc w:val="left"/>
      <w:pPr>
        <w:ind w:left="0" w:firstLine="400"/>
      </w:pPr>
      <w:rPr>
        <w:rFonts w:hint="eastAsia"/>
      </w:rPr>
    </w:lvl>
  </w:abstractNum>
  <w:abstractNum w:abstractNumId="134">
    <w:nsid w:val="24316FCC"/>
    <w:multiLevelType w:val="singleLevel"/>
    <w:tmpl w:val="24316FCC"/>
    <w:lvl w:ilvl="0" w:tentative="0">
      <w:start w:val="1"/>
      <w:numFmt w:val="decimalEnclosedCircleChinese"/>
      <w:suff w:val="nothing"/>
      <w:lvlText w:val="%1　"/>
      <w:lvlJc w:val="left"/>
      <w:pPr>
        <w:ind w:left="0" w:firstLine="400"/>
      </w:pPr>
      <w:rPr>
        <w:rFonts w:hint="eastAsia"/>
      </w:rPr>
    </w:lvl>
  </w:abstractNum>
  <w:abstractNum w:abstractNumId="135">
    <w:nsid w:val="277D0368"/>
    <w:multiLevelType w:val="singleLevel"/>
    <w:tmpl w:val="277D0368"/>
    <w:lvl w:ilvl="0" w:tentative="0">
      <w:start w:val="1"/>
      <w:numFmt w:val="decimalEnclosedCircleChinese"/>
      <w:suff w:val="nothing"/>
      <w:lvlText w:val="%1　"/>
      <w:lvlJc w:val="left"/>
      <w:pPr>
        <w:ind w:left="0" w:firstLine="400"/>
      </w:pPr>
      <w:rPr>
        <w:rFonts w:hint="eastAsia"/>
      </w:rPr>
    </w:lvl>
  </w:abstractNum>
  <w:abstractNum w:abstractNumId="136">
    <w:nsid w:val="2795E9D0"/>
    <w:multiLevelType w:val="singleLevel"/>
    <w:tmpl w:val="2795E9D0"/>
    <w:lvl w:ilvl="0" w:tentative="0">
      <w:start w:val="1"/>
      <w:numFmt w:val="decimalEnclosedCircleChinese"/>
      <w:suff w:val="nothing"/>
      <w:lvlText w:val="%1　"/>
      <w:lvlJc w:val="left"/>
      <w:pPr>
        <w:ind w:left="0" w:firstLine="400"/>
      </w:pPr>
      <w:rPr>
        <w:rFonts w:hint="eastAsia"/>
      </w:rPr>
    </w:lvl>
  </w:abstractNum>
  <w:abstractNum w:abstractNumId="137">
    <w:nsid w:val="27B5B607"/>
    <w:multiLevelType w:val="singleLevel"/>
    <w:tmpl w:val="27B5B607"/>
    <w:lvl w:ilvl="0" w:tentative="0">
      <w:start w:val="1"/>
      <w:numFmt w:val="decimal"/>
      <w:suff w:val="nothing"/>
      <w:lvlText w:val="%1."/>
      <w:lvlJc w:val="left"/>
      <w:pPr>
        <w:ind w:left="425" w:hanging="425"/>
      </w:pPr>
      <w:rPr>
        <w:rFonts w:hint="default"/>
      </w:rPr>
    </w:lvl>
  </w:abstractNum>
  <w:abstractNum w:abstractNumId="138">
    <w:nsid w:val="27EF8731"/>
    <w:multiLevelType w:val="singleLevel"/>
    <w:tmpl w:val="27EF8731"/>
    <w:lvl w:ilvl="0" w:tentative="0">
      <w:start w:val="1"/>
      <w:numFmt w:val="decimal"/>
      <w:suff w:val="nothing"/>
      <w:lvlText w:val="(%1)"/>
      <w:lvlJc w:val="left"/>
      <w:pPr>
        <w:ind w:left="425" w:hanging="425"/>
      </w:pPr>
      <w:rPr>
        <w:rFonts w:hint="default"/>
      </w:rPr>
    </w:lvl>
  </w:abstractNum>
  <w:abstractNum w:abstractNumId="139">
    <w:nsid w:val="2D0725F0"/>
    <w:multiLevelType w:val="singleLevel"/>
    <w:tmpl w:val="2D0725F0"/>
    <w:lvl w:ilvl="0" w:tentative="0">
      <w:start w:val="1"/>
      <w:numFmt w:val="decimalEnclosedCircleChinese"/>
      <w:suff w:val="nothing"/>
      <w:lvlText w:val="%1　"/>
      <w:lvlJc w:val="left"/>
      <w:pPr>
        <w:ind w:left="0" w:firstLine="400"/>
      </w:pPr>
      <w:rPr>
        <w:rFonts w:hint="eastAsia"/>
      </w:rPr>
    </w:lvl>
  </w:abstractNum>
  <w:abstractNum w:abstractNumId="140">
    <w:nsid w:val="2D3F9F51"/>
    <w:multiLevelType w:val="singleLevel"/>
    <w:tmpl w:val="2D3F9F51"/>
    <w:lvl w:ilvl="0" w:tentative="0">
      <w:start w:val="1"/>
      <w:numFmt w:val="decimal"/>
      <w:suff w:val="nothing"/>
      <w:lvlText w:val="(%1)"/>
      <w:lvlJc w:val="left"/>
      <w:pPr>
        <w:ind w:left="425" w:hanging="425"/>
      </w:pPr>
      <w:rPr>
        <w:rFonts w:hint="default" w:ascii="宋体" w:hAnsi="宋体" w:eastAsia="宋体" w:cs="宋体"/>
        <w:sz w:val="24"/>
        <w:szCs w:val="24"/>
      </w:rPr>
    </w:lvl>
  </w:abstractNum>
  <w:abstractNum w:abstractNumId="141">
    <w:nsid w:val="2E530A73"/>
    <w:multiLevelType w:val="singleLevel"/>
    <w:tmpl w:val="2E530A73"/>
    <w:lvl w:ilvl="0" w:tentative="0">
      <w:start w:val="1"/>
      <w:numFmt w:val="decimal"/>
      <w:suff w:val="nothing"/>
      <w:lvlText w:val="%1."/>
      <w:lvlJc w:val="left"/>
      <w:pPr>
        <w:ind w:left="425" w:hanging="425"/>
      </w:pPr>
      <w:rPr>
        <w:rFonts w:hint="default"/>
      </w:rPr>
    </w:lvl>
  </w:abstractNum>
  <w:abstractNum w:abstractNumId="142">
    <w:nsid w:val="2F608568"/>
    <w:multiLevelType w:val="singleLevel"/>
    <w:tmpl w:val="2F608568"/>
    <w:lvl w:ilvl="0" w:tentative="0">
      <w:start w:val="1"/>
      <w:numFmt w:val="decimal"/>
      <w:suff w:val="nothing"/>
      <w:lvlText w:val="(%1)"/>
      <w:lvlJc w:val="left"/>
      <w:pPr>
        <w:ind w:left="425" w:hanging="425"/>
      </w:pPr>
      <w:rPr>
        <w:rFonts w:hint="default"/>
      </w:rPr>
    </w:lvl>
  </w:abstractNum>
  <w:abstractNum w:abstractNumId="143">
    <w:nsid w:val="2F94C1A3"/>
    <w:multiLevelType w:val="singleLevel"/>
    <w:tmpl w:val="2F94C1A3"/>
    <w:lvl w:ilvl="0" w:tentative="0">
      <w:start w:val="1"/>
      <w:numFmt w:val="decimal"/>
      <w:suff w:val="nothing"/>
      <w:lvlText w:val="(%1)"/>
      <w:lvlJc w:val="left"/>
      <w:pPr>
        <w:ind w:left="425" w:hanging="425"/>
      </w:pPr>
      <w:rPr>
        <w:rFonts w:hint="default"/>
      </w:rPr>
    </w:lvl>
  </w:abstractNum>
  <w:abstractNum w:abstractNumId="144">
    <w:nsid w:val="3814002B"/>
    <w:multiLevelType w:val="singleLevel"/>
    <w:tmpl w:val="3814002B"/>
    <w:lvl w:ilvl="0" w:tentative="0">
      <w:start w:val="1"/>
      <w:numFmt w:val="decimal"/>
      <w:suff w:val="nothing"/>
      <w:lvlText w:val="(%1)"/>
      <w:lvlJc w:val="left"/>
      <w:pPr>
        <w:ind w:left="425" w:hanging="425"/>
      </w:pPr>
      <w:rPr>
        <w:rFonts w:hint="default"/>
      </w:rPr>
    </w:lvl>
  </w:abstractNum>
  <w:abstractNum w:abstractNumId="145">
    <w:nsid w:val="3852FEA6"/>
    <w:multiLevelType w:val="singleLevel"/>
    <w:tmpl w:val="3852FEA6"/>
    <w:lvl w:ilvl="0" w:tentative="0">
      <w:start w:val="1"/>
      <w:numFmt w:val="decimal"/>
      <w:suff w:val="nothing"/>
      <w:lvlText w:val="(%1)"/>
      <w:lvlJc w:val="left"/>
      <w:pPr>
        <w:ind w:left="425" w:hanging="425"/>
      </w:pPr>
      <w:rPr>
        <w:rFonts w:hint="default"/>
      </w:rPr>
    </w:lvl>
  </w:abstractNum>
  <w:abstractNum w:abstractNumId="146">
    <w:nsid w:val="39924F79"/>
    <w:multiLevelType w:val="singleLevel"/>
    <w:tmpl w:val="39924F79"/>
    <w:lvl w:ilvl="0" w:tentative="0">
      <w:start w:val="1"/>
      <w:numFmt w:val="decimal"/>
      <w:suff w:val="nothing"/>
      <w:lvlText w:val="(%1)"/>
      <w:lvlJc w:val="left"/>
      <w:pPr>
        <w:ind w:left="425" w:hanging="425"/>
      </w:pPr>
      <w:rPr>
        <w:rFonts w:hint="default" w:ascii="宋体" w:hAnsi="宋体" w:eastAsia="宋体" w:cs="宋体"/>
        <w:sz w:val="24"/>
        <w:szCs w:val="24"/>
      </w:rPr>
    </w:lvl>
  </w:abstractNum>
  <w:abstractNum w:abstractNumId="147">
    <w:nsid w:val="39BEDAED"/>
    <w:multiLevelType w:val="singleLevel"/>
    <w:tmpl w:val="39BEDAED"/>
    <w:lvl w:ilvl="0" w:tentative="0">
      <w:start w:val="1"/>
      <w:numFmt w:val="decimalEnclosedCircleChinese"/>
      <w:suff w:val="nothing"/>
      <w:lvlText w:val="%1　"/>
      <w:lvlJc w:val="left"/>
      <w:pPr>
        <w:ind w:left="0" w:firstLine="400"/>
      </w:pPr>
      <w:rPr>
        <w:rFonts w:hint="eastAsia"/>
      </w:rPr>
    </w:lvl>
  </w:abstractNum>
  <w:abstractNum w:abstractNumId="148">
    <w:nsid w:val="3A28FC68"/>
    <w:multiLevelType w:val="singleLevel"/>
    <w:tmpl w:val="3A28FC68"/>
    <w:lvl w:ilvl="0" w:tentative="0">
      <w:start w:val="1"/>
      <w:numFmt w:val="decimalEnclosedCircleChinese"/>
      <w:suff w:val="nothing"/>
      <w:lvlText w:val="%1　"/>
      <w:lvlJc w:val="left"/>
      <w:pPr>
        <w:ind w:left="0" w:firstLine="400"/>
      </w:pPr>
      <w:rPr>
        <w:rFonts w:hint="eastAsia"/>
      </w:rPr>
    </w:lvl>
  </w:abstractNum>
  <w:abstractNum w:abstractNumId="149">
    <w:nsid w:val="3A9E2842"/>
    <w:multiLevelType w:val="singleLevel"/>
    <w:tmpl w:val="3A9E2842"/>
    <w:lvl w:ilvl="0" w:tentative="0">
      <w:start w:val="1"/>
      <w:numFmt w:val="decimal"/>
      <w:suff w:val="nothing"/>
      <w:lvlText w:val="(%1)"/>
      <w:lvlJc w:val="left"/>
      <w:pPr>
        <w:ind w:left="425" w:hanging="425"/>
      </w:pPr>
      <w:rPr>
        <w:rFonts w:hint="default"/>
      </w:rPr>
    </w:lvl>
  </w:abstractNum>
  <w:abstractNum w:abstractNumId="150">
    <w:nsid w:val="3B94CAAF"/>
    <w:multiLevelType w:val="singleLevel"/>
    <w:tmpl w:val="3B94CAAF"/>
    <w:lvl w:ilvl="0" w:tentative="0">
      <w:start w:val="1"/>
      <w:numFmt w:val="decimal"/>
      <w:suff w:val="nothing"/>
      <w:lvlText w:val="%1."/>
      <w:lvlJc w:val="left"/>
      <w:pPr>
        <w:ind w:left="425" w:hanging="425"/>
      </w:pPr>
      <w:rPr>
        <w:rFonts w:hint="default"/>
      </w:rPr>
    </w:lvl>
  </w:abstractNum>
  <w:abstractNum w:abstractNumId="151">
    <w:nsid w:val="3B96C30D"/>
    <w:multiLevelType w:val="singleLevel"/>
    <w:tmpl w:val="3B96C30D"/>
    <w:lvl w:ilvl="0" w:tentative="0">
      <w:start w:val="1"/>
      <w:numFmt w:val="chineseCounting"/>
      <w:suff w:val="nothing"/>
      <w:lvlText w:val="（%1）"/>
      <w:lvlJc w:val="left"/>
      <w:rPr>
        <w:rFonts w:hint="eastAsia"/>
      </w:rPr>
    </w:lvl>
  </w:abstractNum>
  <w:abstractNum w:abstractNumId="152">
    <w:nsid w:val="3D5EDAC9"/>
    <w:multiLevelType w:val="singleLevel"/>
    <w:tmpl w:val="3D5EDAC9"/>
    <w:lvl w:ilvl="0" w:tentative="0">
      <w:start w:val="1"/>
      <w:numFmt w:val="decimalEnclosedCircleChinese"/>
      <w:suff w:val="nothing"/>
      <w:lvlText w:val="%1　"/>
      <w:lvlJc w:val="left"/>
      <w:pPr>
        <w:ind w:left="0" w:firstLine="400"/>
      </w:pPr>
      <w:rPr>
        <w:rFonts w:hint="eastAsia"/>
      </w:rPr>
    </w:lvl>
  </w:abstractNum>
  <w:abstractNum w:abstractNumId="153">
    <w:nsid w:val="3EF80C63"/>
    <w:multiLevelType w:val="singleLevel"/>
    <w:tmpl w:val="3EF80C63"/>
    <w:lvl w:ilvl="0" w:tentative="0">
      <w:start w:val="1"/>
      <w:numFmt w:val="decimal"/>
      <w:suff w:val="nothing"/>
      <w:lvlText w:val="(%1)"/>
      <w:lvlJc w:val="left"/>
      <w:pPr>
        <w:ind w:left="425" w:hanging="425"/>
      </w:pPr>
      <w:rPr>
        <w:rFonts w:hint="default" w:ascii="宋体" w:hAnsi="宋体" w:eastAsia="宋体" w:cs="宋体"/>
        <w:sz w:val="24"/>
        <w:szCs w:val="24"/>
      </w:rPr>
    </w:lvl>
  </w:abstractNum>
  <w:abstractNum w:abstractNumId="154">
    <w:nsid w:val="40DFA473"/>
    <w:multiLevelType w:val="singleLevel"/>
    <w:tmpl w:val="40DFA473"/>
    <w:lvl w:ilvl="0" w:tentative="0">
      <w:start w:val="1"/>
      <w:numFmt w:val="decimal"/>
      <w:suff w:val="nothing"/>
      <w:lvlText w:val="(%1)"/>
      <w:lvlJc w:val="left"/>
      <w:pPr>
        <w:ind w:left="425" w:hanging="425"/>
      </w:pPr>
      <w:rPr>
        <w:rFonts w:hint="default"/>
      </w:rPr>
    </w:lvl>
  </w:abstractNum>
  <w:abstractNum w:abstractNumId="155">
    <w:nsid w:val="4234DD34"/>
    <w:multiLevelType w:val="singleLevel"/>
    <w:tmpl w:val="4234DD34"/>
    <w:lvl w:ilvl="0" w:tentative="0">
      <w:start w:val="1"/>
      <w:numFmt w:val="decimal"/>
      <w:suff w:val="nothing"/>
      <w:lvlText w:val="%1."/>
      <w:lvlJc w:val="left"/>
      <w:pPr>
        <w:ind w:left="425" w:hanging="425"/>
      </w:pPr>
      <w:rPr>
        <w:rFonts w:hint="default"/>
        <w:color w:val="auto"/>
      </w:rPr>
    </w:lvl>
  </w:abstractNum>
  <w:abstractNum w:abstractNumId="156">
    <w:nsid w:val="42FBC7E0"/>
    <w:multiLevelType w:val="singleLevel"/>
    <w:tmpl w:val="42FBC7E0"/>
    <w:lvl w:ilvl="0" w:tentative="0">
      <w:start w:val="1"/>
      <w:numFmt w:val="decimalEnclosedCircleChinese"/>
      <w:suff w:val="nothing"/>
      <w:lvlText w:val="%1　"/>
      <w:lvlJc w:val="left"/>
      <w:pPr>
        <w:ind w:left="0" w:firstLine="400"/>
      </w:pPr>
      <w:rPr>
        <w:rFonts w:hint="eastAsia"/>
      </w:rPr>
    </w:lvl>
  </w:abstractNum>
  <w:abstractNum w:abstractNumId="157">
    <w:nsid w:val="44048393"/>
    <w:multiLevelType w:val="singleLevel"/>
    <w:tmpl w:val="44048393"/>
    <w:lvl w:ilvl="0" w:tentative="0">
      <w:start w:val="1"/>
      <w:numFmt w:val="decimal"/>
      <w:suff w:val="nothing"/>
      <w:lvlText w:val="(%1)"/>
      <w:lvlJc w:val="left"/>
      <w:pPr>
        <w:ind w:left="425" w:hanging="425"/>
      </w:pPr>
      <w:rPr>
        <w:rFonts w:hint="default"/>
      </w:rPr>
    </w:lvl>
  </w:abstractNum>
  <w:abstractNum w:abstractNumId="158">
    <w:nsid w:val="44FA9CDE"/>
    <w:multiLevelType w:val="singleLevel"/>
    <w:tmpl w:val="44FA9CDE"/>
    <w:lvl w:ilvl="0" w:tentative="0">
      <w:start w:val="1"/>
      <w:numFmt w:val="decimal"/>
      <w:suff w:val="nothing"/>
      <w:lvlText w:val="(%1)"/>
      <w:lvlJc w:val="left"/>
      <w:pPr>
        <w:ind w:left="425" w:hanging="425"/>
      </w:pPr>
      <w:rPr>
        <w:rFonts w:hint="default" w:ascii="宋体" w:hAnsi="宋体" w:eastAsia="宋体" w:cs="宋体"/>
        <w:sz w:val="24"/>
        <w:szCs w:val="24"/>
      </w:rPr>
    </w:lvl>
  </w:abstractNum>
  <w:abstractNum w:abstractNumId="159">
    <w:nsid w:val="4B15D005"/>
    <w:multiLevelType w:val="singleLevel"/>
    <w:tmpl w:val="4B15D005"/>
    <w:lvl w:ilvl="0" w:tentative="0">
      <w:start w:val="1"/>
      <w:numFmt w:val="decimal"/>
      <w:suff w:val="nothing"/>
      <w:lvlText w:val="(%1)"/>
      <w:lvlJc w:val="left"/>
      <w:pPr>
        <w:ind w:left="425" w:hanging="425"/>
      </w:pPr>
      <w:rPr>
        <w:rFonts w:hint="default"/>
      </w:rPr>
    </w:lvl>
  </w:abstractNum>
  <w:abstractNum w:abstractNumId="160">
    <w:nsid w:val="4B18A1B3"/>
    <w:multiLevelType w:val="singleLevel"/>
    <w:tmpl w:val="4B18A1B3"/>
    <w:lvl w:ilvl="0" w:tentative="0">
      <w:start w:val="1"/>
      <w:numFmt w:val="decimalEnclosedCircleChinese"/>
      <w:suff w:val="nothing"/>
      <w:lvlText w:val="%1　"/>
      <w:lvlJc w:val="left"/>
      <w:pPr>
        <w:ind w:left="0" w:firstLine="400"/>
      </w:pPr>
      <w:rPr>
        <w:rFonts w:hint="eastAsia"/>
      </w:rPr>
    </w:lvl>
  </w:abstractNum>
  <w:abstractNum w:abstractNumId="161">
    <w:nsid w:val="4B1D1561"/>
    <w:multiLevelType w:val="singleLevel"/>
    <w:tmpl w:val="4B1D1561"/>
    <w:lvl w:ilvl="0" w:tentative="0">
      <w:start w:val="1"/>
      <w:numFmt w:val="decimalEnclosedCircleChinese"/>
      <w:suff w:val="nothing"/>
      <w:lvlText w:val="%1　"/>
      <w:lvlJc w:val="left"/>
      <w:pPr>
        <w:ind w:left="0" w:firstLine="400"/>
      </w:pPr>
      <w:rPr>
        <w:rFonts w:hint="eastAsia"/>
      </w:rPr>
    </w:lvl>
  </w:abstractNum>
  <w:abstractNum w:abstractNumId="162">
    <w:nsid w:val="4E50A51C"/>
    <w:multiLevelType w:val="singleLevel"/>
    <w:tmpl w:val="4E50A51C"/>
    <w:lvl w:ilvl="0" w:tentative="0">
      <w:start w:val="1"/>
      <w:numFmt w:val="decimal"/>
      <w:suff w:val="nothing"/>
      <w:lvlText w:val="(%1)"/>
      <w:lvlJc w:val="left"/>
      <w:pPr>
        <w:ind w:left="425" w:hanging="425"/>
      </w:pPr>
      <w:rPr>
        <w:rFonts w:hint="default"/>
      </w:rPr>
    </w:lvl>
  </w:abstractNum>
  <w:abstractNum w:abstractNumId="163">
    <w:nsid w:val="4F93FE71"/>
    <w:multiLevelType w:val="singleLevel"/>
    <w:tmpl w:val="4F93FE71"/>
    <w:lvl w:ilvl="0" w:tentative="0">
      <w:start w:val="1"/>
      <w:numFmt w:val="decimalEnclosedCircleChinese"/>
      <w:suff w:val="nothing"/>
      <w:lvlText w:val="%1　"/>
      <w:lvlJc w:val="left"/>
      <w:pPr>
        <w:ind w:left="0" w:firstLine="400"/>
      </w:pPr>
      <w:rPr>
        <w:rFonts w:hint="eastAsia"/>
        <w:sz w:val="24"/>
        <w:szCs w:val="24"/>
      </w:rPr>
    </w:lvl>
  </w:abstractNum>
  <w:abstractNum w:abstractNumId="164">
    <w:nsid w:val="5063320C"/>
    <w:multiLevelType w:val="singleLevel"/>
    <w:tmpl w:val="5063320C"/>
    <w:lvl w:ilvl="0" w:tentative="0">
      <w:start w:val="1"/>
      <w:numFmt w:val="decimalEnclosedCircleChinese"/>
      <w:suff w:val="nothing"/>
      <w:lvlText w:val="%1　"/>
      <w:lvlJc w:val="left"/>
      <w:pPr>
        <w:ind w:left="0" w:firstLine="400"/>
      </w:pPr>
      <w:rPr>
        <w:rFonts w:hint="eastAsia"/>
      </w:rPr>
    </w:lvl>
  </w:abstractNum>
  <w:abstractNum w:abstractNumId="165">
    <w:nsid w:val="5199E2D0"/>
    <w:multiLevelType w:val="singleLevel"/>
    <w:tmpl w:val="5199E2D0"/>
    <w:lvl w:ilvl="0" w:tentative="0">
      <w:start w:val="1"/>
      <w:numFmt w:val="decimal"/>
      <w:suff w:val="nothing"/>
      <w:lvlText w:val="(%1)"/>
      <w:lvlJc w:val="left"/>
      <w:pPr>
        <w:ind w:left="425" w:hanging="425"/>
      </w:pPr>
      <w:rPr>
        <w:rFonts w:hint="default"/>
      </w:rPr>
    </w:lvl>
  </w:abstractNum>
  <w:abstractNum w:abstractNumId="166">
    <w:nsid w:val="519AEB36"/>
    <w:multiLevelType w:val="singleLevel"/>
    <w:tmpl w:val="519AEB36"/>
    <w:lvl w:ilvl="0" w:tentative="0">
      <w:start w:val="1"/>
      <w:numFmt w:val="decimal"/>
      <w:suff w:val="nothing"/>
      <w:lvlText w:val="(%1)"/>
      <w:lvlJc w:val="left"/>
      <w:pPr>
        <w:ind w:left="425" w:hanging="425"/>
      </w:pPr>
      <w:rPr>
        <w:rFonts w:hint="default"/>
      </w:rPr>
    </w:lvl>
  </w:abstractNum>
  <w:abstractNum w:abstractNumId="167">
    <w:nsid w:val="51CB49D4"/>
    <w:multiLevelType w:val="singleLevel"/>
    <w:tmpl w:val="51CB49D4"/>
    <w:lvl w:ilvl="0" w:tentative="0">
      <w:start w:val="1"/>
      <w:numFmt w:val="decimal"/>
      <w:suff w:val="nothing"/>
      <w:lvlText w:val="(%1)"/>
      <w:lvlJc w:val="left"/>
      <w:pPr>
        <w:ind w:left="425" w:hanging="425"/>
      </w:pPr>
      <w:rPr>
        <w:rFonts w:hint="default"/>
      </w:rPr>
    </w:lvl>
  </w:abstractNum>
  <w:abstractNum w:abstractNumId="168">
    <w:nsid w:val="5249735A"/>
    <w:multiLevelType w:val="singleLevel"/>
    <w:tmpl w:val="5249735A"/>
    <w:lvl w:ilvl="0" w:tentative="0">
      <w:start w:val="1"/>
      <w:numFmt w:val="decimalEnclosedCircleChinese"/>
      <w:suff w:val="nothing"/>
      <w:lvlText w:val="%1　"/>
      <w:lvlJc w:val="left"/>
      <w:pPr>
        <w:ind w:left="0" w:firstLine="400"/>
      </w:pPr>
      <w:rPr>
        <w:rFonts w:hint="eastAsia"/>
      </w:rPr>
    </w:lvl>
  </w:abstractNum>
  <w:abstractNum w:abstractNumId="169">
    <w:nsid w:val="551D486A"/>
    <w:multiLevelType w:val="singleLevel"/>
    <w:tmpl w:val="551D486A"/>
    <w:lvl w:ilvl="0" w:tentative="0">
      <w:start w:val="1"/>
      <w:numFmt w:val="decimalEnclosedCircleChinese"/>
      <w:suff w:val="nothing"/>
      <w:lvlText w:val="%1　"/>
      <w:lvlJc w:val="left"/>
      <w:pPr>
        <w:ind w:left="0" w:firstLine="400"/>
      </w:pPr>
      <w:rPr>
        <w:rFonts w:hint="eastAsia"/>
        <w:color w:val="auto"/>
      </w:rPr>
    </w:lvl>
  </w:abstractNum>
  <w:abstractNum w:abstractNumId="170">
    <w:nsid w:val="55599457"/>
    <w:multiLevelType w:val="singleLevel"/>
    <w:tmpl w:val="55599457"/>
    <w:lvl w:ilvl="0" w:tentative="0">
      <w:start w:val="1"/>
      <w:numFmt w:val="decimal"/>
      <w:suff w:val="nothing"/>
      <w:lvlText w:val="(%1)"/>
      <w:lvlJc w:val="left"/>
      <w:pPr>
        <w:ind w:left="425" w:hanging="425"/>
      </w:pPr>
      <w:rPr>
        <w:rFonts w:hint="default" w:ascii="宋体" w:hAnsi="宋体" w:eastAsia="宋体" w:cs="宋体"/>
        <w:sz w:val="24"/>
        <w:szCs w:val="24"/>
      </w:rPr>
    </w:lvl>
  </w:abstractNum>
  <w:abstractNum w:abstractNumId="171">
    <w:nsid w:val="5624FE77"/>
    <w:multiLevelType w:val="singleLevel"/>
    <w:tmpl w:val="5624FE77"/>
    <w:lvl w:ilvl="0" w:tentative="0">
      <w:start w:val="1"/>
      <w:numFmt w:val="decimalEnclosedCircleChinese"/>
      <w:suff w:val="nothing"/>
      <w:lvlText w:val="%1　"/>
      <w:lvlJc w:val="left"/>
      <w:pPr>
        <w:ind w:left="0" w:firstLine="400"/>
      </w:pPr>
      <w:rPr>
        <w:rFonts w:hint="eastAsia"/>
      </w:rPr>
    </w:lvl>
  </w:abstractNum>
  <w:abstractNum w:abstractNumId="172">
    <w:nsid w:val="57FCAE58"/>
    <w:multiLevelType w:val="singleLevel"/>
    <w:tmpl w:val="57FCAE58"/>
    <w:lvl w:ilvl="0" w:tentative="0">
      <w:start w:val="1"/>
      <w:numFmt w:val="decimal"/>
      <w:suff w:val="nothing"/>
      <w:lvlText w:val="(%1)"/>
      <w:lvlJc w:val="left"/>
      <w:pPr>
        <w:ind w:left="425" w:hanging="425"/>
      </w:pPr>
      <w:rPr>
        <w:rFonts w:hint="default" w:ascii="宋体" w:hAnsi="宋体" w:eastAsia="宋体" w:cs="宋体"/>
        <w:sz w:val="24"/>
        <w:szCs w:val="24"/>
      </w:rPr>
    </w:lvl>
  </w:abstractNum>
  <w:abstractNum w:abstractNumId="173">
    <w:nsid w:val="582F9025"/>
    <w:multiLevelType w:val="singleLevel"/>
    <w:tmpl w:val="582F9025"/>
    <w:lvl w:ilvl="0" w:tentative="0">
      <w:start w:val="1"/>
      <w:numFmt w:val="decimalEnclosedCircleChinese"/>
      <w:suff w:val="nothing"/>
      <w:lvlText w:val="%1　"/>
      <w:lvlJc w:val="left"/>
      <w:pPr>
        <w:ind w:left="0" w:firstLine="400"/>
      </w:pPr>
      <w:rPr>
        <w:rFonts w:hint="eastAsia"/>
        <w:sz w:val="24"/>
        <w:szCs w:val="24"/>
      </w:rPr>
    </w:lvl>
  </w:abstractNum>
  <w:abstractNum w:abstractNumId="174">
    <w:nsid w:val="5B752210"/>
    <w:multiLevelType w:val="singleLevel"/>
    <w:tmpl w:val="5B752210"/>
    <w:lvl w:ilvl="0" w:tentative="0">
      <w:start w:val="1"/>
      <w:numFmt w:val="decimal"/>
      <w:suff w:val="nothing"/>
      <w:lvlText w:val="%1."/>
      <w:lvlJc w:val="left"/>
      <w:pPr>
        <w:ind w:left="425" w:hanging="425"/>
      </w:pPr>
      <w:rPr>
        <w:rFonts w:hint="default" w:ascii="宋体" w:hAnsi="宋体" w:eastAsia="宋体" w:cs="宋体"/>
        <w:sz w:val="24"/>
        <w:szCs w:val="24"/>
      </w:rPr>
    </w:lvl>
  </w:abstractNum>
  <w:abstractNum w:abstractNumId="175">
    <w:nsid w:val="5E138474"/>
    <w:multiLevelType w:val="singleLevel"/>
    <w:tmpl w:val="5E138474"/>
    <w:lvl w:ilvl="0" w:tentative="0">
      <w:start w:val="1"/>
      <w:numFmt w:val="decimal"/>
      <w:suff w:val="nothing"/>
      <w:lvlText w:val="(%1)"/>
      <w:lvlJc w:val="left"/>
      <w:pPr>
        <w:ind w:left="425" w:hanging="425"/>
      </w:pPr>
      <w:rPr>
        <w:rFonts w:hint="default"/>
      </w:rPr>
    </w:lvl>
  </w:abstractNum>
  <w:abstractNum w:abstractNumId="176">
    <w:nsid w:val="5E7C72F7"/>
    <w:multiLevelType w:val="singleLevel"/>
    <w:tmpl w:val="5E7C72F7"/>
    <w:lvl w:ilvl="0" w:tentative="0">
      <w:start w:val="1"/>
      <w:numFmt w:val="decimal"/>
      <w:suff w:val="nothing"/>
      <w:lvlText w:val="(%1)"/>
      <w:lvlJc w:val="left"/>
      <w:pPr>
        <w:ind w:left="425" w:hanging="425"/>
      </w:pPr>
      <w:rPr>
        <w:rFonts w:hint="default" w:ascii="宋体" w:hAnsi="宋体" w:eastAsia="宋体" w:cs="宋体"/>
        <w:sz w:val="24"/>
        <w:szCs w:val="24"/>
      </w:rPr>
    </w:lvl>
  </w:abstractNum>
  <w:abstractNum w:abstractNumId="177">
    <w:nsid w:val="5FBAB41E"/>
    <w:multiLevelType w:val="singleLevel"/>
    <w:tmpl w:val="5FBAB41E"/>
    <w:lvl w:ilvl="0" w:tentative="0">
      <w:start w:val="1"/>
      <w:numFmt w:val="decimal"/>
      <w:suff w:val="nothing"/>
      <w:lvlText w:val="(%1)"/>
      <w:lvlJc w:val="left"/>
    </w:lvl>
  </w:abstractNum>
  <w:abstractNum w:abstractNumId="178">
    <w:nsid w:val="6165412C"/>
    <w:multiLevelType w:val="singleLevel"/>
    <w:tmpl w:val="6165412C"/>
    <w:lvl w:ilvl="0" w:tentative="0">
      <w:start w:val="1"/>
      <w:numFmt w:val="decimal"/>
      <w:suff w:val="nothing"/>
      <w:lvlText w:val="(%1)"/>
      <w:lvlJc w:val="left"/>
      <w:pPr>
        <w:ind w:left="425" w:hanging="425"/>
      </w:pPr>
      <w:rPr>
        <w:rFonts w:hint="default"/>
      </w:rPr>
    </w:lvl>
  </w:abstractNum>
  <w:abstractNum w:abstractNumId="179">
    <w:nsid w:val="6388B978"/>
    <w:multiLevelType w:val="singleLevel"/>
    <w:tmpl w:val="6388B978"/>
    <w:lvl w:ilvl="0" w:tentative="0">
      <w:start w:val="1"/>
      <w:numFmt w:val="decimal"/>
      <w:suff w:val="nothing"/>
      <w:lvlText w:val="(%1)"/>
      <w:lvlJc w:val="left"/>
      <w:pPr>
        <w:ind w:left="425" w:hanging="425"/>
      </w:pPr>
      <w:rPr>
        <w:rFonts w:hint="default" w:ascii="宋体" w:hAnsi="宋体" w:eastAsia="宋体" w:cs="宋体"/>
        <w:sz w:val="24"/>
        <w:szCs w:val="24"/>
      </w:rPr>
    </w:lvl>
  </w:abstractNum>
  <w:abstractNum w:abstractNumId="180">
    <w:nsid w:val="63A474BC"/>
    <w:multiLevelType w:val="singleLevel"/>
    <w:tmpl w:val="63A474BC"/>
    <w:lvl w:ilvl="0" w:tentative="0">
      <w:start w:val="1"/>
      <w:numFmt w:val="decimal"/>
      <w:suff w:val="nothing"/>
      <w:lvlText w:val="(%1)"/>
      <w:lvlJc w:val="left"/>
      <w:pPr>
        <w:ind w:left="425" w:hanging="425"/>
      </w:pPr>
      <w:rPr>
        <w:rFonts w:hint="default" w:ascii="宋体" w:hAnsi="宋体" w:eastAsia="宋体" w:cs="宋体"/>
        <w:sz w:val="24"/>
        <w:szCs w:val="24"/>
      </w:rPr>
    </w:lvl>
  </w:abstractNum>
  <w:abstractNum w:abstractNumId="181">
    <w:nsid w:val="6490CBBD"/>
    <w:multiLevelType w:val="singleLevel"/>
    <w:tmpl w:val="6490CBBD"/>
    <w:lvl w:ilvl="0" w:tentative="0">
      <w:start w:val="1"/>
      <w:numFmt w:val="decimal"/>
      <w:suff w:val="nothing"/>
      <w:lvlText w:val="%1."/>
      <w:lvlJc w:val="left"/>
      <w:pPr>
        <w:ind w:left="425" w:hanging="425"/>
      </w:pPr>
      <w:rPr>
        <w:rFonts w:hint="default" w:ascii="宋体" w:hAnsi="宋体" w:eastAsia="宋体" w:cs="宋体"/>
        <w:sz w:val="24"/>
        <w:szCs w:val="24"/>
      </w:rPr>
    </w:lvl>
  </w:abstractNum>
  <w:abstractNum w:abstractNumId="182">
    <w:nsid w:val="66E08951"/>
    <w:multiLevelType w:val="singleLevel"/>
    <w:tmpl w:val="66E08951"/>
    <w:lvl w:ilvl="0" w:tentative="0">
      <w:start w:val="1"/>
      <w:numFmt w:val="decimalEnclosedCircleChinese"/>
      <w:suff w:val="nothing"/>
      <w:lvlText w:val="%1　"/>
      <w:lvlJc w:val="left"/>
      <w:pPr>
        <w:ind w:left="0" w:firstLine="400"/>
      </w:pPr>
      <w:rPr>
        <w:rFonts w:hint="eastAsia"/>
      </w:rPr>
    </w:lvl>
  </w:abstractNum>
  <w:abstractNum w:abstractNumId="183">
    <w:nsid w:val="68C0BE45"/>
    <w:multiLevelType w:val="singleLevel"/>
    <w:tmpl w:val="68C0BE45"/>
    <w:lvl w:ilvl="0" w:tentative="0">
      <w:start w:val="1"/>
      <w:numFmt w:val="decimal"/>
      <w:suff w:val="nothing"/>
      <w:lvlText w:val="(%1)"/>
      <w:lvlJc w:val="left"/>
      <w:pPr>
        <w:ind w:left="425" w:hanging="425"/>
      </w:pPr>
      <w:rPr>
        <w:rFonts w:hint="default" w:ascii="宋体" w:hAnsi="宋体" w:eastAsia="宋体" w:cs="宋体"/>
        <w:sz w:val="24"/>
        <w:szCs w:val="24"/>
      </w:rPr>
    </w:lvl>
  </w:abstractNum>
  <w:abstractNum w:abstractNumId="184">
    <w:nsid w:val="68C99E32"/>
    <w:multiLevelType w:val="singleLevel"/>
    <w:tmpl w:val="68C99E32"/>
    <w:lvl w:ilvl="0" w:tentative="0">
      <w:start w:val="1"/>
      <w:numFmt w:val="decimal"/>
      <w:lvlText w:val="(%1)"/>
      <w:lvlJc w:val="left"/>
      <w:pPr>
        <w:ind w:left="425" w:hanging="425"/>
      </w:pPr>
      <w:rPr>
        <w:rFonts w:hint="default"/>
      </w:rPr>
    </w:lvl>
  </w:abstractNum>
  <w:abstractNum w:abstractNumId="185">
    <w:nsid w:val="699454AF"/>
    <w:multiLevelType w:val="singleLevel"/>
    <w:tmpl w:val="699454AF"/>
    <w:lvl w:ilvl="0" w:tentative="0">
      <w:start w:val="1"/>
      <w:numFmt w:val="decimal"/>
      <w:suff w:val="nothing"/>
      <w:lvlText w:val="(%1)"/>
      <w:lvlJc w:val="left"/>
      <w:pPr>
        <w:ind w:left="425" w:hanging="425"/>
      </w:pPr>
      <w:rPr>
        <w:rFonts w:hint="default"/>
      </w:rPr>
    </w:lvl>
  </w:abstractNum>
  <w:abstractNum w:abstractNumId="186">
    <w:nsid w:val="6BA925CF"/>
    <w:multiLevelType w:val="singleLevel"/>
    <w:tmpl w:val="6BA925CF"/>
    <w:lvl w:ilvl="0" w:tentative="0">
      <w:start w:val="1"/>
      <w:numFmt w:val="decimal"/>
      <w:suff w:val="nothing"/>
      <w:lvlText w:val="(%1)"/>
      <w:lvlJc w:val="left"/>
    </w:lvl>
  </w:abstractNum>
  <w:abstractNum w:abstractNumId="187">
    <w:nsid w:val="6DC1FB45"/>
    <w:multiLevelType w:val="singleLevel"/>
    <w:tmpl w:val="6DC1FB45"/>
    <w:lvl w:ilvl="0" w:tentative="0">
      <w:start w:val="1"/>
      <w:numFmt w:val="decimalEnclosedCircleChinese"/>
      <w:suff w:val="nothing"/>
      <w:lvlText w:val="%1　"/>
      <w:lvlJc w:val="left"/>
      <w:pPr>
        <w:ind w:left="0" w:firstLine="400"/>
      </w:pPr>
      <w:rPr>
        <w:rFonts w:hint="eastAsia"/>
      </w:rPr>
    </w:lvl>
  </w:abstractNum>
  <w:abstractNum w:abstractNumId="188">
    <w:nsid w:val="71949D71"/>
    <w:multiLevelType w:val="singleLevel"/>
    <w:tmpl w:val="71949D71"/>
    <w:lvl w:ilvl="0" w:tentative="0">
      <w:start w:val="1"/>
      <w:numFmt w:val="decimalEnclosedCircleChinese"/>
      <w:suff w:val="nothing"/>
      <w:lvlText w:val="%1　"/>
      <w:lvlJc w:val="left"/>
      <w:pPr>
        <w:ind w:left="0" w:firstLine="400"/>
      </w:pPr>
      <w:rPr>
        <w:rFonts w:hint="eastAsia"/>
      </w:rPr>
    </w:lvl>
  </w:abstractNum>
  <w:abstractNum w:abstractNumId="189">
    <w:nsid w:val="71B4912E"/>
    <w:multiLevelType w:val="singleLevel"/>
    <w:tmpl w:val="71B4912E"/>
    <w:lvl w:ilvl="0" w:tentative="0">
      <w:start w:val="1"/>
      <w:numFmt w:val="decimalEnclosedCircleChinese"/>
      <w:suff w:val="nothing"/>
      <w:lvlText w:val="%1　"/>
      <w:lvlJc w:val="left"/>
      <w:pPr>
        <w:ind w:left="0" w:firstLine="400"/>
      </w:pPr>
      <w:rPr>
        <w:rFonts w:hint="eastAsia"/>
      </w:rPr>
    </w:lvl>
  </w:abstractNum>
  <w:abstractNum w:abstractNumId="190">
    <w:nsid w:val="7370D2CC"/>
    <w:multiLevelType w:val="singleLevel"/>
    <w:tmpl w:val="7370D2CC"/>
    <w:lvl w:ilvl="0" w:tentative="0">
      <w:start w:val="1"/>
      <w:numFmt w:val="decimal"/>
      <w:suff w:val="nothing"/>
      <w:lvlText w:val="(%1)"/>
      <w:lvlJc w:val="left"/>
      <w:pPr>
        <w:ind w:left="425" w:hanging="425"/>
      </w:pPr>
      <w:rPr>
        <w:rFonts w:hint="default" w:ascii="宋体" w:hAnsi="宋体" w:eastAsia="宋体" w:cs="宋体"/>
        <w:sz w:val="24"/>
        <w:szCs w:val="24"/>
      </w:rPr>
    </w:lvl>
  </w:abstractNum>
  <w:abstractNum w:abstractNumId="191">
    <w:nsid w:val="7557CF1E"/>
    <w:multiLevelType w:val="singleLevel"/>
    <w:tmpl w:val="7557CF1E"/>
    <w:lvl w:ilvl="0" w:tentative="0">
      <w:start w:val="2"/>
      <w:numFmt w:val="decimal"/>
      <w:suff w:val="nothing"/>
      <w:lvlText w:val="%1、"/>
      <w:lvlJc w:val="left"/>
    </w:lvl>
  </w:abstractNum>
  <w:abstractNum w:abstractNumId="192">
    <w:nsid w:val="77AFB9D5"/>
    <w:multiLevelType w:val="singleLevel"/>
    <w:tmpl w:val="77AFB9D5"/>
    <w:lvl w:ilvl="0" w:tentative="0">
      <w:start w:val="1"/>
      <w:numFmt w:val="decimal"/>
      <w:suff w:val="nothing"/>
      <w:lvlText w:val="(%1)"/>
      <w:lvlJc w:val="left"/>
      <w:pPr>
        <w:ind w:left="425" w:hanging="425"/>
      </w:pPr>
      <w:rPr>
        <w:rFonts w:hint="default" w:ascii="宋体" w:hAnsi="宋体" w:eastAsia="宋体" w:cs="宋体"/>
        <w:sz w:val="24"/>
        <w:szCs w:val="24"/>
      </w:rPr>
    </w:lvl>
  </w:abstractNum>
  <w:abstractNum w:abstractNumId="193">
    <w:nsid w:val="7850B165"/>
    <w:multiLevelType w:val="singleLevel"/>
    <w:tmpl w:val="7850B165"/>
    <w:lvl w:ilvl="0" w:tentative="0">
      <w:start w:val="1"/>
      <w:numFmt w:val="decimalEnclosedCircleChinese"/>
      <w:suff w:val="nothing"/>
      <w:lvlText w:val="%1　"/>
      <w:lvlJc w:val="left"/>
      <w:pPr>
        <w:ind w:left="0" w:firstLine="400"/>
      </w:pPr>
      <w:rPr>
        <w:rFonts w:hint="eastAsia"/>
      </w:rPr>
    </w:lvl>
  </w:abstractNum>
  <w:abstractNum w:abstractNumId="194">
    <w:nsid w:val="796C3D86"/>
    <w:multiLevelType w:val="singleLevel"/>
    <w:tmpl w:val="796C3D86"/>
    <w:lvl w:ilvl="0" w:tentative="0">
      <w:start w:val="1"/>
      <w:numFmt w:val="decimal"/>
      <w:suff w:val="nothing"/>
      <w:lvlText w:val="%1."/>
      <w:lvlJc w:val="left"/>
      <w:pPr>
        <w:ind w:left="425" w:hanging="425"/>
      </w:pPr>
      <w:rPr>
        <w:rFonts w:hint="default"/>
        <w:color w:val="auto"/>
      </w:rPr>
    </w:lvl>
  </w:abstractNum>
  <w:abstractNum w:abstractNumId="195">
    <w:nsid w:val="7AC0CB5D"/>
    <w:multiLevelType w:val="singleLevel"/>
    <w:tmpl w:val="7AC0CB5D"/>
    <w:lvl w:ilvl="0" w:tentative="0">
      <w:start w:val="1"/>
      <w:numFmt w:val="decimal"/>
      <w:suff w:val="nothing"/>
      <w:lvlText w:val="(%1)"/>
      <w:lvlJc w:val="left"/>
      <w:pPr>
        <w:ind w:left="425" w:hanging="425"/>
      </w:pPr>
      <w:rPr>
        <w:rFonts w:hint="default" w:ascii="宋体" w:hAnsi="宋体" w:eastAsia="宋体" w:cs="宋体"/>
        <w:sz w:val="24"/>
        <w:szCs w:val="24"/>
      </w:rPr>
    </w:lvl>
  </w:abstractNum>
  <w:abstractNum w:abstractNumId="196">
    <w:nsid w:val="7B34CCCD"/>
    <w:multiLevelType w:val="singleLevel"/>
    <w:tmpl w:val="7B34CCCD"/>
    <w:lvl w:ilvl="0" w:tentative="0">
      <w:start w:val="1"/>
      <w:numFmt w:val="decimalEnclosedCircleChinese"/>
      <w:suff w:val="nothing"/>
      <w:lvlText w:val="%1　"/>
      <w:lvlJc w:val="left"/>
      <w:pPr>
        <w:ind w:left="0" w:firstLine="400"/>
      </w:pPr>
      <w:rPr>
        <w:rFonts w:hint="eastAsia"/>
        <w:sz w:val="24"/>
        <w:szCs w:val="24"/>
      </w:rPr>
    </w:lvl>
  </w:abstractNum>
  <w:abstractNum w:abstractNumId="197">
    <w:nsid w:val="7C0E9194"/>
    <w:multiLevelType w:val="singleLevel"/>
    <w:tmpl w:val="7C0E9194"/>
    <w:lvl w:ilvl="0" w:tentative="0">
      <w:start w:val="1"/>
      <w:numFmt w:val="decimal"/>
      <w:suff w:val="nothing"/>
      <w:lvlText w:val="(%1)"/>
      <w:lvlJc w:val="left"/>
      <w:pPr>
        <w:ind w:left="425" w:hanging="425"/>
      </w:pPr>
      <w:rPr>
        <w:rFonts w:hint="default"/>
      </w:rPr>
    </w:lvl>
  </w:abstractNum>
  <w:abstractNum w:abstractNumId="198">
    <w:nsid w:val="7EC86631"/>
    <w:multiLevelType w:val="singleLevel"/>
    <w:tmpl w:val="7EC86631"/>
    <w:lvl w:ilvl="0" w:tentative="0">
      <w:start w:val="1"/>
      <w:numFmt w:val="decimalEnclosedCircleChinese"/>
      <w:suff w:val="nothing"/>
      <w:lvlText w:val="%1　"/>
      <w:lvlJc w:val="left"/>
      <w:pPr>
        <w:ind w:left="0" w:firstLine="400"/>
      </w:pPr>
      <w:rPr>
        <w:rFonts w:hint="eastAsia"/>
      </w:rPr>
    </w:lvl>
  </w:abstractNum>
  <w:abstractNum w:abstractNumId="199">
    <w:nsid w:val="7F95A642"/>
    <w:multiLevelType w:val="singleLevel"/>
    <w:tmpl w:val="7F95A642"/>
    <w:lvl w:ilvl="0" w:tentative="0">
      <w:start w:val="1"/>
      <w:numFmt w:val="decimalEnclosedCircleChinese"/>
      <w:suff w:val="nothing"/>
      <w:lvlText w:val="%1　"/>
      <w:lvlJc w:val="left"/>
      <w:pPr>
        <w:ind w:left="0" w:firstLine="400"/>
      </w:pPr>
      <w:rPr>
        <w:rFonts w:hint="eastAsia" w:ascii="宋体" w:hAnsi="宋体" w:eastAsia="宋体" w:cs="宋体"/>
        <w:sz w:val="24"/>
        <w:szCs w:val="24"/>
      </w:rPr>
    </w:lvl>
  </w:abstractNum>
  <w:num w:numId="1">
    <w:abstractNumId w:val="95"/>
  </w:num>
  <w:num w:numId="2">
    <w:abstractNumId w:val="88"/>
  </w:num>
  <w:num w:numId="3">
    <w:abstractNumId w:val="94"/>
  </w:num>
  <w:num w:numId="4">
    <w:abstractNumId w:val="91"/>
  </w:num>
  <w:num w:numId="5">
    <w:abstractNumId w:val="89"/>
  </w:num>
  <w:num w:numId="6">
    <w:abstractNumId w:val="85"/>
  </w:num>
  <w:num w:numId="7">
    <w:abstractNumId w:val="84"/>
  </w:num>
  <w:num w:numId="8">
    <w:abstractNumId w:val="92"/>
  </w:num>
  <w:num w:numId="9">
    <w:abstractNumId w:val="87"/>
  </w:num>
  <w:num w:numId="10">
    <w:abstractNumId w:val="90"/>
  </w:num>
  <w:num w:numId="11">
    <w:abstractNumId w:val="86"/>
  </w:num>
  <w:num w:numId="12">
    <w:abstractNumId w:val="93"/>
  </w:num>
  <w:num w:numId="13">
    <w:abstractNumId w:val="57"/>
  </w:num>
  <w:num w:numId="14">
    <w:abstractNumId w:val="178"/>
  </w:num>
  <w:num w:numId="15">
    <w:abstractNumId w:val="34"/>
  </w:num>
  <w:num w:numId="16">
    <w:abstractNumId w:val="124"/>
  </w:num>
  <w:num w:numId="17">
    <w:abstractNumId w:val="68"/>
  </w:num>
  <w:num w:numId="18">
    <w:abstractNumId w:val="139"/>
  </w:num>
  <w:num w:numId="19">
    <w:abstractNumId w:val="126"/>
  </w:num>
  <w:num w:numId="20">
    <w:abstractNumId w:val="168"/>
  </w:num>
  <w:num w:numId="21">
    <w:abstractNumId w:val="129"/>
  </w:num>
  <w:num w:numId="22">
    <w:abstractNumId w:val="144"/>
  </w:num>
  <w:num w:numId="23">
    <w:abstractNumId w:val="11"/>
  </w:num>
  <w:num w:numId="24">
    <w:abstractNumId w:val="52"/>
  </w:num>
  <w:num w:numId="25">
    <w:abstractNumId w:val="173"/>
  </w:num>
  <w:num w:numId="26">
    <w:abstractNumId w:val="28"/>
  </w:num>
  <w:num w:numId="27">
    <w:abstractNumId w:val="122"/>
  </w:num>
  <w:num w:numId="28">
    <w:abstractNumId w:val="194"/>
  </w:num>
  <w:num w:numId="29">
    <w:abstractNumId w:val="0"/>
  </w:num>
  <w:num w:numId="30">
    <w:abstractNumId w:val="83"/>
  </w:num>
  <w:num w:numId="31">
    <w:abstractNumId w:val="155"/>
  </w:num>
  <w:num w:numId="32">
    <w:abstractNumId w:val="70"/>
  </w:num>
  <w:num w:numId="33">
    <w:abstractNumId w:val="159"/>
  </w:num>
  <w:num w:numId="34">
    <w:abstractNumId w:val="76"/>
  </w:num>
  <w:num w:numId="35">
    <w:abstractNumId w:val="188"/>
  </w:num>
  <w:num w:numId="36">
    <w:abstractNumId w:val="135"/>
  </w:num>
  <w:num w:numId="37">
    <w:abstractNumId w:val="131"/>
  </w:num>
  <w:num w:numId="38">
    <w:abstractNumId w:val="165"/>
  </w:num>
  <w:num w:numId="39">
    <w:abstractNumId w:val="162"/>
  </w:num>
  <w:num w:numId="40">
    <w:abstractNumId w:val="112"/>
  </w:num>
  <w:num w:numId="41">
    <w:abstractNumId w:val="117"/>
  </w:num>
  <w:num w:numId="42">
    <w:abstractNumId w:val="36"/>
  </w:num>
  <w:num w:numId="43">
    <w:abstractNumId w:val="25"/>
  </w:num>
  <w:num w:numId="44">
    <w:abstractNumId w:val="7"/>
  </w:num>
  <w:num w:numId="45">
    <w:abstractNumId w:val="102"/>
  </w:num>
  <w:num w:numId="46">
    <w:abstractNumId w:val="157"/>
  </w:num>
  <w:num w:numId="47">
    <w:abstractNumId w:val="197"/>
  </w:num>
  <w:num w:numId="48">
    <w:abstractNumId w:val="101"/>
  </w:num>
  <w:num w:numId="49">
    <w:abstractNumId w:val="143"/>
  </w:num>
  <w:num w:numId="50">
    <w:abstractNumId w:val="176"/>
  </w:num>
  <w:num w:numId="51">
    <w:abstractNumId w:val="153"/>
  </w:num>
  <w:num w:numId="52">
    <w:abstractNumId w:val="30"/>
  </w:num>
  <w:num w:numId="53">
    <w:abstractNumId w:val="128"/>
  </w:num>
  <w:num w:numId="54">
    <w:abstractNumId w:val="41"/>
  </w:num>
  <w:num w:numId="55">
    <w:abstractNumId w:val="196"/>
  </w:num>
  <w:num w:numId="56">
    <w:abstractNumId w:val="24"/>
  </w:num>
  <w:num w:numId="57">
    <w:abstractNumId w:val="54"/>
  </w:num>
  <w:num w:numId="58">
    <w:abstractNumId w:val="125"/>
  </w:num>
  <w:num w:numId="59">
    <w:abstractNumId w:val="130"/>
  </w:num>
  <w:num w:numId="60">
    <w:abstractNumId w:val="50"/>
  </w:num>
  <w:num w:numId="61">
    <w:abstractNumId w:val="119"/>
  </w:num>
  <w:num w:numId="62">
    <w:abstractNumId w:val="65"/>
  </w:num>
  <w:num w:numId="63">
    <w:abstractNumId w:val="132"/>
  </w:num>
  <w:num w:numId="64">
    <w:abstractNumId w:val="105"/>
  </w:num>
  <w:num w:numId="65">
    <w:abstractNumId w:val="72"/>
  </w:num>
  <w:num w:numId="66">
    <w:abstractNumId w:val="163"/>
  </w:num>
  <w:num w:numId="67">
    <w:abstractNumId w:val="21"/>
  </w:num>
  <w:num w:numId="68">
    <w:abstractNumId w:val="33"/>
  </w:num>
  <w:num w:numId="69">
    <w:abstractNumId w:val="127"/>
  </w:num>
  <w:num w:numId="70">
    <w:abstractNumId w:val="100"/>
  </w:num>
  <w:num w:numId="71">
    <w:abstractNumId w:val="43"/>
  </w:num>
  <w:num w:numId="72">
    <w:abstractNumId w:val="179"/>
  </w:num>
  <w:num w:numId="73">
    <w:abstractNumId w:val="20"/>
  </w:num>
  <w:num w:numId="74">
    <w:abstractNumId w:val="27"/>
  </w:num>
  <w:num w:numId="75">
    <w:abstractNumId w:val="175"/>
  </w:num>
  <w:num w:numId="76">
    <w:abstractNumId w:val="2"/>
  </w:num>
  <w:num w:numId="77">
    <w:abstractNumId w:val="109"/>
  </w:num>
  <w:num w:numId="78">
    <w:abstractNumId w:val="26"/>
  </w:num>
  <w:num w:numId="79">
    <w:abstractNumId w:val="51"/>
  </w:num>
  <w:num w:numId="80">
    <w:abstractNumId w:val="150"/>
  </w:num>
  <w:num w:numId="81">
    <w:abstractNumId w:val="60"/>
  </w:num>
  <w:num w:numId="82">
    <w:abstractNumId w:val="185"/>
  </w:num>
  <w:num w:numId="83">
    <w:abstractNumId w:val="193"/>
  </w:num>
  <w:num w:numId="84">
    <w:abstractNumId w:val="53"/>
  </w:num>
  <w:num w:numId="85">
    <w:abstractNumId w:val="3"/>
  </w:num>
  <w:num w:numId="86">
    <w:abstractNumId w:val="77"/>
  </w:num>
  <w:num w:numId="87">
    <w:abstractNumId w:val="166"/>
  </w:num>
  <w:num w:numId="88">
    <w:abstractNumId w:val="46"/>
  </w:num>
  <w:num w:numId="89">
    <w:abstractNumId w:val="6"/>
  </w:num>
  <w:num w:numId="90">
    <w:abstractNumId w:val="189"/>
  </w:num>
  <w:num w:numId="91">
    <w:abstractNumId w:val="32"/>
  </w:num>
  <w:num w:numId="92">
    <w:abstractNumId w:val="137"/>
  </w:num>
  <w:num w:numId="93">
    <w:abstractNumId w:val="4"/>
  </w:num>
  <w:num w:numId="94">
    <w:abstractNumId w:val="80"/>
  </w:num>
  <w:num w:numId="95">
    <w:abstractNumId w:val="164"/>
  </w:num>
  <w:num w:numId="96">
    <w:abstractNumId w:val="37"/>
  </w:num>
  <w:num w:numId="97">
    <w:abstractNumId w:val="169"/>
  </w:num>
  <w:num w:numId="98">
    <w:abstractNumId w:val="183"/>
  </w:num>
  <w:num w:numId="99">
    <w:abstractNumId w:val="97"/>
  </w:num>
  <w:num w:numId="100">
    <w:abstractNumId w:val="55"/>
  </w:num>
  <w:num w:numId="101">
    <w:abstractNumId w:val="134"/>
  </w:num>
  <w:num w:numId="102">
    <w:abstractNumId w:val="67"/>
  </w:num>
  <w:num w:numId="103">
    <w:abstractNumId w:val="161"/>
  </w:num>
  <w:num w:numId="104">
    <w:abstractNumId w:val="141"/>
  </w:num>
  <w:num w:numId="105">
    <w:abstractNumId w:val="177"/>
  </w:num>
  <w:num w:numId="106">
    <w:abstractNumId w:val="22"/>
  </w:num>
  <w:num w:numId="107">
    <w:abstractNumId w:val="171"/>
  </w:num>
  <w:num w:numId="108">
    <w:abstractNumId w:val="56"/>
  </w:num>
  <w:num w:numId="109">
    <w:abstractNumId w:val="160"/>
  </w:num>
  <w:num w:numId="110">
    <w:abstractNumId w:val="195"/>
  </w:num>
  <w:num w:numId="111">
    <w:abstractNumId w:val="73"/>
  </w:num>
  <w:num w:numId="112">
    <w:abstractNumId w:val="29"/>
  </w:num>
  <w:num w:numId="113">
    <w:abstractNumId w:val="147"/>
  </w:num>
  <w:num w:numId="114">
    <w:abstractNumId w:val="19"/>
  </w:num>
  <w:num w:numId="115">
    <w:abstractNumId w:val="186"/>
  </w:num>
  <w:num w:numId="116">
    <w:abstractNumId w:val="35"/>
  </w:num>
  <w:num w:numId="117">
    <w:abstractNumId w:val="123"/>
  </w:num>
  <w:num w:numId="118">
    <w:abstractNumId w:val="118"/>
  </w:num>
  <w:num w:numId="119">
    <w:abstractNumId w:val="39"/>
  </w:num>
  <w:num w:numId="120">
    <w:abstractNumId w:val="103"/>
  </w:num>
  <w:num w:numId="121">
    <w:abstractNumId w:val="184"/>
  </w:num>
  <w:num w:numId="122">
    <w:abstractNumId w:val="142"/>
  </w:num>
  <w:num w:numId="123">
    <w:abstractNumId w:val="82"/>
  </w:num>
  <w:num w:numId="124">
    <w:abstractNumId w:val="61"/>
  </w:num>
  <w:num w:numId="125">
    <w:abstractNumId w:val="14"/>
  </w:num>
  <w:num w:numId="126">
    <w:abstractNumId w:val="79"/>
  </w:num>
  <w:num w:numId="127">
    <w:abstractNumId w:val="96"/>
  </w:num>
  <w:num w:numId="128">
    <w:abstractNumId w:val="15"/>
  </w:num>
  <w:num w:numId="129">
    <w:abstractNumId w:val="148"/>
  </w:num>
  <w:num w:numId="130">
    <w:abstractNumId w:val="17"/>
  </w:num>
  <w:num w:numId="131">
    <w:abstractNumId w:val="138"/>
  </w:num>
  <w:num w:numId="132">
    <w:abstractNumId w:val="149"/>
  </w:num>
  <w:num w:numId="133">
    <w:abstractNumId w:val="69"/>
  </w:num>
  <w:num w:numId="134">
    <w:abstractNumId w:val="187"/>
  </w:num>
  <w:num w:numId="135">
    <w:abstractNumId w:val="9"/>
  </w:num>
  <w:num w:numId="136">
    <w:abstractNumId w:val="42"/>
  </w:num>
  <w:num w:numId="137">
    <w:abstractNumId w:val="71"/>
  </w:num>
  <w:num w:numId="138">
    <w:abstractNumId w:val="174"/>
  </w:num>
  <w:num w:numId="139">
    <w:abstractNumId w:val="13"/>
  </w:num>
  <w:num w:numId="140">
    <w:abstractNumId w:val="16"/>
  </w:num>
  <w:num w:numId="141">
    <w:abstractNumId w:val="182"/>
  </w:num>
  <w:num w:numId="142">
    <w:abstractNumId w:val="106"/>
  </w:num>
  <w:num w:numId="143">
    <w:abstractNumId w:val="114"/>
  </w:num>
  <w:num w:numId="144">
    <w:abstractNumId w:val="12"/>
  </w:num>
  <w:num w:numId="145">
    <w:abstractNumId w:val="115"/>
  </w:num>
  <w:num w:numId="146">
    <w:abstractNumId w:val="170"/>
  </w:num>
  <w:num w:numId="147">
    <w:abstractNumId w:val="62"/>
  </w:num>
  <w:num w:numId="148">
    <w:abstractNumId w:val="180"/>
  </w:num>
  <w:num w:numId="149">
    <w:abstractNumId w:val="1"/>
  </w:num>
  <w:num w:numId="150">
    <w:abstractNumId w:val="10"/>
  </w:num>
  <w:num w:numId="151">
    <w:abstractNumId w:val="5"/>
  </w:num>
  <w:num w:numId="152">
    <w:abstractNumId w:val="18"/>
  </w:num>
  <w:num w:numId="153">
    <w:abstractNumId w:val="107"/>
  </w:num>
  <w:num w:numId="154">
    <w:abstractNumId w:val="158"/>
  </w:num>
  <w:num w:numId="155">
    <w:abstractNumId w:val="66"/>
  </w:num>
  <w:num w:numId="156">
    <w:abstractNumId w:val="133"/>
  </w:num>
  <w:num w:numId="157">
    <w:abstractNumId w:val="198"/>
  </w:num>
  <w:num w:numId="158">
    <w:abstractNumId w:val="23"/>
  </w:num>
  <w:num w:numId="159">
    <w:abstractNumId w:val="44"/>
  </w:num>
  <w:num w:numId="160">
    <w:abstractNumId w:val="145"/>
  </w:num>
  <w:num w:numId="161">
    <w:abstractNumId w:val="38"/>
  </w:num>
  <w:num w:numId="162">
    <w:abstractNumId w:val="136"/>
  </w:num>
  <w:num w:numId="163">
    <w:abstractNumId w:val="181"/>
  </w:num>
  <w:num w:numId="164">
    <w:abstractNumId w:val="121"/>
  </w:num>
  <w:num w:numId="165">
    <w:abstractNumId w:val="48"/>
  </w:num>
  <w:num w:numId="166">
    <w:abstractNumId w:val="152"/>
  </w:num>
  <w:num w:numId="167">
    <w:abstractNumId w:val="8"/>
  </w:num>
  <w:num w:numId="168">
    <w:abstractNumId w:val="154"/>
  </w:num>
  <w:num w:numId="169">
    <w:abstractNumId w:val="78"/>
  </w:num>
  <w:num w:numId="170">
    <w:abstractNumId w:val="111"/>
  </w:num>
  <w:num w:numId="171">
    <w:abstractNumId w:val="74"/>
  </w:num>
  <w:num w:numId="172">
    <w:abstractNumId w:val="113"/>
  </w:num>
  <w:num w:numId="173">
    <w:abstractNumId w:val="120"/>
  </w:num>
  <w:num w:numId="174">
    <w:abstractNumId w:val="81"/>
  </w:num>
  <w:num w:numId="175">
    <w:abstractNumId w:val="167"/>
  </w:num>
  <w:num w:numId="176">
    <w:abstractNumId w:val="31"/>
  </w:num>
  <w:num w:numId="177">
    <w:abstractNumId w:val="98"/>
  </w:num>
  <w:num w:numId="178">
    <w:abstractNumId w:val="172"/>
  </w:num>
  <w:num w:numId="179">
    <w:abstractNumId w:val="110"/>
  </w:num>
  <w:num w:numId="180">
    <w:abstractNumId w:val="45"/>
  </w:num>
  <w:num w:numId="181">
    <w:abstractNumId w:val="156"/>
  </w:num>
  <w:num w:numId="182">
    <w:abstractNumId w:val="146"/>
  </w:num>
  <w:num w:numId="183">
    <w:abstractNumId w:val="49"/>
  </w:num>
  <w:num w:numId="184">
    <w:abstractNumId w:val="192"/>
  </w:num>
  <w:num w:numId="185">
    <w:abstractNumId w:val="75"/>
  </w:num>
  <w:num w:numId="186">
    <w:abstractNumId w:val="140"/>
  </w:num>
  <w:num w:numId="187">
    <w:abstractNumId w:val="58"/>
  </w:num>
  <w:num w:numId="188">
    <w:abstractNumId w:val="63"/>
  </w:num>
  <w:num w:numId="189">
    <w:abstractNumId w:val="47"/>
  </w:num>
  <w:num w:numId="190">
    <w:abstractNumId w:val="190"/>
  </w:num>
  <w:num w:numId="191">
    <w:abstractNumId w:val="99"/>
  </w:num>
  <w:num w:numId="192">
    <w:abstractNumId w:val="59"/>
  </w:num>
  <w:num w:numId="193">
    <w:abstractNumId w:val="104"/>
  </w:num>
  <w:num w:numId="194">
    <w:abstractNumId w:val="108"/>
  </w:num>
  <w:num w:numId="195">
    <w:abstractNumId w:val="199"/>
  </w:num>
  <w:num w:numId="196">
    <w:abstractNumId w:val="116"/>
  </w:num>
  <w:num w:numId="197">
    <w:abstractNumId w:val="64"/>
  </w:num>
  <w:num w:numId="198">
    <w:abstractNumId w:val="191"/>
  </w:num>
  <w:num w:numId="199">
    <w:abstractNumId w:val="151"/>
  </w:num>
  <w:num w:numId="20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wNmM0YjY3MWJjODlhOWZlZDQzNjRjZGE4MzQ1OTEifQ=="/>
    <w:docVar w:name="KSO_WPS_MARK_KEY" w:val="dce41869-66cd-427d-93cc-667253d7ee48"/>
  </w:docVars>
  <w:rsids>
    <w:rsidRoot w:val="00172A27"/>
    <w:rsid w:val="000017A9"/>
    <w:rsid w:val="00001CED"/>
    <w:rsid w:val="000021CC"/>
    <w:rsid w:val="00003179"/>
    <w:rsid w:val="00003D1A"/>
    <w:rsid w:val="00007068"/>
    <w:rsid w:val="000072F9"/>
    <w:rsid w:val="0000774F"/>
    <w:rsid w:val="000138A3"/>
    <w:rsid w:val="000258A4"/>
    <w:rsid w:val="00031A22"/>
    <w:rsid w:val="000335F1"/>
    <w:rsid w:val="00040999"/>
    <w:rsid w:val="0004344C"/>
    <w:rsid w:val="0005348A"/>
    <w:rsid w:val="000544E7"/>
    <w:rsid w:val="00057349"/>
    <w:rsid w:val="00060509"/>
    <w:rsid w:val="00063B9D"/>
    <w:rsid w:val="000704B9"/>
    <w:rsid w:val="00071562"/>
    <w:rsid w:val="000724B9"/>
    <w:rsid w:val="00072D64"/>
    <w:rsid w:val="00076627"/>
    <w:rsid w:val="00077DE1"/>
    <w:rsid w:val="00090283"/>
    <w:rsid w:val="00094F2D"/>
    <w:rsid w:val="000A1BF2"/>
    <w:rsid w:val="000A515F"/>
    <w:rsid w:val="000B2956"/>
    <w:rsid w:val="000C0ED2"/>
    <w:rsid w:val="000C116D"/>
    <w:rsid w:val="000C6680"/>
    <w:rsid w:val="000C68DA"/>
    <w:rsid w:val="000C776C"/>
    <w:rsid w:val="000E01DC"/>
    <w:rsid w:val="000E1597"/>
    <w:rsid w:val="000E2D71"/>
    <w:rsid w:val="000E3C2A"/>
    <w:rsid w:val="000E4D8D"/>
    <w:rsid w:val="000F3AA2"/>
    <w:rsid w:val="000F74C3"/>
    <w:rsid w:val="0010396D"/>
    <w:rsid w:val="00105259"/>
    <w:rsid w:val="00115FB6"/>
    <w:rsid w:val="0011795F"/>
    <w:rsid w:val="00126790"/>
    <w:rsid w:val="0013063A"/>
    <w:rsid w:val="0013177C"/>
    <w:rsid w:val="001318A7"/>
    <w:rsid w:val="00135B83"/>
    <w:rsid w:val="00137A57"/>
    <w:rsid w:val="00142AD5"/>
    <w:rsid w:val="0014378A"/>
    <w:rsid w:val="00145E3E"/>
    <w:rsid w:val="001476A8"/>
    <w:rsid w:val="00157A39"/>
    <w:rsid w:val="00161A76"/>
    <w:rsid w:val="00162D58"/>
    <w:rsid w:val="00166D95"/>
    <w:rsid w:val="001700E3"/>
    <w:rsid w:val="001719CA"/>
    <w:rsid w:val="00172A27"/>
    <w:rsid w:val="0018223A"/>
    <w:rsid w:val="001843B6"/>
    <w:rsid w:val="001901AE"/>
    <w:rsid w:val="00196AD1"/>
    <w:rsid w:val="001A11A4"/>
    <w:rsid w:val="001A5C46"/>
    <w:rsid w:val="001A7373"/>
    <w:rsid w:val="001B2DBF"/>
    <w:rsid w:val="001B3FAB"/>
    <w:rsid w:val="001B7F8A"/>
    <w:rsid w:val="001C1185"/>
    <w:rsid w:val="001C1B11"/>
    <w:rsid w:val="001C3095"/>
    <w:rsid w:val="001D01C2"/>
    <w:rsid w:val="001D45C1"/>
    <w:rsid w:val="001D736D"/>
    <w:rsid w:val="001E0124"/>
    <w:rsid w:val="001E3C37"/>
    <w:rsid w:val="001E5318"/>
    <w:rsid w:val="001F01AE"/>
    <w:rsid w:val="001F1E07"/>
    <w:rsid w:val="001F23DE"/>
    <w:rsid w:val="001F428B"/>
    <w:rsid w:val="001F5877"/>
    <w:rsid w:val="001F5E7F"/>
    <w:rsid w:val="00207A8B"/>
    <w:rsid w:val="00207CB7"/>
    <w:rsid w:val="0021130C"/>
    <w:rsid w:val="00211869"/>
    <w:rsid w:val="0022267A"/>
    <w:rsid w:val="00224971"/>
    <w:rsid w:val="00226C71"/>
    <w:rsid w:val="00231328"/>
    <w:rsid w:val="00232A6E"/>
    <w:rsid w:val="002337FE"/>
    <w:rsid w:val="0023625A"/>
    <w:rsid w:val="002401C4"/>
    <w:rsid w:val="002417F8"/>
    <w:rsid w:val="00241EC3"/>
    <w:rsid w:val="00242B73"/>
    <w:rsid w:val="002475B1"/>
    <w:rsid w:val="002621D9"/>
    <w:rsid w:val="00270895"/>
    <w:rsid w:val="00272AA1"/>
    <w:rsid w:val="00273DB8"/>
    <w:rsid w:val="00274F2E"/>
    <w:rsid w:val="00276325"/>
    <w:rsid w:val="00277669"/>
    <w:rsid w:val="00287243"/>
    <w:rsid w:val="0029104E"/>
    <w:rsid w:val="002A4EC8"/>
    <w:rsid w:val="002A5C10"/>
    <w:rsid w:val="002B1930"/>
    <w:rsid w:val="002B42A7"/>
    <w:rsid w:val="002C095C"/>
    <w:rsid w:val="002C1271"/>
    <w:rsid w:val="002C2B12"/>
    <w:rsid w:val="002C48E4"/>
    <w:rsid w:val="002C4D37"/>
    <w:rsid w:val="002C67FE"/>
    <w:rsid w:val="002D3AF4"/>
    <w:rsid w:val="002D7692"/>
    <w:rsid w:val="002E7200"/>
    <w:rsid w:val="002E79D5"/>
    <w:rsid w:val="002F170B"/>
    <w:rsid w:val="002F4F18"/>
    <w:rsid w:val="002F7E17"/>
    <w:rsid w:val="003007D4"/>
    <w:rsid w:val="00301362"/>
    <w:rsid w:val="00303AD2"/>
    <w:rsid w:val="00304BB7"/>
    <w:rsid w:val="00305424"/>
    <w:rsid w:val="0031487A"/>
    <w:rsid w:val="00314DC7"/>
    <w:rsid w:val="00314E79"/>
    <w:rsid w:val="00321094"/>
    <w:rsid w:val="003249C9"/>
    <w:rsid w:val="003262B7"/>
    <w:rsid w:val="00326B14"/>
    <w:rsid w:val="003319CB"/>
    <w:rsid w:val="00334531"/>
    <w:rsid w:val="00336F62"/>
    <w:rsid w:val="00341964"/>
    <w:rsid w:val="00341F23"/>
    <w:rsid w:val="003425C9"/>
    <w:rsid w:val="00345278"/>
    <w:rsid w:val="003467D4"/>
    <w:rsid w:val="003475B5"/>
    <w:rsid w:val="00367377"/>
    <w:rsid w:val="00367CE2"/>
    <w:rsid w:val="003732A0"/>
    <w:rsid w:val="00380E83"/>
    <w:rsid w:val="00383059"/>
    <w:rsid w:val="00385AD1"/>
    <w:rsid w:val="00385B5B"/>
    <w:rsid w:val="003861FF"/>
    <w:rsid w:val="00386335"/>
    <w:rsid w:val="00387386"/>
    <w:rsid w:val="00392B3C"/>
    <w:rsid w:val="003B1695"/>
    <w:rsid w:val="003B487A"/>
    <w:rsid w:val="003B6385"/>
    <w:rsid w:val="003B7EF3"/>
    <w:rsid w:val="003C06CE"/>
    <w:rsid w:val="003C1FCE"/>
    <w:rsid w:val="003D75EF"/>
    <w:rsid w:val="003E1EB6"/>
    <w:rsid w:val="003E7197"/>
    <w:rsid w:val="003F4F7C"/>
    <w:rsid w:val="00401AA4"/>
    <w:rsid w:val="0040231F"/>
    <w:rsid w:val="00403172"/>
    <w:rsid w:val="00403B41"/>
    <w:rsid w:val="00406978"/>
    <w:rsid w:val="004101EA"/>
    <w:rsid w:val="00411438"/>
    <w:rsid w:val="00414262"/>
    <w:rsid w:val="00414667"/>
    <w:rsid w:val="004208D8"/>
    <w:rsid w:val="00420F7E"/>
    <w:rsid w:val="004217DC"/>
    <w:rsid w:val="0042647B"/>
    <w:rsid w:val="00426CA2"/>
    <w:rsid w:val="004314C6"/>
    <w:rsid w:val="00433007"/>
    <w:rsid w:val="00434C83"/>
    <w:rsid w:val="0044039F"/>
    <w:rsid w:val="0044578A"/>
    <w:rsid w:val="0044610A"/>
    <w:rsid w:val="00463086"/>
    <w:rsid w:val="0046624C"/>
    <w:rsid w:val="00472503"/>
    <w:rsid w:val="0047580D"/>
    <w:rsid w:val="00475EA0"/>
    <w:rsid w:val="00482D09"/>
    <w:rsid w:val="0048681B"/>
    <w:rsid w:val="004904CB"/>
    <w:rsid w:val="0049407D"/>
    <w:rsid w:val="004973C7"/>
    <w:rsid w:val="004A4C54"/>
    <w:rsid w:val="004A597C"/>
    <w:rsid w:val="004A71A5"/>
    <w:rsid w:val="004B17C5"/>
    <w:rsid w:val="004B776C"/>
    <w:rsid w:val="004B7A1E"/>
    <w:rsid w:val="004C17CE"/>
    <w:rsid w:val="004D1E3D"/>
    <w:rsid w:val="004D24F4"/>
    <w:rsid w:val="004D2A36"/>
    <w:rsid w:val="004E22D8"/>
    <w:rsid w:val="004E2643"/>
    <w:rsid w:val="004E2C73"/>
    <w:rsid w:val="004E3B17"/>
    <w:rsid w:val="004E55CC"/>
    <w:rsid w:val="004E7ABA"/>
    <w:rsid w:val="004F1760"/>
    <w:rsid w:val="004F66B3"/>
    <w:rsid w:val="00511552"/>
    <w:rsid w:val="005128FA"/>
    <w:rsid w:val="005236E1"/>
    <w:rsid w:val="00525261"/>
    <w:rsid w:val="00526229"/>
    <w:rsid w:val="00541A61"/>
    <w:rsid w:val="005476BC"/>
    <w:rsid w:val="00550757"/>
    <w:rsid w:val="00552B92"/>
    <w:rsid w:val="00555337"/>
    <w:rsid w:val="005554D9"/>
    <w:rsid w:val="00556F37"/>
    <w:rsid w:val="005603D3"/>
    <w:rsid w:val="00565F32"/>
    <w:rsid w:val="00567863"/>
    <w:rsid w:val="00570B78"/>
    <w:rsid w:val="0057309D"/>
    <w:rsid w:val="00575DAE"/>
    <w:rsid w:val="00576F0B"/>
    <w:rsid w:val="00577549"/>
    <w:rsid w:val="00582662"/>
    <w:rsid w:val="005903AA"/>
    <w:rsid w:val="005A1758"/>
    <w:rsid w:val="005A1AB6"/>
    <w:rsid w:val="005A1C77"/>
    <w:rsid w:val="005A1D69"/>
    <w:rsid w:val="005A523E"/>
    <w:rsid w:val="005A5EFD"/>
    <w:rsid w:val="005A74B2"/>
    <w:rsid w:val="005B030F"/>
    <w:rsid w:val="005B0FA3"/>
    <w:rsid w:val="005B1BCD"/>
    <w:rsid w:val="005B7D07"/>
    <w:rsid w:val="005C102B"/>
    <w:rsid w:val="005D3828"/>
    <w:rsid w:val="005D4328"/>
    <w:rsid w:val="005E5540"/>
    <w:rsid w:val="005F3D46"/>
    <w:rsid w:val="005F5060"/>
    <w:rsid w:val="005F7D8F"/>
    <w:rsid w:val="00604F7A"/>
    <w:rsid w:val="006110B1"/>
    <w:rsid w:val="00613FDB"/>
    <w:rsid w:val="00615518"/>
    <w:rsid w:val="00623134"/>
    <w:rsid w:val="006249CB"/>
    <w:rsid w:val="0063348A"/>
    <w:rsid w:val="00637333"/>
    <w:rsid w:val="00637867"/>
    <w:rsid w:val="006401F4"/>
    <w:rsid w:val="006415B7"/>
    <w:rsid w:val="00642949"/>
    <w:rsid w:val="00642A06"/>
    <w:rsid w:val="00646784"/>
    <w:rsid w:val="00650402"/>
    <w:rsid w:val="006517FE"/>
    <w:rsid w:val="00673F59"/>
    <w:rsid w:val="00683EB7"/>
    <w:rsid w:val="00691DEE"/>
    <w:rsid w:val="0069222D"/>
    <w:rsid w:val="00693C43"/>
    <w:rsid w:val="0069689D"/>
    <w:rsid w:val="00697CEC"/>
    <w:rsid w:val="006A0FAA"/>
    <w:rsid w:val="006A1BC4"/>
    <w:rsid w:val="006A1E8F"/>
    <w:rsid w:val="006A4622"/>
    <w:rsid w:val="006B0147"/>
    <w:rsid w:val="006B1C03"/>
    <w:rsid w:val="006B2591"/>
    <w:rsid w:val="006B359C"/>
    <w:rsid w:val="006C44FA"/>
    <w:rsid w:val="006D69E9"/>
    <w:rsid w:val="006E3489"/>
    <w:rsid w:val="006E722A"/>
    <w:rsid w:val="006F30A4"/>
    <w:rsid w:val="006F63BC"/>
    <w:rsid w:val="006F67FC"/>
    <w:rsid w:val="006F7768"/>
    <w:rsid w:val="006F7C6D"/>
    <w:rsid w:val="0070331C"/>
    <w:rsid w:val="00704F45"/>
    <w:rsid w:val="007147B8"/>
    <w:rsid w:val="0072097B"/>
    <w:rsid w:val="00721982"/>
    <w:rsid w:val="00740874"/>
    <w:rsid w:val="00741489"/>
    <w:rsid w:val="007423F9"/>
    <w:rsid w:val="0074327E"/>
    <w:rsid w:val="0074442D"/>
    <w:rsid w:val="007461CD"/>
    <w:rsid w:val="00752DE1"/>
    <w:rsid w:val="00754741"/>
    <w:rsid w:val="00755449"/>
    <w:rsid w:val="00761266"/>
    <w:rsid w:val="007622C3"/>
    <w:rsid w:val="0076526F"/>
    <w:rsid w:val="007672D0"/>
    <w:rsid w:val="007741E3"/>
    <w:rsid w:val="00774AB7"/>
    <w:rsid w:val="00791705"/>
    <w:rsid w:val="007A1727"/>
    <w:rsid w:val="007A1A26"/>
    <w:rsid w:val="007A2DCA"/>
    <w:rsid w:val="007B123E"/>
    <w:rsid w:val="007C1095"/>
    <w:rsid w:val="007C2CB5"/>
    <w:rsid w:val="007D0314"/>
    <w:rsid w:val="007D2B10"/>
    <w:rsid w:val="007D43AA"/>
    <w:rsid w:val="007D4A42"/>
    <w:rsid w:val="007D4FCA"/>
    <w:rsid w:val="007E0EBC"/>
    <w:rsid w:val="007E1E65"/>
    <w:rsid w:val="007E2174"/>
    <w:rsid w:val="007E5058"/>
    <w:rsid w:val="007E50C8"/>
    <w:rsid w:val="007E7A95"/>
    <w:rsid w:val="007F57B9"/>
    <w:rsid w:val="008017E0"/>
    <w:rsid w:val="00801B4C"/>
    <w:rsid w:val="00817196"/>
    <w:rsid w:val="00817A2D"/>
    <w:rsid w:val="00825B89"/>
    <w:rsid w:val="00841752"/>
    <w:rsid w:val="00851DFD"/>
    <w:rsid w:val="00853B29"/>
    <w:rsid w:val="00853B2A"/>
    <w:rsid w:val="0085567C"/>
    <w:rsid w:val="00857EFC"/>
    <w:rsid w:val="00865FB9"/>
    <w:rsid w:val="00870346"/>
    <w:rsid w:val="008738AA"/>
    <w:rsid w:val="00877642"/>
    <w:rsid w:val="00877662"/>
    <w:rsid w:val="00882DB8"/>
    <w:rsid w:val="0088329D"/>
    <w:rsid w:val="0088503A"/>
    <w:rsid w:val="0088713E"/>
    <w:rsid w:val="0088781E"/>
    <w:rsid w:val="00887B90"/>
    <w:rsid w:val="00890381"/>
    <w:rsid w:val="00893E77"/>
    <w:rsid w:val="00895683"/>
    <w:rsid w:val="008A7BE2"/>
    <w:rsid w:val="008B0878"/>
    <w:rsid w:val="008B1204"/>
    <w:rsid w:val="008B2137"/>
    <w:rsid w:val="008C0EE1"/>
    <w:rsid w:val="008C16AB"/>
    <w:rsid w:val="008F0193"/>
    <w:rsid w:val="008F2337"/>
    <w:rsid w:val="008F7B8B"/>
    <w:rsid w:val="00901530"/>
    <w:rsid w:val="00903866"/>
    <w:rsid w:val="00904F02"/>
    <w:rsid w:val="009055CE"/>
    <w:rsid w:val="00911376"/>
    <w:rsid w:val="009122D2"/>
    <w:rsid w:val="00915A67"/>
    <w:rsid w:val="00915FE6"/>
    <w:rsid w:val="00916A31"/>
    <w:rsid w:val="009175B2"/>
    <w:rsid w:val="00922422"/>
    <w:rsid w:val="009269B7"/>
    <w:rsid w:val="0094108D"/>
    <w:rsid w:val="00942911"/>
    <w:rsid w:val="00946625"/>
    <w:rsid w:val="00954FF4"/>
    <w:rsid w:val="00960F06"/>
    <w:rsid w:val="00962C49"/>
    <w:rsid w:val="009637CA"/>
    <w:rsid w:val="00967939"/>
    <w:rsid w:val="00973CFC"/>
    <w:rsid w:val="00982CB3"/>
    <w:rsid w:val="00983030"/>
    <w:rsid w:val="00983662"/>
    <w:rsid w:val="00984FC1"/>
    <w:rsid w:val="00985687"/>
    <w:rsid w:val="00992B71"/>
    <w:rsid w:val="00993E13"/>
    <w:rsid w:val="00995DE0"/>
    <w:rsid w:val="009971C7"/>
    <w:rsid w:val="00997DC6"/>
    <w:rsid w:val="009A0778"/>
    <w:rsid w:val="009C2F33"/>
    <w:rsid w:val="009C4C2E"/>
    <w:rsid w:val="009C5CC6"/>
    <w:rsid w:val="009D1C14"/>
    <w:rsid w:val="009F1B71"/>
    <w:rsid w:val="009F34A9"/>
    <w:rsid w:val="009F5227"/>
    <w:rsid w:val="00A06246"/>
    <w:rsid w:val="00A06D72"/>
    <w:rsid w:val="00A07C7A"/>
    <w:rsid w:val="00A15E0B"/>
    <w:rsid w:val="00A16107"/>
    <w:rsid w:val="00A16981"/>
    <w:rsid w:val="00A27C1B"/>
    <w:rsid w:val="00A27C55"/>
    <w:rsid w:val="00A30DAD"/>
    <w:rsid w:val="00A37777"/>
    <w:rsid w:val="00A41E63"/>
    <w:rsid w:val="00A426B4"/>
    <w:rsid w:val="00A4624A"/>
    <w:rsid w:val="00A46653"/>
    <w:rsid w:val="00A50E9B"/>
    <w:rsid w:val="00A51D34"/>
    <w:rsid w:val="00A522D5"/>
    <w:rsid w:val="00A53FB6"/>
    <w:rsid w:val="00A56603"/>
    <w:rsid w:val="00A568B5"/>
    <w:rsid w:val="00A6012F"/>
    <w:rsid w:val="00A82474"/>
    <w:rsid w:val="00A8519A"/>
    <w:rsid w:val="00A97ECE"/>
    <w:rsid w:val="00AA2DEE"/>
    <w:rsid w:val="00AA3FD1"/>
    <w:rsid w:val="00AB0691"/>
    <w:rsid w:val="00AB06F0"/>
    <w:rsid w:val="00AC021F"/>
    <w:rsid w:val="00AC0AAD"/>
    <w:rsid w:val="00AC30E2"/>
    <w:rsid w:val="00AD5098"/>
    <w:rsid w:val="00AE15CC"/>
    <w:rsid w:val="00AE5F30"/>
    <w:rsid w:val="00AF2EFD"/>
    <w:rsid w:val="00AF4C15"/>
    <w:rsid w:val="00B01139"/>
    <w:rsid w:val="00B011C0"/>
    <w:rsid w:val="00B0439C"/>
    <w:rsid w:val="00B04FAB"/>
    <w:rsid w:val="00B109B4"/>
    <w:rsid w:val="00B112DF"/>
    <w:rsid w:val="00B119D1"/>
    <w:rsid w:val="00B11F7A"/>
    <w:rsid w:val="00B139B7"/>
    <w:rsid w:val="00B16687"/>
    <w:rsid w:val="00B23F86"/>
    <w:rsid w:val="00B23FBB"/>
    <w:rsid w:val="00B24FA6"/>
    <w:rsid w:val="00B32D28"/>
    <w:rsid w:val="00B34C3E"/>
    <w:rsid w:val="00B34F1F"/>
    <w:rsid w:val="00B3542E"/>
    <w:rsid w:val="00B40504"/>
    <w:rsid w:val="00B42B7B"/>
    <w:rsid w:val="00B436CF"/>
    <w:rsid w:val="00B45E07"/>
    <w:rsid w:val="00B50405"/>
    <w:rsid w:val="00B5057D"/>
    <w:rsid w:val="00B52E01"/>
    <w:rsid w:val="00B6029E"/>
    <w:rsid w:val="00B62C2A"/>
    <w:rsid w:val="00B62C3B"/>
    <w:rsid w:val="00B659C3"/>
    <w:rsid w:val="00B71B1B"/>
    <w:rsid w:val="00B73AC5"/>
    <w:rsid w:val="00B81396"/>
    <w:rsid w:val="00B83437"/>
    <w:rsid w:val="00B83B3F"/>
    <w:rsid w:val="00B85FDD"/>
    <w:rsid w:val="00B90A27"/>
    <w:rsid w:val="00B92B2A"/>
    <w:rsid w:val="00BA1EA9"/>
    <w:rsid w:val="00BB15B5"/>
    <w:rsid w:val="00BB35B5"/>
    <w:rsid w:val="00BB60DC"/>
    <w:rsid w:val="00BC42E6"/>
    <w:rsid w:val="00BD65A0"/>
    <w:rsid w:val="00BD7AEB"/>
    <w:rsid w:val="00BE1DFF"/>
    <w:rsid w:val="00BE7029"/>
    <w:rsid w:val="00BE7EAA"/>
    <w:rsid w:val="00BF2BA5"/>
    <w:rsid w:val="00C00F9B"/>
    <w:rsid w:val="00C016DB"/>
    <w:rsid w:val="00C04AAE"/>
    <w:rsid w:val="00C06C42"/>
    <w:rsid w:val="00C07532"/>
    <w:rsid w:val="00C10870"/>
    <w:rsid w:val="00C131AA"/>
    <w:rsid w:val="00C2316A"/>
    <w:rsid w:val="00C24E45"/>
    <w:rsid w:val="00C346E2"/>
    <w:rsid w:val="00C36B27"/>
    <w:rsid w:val="00C451BC"/>
    <w:rsid w:val="00C453F9"/>
    <w:rsid w:val="00C4545A"/>
    <w:rsid w:val="00C47654"/>
    <w:rsid w:val="00C54082"/>
    <w:rsid w:val="00C554D6"/>
    <w:rsid w:val="00C57A50"/>
    <w:rsid w:val="00C62666"/>
    <w:rsid w:val="00C62B5F"/>
    <w:rsid w:val="00C62C38"/>
    <w:rsid w:val="00C641F8"/>
    <w:rsid w:val="00C7017A"/>
    <w:rsid w:val="00C72D94"/>
    <w:rsid w:val="00C75205"/>
    <w:rsid w:val="00C772E1"/>
    <w:rsid w:val="00C81897"/>
    <w:rsid w:val="00C8487E"/>
    <w:rsid w:val="00C9158F"/>
    <w:rsid w:val="00C93EC5"/>
    <w:rsid w:val="00C9765A"/>
    <w:rsid w:val="00CA2030"/>
    <w:rsid w:val="00CA30F3"/>
    <w:rsid w:val="00CB0EA2"/>
    <w:rsid w:val="00CB3F76"/>
    <w:rsid w:val="00CB64D8"/>
    <w:rsid w:val="00CB7206"/>
    <w:rsid w:val="00CC0082"/>
    <w:rsid w:val="00CC1ACE"/>
    <w:rsid w:val="00CC2CAE"/>
    <w:rsid w:val="00CC3B4B"/>
    <w:rsid w:val="00CC6273"/>
    <w:rsid w:val="00CC77E9"/>
    <w:rsid w:val="00CD6C18"/>
    <w:rsid w:val="00CE3716"/>
    <w:rsid w:val="00CE42DE"/>
    <w:rsid w:val="00CF1E28"/>
    <w:rsid w:val="00CF6CE9"/>
    <w:rsid w:val="00D00489"/>
    <w:rsid w:val="00D02366"/>
    <w:rsid w:val="00D04607"/>
    <w:rsid w:val="00D056E9"/>
    <w:rsid w:val="00D11F30"/>
    <w:rsid w:val="00D14664"/>
    <w:rsid w:val="00D1545D"/>
    <w:rsid w:val="00D21EE5"/>
    <w:rsid w:val="00D22DC2"/>
    <w:rsid w:val="00D30364"/>
    <w:rsid w:val="00D3624D"/>
    <w:rsid w:val="00D407DE"/>
    <w:rsid w:val="00D41EAF"/>
    <w:rsid w:val="00D45091"/>
    <w:rsid w:val="00D471CC"/>
    <w:rsid w:val="00D47572"/>
    <w:rsid w:val="00D47F85"/>
    <w:rsid w:val="00D52704"/>
    <w:rsid w:val="00D61197"/>
    <w:rsid w:val="00D61D72"/>
    <w:rsid w:val="00D71D7C"/>
    <w:rsid w:val="00D75978"/>
    <w:rsid w:val="00D83870"/>
    <w:rsid w:val="00D86372"/>
    <w:rsid w:val="00D91A3C"/>
    <w:rsid w:val="00D945B3"/>
    <w:rsid w:val="00DB0FA8"/>
    <w:rsid w:val="00DB176E"/>
    <w:rsid w:val="00DB6C72"/>
    <w:rsid w:val="00DB78F9"/>
    <w:rsid w:val="00DC321F"/>
    <w:rsid w:val="00DD66D3"/>
    <w:rsid w:val="00DD7D18"/>
    <w:rsid w:val="00DE0C1D"/>
    <w:rsid w:val="00DE448C"/>
    <w:rsid w:val="00DE72E7"/>
    <w:rsid w:val="00DF54C2"/>
    <w:rsid w:val="00DF626C"/>
    <w:rsid w:val="00E02975"/>
    <w:rsid w:val="00E23794"/>
    <w:rsid w:val="00E2407F"/>
    <w:rsid w:val="00E2668C"/>
    <w:rsid w:val="00E274C6"/>
    <w:rsid w:val="00E315FB"/>
    <w:rsid w:val="00E32F14"/>
    <w:rsid w:val="00E3786C"/>
    <w:rsid w:val="00E50233"/>
    <w:rsid w:val="00E66300"/>
    <w:rsid w:val="00E71FA5"/>
    <w:rsid w:val="00E753B8"/>
    <w:rsid w:val="00E80433"/>
    <w:rsid w:val="00E861BA"/>
    <w:rsid w:val="00E87A4E"/>
    <w:rsid w:val="00E94BA4"/>
    <w:rsid w:val="00E95091"/>
    <w:rsid w:val="00E9666B"/>
    <w:rsid w:val="00E96BF9"/>
    <w:rsid w:val="00EA2308"/>
    <w:rsid w:val="00EB4D68"/>
    <w:rsid w:val="00EC2B44"/>
    <w:rsid w:val="00EC3944"/>
    <w:rsid w:val="00EC6674"/>
    <w:rsid w:val="00ED3B1F"/>
    <w:rsid w:val="00ED4D0B"/>
    <w:rsid w:val="00EF0330"/>
    <w:rsid w:val="00EF3E2B"/>
    <w:rsid w:val="00EF3FD8"/>
    <w:rsid w:val="00F007E2"/>
    <w:rsid w:val="00F0168F"/>
    <w:rsid w:val="00F04C55"/>
    <w:rsid w:val="00F0676A"/>
    <w:rsid w:val="00F06998"/>
    <w:rsid w:val="00F11821"/>
    <w:rsid w:val="00F14F49"/>
    <w:rsid w:val="00F15760"/>
    <w:rsid w:val="00F160BE"/>
    <w:rsid w:val="00F16E57"/>
    <w:rsid w:val="00F16EDE"/>
    <w:rsid w:val="00F2102C"/>
    <w:rsid w:val="00F23F7E"/>
    <w:rsid w:val="00F24CC4"/>
    <w:rsid w:val="00F24FB4"/>
    <w:rsid w:val="00F26538"/>
    <w:rsid w:val="00F30021"/>
    <w:rsid w:val="00F3297D"/>
    <w:rsid w:val="00F33008"/>
    <w:rsid w:val="00F402B9"/>
    <w:rsid w:val="00F417D1"/>
    <w:rsid w:val="00F450BC"/>
    <w:rsid w:val="00F479D4"/>
    <w:rsid w:val="00F556A6"/>
    <w:rsid w:val="00F61B38"/>
    <w:rsid w:val="00F66C88"/>
    <w:rsid w:val="00F66E43"/>
    <w:rsid w:val="00F704B3"/>
    <w:rsid w:val="00F72CBA"/>
    <w:rsid w:val="00F76BE6"/>
    <w:rsid w:val="00F7768B"/>
    <w:rsid w:val="00F80F40"/>
    <w:rsid w:val="00F81060"/>
    <w:rsid w:val="00F81434"/>
    <w:rsid w:val="00F81722"/>
    <w:rsid w:val="00F82A6B"/>
    <w:rsid w:val="00F9611A"/>
    <w:rsid w:val="00F96B3B"/>
    <w:rsid w:val="00F9794A"/>
    <w:rsid w:val="00FA0DC9"/>
    <w:rsid w:val="00FA2E6B"/>
    <w:rsid w:val="00FA3A26"/>
    <w:rsid w:val="00FA4A6C"/>
    <w:rsid w:val="00FB7F39"/>
    <w:rsid w:val="00FC05AA"/>
    <w:rsid w:val="00FC33D3"/>
    <w:rsid w:val="00FC45D0"/>
    <w:rsid w:val="00FC4D3F"/>
    <w:rsid w:val="00FC5145"/>
    <w:rsid w:val="00FE2360"/>
    <w:rsid w:val="00FE3072"/>
    <w:rsid w:val="00FE432C"/>
    <w:rsid w:val="00FE7B62"/>
    <w:rsid w:val="00FF2776"/>
    <w:rsid w:val="012714C9"/>
    <w:rsid w:val="013930DE"/>
    <w:rsid w:val="01AA3560"/>
    <w:rsid w:val="01B22A20"/>
    <w:rsid w:val="01B53358"/>
    <w:rsid w:val="01BD0368"/>
    <w:rsid w:val="01D60B44"/>
    <w:rsid w:val="01E05808"/>
    <w:rsid w:val="01FA18E8"/>
    <w:rsid w:val="020F7B7E"/>
    <w:rsid w:val="02730BE3"/>
    <w:rsid w:val="027C4D61"/>
    <w:rsid w:val="02AE0F75"/>
    <w:rsid w:val="02C1420B"/>
    <w:rsid w:val="02EA018D"/>
    <w:rsid w:val="03162AD9"/>
    <w:rsid w:val="0324253E"/>
    <w:rsid w:val="036A1510"/>
    <w:rsid w:val="0394201E"/>
    <w:rsid w:val="039B3DFC"/>
    <w:rsid w:val="03CF69C9"/>
    <w:rsid w:val="03FE5EBA"/>
    <w:rsid w:val="040D1192"/>
    <w:rsid w:val="044F484E"/>
    <w:rsid w:val="04A15406"/>
    <w:rsid w:val="04AA6C0B"/>
    <w:rsid w:val="04B341A6"/>
    <w:rsid w:val="04C119F9"/>
    <w:rsid w:val="04E009AB"/>
    <w:rsid w:val="04FF212C"/>
    <w:rsid w:val="05087345"/>
    <w:rsid w:val="053C512E"/>
    <w:rsid w:val="05555829"/>
    <w:rsid w:val="05A51D18"/>
    <w:rsid w:val="05F42136"/>
    <w:rsid w:val="061C1C8C"/>
    <w:rsid w:val="062B0DEB"/>
    <w:rsid w:val="06564386"/>
    <w:rsid w:val="065E6A34"/>
    <w:rsid w:val="06667C48"/>
    <w:rsid w:val="067526A6"/>
    <w:rsid w:val="069B724F"/>
    <w:rsid w:val="06CA50F6"/>
    <w:rsid w:val="06D90E7C"/>
    <w:rsid w:val="06F965A3"/>
    <w:rsid w:val="0700113A"/>
    <w:rsid w:val="070D03CD"/>
    <w:rsid w:val="078057A6"/>
    <w:rsid w:val="07AB084E"/>
    <w:rsid w:val="086D5E46"/>
    <w:rsid w:val="08702ABE"/>
    <w:rsid w:val="087034E2"/>
    <w:rsid w:val="08C91941"/>
    <w:rsid w:val="0930353B"/>
    <w:rsid w:val="094B45BE"/>
    <w:rsid w:val="09616470"/>
    <w:rsid w:val="09A3577C"/>
    <w:rsid w:val="09D41DD9"/>
    <w:rsid w:val="09DD6948"/>
    <w:rsid w:val="0A0F4034"/>
    <w:rsid w:val="0A7A6BAF"/>
    <w:rsid w:val="0AAE1466"/>
    <w:rsid w:val="0AFB13C3"/>
    <w:rsid w:val="0AFB7199"/>
    <w:rsid w:val="0B0D3E50"/>
    <w:rsid w:val="0B2152A7"/>
    <w:rsid w:val="0B8D5889"/>
    <w:rsid w:val="0BD61737"/>
    <w:rsid w:val="0C076651"/>
    <w:rsid w:val="0C1741FF"/>
    <w:rsid w:val="0C8211DB"/>
    <w:rsid w:val="0C8567DA"/>
    <w:rsid w:val="0CE11116"/>
    <w:rsid w:val="0CE1212D"/>
    <w:rsid w:val="0CFB51EC"/>
    <w:rsid w:val="0D27282F"/>
    <w:rsid w:val="0D360848"/>
    <w:rsid w:val="0D460B5F"/>
    <w:rsid w:val="0D4B3DFF"/>
    <w:rsid w:val="0D5E38BE"/>
    <w:rsid w:val="0D9E67E5"/>
    <w:rsid w:val="0DAF7F11"/>
    <w:rsid w:val="0E111DC2"/>
    <w:rsid w:val="0E436F73"/>
    <w:rsid w:val="0EB451F9"/>
    <w:rsid w:val="0EC23919"/>
    <w:rsid w:val="0F29338B"/>
    <w:rsid w:val="0F855BBA"/>
    <w:rsid w:val="0F902C27"/>
    <w:rsid w:val="0F9710D5"/>
    <w:rsid w:val="0FAA46EC"/>
    <w:rsid w:val="0FAD6033"/>
    <w:rsid w:val="0FB47C25"/>
    <w:rsid w:val="0FC43BEB"/>
    <w:rsid w:val="0FEC44A8"/>
    <w:rsid w:val="1003030C"/>
    <w:rsid w:val="101007E8"/>
    <w:rsid w:val="101B1C17"/>
    <w:rsid w:val="10433815"/>
    <w:rsid w:val="10726D87"/>
    <w:rsid w:val="10844220"/>
    <w:rsid w:val="10967DE9"/>
    <w:rsid w:val="10E036B3"/>
    <w:rsid w:val="11197E30"/>
    <w:rsid w:val="112C1239"/>
    <w:rsid w:val="117A45B3"/>
    <w:rsid w:val="11920B78"/>
    <w:rsid w:val="11BB3B6C"/>
    <w:rsid w:val="11CB73B3"/>
    <w:rsid w:val="11E34B92"/>
    <w:rsid w:val="11FC75B2"/>
    <w:rsid w:val="11FD5C45"/>
    <w:rsid w:val="1206775B"/>
    <w:rsid w:val="120E5AB1"/>
    <w:rsid w:val="12103B51"/>
    <w:rsid w:val="124D409D"/>
    <w:rsid w:val="125C4DA6"/>
    <w:rsid w:val="12CC1B6D"/>
    <w:rsid w:val="130F3E82"/>
    <w:rsid w:val="1330168A"/>
    <w:rsid w:val="133D38C9"/>
    <w:rsid w:val="134F24D1"/>
    <w:rsid w:val="136E6DFB"/>
    <w:rsid w:val="13A26602"/>
    <w:rsid w:val="13D27E36"/>
    <w:rsid w:val="13E516B7"/>
    <w:rsid w:val="13F0706A"/>
    <w:rsid w:val="14202ED3"/>
    <w:rsid w:val="1441132C"/>
    <w:rsid w:val="144611D2"/>
    <w:rsid w:val="1446553E"/>
    <w:rsid w:val="14B903D4"/>
    <w:rsid w:val="14CD7F0D"/>
    <w:rsid w:val="14FF20CC"/>
    <w:rsid w:val="151529B4"/>
    <w:rsid w:val="15292F77"/>
    <w:rsid w:val="15334FCD"/>
    <w:rsid w:val="1542068C"/>
    <w:rsid w:val="15671D54"/>
    <w:rsid w:val="15712BD2"/>
    <w:rsid w:val="158741A4"/>
    <w:rsid w:val="15CC605B"/>
    <w:rsid w:val="15F23029"/>
    <w:rsid w:val="160F6D22"/>
    <w:rsid w:val="161A43D0"/>
    <w:rsid w:val="161A7A88"/>
    <w:rsid w:val="16DA6555"/>
    <w:rsid w:val="16F02774"/>
    <w:rsid w:val="1702234F"/>
    <w:rsid w:val="17BF2904"/>
    <w:rsid w:val="17EC2AC5"/>
    <w:rsid w:val="18186C72"/>
    <w:rsid w:val="18220FFB"/>
    <w:rsid w:val="18251E8C"/>
    <w:rsid w:val="184E178D"/>
    <w:rsid w:val="18684BD0"/>
    <w:rsid w:val="188B48D1"/>
    <w:rsid w:val="18C028C5"/>
    <w:rsid w:val="1934092B"/>
    <w:rsid w:val="195450AF"/>
    <w:rsid w:val="19547818"/>
    <w:rsid w:val="19B73C3C"/>
    <w:rsid w:val="19E55DD1"/>
    <w:rsid w:val="1A246A13"/>
    <w:rsid w:val="1A4903E5"/>
    <w:rsid w:val="1A500C08"/>
    <w:rsid w:val="1ABD25E2"/>
    <w:rsid w:val="1AD33B9C"/>
    <w:rsid w:val="1B0340B4"/>
    <w:rsid w:val="1B425F20"/>
    <w:rsid w:val="1B4618D3"/>
    <w:rsid w:val="1B9E5439"/>
    <w:rsid w:val="1BEF7C4A"/>
    <w:rsid w:val="1C044ABF"/>
    <w:rsid w:val="1C0926B2"/>
    <w:rsid w:val="1C643B45"/>
    <w:rsid w:val="1C6660EE"/>
    <w:rsid w:val="1C865112"/>
    <w:rsid w:val="1C9571B4"/>
    <w:rsid w:val="1CC424C0"/>
    <w:rsid w:val="1CDD11CE"/>
    <w:rsid w:val="1D7220F4"/>
    <w:rsid w:val="1D7A45EE"/>
    <w:rsid w:val="1D7F0A88"/>
    <w:rsid w:val="1DAC7063"/>
    <w:rsid w:val="1DC74443"/>
    <w:rsid w:val="1DEF2284"/>
    <w:rsid w:val="1E081852"/>
    <w:rsid w:val="1E7E3907"/>
    <w:rsid w:val="1EA21B3F"/>
    <w:rsid w:val="1EA44AFD"/>
    <w:rsid w:val="1EB61656"/>
    <w:rsid w:val="1EE36CB0"/>
    <w:rsid w:val="1F592D27"/>
    <w:rsid w:val="1F9013F1"/>
    <w:rsid w:val="20076707"/>
    <w:rsid w:val="20192863"/>
    <w:rsid w:val="201C5886"/>
    <w:rsid w:val="20427981"/>
    <w:rsid w:val="204D15AB"/>
    <w:rsid w:val="204E0696"/>
    <w:rsid w:val="207B1099"/>
    <w:rsid w:val="208B4DF4"/>
    <w:rsid w:val="20E509CF"/>
    <w:rsid w:val="20EE7291"/>
    <w:rsid w:val="217F78DD"/>
    <w:rsid w:val="2198622B"/>
    <w:rsid w:val="21B32F2D"/>
    <w:rsid w:val="21BB5FDD"/>
    <w:rsid w:val="21C127EB"/>
    <w:rsid w:val="21C612F9"/>
    <w:rsid w:val="21C64381"/>
    <w:rsid w:val="22097423"/>
    <w:rsid w:val="223A449D"/>
    <w:rsid w:val="223B2F0E"/>
    <w:rsid w:val="223D00CC"/>
    <w:rsid w:val="22604258"/>
    <w:rsid w:val="22662EEC"/>
    <w:rsid w:val="229508AC"/>
    <w:rsid w:val="22B72D0D"/>
    <w:rsid w:val="22BD582F"/>
    <w:rsid w:val="22CB50A4"/>
    <w:rsid w:val="22F13BA9"/>
    <w:rsid w:val="22F90753"/>
    <w:rsid w:val="23105B26"/>
    <w:rsid w:val="231D18AB"/>
    <w:rsid w:val="235F050E"/>
    <w:rsid w:val="236314D9"/>
    <w:rsid w:val="236E03B0"/>
    <w:rsid w:val="239A48BC"/>
    <w:rsid w:val="23CF3A49"/>
    <w:rsid w:val="23D231B4"/>
    <w:rsid w:val="24352443"/>
    <w:rsid w:val="243D7784"/>
    <w:rsid w:val="244D325D"/>
    <w:rsid w:val="24621831"/>
    <w:rsid w:val="2497726D"/>
    <w:rsid w:val="249E5066"/>
    <w:rsid w:val="24B42EC9"/>
    <w:rsid w:val="24C64438"/>
    <w:rsid w:val="250A44B0"/>
    <w:rsid w:val="25216A19"/>
    <w:rsid w:val="2548391D"/>
    <w:rsid w:val="254A0B8D"/>
    <w:rsid w:val="255043D2"/>
    <w:rsid w:val="25914490"/>
    <w:rsid w:val="25916815"/>
    <w:rsid w:val="25AE0DE8"/>
    <w:rsid w:val="25E0442F"/>
    <w:rsid w:val="26050C6E"/>
    <w:rsid w:val="26103D41"/>
    <w:rsid w:val="262E6A12"/>
    <w:rsid w:val="262F5E45"/>
    <w:rsid w:val="26506553"/>
    <w:rsid w:val="265E7266"/>
    <w:rsid w:val="26681488"/>
    <w:rsid w:val="267B5ED7"/>
    <w:rsid w:val="268314BF"/>
    <w:rsid w:val="26A679E6"/>
    <w:rsid w:val="26C30B00"/>
    <w:rsid w:val="26DA41C6"/>
    <w:rsid w:val="26ED0339"/>
    <w:rsid w:val="27210E37"/>
    <w:rsid w:val="27313F6F"/>
    <w:rsid w:val="273740CB"/>
    <w:rsid w:val="27636233"/>
    <w:rsid w:val="27713266"/>
    <w:rsid w:val="27732F9C"/>
    <w:rsid w:val="278C4852"/>
    <w:rsid w:val="27DE6107"/>
    <w:rsid w:val="27F51D33"/>
    <w:rsid w:val="282939F3"/>
    <w:rsid w:val="28564C9D"/>
    <w:rsid w:val="288F4824"/>
    <w:rsid w:val="28903681"/>
    <w:rsid w:val="28913EDC"/>
    <w:rsid w:val="28D16E73"/>
    <w:rsid w:val="28F33D32"/>
    <w:rsid w:val="2915294F"/>
    <w:rsid w:val="291750BF"/>
    <w:rsid w:val="294B0F0B"/>
    <w:rsid w:val="29591B37"/>
    <w:rsid w:val="299B2C5B"/>
    <w:rsid w:val="29B05C1E"/>
    <w:rsid w:val="29D177AB"/>
    <w:rsid w:val="29D37A41"/>
    <w:rsid w:val="29DA1219"/>
    <w:rsid w:val="29EB38BF"/>
    <w:rsid w:val="29F91ABD"/>
    <w:rsid w:val="2A484859"/>
    <w:rsid w:val="2A48700B"/>
    <w:rsid w:val="2A745132"/>
    <w:rsid w:val="2A845366"/>
    <w:rsid w:val="2A8F53BC"/>
    <w:rsid w:val="2A916B15"/>
    <w:rsid w:val="2AEB2687"/>
    <w:rsid w:val="2AFF5264"/>
    <w:rsid w:val="2B0C0F7B"/>
    <w:rsid w:val="2B2B6A94"/>
    <w:rsid w:val="2B401382"/>
    <w:rsid w:val="2B440CE8"/>
    <w:rsid w:val="2B553E4A"/>
    <w:rsid w:val="2B646DBA"/>
    <w:rsid w:val="2B7876AA"/>
    <w:rsid w:val="2B8B079A"/>
    <w:rsid w:val="2BCB62CC"/>
    <w:rsid w:val="2C1D6B29"/>
    <w:rsid w:val="2C3D125B"/>
    <w:rsid w:val="2C9201C4"/>
    <w:rsid w:val="2C953B27"/>
    <w:rsid w:val="2CF51648"/>
    <w:rsid w:val="2D0B4074"/>
    <w:rsid w:val="2D0C1AF6"/>
    <w:rsid w:val="2D360531"/>
    <w:rsid w:val="2D542B3D"/>
    <w:rsid w:val="2D60110A"/>
    <w:rsid w:val="2D641059"/>
    <w:rsid w:val="2D655D28"/>
    <w:rsid w:val="2D8A7365"/>
    <w:rsid w:val="2DBD0EC1"/>
    <w:rsid w:val="2DC0289E"/>
    <w:rsid w:val="2DF35890"/>
    <w:rsid w:val="2E00131A"/>
    <w:rsid w:val="2E5237ED"/>
    <w:rsid w:val="2E7C4CC2"/>
    <w:rsid w:val="2F22467C"/>
    <w:rsid w:val="2F534B3B"/>
    <w:rsid w:val="30961AE2"/>
    <w:rsid w:val="30B654E5"/>
    <w:rsid w:val="30DF6506"/>
    <w:rsid w:val="30EB1AD1"/>
    <w:rsid w:val="31126BC0"/>
    <w:rsid w:val="314A69ED"/>
    <w:rsid w:val="316C5D25"/>
    <w:rsid w:val="319770C5"/>
    <w:rsid w:val="319B60C0"/>
    <w:rsid w:val="31AF3AA2"/>
    <w:rsid w:val="3200539A"/>
    <w:rsid w:val="320F1E35"/>
    <w:rsid w:val="323B0D1B"/>
    <w:rsid w:val="324803BF"/>
    <w:rsid w:val="328A1C30"/>
    <w:rsid w:val="32D47EA8"/>
    <w:rsid w:val="3327727E"/>
    <w:rsid w:val="333F6ECB"/>
    <w:rsid w:val="33500B97"/>
    <w:rsid w:val="33AA48B0"/>
    <w:rsid w:val="33AE0D25"/>
    <w:rsid w:val="33B84DAB"/>
    <w:rsid w:val="33E800AC"/>
    <w:rsid w:val="342C4D3B"/>
    <w:rsid w:val="343B30B6"/>
    <w:rsid w:val="34692F9B"/>
    <w:rsid w:val="34732620"/>
    <w:rsid w:val="34A83C16"/>
    <w:rsid w:val="34DA0A32"/>
    <w:rsid w:val="34F43003"/>
    <w:rsid w:val="3552458B"/>
    <w:rsid w:val="35720FC6"/>
    <w:rsid w:val="357F67EE"/>
    <w:rsid w:val="35845A52"/>
    <w:rsid w:val="35862285"/>
    <w:rsid w:val="35C16347"/>
    <w:rsid w:val="35D30C5A"/>
    <w:rsid w:val="36233B7D"/>
    <w:rsid w:val="365543B1"/>
    <w:rsid w:val="367078D0"/>
    <w:rsid w:val="36876C4F"/>
    <w:rsid w:val="369F510E"/>
    <w:rsid w:val="36FA13B3"/>
    <w:rsid w:val="374A7960"/>
    <w:rsid w:val="375F5DED"/>
    <w:rsid w:val="3764396F"/>
    <w:rsid w:val="378E4842"/>
    <w:rsid w:val="37F814DF"/>
    <w:rsid w:val="38137AD8"/>
    <w:rsid w:val="38247467"/>
    <w:rsid w:val="386A2B8E"/>
    <w:rsid w:val="38882E30"/>
    <w:rsid w:val="38E76B27"/>
    <w:rsid w:val="38EA6674"/>
    <w:rsid w:val="38F22202"/>
    <w:rsid w:val="38F82230"/>
    <w:rsid w:val="38FE6FF4"/>
    <w:rsid w:val="39015ED3"/>
    <w:rsid w:val="39213358"/>
    <w:rsid w:val="393A09F7"/>
    <w:rsid w:val="395B3F46"/>
    <w:rsid w:val="396401D4"/>
    <w:rsid w:val="39D10EAA"/>
    <w:rsid w:val="39D23390"/>
    <w:rsid w:val="39E35AC2"/>
    <w:rsid w:val="39EF747A"/>
    <w:rsid w:val="3A07001A"/>
    <w:rsid w:val="3A212AC9"/>
    <w:rsid w:val="3A366C90"/>
    <w:rsid w:val="3A3A28B7"/>
    <w:rsid w:val="3A42547E"/>
    <w:rsid w:val="3A764D1C"/>
    <w:rsid w:val="3A834720"/>
    <w:rsid w:val="3B2C21FC"/>
    <w:rsid w:val="3B664767"/>
    <w:rsid w:val="3B702E61"/>
    <w:rsid w:val="3B7320D6"/>
    <w:rsid w:val="3B972C15"/>
    <w:rsid w:val="3BB54FDD"/>
    <w:rsid w:val="3BDD5AF6"/>
    <w:rsid w:val="3BF16211"/>
    <w:rsid w:val="3C0E2679"/>
    <w:rsid w:val="3C18239F"/>
    <w:rsid w:val="3C263E87"/>
    <w:rsid w:val="3C340BBF"/>
    <w:rsid w:val="3C456957"/>
    <w:rsid w:val="3C5F6F68"/>
    <w:rsid w:val="3C6C4DFA"/>
    <w:rsid w:val="3C986552"/>
    <w:rsid w:val="3CA60B04"/>
    <w:rsid w:val="3CBE4360"/>
    <w:rsid w:val="3CDC693C"/>
    <w:rsid w:val="3D1772A2"/>
    <w:rsid w:val="3D6A54CD"/>
    <w:rsid w:val="3DC4712B"/>
    <w:rsid w:val="3DCC5572"/>
    <w:rsid w:val="3DDC3024"/>
    <w:rsid w:val="3E18216E"/>
    <w:rsid w:val="3EAC1BA8"/>
    <w:rsid w:val="3ECD34FD"/>
    <w:rsid w:val="3ED70A3A"/>
    <w:rsid w:val="3F104904"/>
    <w:rsid w:val="3F203BD7"/>
    <w:rsid w:val="3F2C52F0"/>
    <w:rsid w:val="3F3F067A"/>
    <w:rsid w:val="3F4263D8"/>
    <w:rsid w:val="3F6A7999"/>
    <w:rsid w:val="3F8B4AF7"/>
    <w:rsid w:val="3F962C16"/>
    <w:rsid w:val="3FE56C53"/>
    <w:rsid w:val="40491ED2"/>
    <w:rsid w:val="40651C2D"/>
    <w:rsid w:val="40F60A96"/>
    <w:rsid w:val="41120ECB"/>
    <w:rsid w:val="41250CF5"/>
    <w:rsid w:val="412626B7"/>
    <w:rsid w:val="412B563A"/>
    <w:rsid w:val="414A7CB0"/>
    <w:rsid w:val="417C2F7F"/>
    <w:rsid w:val="418238EE"/>
    <w:rsid w:val="41986978"/>
    <w:rsid w:val="41B0318A"/>
    <w:rsid w:val="42494474"/>
    <w:rsid w:val="425E0AAF"/>
    <w:rsid w:val="426E5C20"/>
    <w:rsid w:val="427D5E63"/>
    <w:rsid w:val="42A8354B"/>
    <w:rsid w:val="42B42D3C"/>
    <w:rsid w:val="43023BFF"/>
    <w:rsid w:val="430B16C1"/>
    <w:rsid w:val="432D55A8"/>
    <w:rsid w:val="434B12D1"/>
    <w:rsid w:val="434D13F6"/>
    <w:rsid w:val="43577FA2"/>
    <w:rsid w:val="436A4A6F"/>
    <w:rsid w:val="43A15810"/>
    <w:rsid w:val="43CE43C4"/>
    <w:rsid w:val="43FE1684"/>
    <w:rsid w:val="44B870E1"/>
    <w:rsid w:val="45012D7B"/>
    <w:rsid w:val="45154265"/>
    <w:rsid w:val="45176E03"/>
    <w:rsid w:val="45367FB9"/>
    <w:rsid w:val="45BA66E7"/>
    <w:rsid w:val="45BB5620"/>
    <w:rsid w:val="45C9686D"/>
    <w:rsid w:val="45F052D3"/>
    <w:rsid w:val="46174E05"/>
    <w:rsid w:val="4636037C"/>
    <w:rsid w:val="465313B5"/>
    <w:rsid w:val="46861A06"/>
    <w:rsid w:val="46880168"/>
    <w:rsid w:val="46B376A0"/>
    <w:rsid w:val="46B53E1D"/>
    <w:rsid w:val="46B75DE0"/>
    <w:rsid w:val="46D850CE"/>
    <w:rsid w:val="47232381"/>
    <w:rsid w:val="47721D0E"/>
    <w:rsid w:val="47A67B93"/>
    <w:rsid w:val="48152FCE"/>
    <w:rsid w:val="48400E2A"/>
    <w:rsid w:val="487C1FF8"/>
    <w:rsid w:val="489536D4"/>
    <w:rsid w:val="48A51B57"/>
    <w:rsid w:val="48B13105"/>
    <w:rsid w:val="48B60321"/>
    <w:rsid w:val="48C11A5A"/>
    <w:rsid w:val="492B2B84"/>
    <w:rsid w:val="49567034"/>
    <w:rsid w:val="495A19E6"/>
    <w:rsid w:val="496C5184"/>
    <w:rsid w:val="497E3B5E"/>
    <w:rsid w:val="4A354A0A"/>
    <w:rsid w:val="4A370FED"/>
    <w:rsid w:val="4A6004B6"/>
    <w:rsid w:val="4A730277"/>
    <w:rsid w:val="4A9F0F6E"/>
    <w:rsid w:val="4ADD0959"/>
    <w:rsid w:val="4AE22AE2"/>
    <w:rsid w:val="4AFB74CD"/>
    <w:rsid w:val="4B1D738D"/>
    <w:rsid w:val="4B561347"/>
    <w:rsid w:val="4B621DBB"/>
    <w:rsid w:val="4B666020"/>
    <w:rsid w:val="4BEC6951"/>
    <w:rsid w:val="4C1E56C0"/>
    <w:rsid w:val="4C405F26"/>
    <w:rsid w:val="4C554E5C"/>
    <w:rsid w:val="4C9C3E97"/>
    <w:rsid w:val="4CA333DD"/>
    <w:rsid w:val="4CAF4181"/>
    <w:rsid w:val="4D021D86"/>
    <w:rsid w:val="4D0B059D"/>
    <w:rsid w:val="4D1E62A8"/>
    <w:rsid w:val="4D2F37DC"/>
    <w:rsid w:val="4D435CF2"/>
    <w:rsid w:val="4D6F6C0D"/>
    <w:rsid w:val="4D7B254C"/>
    <w:rsid w:val="4DEB25F0"/>
    <w:rsid w:val="4E1407FF"/>
    <w:rsid w:val="4E1E5397"/>
    <w:rsid w:val="4E47556D"/>
    <w:rsid w:val="4E484114"/>
    <w:rsid w:val="4EF15DE2"/>
    <w:rsid w:val="4EF9037D"/>
    <w:rsid w:val="4F652159"/>
    <w:rsid w:val="4F782C3A"/>
    <w:rsid w:val="4FCE18DC"/>
    <w:rsid w:val="4FF21C3E"/>
    <w:rsid w:val="50070A24"/>
    <w:rsid w:val="5013436B"/>
    <w:rsid w:val="50434E3C"/>
    <w:rsid w:val="505B24E3"/>
    <w:rsid w:val="50706E76"/>
    <w:rsid w:val="5084088D"/>
    <w:rsid w:val="50B6667B"/>
    <w:rsid w:val="50B84DFB"/>
    <w:rsid w:val="50EA7D99"/>
    <w:rsid w:val="510F4A72"/>
    <w:rsid w:val="516D1A20"/>
    <w:rsid w:val="51810C90"/>
    <w:rsid w:val="519A5C9B"/>
    <w:rsid w:val="51EA3AE5"/>
    <w:rsid w:val="520811CD"/>
    <w:rsid w:val="5224296A"/>
    <w:rsid w:val="52295F56"/>
    <w:rsid w:val="522C327F"/>
    <w:rsid w:val="524D3BDE"/>
    <w:rsid w:val="525342EF"/>
    <w:rsid w:val="529156E0"/>
    <w:rsid w:val="52B57C15"/>
    <w:rsid w:val="52BB0871"/>
    <w:rsid w:val="52D30275"/>
    <w:rsid w:val="52D53E03"/>
    <w:rsid w:val="52FB4C31"/>
    <w:rsid w:val="533024F5"/>
    <w:rsid w:val="5347445F"/>
    <w:rsid w:val="5361580D"/>
    <w:rsid w:val="53986FA1"/>
    <w:rsid w:val="53AC2B35"/>
    <w:rsid w:val="53FC2011"/>
    <w:rsid w:val="54134EAA"/>
    <w:rsid w:val="54263544"/>
    <w:rsid w:val="543177DD"/>
    <w:rsid w:val="544F01A4"/>
    <w:rsid w:val="547846DC"/>
    <w:rsid w:val="548C3CFC"/>
    <w:rsid w:val="54963D57"/>
    <w:rsid w:val="54E40912"/>
    <w:rsid w:val="54F72943"/>
    <w:rsid w:val="555B350A"/>
    <w:rsid w:val="556F1F83"/>
    <w:rsid w:val="557E2E7E"/>
    <w:rsid w:val="557F2C2A"/>
    <w:rsid w:val="565500A6"/>
    <w:rsid w:val="56CD2179"/>
    <w:rsid w:val="56DB0B3E"/>
    <w:rsid w:val="56EF0E34"/>
    <w:rsid w:val="570F549B"/>
    <w:rsid w:val="573B211D"/>
    <w:rsid w:val="576A26F1"/>
    <w:rsid w:val="578876A8"/>
    <w:rsid w:val="57976109"/>
    <w:rsid w:val="579A000F"/>
    <w:rsid w:val="580D7D82"/>
    <w:rsid w:val="58235328"/>
    <w:rsid w:val="58E01529"/>
    <w:rsid w:val="58FF0ED5"/>
    <w:rsid w:val="5926565A"/>
    <w:rsid w:val="59465093"/>
    <w:rsid w:val="598E66C5"/>
    <w:rsid w:val="59A009E7"/>
    <w:rsid w:val="59A97E6A"/>
    <w:rsid w:val="59BE23DB"/>
    <w:rsid w:val="59D07793"/>
    <w:rsid w:val="59EB56FF"/>
    <w:rsid w:val="59F70789"/>
    <w:rsid w:val="59FA400E"/>
    <w:rsid w:val="5A0A6826"/>
    <w:rsid w:val="5A180675"/>
    <w:rsid w:val="5A1839CC"/>
    <w:rsid w:val="5A26505E"/>
    <w:rsid w:val="5A5C5ECC"/>
    <w:rsid w:val="5A776550"/>
    <w:rsid w:val="5A8C3E5C"/>
    <w:rsid w:val="5AA83BA0"/>
    <w:rsid w:val="5AAC7C87"/>
    <w:rsid w:val="5BB36650"/>
    <w:rsid w:val="5BB662D5"/>
    <w:rsid w:val="5BBA74AC"/>
    <w:rsid w:val="5C0A0310"/>
    <w:rsid w:val="5C26338F"/>
    <w:rsid w:val="5C5B2F14"/>
    <w:rsid w:val="5C890A5F"/>
    <w:rsid w:val="5C9826E9"/>
    <w:rsid w:val="5C9C22BD"/>
    <w:rsid w:val="5D16122F"/>
    <w:rsid w:val="5D741A05"/>
    <w:rsid w:val="5D893D89"/>
    <w:rsid w:val="5D9A15EF"/>
    <w:rsid w:val="5D9C1156"/>
    <w:rsid w:val="5DF744B9"/>
    <w:rsid w:val="5E196F30"/>
    <w:rsid w:val="5E6170C1"/>
    <w:rsid w:val="5E7B72A3"/>
    <w:rsid w:val="5E83276C"/>
    <w:rsid w:val="5E9E44A2"/>
    <w:rsid w:val="5F337935"/>
    <w:rsid w:val="5F4B0511"/>
    <w:rsid w:val="5F4D5C1D"/>
    <w:rsid w:val="5F7B1280"/>
    <w:rsid w:val="5FC1162D"/>
    <w:rsid w:val="5FC17177"/>
    <w:rsid w:val="5FCF0239"/>
    <w:rsid w:val="5FFD791E"/>
    <w:rsid w:val="60027041"/>
    <w:rsid w:val="601A452C"/>
    <w:rsid w:val="601C01CD"/>
    <w:rsid w:val="60492A6B"/>
    <w:rsid w:val="606C02F9"/>
    <w:rsid w:val="60706A22"/>
    <w:rsid w:val="607628A1"/>
    <w:rsid w:val="608A3F50"/>
    <w:rsid w:val="60BF5BC6"/>
    <w:rsid w:val="60E80782"/>
    <w:rsid w:val="60ED0144"/>
    <w:rsid w:val="610B4A3B"/>
    <w:rsid w:val="61654877"/>
    <w:rsid w:val="61963A90"/>
    <w:rsid w:val="61D43510"/>
    <w:rsid w:val="61F7343F"/>
    <w:rsid w:val="621A29E9"/>
    <w:rsid w:val="62253371"/>
    <w:rsid w:val="62590D29"/>
    <w:rsid w:val="62F6339C"/>
    <w:rsid w:val="62FE3EF7"/>
    <w:rsid w:val="63351CAA"/>
    <w:rsid w:val="63540BC2"/>
    <w:rsid w:val="63671F38"/>
    <w:rsid w:val="63815BF0"/>
    <w:rsid w:val="639C631E"/>
    <w:rsid w:val="63BD1AE0"/>
    <w:rsid w:val="63BE2526"/>
    <w:rsid w:val="64100300"/>
    <w:rsid w:val="6468651B"/>
    <w:rsid w:val="648275DD"/>
    <w:rsid w:val="6483377F"/>
    <w:rsid w:val="64F571DD"/>
    <w:rsid w:val="659636C8"/>
    <w:rsid w:val="65970274"/>
    <w:rsid w:val="65A72E8C"/>
    <w:rsid w:val="65D9346B"/>
    <w:rsid w:val="65F35452"/>
    <w:rsid w:val="65F446E9"/>
    <w:rsid w:val="66173D55"/>
    <w:rsid w:val="664C47A8"/>
    <w:rsid w:val="6677449E"/>
    <w:rsid w:val="668A1206"/>
    <w:rsid w:val="66954F1E"/>
    <w:rsid w:val="66BD1751"/>
    <w:rsid w:val="66F90123"/>
    <w:rsid w:val="67056130"/>
    <w:rsid w:val="672E57FA"/>
    <w:rsid w:val="67694278"/>
    <w:rsid w:val="677551D7"/>
    <w:rsid w:val="67AE41F6"/>
    <w:rsid w:val="67DA14DE"/>
    <w:rsid w:val="68126ECA"/>
    <w:rsid w:val="681712F8"/>
    <w:rsid w:val="683C270D"/>
    <w:rsid w:val="6849391E"/>
    <w:rsid w:val="684A6664"/>
    <w:rsid w:val="68564138"/>
    <w:rsid w:val="68650763"/>
    <w:rsid w:val="687B31CC"/>
    <w:rsid w:val="688F1A34"/>
    <w:rsid w:val="68B22D12"/>
    <w:rsid w:val="68C30CC1"/>
    <w:rsid w:val="695113D8"/>
    <w:rsid w:val="697266DE"/>
    <w:rsid w:val="697D65C5"/>
    <w:rsid w:val="69960980"/>
    <w:rsid w:val="699B4CCF"/>
    <w:rsid w:val="69C9327F"/>
    <w:rsid w:val="69E32BA8"/>
    <w:rsid w:val="6A5533E2"/>
    <w:rsid w:val="6A9035C7"/>
    <w:rsid w:val="6AAF493A"/>
    <w:rsid w:val="6AB452AD"/>
    <w:rsid w:val="6AE12B83"/>
    <w:rsid w:val="6AFD6B71"/>
    <w:rsid w:val="6B0065E5"/>
    <w:rsid w:val="6B0303F0"/>
    <w:rsid w:val="6B0A7F0E"/>
    <w:rsid w:val="6B2807B2"/>
    <w:rsid w:val="6B28227B"/>
    <w:rsid w:val="6B511AB7"/>
    <w:rsid w:val="6B7D0485"/>
    <w:rsid w:val="6B7E4104"/>
    <w:rsid w:val="6C0B1C95"/>
    <w:rsid w:val="6C1E07E1"/>
    <w:rsid w:val="6C3E451D"/>
    <w:rsid w:val="6C57294A"/>
    <w:rsid w:val="6C58248B"/>
    <w:rsid w:val="6C68196A"/>
    <w:rsid w:val="6C787517"/>
    <w:rsid w:val="6C9226C1"/>
    <w:rsid w:val="6CAD74DD"/>
    <w:rsid w:val="6CC47AD8"/>
    <w:rsid w:val="6CC55956"/>
    <w:rsid w:val="6CF9345D"/>
    <w:rsid w:val="6D107A6E"/>
    <w:rsid w:val="6D2D3750"/>
    <w:rsid w:val="6D555BFE"/>
    <w:rsid w:val="6D60076F"/>
    <w:rsid w:val="6D694D90"/>
    <w:rsid w:val="6DD013EE"/>
    <w:rsid w:val="6E184B0E"/>
    <w:rsid w:val="6E2032D0"/>
    <w:rsid w:val="6E4D5003"/>
    <w:rsid w:val="6E8E55A1"/>
    <w:rsid w:val="6EA5737A"/>
    <w:rsid w:val="6ECB6C27"/>
    <w:rsid w:val="6EEB3C07"/>
    <w:rsid w:val="6F7055B1"/>
    <w:rsid w:val="6F923F5D"/>
    <w:rsid w:val="6FD66A2F"/>
    <w:rsid w:val="6FDB5DF3"/>
    <w:rsid w:val="6FEA6A0C"/>
    <w:rsid w:val="6FFE5F86"/>
    <w:rsid w:val="70310B59"/>
    <w:rsid w:val="70995DAC"/>
    <w:rsid w:val="70BC654D"/>
    <w:rsid w:val="70F8508B"/>
    <w:rsid w:val="710424FF"/>
    <w:rsid w:val="710E548C"/>
    <w:rsid w:val="71351C2D"/>
    <w:rsid w:val="719930FD"/>
    <w:rsid w:val="719B34F1"/>
    <w:rsid w:val="71A67290"/>
    <w:rsid w:val="71CC633B"/>
    <w:rsid w:val="71D31DA9"/>
    <w:rsid w:val="725537D3"/>
    <w:rsid w:val="72D15107"/>
    <w:rsid w:val="72E454D7"/>
    <w:rsid w:val="72E50C9D"/>
    <w:rsid w:val="72E5220E"/>
    <w:rsid w:val="72EE5140"/>
    <w:rsid w:val="73131F38"/>
    <w:rsid w:val="734B66B7"/>
    <w:rsid w:val="736911B5"/>
    <w:rsid w:val="738E7F6B"/>
    <w:rsid w:val="73A15E9F"/>
    <w:rsid w:val="744901C5"/>
    <w:rsid w:val="74545547"/>
    <w:rsid w:val="747131CA"/>
    <w:rsid w:val="747B4ABC"/>
    <w:rsid w:val="74940C4C"/>
    <w:rsid w:val="74B043D5"/>
    <w:rsid w:val="74DE723F"/>
    <w:rsid w:val="75287D2D"/>
    <w:rsid w:val="752B7ECA"/>
    <w:rsid w:val="75474B87"/>
    <w:rsid w:val="75723C09"/>
    <w:rsid w:val="758846D4"/>
    <w:rsid w:val="759B31E6"/>
    <w:rsid w:val="75A40FC9"/>
    <w:rsid w:val="75BF63EA"/>
    <w:rsid w:val="75D43A11"/>
    <w:rsid w:val="75F257F1"/>
    <w:rsid w:val="76041807"/>
    <w:rsid w:val="761154E0"/>
    <w:rsid w:val="7646350F"/>
    <w:rsid w:val="764E32E3"/>
    <w:rsid w:val="76535E0F"/>
    <w:rsid w:val="76635DC4"/>
    <w:rsid w:val="76D132BF"/>
    <w:rsid w:val="76D91624"/>
    <w:rsid w:val="76EB3606"/>
    <w:rsid w:val="76EE1DB1"/>
    <w:rsid w:val="76EE2FDF"/>
    <w:rsid w:val="76FC57EB"/>
    <w:rsid w:val="77193E72"/>
    <w:rsid w:val="77334A1F"/>
    <w:rsid w:val="773F310C"/>
    <w:rsid w:val="77501FC8"/>
    <w:rsid w:val="776D5ECB"/>
    <w:rsid w:val="77763C02"/>
    <w:rsid w:val="77797A8C"/>
    <w:rsid w:val="777F175A"/>
    <w:rsid w:val="77B40BAF"/>
    <w:rsid w:val="77B43AFA"/>
    <w:rsid w:val="77ED700C"/>
    <w:rsid w:val="780104AA"/>
    <w:rsid w:val="78097CE9"/>
    <w:rsid w:val="78601E7D"/>
    <w:rsid w:val="789E20B4"/>
    <w:rsid w:val="78A76502"/>
    <w:rsid w:val="78C53AE4"/>
    <w:rsid w:val="79541EC0"/>
    <w:rsid w:val="79576DDD"/>
    <w:rsid w:val="79713A02"/>
    <w:rsid w:val="79873A72"/>
    <w:rsid w:val="79BA313A"/>
    <w:rsid w:val="79D25443"/>
    <w:rsid w:val="79EA3C2E"/>
    <w:rsid w:val="79FD4EAF"/>
    <w:rsid w:val="7A100D8F"/>
    <w:rsid w:val="7A281358"/>
    <w:rsid w:val="7A583ACB"/>
    <w:rsid w:val="7A7E3E1D"/>
    <w:rsid w:val="7A83640D"/>
    <w:rsid w:val="7A9B68AB"/>
    <w:rsid w:val="7AB30C9A"/>
    <w:rsid w:val="7AC819CA"/>
    <w:rsid w:val="7AE475C4"/>
    <w:rsid w:val="7AEB0F15"/>
    <w:rsid w:val="7AEE5FD0"/>
    <w:rsid w:val="7AEF353D"/>
    <w:rsid w:val="7B1E17D6"/>
    <w:rsid w:val="7B4D4EAA"/>
    <w:rsid w:val="7B6E1C75"/>
    <w:rsid w:val="7B914152"/>
    <w:rsid w:val="7BC24813"/>
    <w:rsid w:val="7BFA557D"/>
    <w:rsid w:val="7C027C80"/>
    <w:rsid w:val="7C376AA7"/>
    <w:rsid w:val="7C692875"/>
    <w:rsid w:val="7C8E41ED"/>
    <w:rsid w:val="7CC460D9"/>
    <w:rsid w:val="7D17343E"/>
    <w:rsid w:val="7D2232B3"/>
    <w:rsid w:val="7D4168D5"/>
    <w:rsid w:val="7DC60BF7"/>
    <w:rsid w:val="7DDA3B8E"/>
    <w:rsid w:val="7DEA5D17"/>
    <w:rsid w:val="7DF45A13"/>
    <w:rsid w:val="7DF87600"/>
    <w:rsid w:val="7E132A6B"/>
    <w:rsid w:val="7E370FE0"/>
    <w:rsid w:val="7E60325B"/>
    <w:rsid w:val="7E6265E4"/>
    <w:rsid w:val="7ED357E8"/>
    <w:rsid w:val="7EDC1B9E"/>
    <w:rsid w:val="7EF81461"/>
    <w:rsid w:val="7EF919FF"/>
    <w:rsid w:val="7EFB3E5E"/>
    <w:rsid w:val="7F2102C4"/>
    <w:rsid w:val="7F865318"/>
    <w:rsid w:val="7FCD6F00"/>
    <w:rsid w:val="7FD90BC0"/>
    <w:rsid w:val="7FDE37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1"/>
    <w:basedOn w:val="1"/>
    <w:next w:val="1"/>
    <w:link w:val="246"/>
    <w:qFormat/>
    <w:uiPriority w:val="0"/>
    <w:pPr>
      <w:keepNext/>
      <w:snapToGrid w:val="0"/>
      <w:spacing w:line="360" w:lineRule="atLeast"/>
      <w:outlineLvl w:val="0"/>
    </w:pPr>
    <w:rPr>
      <w:rFonts w:ascii="宋体"/>
    </w:rPr>
  </w:style>
  <w:style w:type="paragraph" w:styleId="3">
    <w:name w:val="heading 2"/>
    <w:basedOn w:val="1"/>
    <w:next w:val="1"/>
    <w:link w:val="74"/>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75"/>
    <w:qFormat/>
    <w:uiPriority w:val="0"/>
    <w:pPr>
      <w:keepNext/>
      <w:keepLines/>
      <w:spacing w:before="260" w:after="260" w:line="413" w:lineRule="auto"/>
      <w:outlineLvl w:val="2"/>
    </w:pPr>
    <w:rPr>
      <w:b/>
      <w:sz w:val="32"/>
    </w:rPr>
  </w:style>
  <w:style w:type="paragraph" w:styleId="5">
    <w:name w:val="heading 4"/>
    <w:basedOn w:val="1"/>
    <w:next w:val="1"/>
    <w:qFormat/>
    <w:uiPriority w:val="0"/>
    <w:pPr>
      <w:keepNext/>
      <w:keepLines/>
      <w:spacing w:before="280" w:after="290" w:line="372" w:lineRule="auto"/>
      <w:outlineLvl w:val="3"/>
    </w:pPr>
    <w:rPr>
      <w:rFonts w:ascii="Arial" w:hAnsi="Arial" w:eastAsia="黑体"/>
      <w:b/>
    </w:rPr>
  </w:style>
  <w:style w:type="paragraph" w:styleId="6">
    <w:name w:val="heading 5"/>
    <w:basedOn w:val="1"/>
    <w:next w:val="1"/>
    <w:qFormat/>
    <w:uiPriority w:val="0"/>
    <w:pPr>
      <w:keepNext/>
      <w:keepLines/>
      <w:tabs>
        <w:tab w:val="left" w:pos="2551"/>
      </w:tabs>
      <w:spacing w:before="280" w:after="290" w:line="372" w:lineRule="auto"/>
      <w:ind w:left="2551" w:hanging="850"/>
      <w:outlineLvl w:val="4"/>
    </w:pPr>
    <w:rPr>
      <w:b/>
    </w:rPr>
  </w:style>
  <w:style w:type="paragraph" w:styleId="7">
    <w:name w:val="heading 6"/>
    <w:basedOn w:val="1"/>
    <w:next w:val="1"/>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b/>
      <w:sz w:val="24"/>
    </w:rPr>
  </w:style>
  <w:style w:type="paragraph" w:styleId="8">
    <w:name w:val="heading 7"/>
    <w:basedOn w:val="1"/>
    <w:next w:val="1"/>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b/>
      <w:sz w:val="24"/>
    </w:rPr>
  </w:style>
  <w:style w:type="paragraph" w:styleId="9">
    <w:name w:val="heading 8"/>
    <w:basedOn w:val="1"/>
    <w:next w:val="1"/>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b/>
      <w:sz w:val="24"/>
    </w:rPr>
  </w:style>
  <w:style w:type="paragraph" w:styleId="10">
    <w:name w:val="heading 9"/>
    <w:basedOn w:val="1"/>
    <w:next w:val="1"/>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b/>
      <w:sz w:val="24"/>
    </w:rPr>
  </w:style>
  <w:style w:type="character" w:default="1" w:styleId="61">
    <w:name w:val="Default Paragraph Font"/>
    <w:semiHidden/>
    <w:unhideWhenUsed/>
    <w:qFormat/>
    <w:uiPriority w:val="1"/>
  </w:style>
  <w:style w:type="table" w:default="1" w:styleId="59">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sz w:val="24"/>
    </w:rPr>
  </w:style>
  <w:style w:type="paragraph" w:styleId="12">
    <w:name w:val="toc 7"/>
    <w:basedOn w:val="1"/>
    <w:next w:val="1"/>
    <w:qFormat/>
    <w:uiPriority w:val="0"/>
    <w:pPr>
      <w:ind w:left="2520" w:leftChars="1200"/>
    </w:pPr>
  </w:style>
  <w:style w:type="paragraph" w:styleId="13">
    <w:name w:val="List Number 2"/>
    <w:basedOn w:val="1"/>
    <w:qFormat/>
    <w:uiPriority w:val="0"/>
    <w:pPr>
      <w:numPr>
        <w:ilvl w:val="0"/>
        <w:numId w:val="1"/>
      </w:numPr>
      <w:tabs>
        <w:tab w:val="left" w:pos="780"/>
        <w:tab w:val="clear" w:pos="425"/>
      </w:tabs>
      <w:spacing w:line="360" w:lineRule="auto"/>
    </w:pPr>
    <w:rPr>
      <w:sz w:val="24"/>
    </w:rPr>
  </w:style>
  <w:style w:type="paragraph" w:styleId="14">
    <w:name w:val="List Bullet 4"/>
    <w:basedOn w:val="1"/>
    <w:qFormat/>
    <w:uiPriority w:val="0"/>
    <w:pPr>
      <w:widowControl/>
      <w:tabs>
        <w:tab w:val="left" w:pos="1134"/>
      </w:tabs>
      <w:adjustRightInd w:val="0"/>
      <w:snapToGrid w:val="0"/>
      <w:spacing w:before="120" w:line="280" w:lineRule="atLeast"/>
      <w:ind w:left="1418" w:hanging="284"/>
      <w:jc w:val="left"/>
    </w:pPr>
    <w:rPr>
      <w:rFonts w:ascii="宋体"/>
      <w:kern w:val="0"/>
      <w:sz w:val="22"/>
    </w:rPr>
  </w:style>
  <w:style w:type="paragraph" w:styleId="15">
    <w:name w:val="Normal Indent"/>
    <w:basedOn w:val="1"/>
    <w:next w:val="1"/>
    <w:qFormat/>
    <w:uiPriority w:val="0"/>
    <w:pPr>
      <w:adjustRightInd w:val="0"/>
      <w:snapToGrid w:val="0"/>
      <w:spacing w:line="360" w:lineRule="auto"/>
      <w:ind w:firstLine="420"/>
    </w:pPr>
    <w:rPr>
      <w:sz w:val="24"/>
    </w:rPr>
  </w:style>
  <w:style w:type="paragraph" w:styleId="16">
    <w:name w:val="caption"/>
    <w:basedOn w:val="1"/>
    <w:next w:val="1"/>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7">
    <w:name w:val="Document Map"/>
    <w:basedOn w:val="1"/>
    <w:qFormat/>
    <w:uiPriority w:val="0"/>
    <w:pPr>
      <w:shd w:val="clear" w:color="auto" w:fill="000080"/>
    </w:pPr>
  </w:style>
  <w:style w:type="paragraph" w:styleId="18">
    <w:name w:val="toa heading"/>
    <w:basedOn w:val="1"/>
    <w:next w:val="1"/>
    <w:qFormat/>
    <w:uiPriority w:val="0"/>
    <w:pPr>
      <w:spacing w:before="120"/>
    </w:pPr>
    <w:rPr>
      <w:rFonts w:ascii="Arial" w:hAnsi="Arial"/>
      <w:sz w:val="24"/>
    </w:rPr>
  </w:style>
  <w:style w:type="paragraph" w:styleId="19">
    <w:name w:val="annotation text"/>
    <w:basedOn w:val="1"/>
    <w:link w:val="76"/>
    <w:qFormat/>
    <w:uiPriority w:val="0"/>
    <w:pPr>
      <w:adjustRightInd w:val="0"/>
      <w:spacing w:line="360" w:lineRule="atLeast"/>
      <w:jc w:val="left"/>
      <w:textAlignment w:val="baseline"/>
    </w:pPr>
    <w:rPr>
      <w:kern w:val="0"/>
      <w:sz w:val="24"/>
    </w:rPr>
  </w:style>
  <w:style w:type="paragraph" w:styleId="20">
    <w:name w:val="Body Text 3"/>
    <w:basedOn w:val="1"/>
    <w:qFormat/>
    <w:uiPriority w:val="0"/>
    <w:pPr>
      <w:adjustRightInd w:val="0"/>
      <w:snapToGrid w:val="0"/>
      <w:spacing w:after="120" w:line="360" w:lineRule="auto"/>
    </w:pPr>
    <w:rPr>
      <w:sz w:val="16"/>
    </w:rPr>
  </w:style>
  <w:style w:type="paragraph" w:styleId="21">
    <w:name w:val="List Bullet 3"/>
    <w:basedOn w:val="1"/>
    <w:qFormat/>
    <w:uiPriority w:val="0"/>
    <w:pPr>
      <w:numPr>
        <w:ilvl w:val="0"/>
        <w:numId w:val="2"/>
      </w:numPr>
      <w:adjustRightInd w:val="0"/>
      <w:snapToGrid w:val="0"/>
      <w:spacing w:line="360" w:lineRule="auto"/>
    </w:pPr>
    <w:rPr>
      <w:sz w:val="24"/>
    </w:rPr>
  </w:style>
  <w:style w:type="paragraph" w:styleId="22">
    <w:name w:val="Body Text"/>
    <w:basedOn w:val="1"/>
    <w:next w:val="1"/>
    <w:qFormat/>
    <w:uiPriority w:val="0"/>
    <w:rPr>
      <w:rFonts w:ascii="仿宋_GB2312" w:eastAsia="仿宋_GB2312"/>
      <w:sz w:val="32"/>
    </w:rPr>
  </w:style>
  <w:style w:type="paragraph" w:styleId="23">
    <w:name w:val="Body Text Indent"/>
    <w:basedOn w:val="1"/>
    <w:link w:val="77"/>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sz w:val="24"/>
    </w:rPr>
  </w:style>
  <w:style w:type="paragraph" w:styleId="25">
    <w:name w:val="List 2"/>
    <w:basedOn w:val="1"/>
    <w:qFormat/>
    <w:uiPriority w:val="0"/>
    <w:pPr>
      <w:adjustRightInd w:val="0"/>
      <w:snapToGrid w:val="0"/>
      <w:spacing w:line="360" w:lineRule="auto"/>
      <w:ind w:left="100" w:leftChars="200" w:hanging="200" w:hangingChars="200"/>
    </w:pPr>
    <w:rPr>
      <w:sz w:val="24"/>
    </w:rPr>
  </w:style>
  <w:style w:type="paragraph" w:styleId="26">
    <w:name w:val="List Continue"/>
    <w:basedOn w:val="1"/>
    <w:qFormat/>
    <w:uiPriority w:val="0"/>
    <w:pPr>
      <w:adjustRightInd w:val="0"/>
      <w:snapToGrid w:val="0"/>
      <w:spacing w:after="120" w:line="360" w:lineRule="auto"/>
      <w:ind w:left="420" w:leftChars="200"/>
    </w:pPr>
    <w:rPr>
      <w:sz w:val="24"/>
    </w:rPr>
  </w:style>
  <w:style w:type="paragraph" w:styleId="27">
    <w:name w:val="List Bullet 2"/>
    <w:basedOn w:val="1"/>
    <w:qFormat/>
    <w:uiPriority w:val="0"/>
    <w:pPr>
      <w:numPr>
        <w:ilvl w:val="0"/>
        <w:numId w:val="3"/>
      </w:numPr>
      <w:adjustRightInd w:val="0"/>
      <w:snapToGrid w:val="0"/>
      <w:spacing w:line="360" w:lineRule="auto"/>
    </w:pPr>
    <w:rPr>
      <w:sz w:val="24"/>
    </w:rPr>
  </w:style>
  <w:style w:type="paragraph" w:styleId="28">
    <w:name w:val="toc 5"/>
    <w:basedOn w:val="1"/>
    <w:next w:val="1"/>
    <w:qFormat/>
    <w:uiPriority w:val="0"/>
    <w:pPr>
      <w:ind w:left="1680" w:leftChars="800"/>
    </w:pPr>
  </w:style>
  <w:style w:type="paragraph" w:styleId="29">
    <w:name w:val="toc 3"/>
    <w:basedOn w:val="1"/>
    <w:next w:val="1"/>
    <w:qFormat/>
    <w:uiPriority w:val="39"/>
    <w:pPr>
      <w:ind w:left="840" w:leftChars="400"/>
    </w:pPr>
  </w:style>
  <w:style w:type="paragraph" w:styleId="30">
    <w:name w:val="Plain Text"/>
    <w:basedOn w:val="1"/>
    <w:qFormat/>
    <w:uiPriority w:val="0"/>
    <w:rPr>
      <w:rFonts w:ascii="宋体" w:hAnsi="Courier New"/>
      <w:sz w:val="21"/>
    </w:rPr>
  </w:style>
  <w:style w:type="paragraph" w:styleId="31">
    <w:name w:val="toc 8"/>
    <w:basedOn w:val="1"/>
    <w:next w:val="1"/>
    <w:qFormat/>
    <w:uiPriority w:val="0"/>
    <w:pPr>
      <w:ind w:left="2940" w:leftChars="1400"/>
    </w:pPr>
  </w:style>
  <w:style w:type="paragraph" w:styleId="32">
    <w:name w:val="Date"/>
    <w:basedOn w:val="1"/>
    <w:next w:val="1"/>
    <w:link w:val="78"/>
    <w:qFormat/>
    <w:uiPriority w:val="0"/>
  </w:style>
  <w:style w:type="paragraph" w:styleId="33">
    <w:name w:val="Body Text Indent 2"/>
    <w:basedOn w:val="1"/>
    <w:link w:val="79"/>
    <w:qFormat/>
    <w:uiPriority w:val="0"/>
    <w:pPr>
      <w:snapToGrid w:val="0"/>
      <w:spacing w:line="560" w:lineRule="atLeast"/>
      <w:ind w:firstLine="540"/>
    </w:pPr>
  </w:style>
  <w:style w:type="paragraph" w:styleId="34">
    <w:name w:val="Balloon Text"/>
    <w:basedOn w:val="1"/>
    <w:qFormat/>
    <w:uiPriority w:val="0"/>
    <w:rPr>
      <w:sz w:val="18"/>
    </w:rPr>
  </w:style>
  <w:style w:type="paragraph" w:styleId="35">
    <w:name w:val="footer"/>
    <w:basedOn w:val="1"/>
    <w:next w:val="36"/>
    <w:qFormat/>
    <w:uiPriority w:val="0"/>
    <w:pPr>
      <w:tabs>
        <w:tab w:val="center" w:pos="4153"/>
        <w:tab w:val="right" w:pos="8306"/>
      </w:tabs>
      <w:snapToGrid w:val="0"/>
      <w:jc w:val="left"/>
    </w:pPr>
    <w:rPr>
      <w:sz w:val="18"/>
    </w:rPr>
  </w:style>
  <w:style w:type="paragraph" w:customStyle="1" w:styleId="36">
    <w:name w:val="索引 51"/>
    <w:basedOn w:val="1"/>
    <w:next w:val="1"/>
    <w:qFormat/>
    <w:uiPriority w:val="0"/>
    <w:pPr>
      <w:ind w:left="1680"/>
    </w:pPr>
  </w:style>
  <w:style w:type="paragraph" w:styleId="37">
    <w:name w:val="envelope return"/>
    <w:basedOn w:val="1"/>
    <w:qFormat/>
    <w:uiPriority w:val="0"/>
    <w:pPr>
      <w:snapToGrid w:val="0"/>
    </w:pPr>
    <w:rPr>
      <w:rFonts w:ascii="Arial" w:hAnsi="Arial"/>
    </w:rPr>
  </w:style>
  <w:style w:type="paragraph" w:styleId="38">
    <w:name w:val="header"/>
    <w:basedOn w:val="1"/>
    <w:qFormat/>
    <w:uiPriority w:val="0"/>
    <w:pPr>
      <w:pBdr>
        <w:bottom w:val="single" w:color="auto" w:sz="6" w:space="1"/>
      </w:pBdr>
      <w:tabs>
        <w:tab w:val="center" w:pos="4153"/>
        <w:tab w:val="right" w:pos="8306"/>
      </w:tabs>
      <w:snapToGrid w:val="0"/>
      <w:jc w:val="center"/>
    </w:pPr>
    <w:rPr>
      <w:sz w:val="18"/>
    </w:rPr>
  </w:style>
  <w:style w:type="paragraph" w:styleId="39">
    <w:name w:val="toc 1"/>
    <w:basedOn w:val="1"/>
    <w:next w:val="1"/>
    <w:qFormat/>
    <w:uiPriority w:val="39"/>
    <w:pPr>
      <w:spacing w:line="180" w:lineRule="auto"/>
      <w:jc w:val="center"/>
    </w:pPr>
    <w:rPr>
      <w:sz w:val="30"/>
    </w:rPr>
  </w:style>
  <w:style w:type="paragraph" w:styleId="40">
    <w:name w:val="List Continue 4"/>
    <w:basedOn w:val="1"/>
    <w:qFormat/>
    <w:uiPriority w:val="0"/>
    <w:pPr>
      <w:adjustRightInd w:val="0"/>
      <w:snapToGrid w:val="0"/>
      <w:spacing w:after="120" w:line="360" w:lineRule="auto"/>
      <w:ind w:left="1680" w:leftChars="800"/>
    </w:pPr>
    <w:rPr>
      <w:sz w:val="24"/>
    </w:rPr>
  </w:style>
  <w:style w:type="paragraph" w:styleId="41">
    <w:name w:val="toc 4"/>
    <w:basedOn w:val="1"/>
    <w:next w:val="1"/>
    <w:qFormat/>
    <w:uiPriority w:val="0"/>
    <w:pPr>
      <w:ind w:left="1260" w:leftChars="600"/>
    </w:pPr>
  </w:style>
  <w:style w:type="paragraph" w:styleId="42">
    <w:name w:val="footnote text"/>
    <w:basedOn w:val="1"/>
    <w:link w:val="80"/>
    <w:qFormat/>
    <w:uiPriority w:val="0"/>
    <w:pPr>
      <w:spacing w:line="360" w:lineRule="auto"/>
    </w:pPr>
    <w:rPr>
      <w:sz w:val="18"/>
    </w:rPr>
  </w:style>
  <w:style w:type="paragraph" w:styleId="43">
    <w:name w:val="toc 6"/>
    <w:basedOn w:val="1"/>
    <w:next w:val="1"/>
    <w:qFormat/>
    <w:uiPriority w:val="0"/>
    <w:pPr>
      <w:ind w:left="2100" w:leftChars="1000"/>
    </w:pPr>
  </w:style>
  <w:style w:type="paragraph" w:styleId="44">
    <w:name w:val="List 5"/>
    <w:basedOn w:val="1"/>
    <w:qFormat/>
    <w:uiPriority w:val="0"/>
    <w:pPr>
      <w:adjustRightInd w:val="0"/>
      <w:snapToGrid w:val="0"/>
      <w:spacing w:line="360" w:lineRule="auto"/>
      <w:ind w:left="100" w:leftChars="800" w:hanging="200" w:hangingChars="200"/>
    </w:pPr>
    <w:rPr>
      <w:sz w:val="24"/>
    </w:rPr>
  </w:style>
  <w:style w:type="paragraph" w:styleId="45">
    <w:name w:val="Body Text Indent 3"/>
    <w:basedOn w:val="1"/>
    <w:qFormat/>
    <w:uiPriority w:val="0"/>
    <w:pPr>
      <w:spacing w:line="360" w:lineRule="auto"/>
      <w:ind w:firstLine="632"/>
    </w:pPr>
    <w:rPr>
      <w:rFonts w:ascii="黑体" w:eastAsia="黑体"/>
    </w:rPr>
  </w:style>
  <w:style w:type="paragraph" w:styleId="46">
    <w:name w:val="table of figures"/>
    <w:basedOn w:val="1"/>
    <w:next w:val="1"/>
    <w:qFormat/>
    <w:uiPriority w:val="0"/>
    <w:pPr>
      <w:tabs>
        <w:tab w:val="right" w:leader="dot" w:pos="8640"/>
      </w:tabs>
      <w:spacing w:line="360" w:lineRule="auto"/>
      <w:ind w:left="400" w:hanging="400"/>
    </w:pPr>
    <w:rPr>
      <w:sz w:val="24"/>
    </w:rPr>
  </w:style>
  <w:style w:type="paragraph" w:styleId="47">
    <w:name w:val="toc 2"/>
    <w:basedOn w:val="1"/>
    <w:next w:val="1"/>
    <w:qFormat/>
    <w:uiPriority w:val="39"/>
    <w:pPr>
      <w:ind w:left="420" w:leftChars="200"/>
    </w:pPr>
  </w:style>
  <w:style w:type="paragraph" w:styleId="48">
    <w:name w:val="toc 9"/>
    <w:basedOn w:val="1"/>
    <w:next w:val="1"/>
    <w:qFormat/>
    <w:uiPriority w:val="0"/>
    <w:pPr>
      <w:ind w:left="3360" w:leftChars="1600"/>
    </w:pPr>
  </w:style>
  <w:style w:type="paragraph" w:styleId="49">
    <w:name w:val="Body Text 2"/>
    <w:basedOn w:val="1"/>
    <w:qFormat/>
    <w:uiPriority w:val="0"/>
    <w:pPr>
      <w:adjustRightInd w:val="0"/>
      <w:snapToGrid w:val="0"/>
      <w:spacing w:after="120" w:line="480" w:lineRule="auto"/>
    </w:pPr>
    <w:rPr>
      <w:sz w:val="24"/>
    </w:rPr>
  </w:style>
  <w:style w:type="paragraph" w:styleId="50">
    <w:name w:val="List 4"/>
    <w:basedOn w:val="1"/>
    <w:qFormat/>
    <w:uiPriority w:val="0"/>
    <w:pPr>
      <w:adjustRightInd w:val="0"/>
      <w:snapToGrid w:val="0"/>
      <w:spacing w:line="360" w:lineRule="auto"/>
      <w:ind w:left="100" w:leftChars="600" w:hanging="200" w:hangingChars="200"/>
    </w:pPr>
    <w:rPr>
      <w:sz w:val="24"/>
    </w:rPr>
  </w:style>
  <w:style w:type="paragraph" w:styleId="51">
    <w:name w:val="List Continue 2"/>
    <w:basedOn w:val="1"/>
    <w:qFormat/>
    <w:uiPriority w:val="0"/>
    <w:pPr>
      <w:adjustRightInd w:val="0"/>
      <w:snapToGrid w:val="0"/>
      <w:spacing w:after="120" w:line="360" w:lineRule="auto"/>
      <w:ind w:left="840" w:leftChars="400"/>
    </w:pPr>
    <w:rPr>
      <w:sz w:val="24"/>
    </w:rPr>
  </w:style>
  <w:style w:type="paragraph" w:styleId="52">
    <w:name w:val="Normal (Web)"/>
    <w:basedOn w:val="1"/>
    <w:qFormat/>
    <w:uiPriority w:val="0"/>
    <w:pPr>
      <w:widowControl/>
      <w:spacing w:before="100" w:beforeAutospacing="1" w:after="100" w:afterAutospacing="1"/>
      <w:jc w:val="left"/>
    </w:pPr>
    <w:rPr>
      <w:rFonts w:ascii="宋体" w:hAnsi="宋体"/>
      <w:kern w:val="0"/>
      <w:sz w:val="24"/>
    </w:rPr>
  </w:style>
  <w:style w:type="paragraph" w:styleId="53">
    <w:name w:val="List Continue 3"/>
    <w:basedOn w:val="1"/>
    <w:qFormat/>
    <w:uiPriority w:val="0"/>
    <w:pPr>
      <w:adjustRightInd w:val="0"/>
      <w:snapToGrid w:val="0"/>
      <w:spacing w:after="120" w:line="360" w:lineRule="auto"/>
      <w:ind w:left="1260" w:leftChars="600"/>
    </w:pPr>
    <w:rPr>
      <w:sz w:val="24"/>
    </w:rPr>
  </w:style>
  <w:style w:type="paragraph" w:styleId="54">
    <w:name w:val="index 1"/>
    <w:basedOn w:val="1"/>
    <w:next w:val="1"/>
    <w:qFormat/>
    <w:uiPriority w:val="0"/>
    <w:pPr>
      <w:adjustRightInd w:val="0"/>
      <w:spacing w:line="240" w:lineRule="atLeast"/>
      <w:textAlignment w:val="baseline"/>
    </w:pPr>
    <w:rPr>
      <w:rFonts w:ascii="宋体"/>
      <w:kern w:val="0"/>
      <w:sz w:val="21"/>
    </w:rPr>
  </w:style>
  <w:style w:type="paragraph" w:styleId="55">
    <w:name w:val="Title"/>
    <w:basedOn w:val="1"/>
    <w:qFormat/>
    <w:uiPriority w:val="0"/>
    <w:pPr>
      <w:widowControl/>
      <w:spacing w:after="240" w:line="360" w:lineRule="auto"/>
      <w:jc w:val="center"/>
    </w:pPr>
    <w:rPr>
      <w:rFonts w:ascii="Arial" w:hAnsi="Arial"/>
      <w:b/>
      <w:smallCaps/>
      <w:kern w:val="28"/>
      <w:sz w:val="36"/>
      <w:lang w:eastAsia="en-US"/>
    </w:rPr>
  </w:style>
  <w:style w:type="paragraph" w:styleId="56">
    <w:name w:val="annotation subject"/>
    <w:basedOn w:val="19"/>
    <w:next w:val="19"/>
    <w:link w:val="81"/>
    <w:qFormat/>
    <w:uiPriority w:val="0"/>
    <w:pPr>
      <w:adjustRightInd/>
      <w:spacing w:line="240" w:lineRule="auto"/>
      <w:textAlignment w:val="auto"/>
    </w:pPr>
  </w:style>
  <w:style w:type="paragraph" w:styleId="57">
    <w:name w:val="Body Text First Indent"/>
    <w:basedOn w:val="1"/>
    <w:qFormat/>
    <w:uiPriority w:val="0"/>
    <w:pPr>
      <w:spacing w:line="360" w:lineRule="auto"/>
      <w:ind w:firstLine="420"/>
    </w:pPr>
    <w:rPr>
      <w:rFonts w:ascii="宋体" w:hAnsi="宋体"/>
      <w:sz w:val="24"/>
    </w:rPr>
  </w:style>
  <w:style w:type="paragraph" w:styleId="58">
    <w:name w:val="Body Text First Indent 2"/>
    <w:basedOn w:val="23"/>
    <w:link w:val="82"/>
    <w:qFormat/>
    <w:uiPriority w:val="0"/>
    <w:pPr>
      <w:spacing w:after="120" w:line="240" w:lineRule="auto"/>
      <w:ind w:left="420" w:leftChars="200" w:firstLine="420" w:firstLineChars="200"/>
    </w:pPr>
  </w:style>
  <w:style w:type="table" w:styleId="60">
    <w:name w:val="Table Grid"/>
    <w:basedOn w:val="5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2">
    <w:name w:val="Strong"/>
    <w:basedOn w:val="61"/>
    <w:qFormat/>
    <w:uiPriority w:val="0"/>
    <w:rPr>
      <w:b/>
      <w:bCs/>
    </w:rPr>
  </w:style>
  <w:style w:type="character" w:styleId="63">
    <w:name w:val="page number"/>
    <w:qFormat/>
    <w:uiPriority w:val="0"/>
  </w:style>
  <w:style w:type="character" w:styleId="64">
    <w:name w:val="FollowedHyperlink"/>
    <w:qFormat/>
    <w:uiPriority w:val="0"/>
    <w:rPr>
      <w:color w:val="800080"/>
      <w:u w:val="single"/>
    </w:rPr>
  </w:style>
  <w:style w:type="character" w:styleId="65">
    <w:name w:val="Emphasis"/>
    <w:basedOn w:val="61"/>
    <w:qFormat/>
    <w:uiPriority w:val="0"/>
  </w:style>
  <w:style w:type="character" w:styleId="66">
    <w:name w:val="HTML Definition"/>
    <w:basedOn w:val="61"/>
    <w:semiHidden/>
    <w:unhideWhenUsed/>
    <w:qFormat/>
    <w:uiPriority w:val="99"/>
    <w:rPr>
      <w:i/>
      <w:iCs/>
    </w:rPr>
  </w:style>
  <w:style w:type="character" w:styleId="67">
    <w:name w:val="Hyperlink"/>
    <w:qFormat/>
    <w:uiPriority w:val="99"/>
    <w:rPr>
      <w:color w:val="0000FF"/>
      <w:u w:val="single"/>
    </w:rPr>
  </w:style>
  <w:style w:type="character" w:styleId="68">
    <w:name w:val="HTML Code"/>
    <w:basedOn w:val="61"/>
    <w:semiHidden/>
    <w:unhideWhenUsed/>
    <w:qFormat/>
    <w:uiPriority w:val="99"/>
    <w:rPr>
      <w:rFonts w:hint="default" w:ascii="Consolas" w:hAnsi="Consolas" w:eastAsia="Consolas" w:cs="Consolas"/>
      <w:color w:val="C7254E"/>
      <w:sz w:val="21"/>
      <w:szCs w:val="21"/>
      <w:shd w:val="clear" w:fill="F9F2F4"/>
    </w:rPr>
  </w:style>
  <w:style w:type="character" w:styleId="69">
    <w:name w:val="annotation reference"/>
    <w:qFormat/>
    <w:uiPriority w:val="0"/>
    <w:rPr>
      <w:sz w:val="21"/>
      <w:szCs w:val="21"/>
    </w:rPr>
  </w:style>
  <w:style w:type="character" w:styleId="70">
    <w:name w:val="footnote reference"/>
    <w:qFormat/>
    <w:uiPriority w:val="0"/>
    <w:rPr>
      <w:position w:val="6"/>
      <w:sz w:val="14"/>
      <w:vertAlign w:val="superscript"/>
    </w:rPr>
  </w:style>
  <w:style w:type="character" w:styleId="71">
    <w:name w:val="HTML Keyboard"/>
    <w:basedOn w:val="61"/>
    <w:semiHidden/>
    <w:unhideWhenUsed/>
    <w:qFormat/>
    <w:uiPriority w:val="99"/>
    <w:rPr>
      <w:rFonts w:ascii="Consolas" w:hAnsi="Consolas" w:eastAsia="Consolas" w:cs="Consolas"/>
      <w:color w:val="FFFFFF"/>
      <w:sz w:val="21"/>
      <w:szCs w:val="21"/>
      <w:shd w:val="clear" w:fill="333333"/>
    </w:rPr>
  </w:style>
  <w:style w:type="character" w:styleId="72">
    <w:name w:val="HTML Sample"/>
    <w:basedOn w:val="61"/>
    <w:semiHidden/>
    <w:unhideWhenUsed/>
    <w:qFormat/>
    <w:uiPriority w:val="99"/>
    <w:rPr>
      <w:rFonts w:hint="default" w:ascii="Consolas" w:hAnsi="Consolas" w:eastAsia="Consolas" w:cs="Consolas"/>
      <w:sz w:val="21"/>
      <w:szCs w:val="21"/>
    </w:rPr>
  </w:style>
  <w:style w:type="paragraph" w:customStyle="1" w:styleId="73">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character" w:customStyle="1" w:styleId="74">
    <w:name w:val="标题 2 Char"/>
    <w:link w:val="3"/>
    <w:qFormat/>
    <w:uiPriority w:val="0"/>
    <w:rPr>
      <w:rFonts w:ascii="Arial" w:hAnsi="Arial" w:eastAsia="黑体"/>
      <w:b/>
      <w:kern w:val="2"/>
      <w:sz w:val="32"/>
    </w:rPr>
  </w:style>
  <w:style w:type="character" w:customStyle="1" w:styleId="75">
    <w:name w:val="标题 3 Char"/>
    <w:link w:val="4"/>
    <w:qFormat/>
    <w:uiPriority w:val="0"/>
    <w:rPr>
      <w:rFonts w:eastAsia="宋体"/>
      <w:b/>
      <w:kern w:val="2"/>
      <w:sz w:val="32"/>
      <w:lang w:val="en-US" w:eastAsia="zh-CN"/>
    </w:rPr>
  </w:style>
  <w:style w:type="character" w:customStyle="1" w:styleId="76">
    <w:name w:val="批注文字 Char"/>
    <w:link w:val="19"/>
    <w:qFormat/>
    <w:uiPriority w:val="0"/>
    <w:rPr>
      <w:sz w:val="24"/>
    </w:rPr>
  </w:style>
  <w:style w:type="character" w:customStyle="1" w:styleId="77">
    <w:name w:val="正文文本缩进 Char"/>
    <w:link w:val="23"/>
    <w:qFormat/>
    <w:uiPriority w:val="0"/>
    <w:rPr>
      <w:kern w:val="2"/>
      <w:sz w:val="44"/>
    </w:rPr>
  </w:style>
  <w:style w:type="character" w:customStyle="1" w:styleId="78">
    <w:name w:val="日期 Char"/>
    <w:link w:val="32"/>
    <w:qFormat/>
    <w:uiPriority w:val="0"/>
    <w:rPr>
      <w:kern w:val="2"/>
      <w:sz w:val="28"/>
    </w:rPr>
  </w:style>
  <w:style w:type="character" w:customStyle="1" w:styleId="79">
    <w:name w:val="正文文本缩进 2 Char"/>
    <w:link w:val="33"/>
    <w:qFormat/>
    <w:uiPriority w:val="0"/>
    <w:rPr>
      <w:kern w:val="2"/>
      <w:sz w:val="28"/>
    </w:rPr>
  </w:style>
  <w:style w:type="character" w:customStyle="1" w:styleId="80">
    <w:name w:val="脚注文本 Char"/>
    <w:link w:val="42"/>
    <w:qFormat/>
    <w:uiPriority w:val="0"/>
    <w:rPr>
      <w:kern w:val="2"/>
      <w:sz w:val="18"/>
    </w:rPr>
  </w:style>
  <w:style w:type="character" w:customStyle="1" w:styleId="81">
    <w:name w:val="批注主题 Char"/>
    <w:link w:val="56"/>
    <w:qFormat/>
    <w:uiPriority w:val="0"/>
  </w:style>
  <w:style w:type="character" w:customStyle="1" w:styleId="82">
    <w:name w:val="正文首行缩进 2 Char"/>
    <w:link w:val="58"/>
    <w:qFormat/>
    <w:uiPriority w:val="0"/>
  </w:style>
  <w:style w:type="character" w:customStyle="1" w:styleId="83">
    <w:name w:val="未命名11"/>
    <w:qFormat/>
    <w:uiPriority w:val="0"/>
    <w:rPr>
      <w:color w:val="77FFFF"/>
      <w:sz w:val="24"/>
    </w:rPr>
  </w:style>
  <w:style w:type="character" w:customStyle="1" w:styleId="84">
    <w:name w:val="H2 Char"/>
    <w:qFormat/>
    <w:uiPriority w:val="0"/>
    <w:rPr>
      <w:rFonts w:ascii="Arial" w:hAnsi="Arial" w:eastAsia="宋体"/>
      <w:kern w:val="2"/>
      <w:sz w:val="28"/>
      <w:lang w:val="en-US" w:eastAsia="zh-CN"/>
    </w:rPr>
  </w:style>
  <w:style w:type="character" w:customStyle="1" w:styleId="85">
    <w:name w:val="样式 宋体"/>
    <w:qFormat/>
    <w:uiPriority w:val="0"/>
    <w:rPr>
      <w:rFonts w:ascii="宋体" w:hAnsi="宋体" w:eastAsia="宋体"/>
      <w:sz w:val="28"/>
    </w:rPr>
  </w:style>
  <w:style w:type="character" w:customStyle="1" w:styleId="86">
    <w:name w:val="content-white1"/>
    <w:qFormat/>
    <w:uiPriority w:val="0"/>
    <w:rPr>
      <w:rFonts w:ascii="_x000B__x000C_" w:hAnsi="_x000B__x000C_"/>
      <w:color w:val="auto"/>
      <w:sz w:val="18"/>
      <w:u w:val="none"/>
    </w:rPr>
  </w:style>
  <w:style w:type="character" w:customStyle="1" w:styleId="87">
    <w:name w:val="title_emph1"/>
    <w:qFormat/>
    <w:uiPriority w:val="0"/>
    <w:rPr>
      <w:rFonts w:hint="default" w:ascii="Arial" w:hAnsi="Arial"/>
      <w:b/>
      <w:sz w:val="20"/>
    </w:rPr>
  </w:style>
  <w:style w:type="character" w:customStyle="1" w:styleId="88">
    <w:name w:val="正文 + 三号 Char"/>
    <w:qFormat/>
    <w:uiPriority w:val="0"/>
    <w:rPr>
      <w:rFonts w:eastAsia="宋体"/>
      <w:kern w:val="2"/>
      <w:sz w:val="21"/>
      <w:lang w:val="en-US" w:eastAsia="zh-CN"/>
    </w:rPr>
  </w:style>
  <w:style w:type="character" w:customStyle="1" w:styleId="89">
    <w:name w:val="Char Char11"/>
    <w:qFormat/>
    <w:uiPriority w:val="0"/>
    <w:rPr>
      <w:rFonts w:ascii="宋体"/>
      <w:kern w:val="2"/>
      <w:sz w:val="28"/>
    </w:rPr>
  </w:style>
  <w:style w:type="character" w:customStyle="1" w:styleId="90">
    <w:name w:val="列出段落 Char"/>
    <w:link w:val="91"/>
    <w:qFormat/>
    <w:uiPriority w:val="0"/>
  </w:style>
  <w:style w:type="paragraph" w:styleId="91">
    <w:name w:val="List Paragraph"/>
    <w:basedOn w:val="1"/>
    <w:link w:val="90"/>
    <w:qFormat/>
    <w:uiPriority w:val="0"/>
    <w:pPr>
      <w:widowControl/>
      <w:ind w:firstLine="420" w:firstLineChars="200"/>
      <w:jc w:val="left"/>
    </w:pPr>
  </w:style>
  <w:style w:type="character" w:customStyle="1" w:styleId="92">
    <w:name w:val="文字 Char Char"/>
    <w:link w:val="93"/>
    <w:qFormat/>
    <w:uiPriority w:val="0"/>
    <w:rPr>
      <w:rFonts w:ascii="宋体"/>
      <w:kern w:val="2"/>
      <w:sz w:val="28"/>
    </w:rPr>
  </w:style>
  <w:style w:type="paragraph" w:customStyle="1" w:styleId="93">
    <w:name w:val="文字"/>
    <w:basedOn w:val="1"/>
    <w:link w:val="92"/>
    <w:qFormat/>
    <w:uiPriority w:val="0"/>
    <w:pPr>
      <w:tabs>
        <w:tab w:val="left" w:pos="8520"/>
      </w:tabs>
      <w:spacing w:line="312" w:lineRule="auto"/>
      <w:ind w:right="-210" w:firstLine="556"/>
    </w:pPr>
    <w:rPr>
      <w:rFonts w:ascii="宋体"/>
    </w:rPr>
  </w:style>
  <w:style w:type="character" w:customStyle="1" w:styleId="94">
    <w:name w:val="top-det1"/>
    <w:qFormat/>
    <w:uiPriority w:val="0"/>
    <w:rPr>
      <w:b/>
      <w:color w:val="000000"/>
    </w:rPr>
  </w:style>
  <w:style w:type="character" w:customStyle="1" w:styleId="95">
    <w:name w:val="Char Char5"/>
    <w:qFormat/>
    <w:uiPriority w:val="0"/>
    <w:rPr>
      <w:rFonts w:ascii="Arial" w:hAnsi="Arial" w:eastAsia="宋体"/>
      <w:b/>
      <w:smallCaps/>
      <w:kern w:val="28"/>
      <w:sz w:val="36"/>
      <w:lang w:val="en-US" w:eastAsia="en-US"/>
    </w:rPr>
  </w:style>
  <w:style w:type="character" w:customStyle="1" w:styleId="96">
    <w:name w:val="Table Text Char1 Char Char"/>
    <w:qFormat/>
    <w:uiPriority w:val="0"/>
    <w:rPr>
      <w:rFonts w:ascii="Arial" w:hAnsi="Arial"/>
      <w:kern w:val="2"/>
      <w:sz w:val="18"/>
      <w:lang w:val="en-US" w:eastAsia="zh-CN" w:bidi="ar-SA"/>
    </w:rPr>
  </w:style>
  <w:style w:type="character" w:customStyle="1" w:styleId="97">
    <w:name w:val="Char Char7"/>
    <w:qFormat/>
    <w:uiPriority w:val="0"/>
    <w:rPr>
      <w:rFonts w:ascii="宋体" w:hAnsi="宋体" w:eastAsia="宋体"/>
      <w:kern w:val="2"/>
      <w:sz w:val="28"/>
    </w:rPr>
  </w:style>
  <w:style w:type="character" w:customStyle="1" w:styleId="98">
    <w:name w:val="小 Char"/>
    <w:qFormat/>
    <w:uiPriority w:val="0"/>
    <w:rPr>
      <w:rFonts w:ascii="宋体" w:hAnsi="Courier New" w:eastAsia="宋体"/>
      <w:kern w:val="2"/>
      <w:sz w:val="21"/>
      <w:lang w:val="en-US" w:eastAsia="zh-CN" w:bidi="ar-SA"/>
    </w:rPr>
  </w:style>
  <w:style w:type="character" w:customStyle="1" w:styleId="99">
    <w:name w:val="Char Char4"/>
    <w:qFormat/>
    <w:uiPriority w:val="0"/>
    <w:rPr>
      <w:rFonts w:eastAsia="宋体"/>
      <w:b/>
      <w:kern w:val="2"/>
      <w:sz w:val="21"/>
      <w:lang w:val="en-US" w:eastAsia="zh-CN"/>
    </w:rPr>
  </w:style>
  <w:style w:type="character" w:customStyle="1" w:styleId="100">
    <w:name w:val="crowed11"/>
    <w:qFormat/>
    <w:uiPriority w:val="0"/>
    <w:rPr>
      <w:rFonts w:hint="default" w:ascii="_x000B__x000C_" w:hAnsi="_x000B__x000C_"/>
      <w:sz w:val="24"/>
    </w:rPr>
  </w:style>
  <w:style w:type="character" w:customStyle="1" w:styleId="101">
    <w:name w:val="Char Char3"/>
    <w:qFormat/>
    <w:uiPriority w:val="0"/>
    <w:rPr>
      <w:rFonts w:eastAsia="宋体"/>
      <w:kern w:val="2"/>
      <w:sz w:val="18"/>
      <w:lang w:val="en-US" w:eastAsia="zh-CN"/>
    </w:rPr>
  </w:style>
  <w:style w:type="character" w:customStyle="1" w:styleId="102">
    <w:name w:val="Table Heading Char Char"/>
    <w:qFormat/>
    <w:uiPriority w:val="0"/>
    <w:rPr>
      <w:rFonts w:ascii="Arial" w:hAnsi="Arial" w:eastAsia="黑体"/>
      <w:kern w:val="2"/>
      <w:sz w:val="18"/>
      <w:lang w:val="en-US" w:eastAsia="zh-CN"/>
    </w:rPr>
  </w:style>
  <w:style w:type="character" w:customStyle="1" w:styleId="103">
    <w:name w:val="标书正文:  0.74 厘米 Char1"/>
    <w:qFormat/>
    <w:uiPriority w:val="0"/>
    <w:rPr>
      <w:rFonts w:eastAsia="宋体"/>
      <w:kern w:val="2"/>
      <w:sz w:val="24"/>
      <w:lang w:val="en-US" w:eastAsia="zh-CN"/>
    </w:rPr>
  </w:style>
  <w:style w:type="character" w:customStyle="1" w:styleId="104">
    <w:name w:val="Char Char6"/>
    <w:qFormat/>
    <w:uiPriority w:val="0"/>
    <w:rPr>
      <w:rFonts w:ascii="仿宋_GB2312" w:eastAsia="仿宋_GB2312"/>
      <w:kern w:val="2"/>
      <w:sz w:val="32"/>
    </w:rPr>
  </w:style>
  <w:style w:type="character" w:customStyle="1" w:styleId="105">
    <w:name w:val="v151"/>
    <w:qFormat/>
    <w:uiPriority w:val="0"/>
    <w:rPr>
      <w:sz w:val="18"/>
    </w:rPr>
  </w:style>
  <w:style w:type="character" w:customStyle="1" w:styleId="106">
    <w:name w:val="font1"/>
    <w:qFormat/>
    <w:uiPriority w:val="0"/>
    <w:rPr>
      <w:color w:val="000000"/>
      <w:sz w:val="18"/>
    </w:rPr>
  </w:style>
  <w:style w:type="character" w:customStyle="1" w:styleId="107">
    <w:name w:val="Table Text Char Char Char Char"/>
    <w:link w:val="108"/>
    <w:qFormat/>
    <w:uiPriority w:val="0"/>
    <w:rPr>
      <w:rFonts w:ascii="Arial" w:hAnsi="Arial"/>
      <w:kern w:val="2"/>
      <w:sz w:val="18"/>
      <w:lang w:val="en-US" w:eastAsia="zh-CN" w:bidi="ar-SA"/>
    </w:rPr>
  </w:style>
  <w:style w:type="paragraph" w:customStyle="1" w:styleId="108">
    <w:name w:val="Table Text"/>
    <w:link w:val="107"/>
    <w:qFormat/>
    <w:uiPriority w:val="0"/>
    <w:pPr>
      <w:snapToGrid w:val="0"/>
      <w:spacing w:before="80" w:after="80"/>
    </w:pPr>
    <w:rPr>
      <w:rFonts w:ascii="Arial" w:hAnsi="Arial" w:eastAsia="宋体" w:cs="Times New Roman"/>
      <w:kern w:val="2"/>
      <w:sz w:val="18"/>
      <w:lang w:val="en-US" w:eastAsia="zh-CN" w:bidi="ar-SA"/>
    </w:rPr>
  </w:style>
  <w:style w:type="character" w:customStyle="1" w:styleId="109">
    <w:name w:val="Char Char2"/>
    <w:qFormat/>
    <w:uiPriority w:val="0"/>
    <w:rPr>
      <w:rFonts w:eastAsia="宋体"/>
      <w:kern w:val="2"/>
      <w:sz w:val="18"/>
      <w:lang w:val="en-US" w:eastAsia="zh-CN"/>
    </w:rPr>
  </w:style>
  <w:style w:type="character" w:customStyle="1" w:styleId="110">
    <w:name w:val="Char Char Char Char Char Char Char Char Char"/>
    <w:qFormat/>
    <w:uiPriority w:val="0"/>
    <w:rPr>
      <w:rFonts w:ascii="宋体" w:hAnsi="宋体" w:eastAsia="宋体"/>
      <w:kern w:val="2"/>
      <w:sz w:val="24"/>
      <w:lang w:val="en-US" w:eastAsia="zh-CN" w:bidi="ar-SA"/>
    </w:rPr>
  </w:style>
  <w:style w:type="paragraph" w:customStyle="1" w:styleId="11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12">
    <w:name w:val="标题5"/>
    <w:basedOn w:val="1"/>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113">
    <w:name w:val="Table Heading"/>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114">
    <w:name w:val="图片文字"/>
    <w:basedOn w:val="1"/>
    <w:qFormat/>
    <w:uiPriority w:val="0"/>
    <w:pPr>
      <w:spacing w:line="240" w:lineRule="atLeast"/>
      <w:jc w:val="center"/>
    </w:pPr>
    <w:rPr>
      <w:sz w:val="21"/>
    </w:rPr>
  </w:style>
  <w:style w:type="paragraph" w:customStyle="1" w:styleId="115">
    <w:name w:val="默认段落字体 Para Char Char Char Char Char Char Char Char Char1 Char Char Char Char"/>
    <w:basedOn w:val="1"/>
    <w:qFormat/>
    <w:uiPriority w:val="0"/>
    <w:rPr>
      <w:rFonts w:ascii="Tahoma" w:hAnsi="Tahoma"/>
      <w:sz w:val="24"/>
    </w:rPr>
  </w:style>
  <w:style w:type="paragraph" w:customStyle="1" w:styleId="116">
    <w:name w:val="Char Char 字元 字元 字元 Char Char Char Char"/>
    <w:basedOn w:val="1"/>
    <w:qFormat/>
    <w:uiPriority w:val="0"/>
    <w:pPr>
      <w:adjustRightInd w:val="0"/>
      <w:spacing w:line="360" w:lineRule="auto"/>
    </w:pPr>
    <w:rPr>
      <w:kern w:val="0"/>
      <w:sz w:val="24"/>
    </w:rPr>
  </w:style>
  <w:style w:type="paragraph" w:customStyle="1" w:styleId="117">
    <w:name w:val="AA Numbering"/>
    <w:basedOn w:val="1"/>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118">
    <w:name w:val="默认段落字体 Para Char Char Char Char Char Char Char"/>
    <w:basedOn w:val="1"/>
    <w:qFormat/>
    <w:uiPriority w:val="0"/>
    <w:rPr>
      <w:rFonts w:ascii="Tahoma" w:hAnsi="Tahoma"/>
      <w:sz w:val="24"/>
    </w:rPr>
  </w:style>
  <w:style w:type="paragraph" w:customStyle="1" w:styleId="119">
    <w:name w:val="正文（首行不缩进）"/>
    <w:basedOn w:val="1"/>
    <w:qFormat/>
    <w:uiPriority w:val="0"/>
    <w:pPr>
      <w:autoSpaceDE w:val="0"/>
      <w:autoSpaceDN w:val="0"/>
      <w:adjustRightInd w:val="0"/>
      <w:spacing w:line="360" w:lineRule="auto"/>
      <w:jc w:val="left"/>
    </w:pPr>
    <w:rPr>
      <w:kern w:val="0"/>
      <w:sz w:val="21"/>
    </w:rPr>
  </w:style>
  <w:style w:type="paragraph" w:customStyle="1" w:styleId="120">
    <w:name w:val="样式 宋体 五号 两端对齐 行距: 单倍行距"/>
    <w:basedOn w:val="1"/>
    <w:qFormat/>
    <w:uiPriority w:val="0"/>
    <w:pPr>
      <w:adjustRightInd w:val="0"/>
      <w:textAlignment w:val="baseline"/>
    </w:pPr>
    <w:rPr>
      <w:rFonts w:ascii="宋体" w:hAnsi="宋体"/>
      <w:kern w:val="0"/>
      <w:sz w:val="21"/>
    </w:rPr>
  </w:style>
  <w:style w:type="paragraph" w:customStyle="1" w:styleId="121">
    <w:name w:val="表格文本"/>
    <w:qFormat/>
    <w:uiPriority w:val="0"/>
    <w:pPr>
      <w:tabs>
        <w:tab w:val="decimal" w:pos="0"/>
      </w:tabs>
    </w:pPr>
    <w:rPr>
      <w:rFonts w:ascii="Arial" w:hAnsi="Arial" w:eastAsia="宋体" w:cs="Times New Roman"/>
      <w:sz w:val="21"/>
      <w:lang w:val="en-US" w:eastAsia="zh-CN" w:bidi="ar-SA"/>
    </w:rPr>
  </w:style>
  <w:style w:type="paragraph" w:customStyle="1" w:styleId="122">
    <w:name w:val="样式 样式 首行缩进:  2 字符 + 首行缩进:  2 字符"/>
    <w:basedOn w:val="1"/>
    <w:qFormat/>
    <w:uiPriority w:val="0"/>
    <w:pPr>
      <w:numPr>
        <w:ilvl w:val="0"/>
        <w:numId w:val="4"/>
      </w:numPr>
      <w:tabs>
        <w:tab w:val="clear" w:pos="1230"/>
      </w:tabs>
      <w:spacing w:line="360" w:lineRule="auto"/>
      <w:ind w:firstLine="480" w:firstLineChars="200"/>
    </w:pPr>
    <w:rPr>
      <w:sz w:val="24"/>
    </w:rPr>
  </w:style>
  <w:style w:type="paragraph" w:customStyle="1" w:styleId="123">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24">
    <w:name w:val="标准正文"/>
    <w:basedOn w:val="23"/>
    <w:qFormat/>
    <w:uiPriority w:val="0"/>
    <w:pPr>
      <w:spacing w:before="60" w:after="60" w:line="360" w:lineRule="auto"/>
      <w:ind w:left="0" w:firstLine="482"/>
    </w:pPr>
    <w:rPr>
      <w:rFonts w:ascii="Arial" w:hAnsi="Arial"/>
      <w:sz w:val="24"/>
    </w:rPr>
  </w:style>
  <w:style w:type="paragraph" w:customStyle="1" w:styleId="125">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26">
    <w:name w:val="Char"/>
    <w:basedOn w:val="1"/>
    <w:qFormat/>
    <w:uiPriority w:val="0"/>
    <w:pPr>
      <w:spacing w:line="240" w:lineRule="atLeast"/>
      <w:ind w:left="420" w:firstLine="420"/>
    </w:pPr>
    <w:rPr>
      <w:kern w:val="0"/>
      <w:sz w:val="21"/>
    </w:rPr>
  </w:style>
  <w:style w:type="paragraph" w:customStyle="1" w:styleId="127">
    <w:name w:val="首行缩进 1"/>
    <w:basedOn w:val="1"/>
    <w:qFormat/>
    <w:uiPriority w:val="0"/>
    <w:pPr>
      <w:spacing w:after="120" w:line="360" w:lineRule="auto"/>
      <w:ind w:firstLine="200" w:firstLineChars="200"/>
    </w:pPr>
    <w:rPr>
      <w:sz w:val="24"/>
    </w:rPr>
  </w:style>
  <w:style w:type="paragraph" w:customStyle="1" w:styleId="128">
    <w:name w:val="Figure Description"/>
    <w:next w:val="1"/>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129">
    <w:name w:val="附录1"/>
    <w:basedOn w:val="1"/>
    <w:next w:val="1"/>
    <w:qFormat/>
    <w:uiPriority w:val="0"/>
    <w:pPr>
      <w:tabs>
        <w:tab w:val="left" w:pos="1304"/>
      </w:tabs>
      <w:ind w:left="425" w:hanging="425"/>
      <w:outlineLvl w:val="0"/>
    </w:pPr>
    <w:rPr>
      <w:rFonts w:ascii="黑体" w:hAnsi="黑体" w:eastAsia="黑体"/>
      <w:b/>
      <w:sz w:val="44"/>
    </w:rPr>
  </w:style>
  <w:style w:type="paragraph" w:customStyle="1" w:styleId="130">
    <w:name w:val="正文文本缩进 21"/>
    <w:basedOn w:val="1"/>
    <w:qFormat/>
    <w:uiPriority w:val="0"/>
    <w:pPr>
      <w:adjustRightInd w:val="0"/>
      <w:spacing w:before="120"/>
      <w:ind w:firstLine="420"/>
      <w:textAlignment w:val="baseline"/>
    </w:pPr>
    <w:rPr>
      <w:sz w:val="24"/>
    </w:rPr>
  </w:style>
  <w:style w:type="paragraph" w:customStyle="1" w:styleId="131">
    <w:name w:val="表文字"/>
    <w:qFormat/>
    <w:uiPriority w:val="0"/>
    <w:rPr>
      <w:rFonts w:ascii="宋体" w:hAnsi="Times New Roman" w:eastAsia="宋体" w:cs="Times New Roman"/>
      <w:kern w:val="2"/>
      <w:lang w:val="en-US" w:eastAsia="zh-CN" w:bidi="ar-SA"/>
    </w:rPr>
  </w:style>
  <w:style w:type="paragraph" w:customStyle="1" w:styleId="132">
    <w:name w:val="样式3"/>
    <w:basedOn w:val="2"/>
    <w:next w:val="2"/>
    <w:qFormat/>
    <w:uiPriority w:val="0"/>
    <w:pPr>
      <w:keepLines/>
      <w:adjustRightInd w:val="0"/>
      <w:spacing w:before="340" w:after="330" w:line="576" w:lineRule="auto"/>
    </w:pPr>
    <w:rPr>
      <w:rFonts w:ascii="Times New Roman" w:eastAsia="黑体"/>
      <w:b/>
      <w:kern w:val="44"/>
      <w:sz w:val="44"/>
    </w:rPr>
  </w:style>
  <w:style w:type="paragraph" w:customStyle="1" w:styleId="133">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134">
    <w:name w:val="bt"/>
    <w:basedOn w:val="1"/>
    <w:next w:val="22"/>
    <w:qFormat/>
    <w:uiPriority w:val="0"/>
    <w:pPr>
      <w:overflowPunct w:val="0"/>
      <w:autoSpaceDE w:val="0"/>
      <w:autoSpaceDN w:val="0"/>
      <w:adjustRightInd w:val="0"/>
      <w:snapToGrid w:val="0"/>
      <w:spacing w:before="100" w:after="100" w:line="240" w:lineRule="atLeast"/>
      <w:ind w:left="2880" w:hanging="360"/>
      <w:textAlignment w:val="baseline"/>
    </w:pPr>
    <w:rPr>
      <w:rFonts w:ascii="宋体"/>
      <w:kern w:val="0"/>
      <w:sz w:val="20"/>
    </w:rPr>
  </w:style>
  <w:style w:type="paragraph" w:customStyle="1" w:styleId="135">
    <w:name w:val="È±Ê¡ÎÄ±¾"/>
    <w:basedOn w:val="1"/>
    <w:qFormat/>
    <w:uiPriority w:val="0"/>
    <w:pPr>
      <w:widowControl/>
      <w:overflowPunct w:val="0"/>
      <w:autoSpaceDE w:val="0"/>
      <w:autoSpaceDN w:val="0"/>
      <w:adjustRightInd w:val="0"/>
      <w:jc w:val="left"/>
      <w:textAlignment w:val="baseline"/>
    </w:pPr>
    <w:rPr>
      <w:kern w:val="0"/>
      <w:sz w:val="24"/>
    </w:rPr>
  </w:style>
  <w:style w:type="paragraph" w:customStyle="1" w:styleId="136">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kern w:val="0"/>
      <w:sz w:val="21"/>
    </w:rPr>
  </w:style>
  <w:style w:type="paragraph" w:customStyle="1" w:styleId="137">
    <w:name w:val="style1"/>
    <w:basedOn w:val="1"/>
    <w:qFormat/>
    <w:uiPriority w:val="0"/>
    <w:pPr>
      <w:widowControl/>
      <w:spacing w:before="100" w:beforeAutospacing="1" w:after="100" w:afterAutospacing="1"/>
      <w:jc w:val="left"/>
    </w:pPr>
    <w:rPr>
      <w:rFonts w:ascii="宋体" w:hAnsi="宋体"/>
      <w:kern w:val="0"/>
      <w:sz w:val="21"/>
    </w:rPr>
  </w:style>
  <w:style w:type="paragraph" w:customStyle="1" w:styleId="138">
    <w:name w:val="图例"/>
    <w:basedOn w:val="1"/>
    <w:qFormat/>
    <w:uiPriority w:val="0"/>
    <w:pPr>
      <w:spacing w:before="120" w:after="120" w:line="360" w:lineRule="auto"/>
      <w:jc w:val="center"/>
    </w:pPr>
    <w:rPr>
      <w:rFonts w:eastAsia="仿宋_GB2312"/>
      <w:b/>
      <w:sz w:val="24"/>
    </w:rPr>
  </w:style>
  <w:style w:type="paragraph" w:customStyle="1" w:styleId="139">
    <w:name w:val="正文文本 21"/>
    <w:basedOn w:val="1"/>
    <w:qFormat/>
    <w:uiPriority w:val="0"/>
    <w:pPr>
      <w:adjustRightInd w:val="0"/>
      <w:spacing w:before="120" w:line="360" w:lineRule="auto"/>
      <w:ind w:firstLine="480"/>
      <w:textAlignment w:val="baseline"/>
    </w:pPr>
    <w:rPr>
      <w:sz w:val="24"/>
    </w:rPr>
  </w:style>
  <w:style w:type="paragraph" w:customStyle="1" w:styleId="140">
    <w:name w:val="内容标题"/>
    <w:basedOn w:val="17"/>
    <w:qFormat/>
    <w:uiPriority w:val="0"/>
    <w:rPr>
      <w:rFonts w:ascii="Tahoma" w:hAnsi="Tahoma"/>
      <w:sz w:val="24"/>
    </w:rPr>
  </w:style>
  <w:style w:type="paragraph" w:customStyle="1" w:styleId="141">
    <w:name w:val="列表项目"/>
    <w:basedOn w:val="1"/>
    <w:qFormat/>
    <w:uiPriority w:val="0"/>
    <w:pPr>
      <w:tabs>
        <w:tab w:val="left" w:pos="420"/>
      </w:tabs>
      <w:spacing w:line="288" w:lineRule="auto"/>
      <w:ind w:left="840" w:leftChars="200" w:hanging="420" w:hangingChars="200"/>
    </w:pPr>
    <w:rPr>
      <w:sz w:val="21"/>
    </w:rPr>
  </w:style>
  <w:style w:type="paragraph" w:customStyle="1" w:styleId="142">
    <w:name w:val="Table Contents"/>
    <w:basedOn w:val="22"/>
    <w:qFormat/>
    <w:uiPriority w:val="0"/>
    <w:pPr>
      <w:suppressAutoHyphens/>
      <w:jc w:val="left"/>
    </w:pPr>
    <w:rPr>
      <w:rFonts w:ascii="Times New Roman" w:eastAsia="Times New Roman"/>
      <w:kern w:val="0"/>
      <w:sz w:val="24"/>
    </w:rPr>
  </w:style>
  <w:style w:type="paragraph" w:customStyle="1" w:styleId="143">
    <w:name w:val="表头样式"/>
    <w:basedOn w:val="1"/>
    <w:qFormat/>
    <w:uiPriority w:val="0"/>
    <w:pPr>
      <w:autoSpaceDE w:val="0"/>
      <w:autoSpaceDN w:val="0"/>
      <w:adjustRightInd w:val="0"/>
      <w:spacing w:line="360" w:lineRule="auto"/>
      <w:jc w:val="left"/>
    </w:pPr>
    <w:rPr>
      <w:b/>
      <w:kern w:val="0"/>
      <w:sz w:val="21"/>
    </w:rPr>
  </w:style>
  <w:style w:type="paragraph" w:customStyle="1" w:styleId="144">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eastAsia="仿宋_GB2312"/>
      <w:kern w:val="0"/>
      <w:sz w:val="24"/>
    </w:rPr>
  </w:style>
  <w:style w:type="paragraph" w:customStyle="1" w:styleId="145">
    <w:name w:val="标题3——2"/>
    <w:basedOn w:val="4"/>
    <w:next w:val="57"/>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146">
    <w:name w:val="Char Char14 Char Char"/>
    <w:basedOn w:val="1"/>
    <w:qFormat/>
    <w:uiPriority w:val="0"/>
    <w:rPr>
      <w:sz w:val="21"/>
      <w:szCs w:val="24"/>
    </w:rPr>
  </w:style>
  <w:style w:type="paragraph" w:customStyle="1" w:styleId="147">
    <w:name w:val="1"/>
    <w:basedOn w:val="1"/>
    <w:next w:val="30"/>
    <w:qFormat/>
    <w:uiPriority w:val="0"/>
    <w:rPr>
      <w:rFonts w:ascii="宋体" w:hAnsi="Courier New"/>
      <w:sz w:val="21"/>
    </w:rPr>
  </w:style>
  <w:style w:type="paragraph" w:customStyle="1" w:styleId="148">
    <w:name w:val="标书正文:  0.74 厘米"/>
    <w:basedOn w:val="1"/>
    <w:qFormat/>
    <w:uiPriority w:val="0"/>
    <w:pPr>
      <w:snapToGrid w:val="0"/>
      <w:spacing w:line="360" w:lineRule="auto"/>
      <w:ind w:firstLine="420"/>
    </w:pPr>
    <w:rPr>
      <w:sz w:val="24"/>
    </w:rPr>
  </w:style>
  <w:style w:type="paragraph" w:customStyle="1" w:styleId="149">
    <w:name w:val="首行缩进"/>
    <w:basedOn w:val="1"/>
    <w:qFormat/>
    <w:uiPriority w:val="0"/>
    <w:pPr>
      <w:numPr>
        <w:ilvl w:val="0"/>
        <w:numId w:val="5"/>
      </w:numPr>
      <w:spacing w:line="360" w:lineRule="auto"/>
    </w:pPr>
    <w:rPr>
      <w:rFonts w:eastAsia="仿宋_GB2312"/>
    </w:rPr>
  </w:style>
  <w:style w:type="paragraph" w:customStyle="1" w:styleId="150">
    <w:name w:val="Char1"/>
    <w:basedOn w:val="1"/>
    <w:qFormat/>
    <w:uiPriority w:val="0"/>
    <w:rPr>
      <w:sz w:val="21"/>
    </w:rPr>
  </w:style>
  <w:style w:type="paragraph" w:customStyle="1" w:styleId="151">
    <w:name w:val="IN Feature"/>
    <w:next w:val="152"/>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152">
    <w:name w:val="IN Step"/>
    <w:basedOn w:val="1"/>
    <w:qFormat/>
    <w:uiPriority w:val="0"/>
    <w:pPr>
      <w:keepLines/>
      <w:widowControl/>
      <w:tabs>
        <w:tab w:val="left" w:pos="1134"/>
      </w:tabs>
      <w:spacing w:before="80" w:after="80" w:line="300" w:lineRule="auto"/>
      <w:ind w:left="1134" w:hanging="907"/>
      <w:outlineLvl w:val="8"/>
    </w:pPr>
    <w:rPr>
      <w:rFonts w:ascii="Arial" w:hAnsi="Arial"/>
      <w:kern w:val="0"/>
      <w:sz w:val="21"/>
    </w:rPr>
  </w:style>
  <w:style w:type="paragraph" w:customStyle="1" w:styleId="153">
    <w:name w:val="样式 宋体 五号 行距: 单倍行距"/>
    <w:basedOn w:val="1"/>
    <w:qFormat/>
    <w:uiPriority w:val="0"/>
    <w:pPr>
      <w:adjustRightInd w:val="0"/>
      <w:jc w:val="left"/>
    </w:pPr>
    <w:rPr>
      <w:rFonts w:ascii="宋体" w:hAnsi="宋体"/>
      <w:kern w:val="0"/>
      <w:sz w:val="21"/>
    </w:rPr>
  </w:style>
  <w:style w:type="paragraph" w:customStyle="1" w:styleId="154">
    <w:name w:val="Title - Revision"/>
    <w:basedOn w:val="55"/>
    <w:qFormat/>
    <w:uiPriority w:val="0"/>
    <w:pPr>
      <w:spacing w:before="720"/>
    </w:pPr>
  </w:style>
  <w:style w:type="paragraph" w:customStyle="1" w:styleId="155">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56">
    <w:name w:val="样式 正文首行缩进 2 + 首行缩进:  2 字符"/>
    <w:basedOn w:val="1"/>
    <w:qFormat/>
    <w:uiPriority w:val="0"/>
    <w:pPr>
      <w:numPr>
        <w:ilvl w:val="0"/>
        <w:numId w:val="6"/>
      </w:numPr>
      <w:adjustRightInd w:val="0"/>
      <w:snapToGrid w:val="0"/>
      <w:spacing w:line="360" w:lineRule="auto"/>
    </w:pPr>
    <w:rPr>
      <w:rFonts w:ascii="Arial" w:hAnsi="Arial"/>
      <w:b/>
      <w:sz w:val="24"/>
    </w:rPr>
  </w:style>
  <w:style w:type="paragraph" w:customStyle="1" w:styleId="157">
    <w:name w:val="操作步骤"/>
    <w:basedOn w:val="1"/>
    <w:qFormat/>
    <w:uiPriority w:val="0"/>
    <w:pPr>
      <w:numPr>
        <w:ilvl w:val="0"/>
        <w:numId w:val="7"/>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158">
    <w:name w:val="段落正文"/>
    <w:basedOn w:val="1"/>
    <w:qFormat/>
    <w:uiPriority w:val="0"/>
    <w:pPr>
      <w:spacing w:before="156" w:beforeLines="50" w:line="360" w:lineRule="auto"/>
      <w:ind w:firstLine="200" w:firstLineChars="200"/>
    </w:pPr>
    <w:rPr>
      <w:spacing w:val="2"/>
      <w:sz w:val="24"/>
    </w:rPr>
  </w:style>
  <w:style w:type="paragraph" w:customStyle="1" w:styleId="159">
    <w:name w:val="正文 + 三号"/>
    <w:basedOn w:val="1"/>
    <w:qFormat/>
    <w:uiPriority w:val="0"/>
    <w:rPr>
      <w:sz w:val="21"/>
    </w:rPr>
  </w:style>
  <w:style w:type="paragraph" w:customStyle="1" w:styleId="160">
    <w:name w:val="样式 样式 正文首行缩进 2 + 左  0 字符 + 首行缩进:  2.57 字符"/>
    <w:basedOn w:val="1"/>
    <w:next w:val="1"/>
    <w:qFormat/>
    <w:uiPriority w:val="0"/>
    <w:pPr>
      <w:adjustRightInd w:val="0"/>
      <w:snapToGrid w:val="0"/>
      <w:spacing w:after="120"/>
      <w:ind w:firstLine="540" w:firstLineChars="257"/>
    </w:pPr>
    <w:rPr>
      <w:sz w:val="21"/>
    </w:rPr>
  </w:style>
  <w:style w:type="paragraph" w:customStyle="1" w:styleId="161">
    <w:name w:val="样式2"/>
    <w:basedOn w:val="5"/>
    <w:qFormat/>
    <w:uiPriority w:val="0"/>
    <w:pPr>
      <w:numPr>
        <w:ilvl w:val="0"/>
        <w:numId w:val="8"/>
      </w:numPr>
      <w:spacing w:before="560" w:line="400" w:lineRule="exact"/>
      <w:jc w:val="center"/>
      <w:outlineLvl w:val="0"/>
    </w:pPr>
    <w:rPr>
      <w:b w:val="0"/>
      <w:sz w:val="44"/>
    </w:rPr>
  </w:style>
  <w:style w:type="paragraph" w:customStyle="1" w:styleId="162">
    <w:name w:val="文章正文"/>
    <w:basedOn w:val="1"/>
    <w:qFormat/>
    <w:uiPriority w:val="0"/>
    <w:pPr>
      <w:ind w:firstLine="560" w:firstLineChars="200"/>
    </w:pPr>
    <w:rPr>
      <w:rFonts w:ascii="仿宋_GB2312" w:hAnsi="宋体" w:eastAsia="仿宋_GB2312"/>
      <w:color w:val="000000"/>
    </w:rPr>
  </w:style>
  <w:style w:type="paragraph" w:customStyle="1" w:styleId="163">
    <w:name w:val="样式 标题 6第五层条 + 三号 段前: 0.5 行"/>
    <w:basedOn w:val="7"/>
    <w:qFormat/>
    <w:uiPriority w:val="0"/>
    <w:pPr>
      <w:widowControl/>
      <w:adjustRightInd/>
      <w:snapToGrid/>
      <w:spacing w:before="156" w:beforeLines="50"/>
      <w:jc w:val="left"/>
    </w:pPr>
    <w:rPr>
      <w:snapToGrid w:val="0"/>
      <w:kern w:val="24"/>
      <w:sz w:val="28"/>
    </w:rPr>
  </w:style>
  <w:style w:type="paragraph" w:customStyle="1" w:styleId="164">
    <w:name w:val="Char Char Char Char"/>
    <w:basedOn w:val="1"/>
    <w:qFormat/>
    <w:uiPriority w:val="0"/>
    <w:pPr>
      <w:pageBreakBefore/>
      <w:widowControl/>
      <w:spacing w:after="160" w:line="240" w:lineRule="exact"/>
      <w:jc w:val="left"/>
    </w:pPr>
    <w:rPr>
      <w:rFonts w:ascii="Verdana" w:hAnsi="Verdana"/>
      <w:kern w:val="0"/>
      <w:sz w:val="20"/>
      <w:lang w:eastAsia="en-US"/>
    </w:rPr>
  </w:style>
  <w:style w:type="paragraph" w:customStyle="1" w:styleId="165">
    <w:name w:val="没有缩进（为图形使用）"/>
    <w:basedOn w:val="1"/>
    <w:qFormat/>
    <w:uiPriority w:val="0"/>
    <w:pPr>
      <w:spacing w:before="120" w:after="120" w:line="360" w:lineRule="auto"/>
    </w:pPr>
    <w:rPr>
      <w:sz w:val="24"/>
    </w:rPr>
  </w:style>
  <w:style w:type="paragraph" w:customStyle="1" w:styleId="166">
    <w:name w:val="文本1"/>
    <w:basedOn w:val="1"/>
    <w:qFormat/>
    <w:uiPriority w:val="0"/>
    <w:pPr>
      <w:adjustRightInd w:val="0"/>
      <w:spacing w:line="312" w:lineRule="atLeast"/>
      <w:jc w:val="center"/>
      <w:textAlignment w:val="baseline"/>
    </w:pPr>
    <w:rPr>
      <w:kern w:val="0"/>
      <w:sz w:val="18"/>
    </w:rPr>
  </w:style>
  <w:style w:type="paragraph" w:customStyle="1" w:styleId="167">
    <w:name w:val="Char Char1 Char"/>
    <w:basedOn w:val="1"/>
    <w:qFormat/>
    <w:uiPriority w:val="0"/>
    <w:rPr>
      <w:rFonts w:ascii="Tahoma" w:hAnsi="Tahoma"/>
      <w:sz w:val="24"/>
      <w:szCs w:val="24"/>
    </w:rPr>
  </w:style>
  <w:style w:type="paragraph" w:customStyle="1" w:styleId="168">
    <w:name w:val="样式 仿宋_GB2312 首行缩进:  2 字符"/>
    <w:basedOn w:val="1"/>
    <w:qFormat/>
    <w:uiPriority w:val="0"/>
    <w:pPr>
      <w:spacing w:line="600" w:lineRule="exact"/>
      <w:ind w:firstLine="420" w:firstLineChars="150"/>
      <w:jc w:val="left"/>
    </w:pPr>
    <w:rPr>
      <w:rFonts w:ascii="仿宋_GB2312" w:hAnsi="Arial" w:eastAsia="仿宋_GB2312"/>
      <w:color w:val="000000"/>
      <w:kern w:val="0"/>
      <w:lang w:val="zh-CN"/>
    </w:rPr>
  </w:style>
  <w:style w:type="paragraph" w:customStyle="1" w:styleId="169">
    <w:name w:val="Char Char Char"/>
    <w:basedOn w:val="1"/>
    <w:qFormat/>
    <w:uiPriority w:val="0"/>
    <w:rPr>
      <w:rFonts w:ascii="Tahoma" w:hAnsi="Tahoma"/>
      <w:sz w:val="24"/>
    </w:rPr>
  </w:style>
  <w:style w:type="paragraph" w:customStyle="1" w:styleId="170">
    <w:name w:val="样式 首行缩进:  0.74 厘米"/>
    <w:basedOn w:val="1"/>
    <w:qFormat/>
    <w:uiPriority w:val="0"/>
    <w:pPr>
      <w:spacing w:line="360" w:lineRule="auto"/>
      <w:ind w:firstLine="420"/>
    </w:pPr>
    <w:rPr>
      <w:sz w:val="24"/>
    </w:rPr>
  </w:style>
  <w:style w:type="paragraph" w:customStyle="1" w:styleId="171">
    <w:name w:val="文本框样式1"/>
    <w:basedOn w:val="1"/>
    <w:qFormat/>
    <w:uiPriority w:val="0"/>
    <w:pPr>
      <w:adjustRightInd w:val="0"/>
      <w:snapToGrid w:val="0"/>
      <w:spacing w:before="60" w:line="180" w:lineRule="exact"/>
      <w:jc w:val="center"/>
    </w:pPr>
    <w:rPr>
      <w:sz w:val="21"/>
    </w:rPr>
  </w:style>
  <w:style w:type="paragraph" w:customStyle="1" w:styleId="172">
    <w:name w:val="Note"/>
    <w:basedOn w:val="1"/>
    <w:qFormat/>
    <w:uiPriority w:val="0"/>
    <w:pPr>
      <w:pBdr>
        <w:top w:val="single" w:color="auto" w:sz="12" w:space="3"/>
        <w:bottom w:val="single" w:color="auto" w:sz="12" w:space="3"/>
      </w:pBdr>
      <w:spacing w:line="360" w:lineRule="auto"/>
    </w:pPr>
    <w:rPr>
      <w:sz w:val="24"/>
    </w:rPr>
  </w:style>
  <w:style w:type="paragraph" w:customStyle="1" w:styleId="173">
    <w:name w:val="二级条标题"/>
    <w:basedOn w:val="174"/>
    <w:next w:val="111"/>
    <w:qFormat/>
    <w:uiPriority w:val="0"/>
    <w:pPr>
      <w:ind w:left="840"/>
      <w:outlineLvl w:val="3"/>
    </w:pPr>
  </w:style>
  <w:style w:type="paragraph" w:customStyle="1" w:styleId="174">
    <w:name w:val="一级条标题"/>
    <w:basedOn w:val="175"/>
    <w:next w:val="111"/>
    <w:qFormat/>
    <w:uiPriority w:val="0"/>
    <w:pPr>
      <w:numPr>
        <w:numId w:val="0"/>
      </w:numPr>
      <w:spacing w:before="0" w:beforeLines="0" w:after="0" w:afterLines="0"/>
      <w:ind w:left="525"/>
      <w:outlineLvl w:val="2"/>
    </w:pPr>
    <w:rPr>
      <w:sz w:val="21"/>
    </w:rPr>
  </w:style>
  <w:style w:type="paragraph" w:customStyle="1" w:styleId="175">
    <w:name w:val="章标题"/>
    <w:next w:val="1"/>
    <w:qFormat/>
    <w:uiPriority w:val="0"/>
    <w:pPr>
      <w:numPr>
        <w:ilvl w:val="1"/>
        <w:numId w:val="9"/>
      </w:numPr>
      <w:spacing w:before="156" w:beforeLines="50" w:after="156" w:afterLines="50"/>
      <w:ind w:left="0"/>
      <w:jc w:val="both"/>
      <w:outlineLvl w:val="1"/>
    </w:pPr>
    <w:rPr>
      <w:rFonts w:ascii="黑体" w:hAnsi="Times New Roman" w:eastAsia="黑体" w:cs="Times New Roman"/>
      <w:sz w:val="24"/>
      <w:lang w:val="en-US" w:eastAsia="zh-CN" w:bidi="ar-SA"/>
    </w:rPr>
  </w:style>
  <w:style w:type="paragraph" w:customStyle="1" w:styleId="176">
    <w:name w:val="正文4"/>
    <w:basedOn w:val="1"/>
    <w:qFormat/>
    <w:uiPriority w:val="0"/>
    <w:pPr>
      <w:tabs>
        <w:tab w:val="left" w:pos="1275"/>
      </w:tabs>
      <w:spacing w:before="60" w:after="60" w:line="360" w:lineRule="auto"/>
      <w:ind w:left="820" w:leftChars="400" w:hanging="705"/>
    </w:pPr>
    <w:rPr>
      <w:sz w:val="24"/>
    </w:rPr>
  </w:style>
  <w:style w:type="paragraph" w:customStyle="1" w:styleId="177">
    <w:name w:val="Char1 Char Char Char"/>
    <w:basedOn w:val="1"/>
    <w:qFormat/>
    <w:uiPriority w:val="0"/>
    <w:rPr>
      <w:rFonts w:ascii="Tahoma" w:hAnsi="Tahoma"/>
      <w:sz w:val="30"/>
    </w:rPr>
  </w:style>
  <w:style w:type="paragraph" w:customStyle="1" w:styleId="178">
    <w:name w:val="00"/>
    <w:basedOn w:val="1"/>
    <w:qFormat/>
    <w:uiPriority w:val="0"/>
    <w:pPr>
      <w:autoSpaceDE w:val="0"/>
      <w:autoSpaceDN w:val="0"/>
      <w:adjustRightInd w:val="0"/>
      <w:jc w:val="left"/>
    </w:pPr>
    <w:rPr>
      <w:rFonts w:ascii="黑体" w:eastAsia="黑体"/>
      <w:b/>
      <w:kern w:val="0"/>
      <w:sz w:val="20"/>
    </w:rPr>
  </w:style>
  <w:style w:type="paragraph" w:customStyle="1" w:styleId="179">
    <w:name w:val="Char Char1 Char Char Char Char Char Char Char Char Char Char Char Char Char Char"/>
    <w:basedOn w:val="1"/>
    <w:qFormat/>
    <w:uiPriority w:val="0"/>
    <w:pPr>
      <w:widowControl/>
      <w:spacing w:after="160" w:line="240" w:lineRule="exact"/>
      <w:jc w:val="left"/>
    </w:pPr>
    <w:rPr>
      <w:rFonts w:ascii="Verdana" w:hAnsi="Verdana"/>
      <w:kern w:val="0"/>
      <w:sz w:val="20"/>
      <w:lang w:eastAsia="en-US"/>
    </w:rPr>
  </w:style>
  <w:style w:type="paragraph" w:customStyle="1" w:styleId="180">
    <w:name w:val="样式 行距: 1.5 倍行距1"/>
    <w:basedOn w:val="1"/>
    <w:qFormat/>
    <w:uiPriority w:val="0"/>
    <w:pPr>
      <w:snapToGrid w:val="0"/>
    </w:pPr>
    <w:rPr>
      <w:sz w:val="21"/>
    </w:rPr>
  </w:style>
  <w:style w:type="paragraph" w:customStyle="1" w:styleId="181">
    <w:name w:val="样式4"/>
    <w:basedOn w:val="5"/>
    <w:qFormat/>
    <w:uiPriority w:val="0"/>
    <w:pPr>
      <w:adjustRightInd w:val="0"/>
      <w:snapToGrid w:val="0"/>
    </w:pPr>
  </w:style>
  <w:style w:type="paragraph" w:customStyle="1" w:styleId="182">
    <w:name w:val="可研正文"/>
    <w:basedOn w:val="22"/>
    <w:qFormat/>
    <w:uiPriority w:val="0"/>
    <w:pPr>
      <w:adjustRightInd w:val="0"/>
      <w:snapToGrid w:val="0"/>
      <w:spacing w:line="440" w:lineRule="exact"/>
      <w:ind w:firstLine="567"/>
    </w:pPr>
    <w:rPr>
      <w:sz w:val="28"/>
    </w:rPr>
  </w:style>
  <w:style w:type="paragraph" w:customStyle="1" w:styleId="183">
    <w:name w:val="缺省文本"/>
    <w:basedOn w:val="1"/>
    <w:qFormat/>
    <w:uiPriority w:val="0"/>
    <w:pPr>
      <w:tabs>
        <w:tab w:val="left" w:pos="1260"/>
      </w:tabs>
      <w:autoSpaceDE w:val="0"/>
      <w:autoSpaceDN w:val="0"/>
      <w:adjustRightInd w:val="0"/>
      <w:spacing w:line="360" w:lineRule="auto"/>
      <w:jc w:val="left"/>
    </w:pPr>
    <w:rPr>
      <w:kern w:val="0"/>
      <w:sz w:val="24"/>
    </w:rPr>
  </w:style>
  <w:style w:type="paragraph" w:customStyle="1" w:styleId="184">
    <w:name w:val="Char Char Char Char Char"/>
    <w:basedOn w:val="1"/>
    <w:qFormat/>
    <w:uiPriority w:val="0"/>
    <w:pPr>
      <w:numPr>
        <w:ilvl w:val="0"/>
        <w:numId w:val="10"/>
      </w:numPr>
      <w:tabs>
        <w:tab w:val="left" w:pos="425"/>
        <w:tab w:val="clear" w:pos="1620"/>
      </w:tabs>
    </w:pPr>
    <w:rPr>
      <w:rFonts w:ascii="Tahoma" w:hAnsi="Tahoma"/>
      <w:sz w:val="24"/>
    </w:rPr>
  </w:style>
  <w:style w:type="paragraph" w:customStyle="1" w:styleId="185">
    <w:name w:val="Char Char Char Char Char Char1 Char"/>
    <w:basedOn w:val="1"/>
    <w:qFormat/>
    <w:uiPriority w:val="0"/>
    <w:pPr>
      <w:widowControl/>
      <w:spacing w:after="160" w:line="240" w:lineRule="exact"/>
      <w:jc w:val="left"/>
    </w:pPr>
    <w:rPr>
      <w:rFonts w:ascii="Verdana" w:hAnsi="Verdana"/>
      <w:kern w:val="0"/>
      <w:sz w:val="21"/>
      <w:lang w:eastAsia="en-US"/>
    </w:rPr>
  </w:style>
  <w:style w:type="paragraph" w:customStyle="1" w:styleId="186">
    <w:name w:val="关键词"/>
    <w:basedOn w:val="1"/>
    <w:next w:val="1"/>
    <w:qFormat/>
    <w:uiPriority w:val="0"/>
    <w:pPr>
      <w:spacing w:line="360" w:lineRule="auto"/>
    </w:pPr>
    <w:rPr>
      <w:rFonts w:eastAsia="黑体"/>
      <w:sz w:val="20"/>
    </w:rPr>
  </w:style>
  <w:style w:type="paragraph" w:customStyle="1" w:styleId="187">
    <w:name w:val="_"/>
    <w:basedOn w:val="1"/>
    <w:qFormat/>
    <w:uiPriority w:val="0"/>
    <w:pPr>
      <w:adjustRightInd w:val="0"/>
      <w:spacing w:line="360" w:lineRule="auto"/>
      <w:ind w:left="480" w:firstLine="200" w:firstLineChars="200"/>
      <w:textAlignment w:val="baseline"/>
    </w:pPr>
    <w:rPr>
      <w:kern w:val="0"/>
      <w:sz w:val="24"/>
    </w:rPr>
  </w:style>
  <w:style w:type="paragraph" w:customStyle="1" w:styleId="188">
    <w:name w:val="文档正文 Char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89">
    <w:name w:val="简单回函地址"/>
    <w:basedOn w:val="1"/>
    <w:qFormat/>
    <w:uiPriority w:val="0"/>
    <w:pPr>
      <w:adjustRightInd w:val="0"/>
      <w:snapToGrid w:val="0"/>
      <w:spacing w:line="360" w:lineRule="auto"/>
    </w:pPr>
    <w:rPr>
      <w:sz w:val="24"/>
    </w:rPr>
  </w:style>
  <w:style w:type="paragraph" w:customStyle="1" w:styleId="190">
    <w:name w:val="xl23"/>
    <w:basedOn w:val="1"/>
    <w:qFormat/>
    <w:uiPriority w:val="0"/>
    <w:pPr>
      <w:widowControl/>
      <w:spacing w:before="100" w:beforeAutospacing="1" w:after="100" w:afterAutospacing="1" w:line="360" w:lineRule="auto"/>
      <w:textAlignment w:val="top"/>
    </w:pPr>
    <w:rPr>
      <w:kern w:val="0"/>
      <w:sz w:val="24"/>
    </w:rPr>
  </w:style>
  <w:style w:type="paragraph" w:customStyle="1" w:styleId="191">
    <w:name w:val="1.正文"/>
    <w:basedOn w:val="1"/>
    <w:qFormat/>
    <w:uiPriority w:val="0"/>
    <w:pPr>
      <w:spacing w:line="360" w:lineRule="auto"/>
      <w:ind w:left="540" w:leftChars="225" w:firstLine="540" w:firstLineChars="225"/>
    </w:pPr>
    <w:rPr>
      <w:sz w:val="24"/>
    </w:rPr>
  </w:style>
  <w:style w:type="paragraph" w:customStyle="1" w:styleId="192">
    <w:name w:val="Char2"/>
    <w:basedOn w:val="1"/>
    <w:qFormat/>
    <w:uiPriority w:val="0"/>
    <w:pPr>
      <w:spacing w:line="240" w:lineRule="atLeast"/>
      <w:ind w:left="420" w:firstLine="420"/>
    </w:pPr>
    <w:rPr>
      <w:kern w:val="0"/>
      <w:sz w:val="21"/>
    </w:rPr>
  </w:style>
  <w:style w:type="paragraph" w:customStyle="1" w:styleId="193">
    <w:name w:val="项目"/>
    <w:basedOn w:val="1"/>
    <w:qFormat/>
    <w:uiPriority w:val="0"/>
    <w:pPr>
      <w:tabs>
        <w:tab w:val="left" w:pos="1280"/>
      </w:tabs>
      <w:spacing w:before="120" w:after="120" w:line="360" w:lineRule="auto"/>
      <w:ind w:left="-7" w:firstLine="567"/>
      <w:jc w:val="left"/>
      <w:textAlignment w:val="baseline"/>
    </w:pPr>
    <w:rPr>
      <w:rFonts w:ascii="宋体"/>
      <w:kern w:val="0"/>
      <w:sz w:val="24"/>
    </w:rPr>
  </w:style>
  <w:style w:type="paragraph" w:customStyle="1" w:styleId="194">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195">
    <w:name w:val="Title - Date"/>
    <w:basedOn w:val="55"/>
    <w:next w:val="1"/>
    <w:qFormat/>
    <w:uiPriority w:val="0"/>
    <w:pPr>
      <w:spacing w:before="240" w:after="720"/>
    </w:pPr>
    <w:rPr>
      <w:sz w:val="28"/>
    </w:rPr>
  </w:style>
  <w:style w:type="paragraph" w:customStyle="1" w:styleId="196">
    <w:name w:val="编号正文"/>
    <w:basedOn w:val="197"/>
    <w:qFormat/>
    <w:uiPriority w:val="0"/>
    <w:pPr>
      <w:snapToGrid/>
      <w:spacing w:line="360" w:lineRule="auto"/>
      <w:ind w:left="1407" w:hanging="1047"/>
      <w:jc w:val="left"/>
    </w:pPr>
    <w:rPr>
      <w:rFonts w:eastAsia="仿宋_GB2312"/>
    </w:rPr>
  </w:style>
  <w:style w:type="paragraph" w:customStyle="1" w:styleId="197">
    <w:name w:val="文档正文"/>
    <w:basedOn w:val="1"/>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198">
    <w:name w:val="附录3"/>
    <w:basedOn w:val="1"/>
    <w:next w:val="1"/>
    <w:qFormat/>
    <w:uiPriority w:val="0"/>
    <w:pPr>
      <w:tabs>
        <w:tab w:val="left" w:pos="851"/>
      </w:tabs>
      <w:ind w:left="425" w:hanging="425"/>
      <w:outlineLvl w:val="2"/>
    </w:pPr>
    <w:rPr>
      <w:rFonts w:eastAsia="黑体"/>
      <w:b/>
      <w:sz w:val="32"/>
    </w:rPr>
  </w:style>
  <w:style w:type="paragraph" w:customStyle="1" w:styleId="199">
    <w:name w:val="Char1 Char Char Char1"/>
    <w:basedOn w:val="1"/>
    <w:qFormat/>
    <w:uiPriority w:val="0"/>
    <w:rPr>
      <w:rFonts w:ascii="Tahoma" w:hAnsi="Tahoma"/>
      <w:sz w:val="24"/>
    </w:rPr>
  </w:style>
  <w:style w:type="paragraph" w:customStyle="1" w:styleId="200">
    <w:name w:val="af"/>
    <w:basedOn w:val="1"/>
    <w:qFormat/>
    <w:uiPriority w:val="0"/>
    <w:pPr>
      <w:widowControl/>
      <w:spacing w:line="300" w:lineRule="atLeast"/>
      <w:jc w:val="left"/>
    </w:pPr>
    <w:rPr>
      <w:rFonts w:ascii="宋体" w:hAnsi="宋体"/>
      <w:kern w:val="0"/>
      <w:sz w:val="18"/>
    </w:rPr>
  </w:style>
  <w:style w:type="paragraph" w:customStyle="1" w:styleId="201">
    <w:name w:val="样式 正文缩进正文（首行缩进两字）表正文正文非缩进特点标题4段1 + 首行缩进:  2 字符"/>
    <w:basedOn w:val="15"/>
    <w:qFormat/>
    <w:uiPriority w:val="0"/>
    <w:pPr>
      <w:ind w:firstLine="480" w:firstLineChars="200"/>
    </w:pPr>
  </w:style>
  <w:style w:type="paragraph" w:customStyle="1" w:styleId="202">
    <w:name w:val="Table Description"/>
    <w:next w:val="1"/>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203">
    <w:name w:val="Style Heading 3h3Heading 3 - oldLevel 3 HeadH3level_3PIM 3se..."/>
    <w:basedOn w:val="4"/>
    <w:qFormat/>
    <w:uiPriority w:val="0"/>
    <w:pPr>
      <w:tabs>
        <w:tab w:val="left" w:pos="709"/>
        <w:tab w:val="left" w:pos="1620"/>
      </w:tabs>
      <w:ind w:left="1620" w:hanging="360"/>
    </w:pPr>
  </w:style>
  <w:style w:type="paragraph" w:customStyle="1" w:styleId="204">
    <w:name w:val="附录2"/>
    <w:basedOn w:val="1"/>
    <w:next w:val="1"/>
    <w:qFormat/>
    <w:uiPriority w:val="0"/>
    <w:pPr>
      <w:tabs>
        <w:tab w:val="left" w:pos="420"/>
        <w:tab w:val="left" w:pos="624"/>
      </w:tabs>
      <w:ind w:left="420" w:hanging="420"/>
      <w:outlineLvl w:val="1"/>
    </w:pPr>
    <w:rPr>
      <w:rFonts w:ascii="黑体" w:hAnsi="黑体" w:eastAsia="黑体"/>
      <w:b/>
      <w:sz w:val="32"/>
    </w:rPr>
  </w:style>
  <w:style w:type="paragraph" w:customStyle="1" w:styleId="205">
    <w:name w:val="Char Char Char Char Char Char Char"/>
    <w:basedOn w:val="17"/>
    <w:qFormat/>
    <w:uiPriority w:val="0"/>
    <w:rPr>
      <w:rFonts w:ascii="宋体" w:hAnsi="Tahoma"/>
    </w:rPr>
  </w:style>
  <w:style w:type="paragraph" w:customStyle="1" w:styleId="206">
    <w:name w:val="普通正文"/>
    <w:basedOn w:val="1"/>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207">
    <w:name w:val="文档正文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208">
    <w:name w:val="表头文本"/>
    <w:qFormat/>
    <w:uiPriority w:val="0"/>
    <w:pPr>
      <w:jc w:val="center"/>
    </w:pPr>
    <w:rPr>
      <w:rFonts w:ascii="Arial" w:hAnsi="Arial" w:eastAsia="宋体" w:cs="Times New Roman"/>
      <w:b/>
      <w:sz w:val="21"/>
      <w:lang w:val="en-US" w:eastAsia="zh-CN" w:bidi="ar-SA"/>
    </w:rPr>
  </w:style>
  <w:style w:type="paragraph" w:customStyle="1" w:styleId="209">
    <w:name w:val="tabletex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10">
    <w:name w:val="样式1"/>
    <w:basedOn w:val="5"/>
    <w:qFormat/>
    <w:uiPriority w:val="0"/>
    <w:pPr>
      <w:tabs>
        <w:tab w:val="left" w:pos="720"/>
      </w:tabs>
      <w:spacing w:before="500" w:after="260" w:line="560" w:lineRule="atLeast"/>
      <w:ind w:left="420" w:hanging="420"/>
    </w:pPr>
  </w:style>
  <w:style w:type="paragraph" w:customStyle="1" w:styleId="211">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b/>
      <w:i/>
      <w:sz w:val="24"/>
    </w:rPr>
  </w:style>
  <w:style w:type="paragraph" w:customStyle="1" w:styleId="212">
    <w:name w:val="正文字缩2字"/>
    <w:basedOn w:val="1"/>
    <w:qFormat/>
    <w:uiPriority w:val="0"/>
    <w:pPr>
      <w:spacing w:before="60" w:after="60" w:line="360" w:lineRule="auto"/>
      <w:ind w:left="200" w:leftChars="200" w:firstLine="200" w:firstLineChars="200"/>
    </w:pPr>
    <w:rPr>
      <w:sz w:val="24"/>
    </w:rPr>
  </w:style>
  <w:style w:type="paragraph" w:customStyle="1" w:styleId="213">
    <w:name w:val="样式 标题 1章标题Heading 0Section HeadPIM 1H1h11st levell11H1..."/>
    <w:basedOn w:val="2"/>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14">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215">
    <w:name w:val="表格内文字"/>
    <w:basedOn w:val="30"/>
    <w:qFormat/>
    <w:uiPriority w:val="0"/>
    <w:pPr>
      <w:adjustRightInd w:val="0"/>
    </w:pPr>
    <w:rPr>
      <w:color w:val="000000"/>
      <w:lang w:val="en-GB"/>
    </w:rPr>
  </w:style>
  <w:style w:type="paragraph" w:customStyle="1" w:styleId="216">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217">
    <w:name w:val="Char Char Char Char Char Char Char Char Char Char Char Char Char"/>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218">
    <w:name w:val="二级列表"/>
    <w:basedOn w:val="158"/>
    <w:next w:val="158"/>
    <w:qFormat/>
    <w:uiPriority w:val="0"/>
    <w:pPr>
      <w:tabs>
        <w:tab w:val="left" w:pos="2120"/>
      </w:tabs>
      <w:ind w:firstLine="0" w:firstLineChars="0"/>
    </w:pPr>
    <w:rPr>
      <w:b/>
    </w:rPr>
  </w:style>
  <w:style w:type="paragraph" w:customStyle="1" w:styleId="219">
    <w:name w:val="Char Char Char Char Char Char Char Char Char Char Char Char Char Char Char Char"/>
    <w:basedOn w:val="1"/>
    <w:qFormat/>
    <w:uiPriority w:val="0"/>
    <w:pPr>
      <w:tabs>
        <w:tab w:val="left" w:pos="360"/>
      </w:tabs>
    </w:pPr>
    <w:rPr>
      <w:sz w:val="24"/>
    </w:rPr>
  </w:style>
  <w:style w:type="paragraph" w:customStyle="1" w:styleId="220">
    <w:name w:val="Item Step in Table"/>
    <w:qFormat/>
    <w:uiPriority w:val="0"/>
    <w:pPr>
      <w:numPr>
        <w:ilvl w:val="0"/>
        <w:numId w:val="9"/>
      </w:numPr>
      <w:tabs>
        <w:tab w:val="left" w:pos="397"/>
      </w:tabs>
      <w:spacing w:before="40" w:after="40"/>
      <w:jc w:val="both"/>
    </w:pPr>
    <w:rPr>
      <w:rFonts w:ascii="Arial" w:hAnsi="Arial" w:eastAsia="宋体" w:cs="Times New Roman"/>
      <w:sz w:val="18"/>
      <w:lang w:val="en-US" w:eastAsia="zh-CN" w:bidi="ar-SA"/>
    </w:rPr>
  </w:style>
  <w:style w:type="paragraph" w:customStyle="1" w:styleId="221">
    <w:name w:val="标题无"/>
    <w:basedOn w:val="1"/>
    <w:qFormat/>
    <w:uiPriority w:val="0"/>
    <w:pPr>
      <w:spacing w:line="360" w:lineRule="auto"/>
    </w:pPr>
    <w:rPr>
      <w:sz w:val="24"/>
    </w:rPr>
  </w:style>
  <w:style w:type="paragraph" w:customStyle="1" w:styleId="222">
    <w:name w:val="Char Char1"/>
    <w:basedOn w:val="1"/>
    <w:qFormat/>
    <w:uiPriority w:val="0"/>
    <w:pPr>
      <w:widowControl/>
      <w:spacing w:after="160" w:line="240" w:lineRule="exact"/>
      <w:jc w:val="left"/>
    </w:pPr>
    <w:rPr>
      <w:rFonts w:ascii="Verdana" w:hAnsi="Verdana"/>
      <w:kern w:val="0"/>
      <w:sz w:val="20"/>
      <w:lang w:eastAsia="en-US"/>
    </w:rPr>
  </w:style>
  <w:style w:type="paragraph" w:customStyle="1" w:styleId="223">
    <w:name w:val="摘要"/>
    <w:basedOn w:val="1"/>
    <w:next w:val="3"/>
    <w:qFormat/>
    <w:uiPriority w:val="0"/>
    <w:pPr>
      <w:spacing w:line="360" w:lineRule="auto"/>
    </w:pPr>
    <w:rPr>
      <w:rFonts w:eastAsia="黑体"/>
      <w:sz w:val="20"/>
    </w:rPr>
  </w:style>
  <w:style w:type="paragraph" w:customStyle="1" w:styleId="224">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color w:val="000000"/>
      <w:kern w:val="0"/>
      <w:sz w:val="24"/>
    </w:rPr>
  </w:style>
  <w:style w:type="paragraph" w:customStyle="1" w:styleId="225">
    <w:name w:val="司法正文"/>
    <w:qFormat/>
    <w:uiPriority w:val="0"/>
    <w:pPr>
      <w:widowControl w:val="0"/>
      <w:ind w:firstLine="200" w:firstLineChars="200"/>
      <w:jc w:val="both"/>
    </w:pPr>
    <w:rPr>
      <w:rFonts w:ascii="Times New Roman" w:hAnsi="Times New Roman" w:eastAsia="仿宋_GB2312" w:cs="Times New Roman"/>
      <w:sz w:val="32"/>
      <w:lang w:val="en-US" w:eastAsia="zh-CN" w:bidi="ar-SA"/>
    </w:rPr>
  </w:style>
  <w:style w:type="paragraph" w:customStyle="1" w:styleId="226">
    <w:name w:val="标题2"/>
    <w:basedOn w:val="3"/>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27">
    <w:name w:val="样式1xz"/>
    <w:basedOn w:val="1"/>
    <w:qFormat/>
    <w:uiPriority w:val="0"/>
    <w:pPr>
      <w:tabs>
        <w:tab w:val="left" w:pos="1050"/>
        <w:tab w:val="right" w:leader="dot" w:pos="8296"/>
      </w:tabs>
    </w:pPr>
    <w:rPr>
      <w:caps/>
      <w:spacing w:val="20"/>
      <w:sz w:val="24"/>
    </w:rPr>
  </w:style>
  <w:style w:type="paragraph" w:customStyle="1" w:styleId="228">
    <w:name w:val="小标题 1"/>
    <w:basedOn w:val="1"/>
    <w:qFormat/>
    <w:uiPriority w:val="0"/>
    <w:pPr>
      <w:autoSpaceDE w:val="0"/>
      <w:autoSpaceDN w:val="0"/>
      <w:adjustRightInd w:val="0"/>
      <w:spacing w:line="360" w:lineRule="atLeast"/>
    </w:pPr>
    <w:rPr>
      <w:rFonts w:ascii="文鼎粗黑" w:eastAsia="文鼎粗黑"/>
      <w:kern w:val="0"/>
      <w:sz w:val="22"/>
    </w:rPr>
  </w:style>
  <w:style w:type="paragraph" w:customStyle="1" w:styleId="229">
    <w:name w:val="表号"/>
    <w:basedOn w:val="1"/>
    <w:qFormat/>
    <w:uiPriority w:val="0"/>
    <w:pPr>
      <w:numPr>
        <w:ilvl w:val="0"/>
        <w:numId w:val="11"/>
      </w:numPr>
      <w:tabs>
        <w:tab w:val="left" w:pos="648"/>
        <w:tab w:val="clear" w:pos="360"/>
      </w:tabs>
      <w:autoSpaceDE w:val="0"/>
      <w:autoSpaceDN w:val="0"/>
      <w:adjustRightInd w:val="0"/>
      <w:spacing w:before="210" w:after="210"/>
      <w:ind w:left="425" w:hanging="137"/>
      <w:jc w:val="center"/>
    </w:pPr>
    <w:rPr>
      <w:kern w:val="0"/>
      <w:sz w:val="21"/>
      <w:lang w:eastAsia="en-US"/>
    </w:rPr>
  </w:style>
  <w:style w:type="paragraph" w:customStyle="1" w:styleId="230">
    <w:name w:val="Char2 Char Char Char Char Char Char"/>
    <w:basedOn w:val="1"/>
    <w:qFormat/>
    <w:uiPriority w:val="0"/>
    <w:rPr>
      <w:rFonts w:ascii="仿宋_GB2312"/>
      <w:b/>
      <w:sz w:val="30"/>
    </w:rPr>
  </w:style>
  <w:style w:type="paragraph" w:customStyle="1" w:styleId="231">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232">
    <w:name w:val="Item List"/>
    <w:qFormat/>
    <w:uiPriority w:val="0"/>
    <w:pPr>
      <w:numPr>
        <w:ilvl w:val="0"/>
        <w:numId w:val="12"/>
      </w:numPr>
      <w:spacing w:line="300" w:lineRule="auto"/>
      <w:jc w:val="both"/>
    </w:pPr>
    <w:rPr>
      <w:rFonts w:ascii="Arial" w:hAnsi="Arial" w:eastAsia="宋体" w:cs="Times New Roman"/>
      <w:sz w:val="21"/>
      <w:lang w:val="en-US" w:eastAsia="zh-CN" w:bidi="ar-SA"/>
    </w:rPr>
  </w:style>
  <w:style w:type="paragraph" w:customStyle="1" w:styleId="233">
    <w:name w:val="样式 标题 1 + 居中 段前: 6 磅 段后: 6 磅 行距: 1.5 倍行距"/>
    <w:basedOn w:val="2"/>
    <w:qFormat/>
    <w:uiPriority w:val="0"/>
    <w:pPr>
      <w:keepLines/>
      <w:adjustRightInd w:val="0"/>
      <w:spacing w:before="120" w:after="120" w:line="360" w:lineRule="auto"/>
      <w:jc w:val="center"/>
    </w:pPr>
    <w:rPr>
      <w:rFonts w:ascii="Times New Roman"/>
      <w:b/>
      <w:kern w:val="44"/>
      <w:sz w:val="32"/>
    </w:rPr>
  </w:style>
  <w:style w:type="paragraph" w:customStyle="1" w:styleId="234">
    <w:name w:val="_Style 229"/>
    <w:qFormat/>
    <w:uiPriority w:val="0"/>
    <w:rPr>
      <w:rFonts w:ascii="Times New Roman" w:hAnsi="Times New Roman" w:eastAsia="宋体" w:cs="Times New Roman"/>
      <w:kern w:val="2"/>
      <w:sz w:val="21"/>
      <w:lang w:val="en-US" w:eastAsia="zh-CN" w:bidi="ar-SA"/>
    </w:rPr>
  </w:style>
  <w:style w:type="paragraph" w:customStyle="1" w:styleId="235">
    <w:name w:val="content"/>
    <w:basedOn w:val="1"/>
    <w:qFormat/>
    <w:uiPriority w:val="0"/>
    <w:pPr>
      <w:widowControl/>
      <w:spacing w:before="100" w:beforeAutospacing="1" w:after="100" w:afterAutospacing="1" w:line="280" w:lineRule="atLeast"/>
      <w:ind w:firstLine="375"/>
      <w:jc w:val="left"/>
    </w:pPr>
    <w:rPr>
      <w:rFonts w:ascii="宋体" w:hAnsi="宋体"/>
      <w:color w:val="000000"/>
      <w:kern w:val="0"/>
      <w:sz w:val="18"/>
    </w:rPr>
  </w:style>
  <w:style w:type="paragraph" w:customStyle="1" w:styleId="236">
    <w:name w:val="正文表格"/>
    <w:basedOn w:val="1"/>
    <w:qFormat/>
    <w:uiPriority w:val="0"/>
    <w:pPr>
      <w:adjustRightInd w:val="0"/>
      <w:spacing w:before="40" w:after="40"/>
    </w:pPr>
    <w:rPr>
      <w:sz w:val="24"/>
    </w:rPr>
  </w:style>
  <w:style w:type="paragraph" w:customStyle="1" w:styleId="237">
    <w:name w:val="正文1"/>
    <w:basedOn w:val="1"/>
    <w:qFormat/>
    <w:uiPriority w:val="0"/>
    <w:pPr>
      <w:spacing w:line="300" w:lineRule="auto"/>
      <w:ind w:firstLine="200" w:firstLineChars="200"/>
    </w:pPr>
    <w:rPr>
      <w:sz w:val="24"/>
    </w:rPr>
  </w:style>
  <w:style w:type="paragraph" w:customStyle="1" w:styleId="238">
    <w:name w:val="Char Char Char Char Char Char Char1"/>
    <w:basedOn w:val="1"/>
    <w:qFormat/>
    <w:uiPriority w:val="0"/>
    <w:rPr>
      <w:rFonts w:ascii="Tahoma" w:hAnsi="Tahoma"/>
      <w:sz w:val="24"/>
    </w:rPr>
  </w:style>
  <w:style w:type="paragraph" w:customStyle="1" w:styleId="239">
    <w:name w:val="附录4"/>
    <w:basedOn w:val="1"/>
    <w:next w:val="1"/>
    <w:qFormat/>
    <w:uiPriority w:val="0"/>
    <w:pPr>
      <w:widowControl/>
      <w:tabs>
        <w:tab w:val="left" w:pos="1134"/>
      </w:tabs>
      <w:spacing w:line="300" w:lineRule="auto"/>
      <w:ind w:left="1361" w:hanging="1361"/>
      <w:outlineLvl w:val="3"/>
    </w:pPr>
    <w:rPr>
      <w:rFonts w:ascii="Arial" w:hAnsi="Arial" w:eastAsia="黑体"/>
      <w:kern w:val="0"/>
    </w:rPr>
  </w:style>
  <w:style w:type="paragraph" w:customStyle="1" w:styleId="240">
    <w:name w:val="Char Char Char1 Char Char Char Char Char Char Char Char Char Char Char Char Char"/>
    <w:basedOn w:val="1"/>
    <w:qFormat/>
    <w:uiPriority w:val="0"/>
    <w:pPr>
      <w:widowControl/>
      <w:spacing w:after="160" w:line="240" w:lineRule="exact"/>
      <w:jc w:val="left"/>
    </w:pPr>
    <w:rPr>
      <w:rFonts w:ascii="Verdana" w:hAnsi="Verdana"/>
      <w:kern w:val="0"/>
      <w:sz w:val="18"/>
      <w:lang w:eastAsia="en-US"/>
    </w:rPr>
  </w:style>
  <w:style w:type="paragraph" w:customStyle="1" w:styleId="241">
    <w:name w:val="Other|1"/>
    <w:basedOn w:val="1"/>
    <w:qFormat/>
    <w:uiPriority w:val="0"/>
    <w:pPr>
      <w:spacing w:line="341" w:lineRule="auto"/>
      <w:ind w:firstLine="400"/>
    </w:pPr>
    <w:rPr>
      <w:rFonts w:ascii="宋体" w:hAnsi="宋体" w:cs="宋体"/>
      <w:sz w:val="20"/>
      <w:lang w:val="zh-TW" w:eastAsia="zh-TW" w:bidi="zh-TW"/>
    </w:rPr>
  </w:style>
  <w:style w:type="character" w:customStyle="1" w:styleId="242">
    <w:name w:val="NormalCharacter"/>
    <w:qFormat/>
    <w:uiPriority w:val="0"/>
  </w:style>
  <w:style w:type="character" w:customStyle="1" w:styleId="243">
    <w:name w:val="UserStyle_175"/>
    <w:qFormat/>
    <w:uiPriority w:val="0"/>
    <w:rPr>
      <w:rFonts w:ascii="宋体" w:hAnsi="宋体" w:eastAsia="宋体"/>
      <w:color w:val="000000"/>
      <w:sz w:val="20"/>
      <w:szCs w:val="20"/>
    </w:rPr>
  </w:style>
  <w:style w:type="paragraph" w:customStyle="1" w:styleId="244">
    <w:name w:val="Table Paragraph"/>
    <w:basedOn w:val="1"/>
    <w:qFormat/>
    <w:uiPriority w:val="1"/>
  </w:style>
  <w:style w:type="paragraph" w:customStyle="1" w:styleId="245">
    <w:name w:val="列表段落1"/>
    <w:basedOn w:val="1"/>
    <w:qFormat/>
    <w:uiPriority w:val="34"/>
    <w:pPr>
      <w:ind w:firstLine="420" w:firstLineChars="200"/>
    </w:pPr>
  </w:style>
  <w:style w:type="character" w:customStyle="1" w:styleId="246">
    <w:name w:val="标题 1 Char"/>
    <w:link w:val="2"/>
    <w:qFormat/>
    <w:uiPriority w:val="0"/>
    <w:rPr>
      <w:rFonts w:ascii="宋体"/>
    </w:rPr>
  </w:style>
  <w:style w:type="character" w:customStyle="1" w:styleId="247">
    <w:name w:val="color-green"/>
    <w:basedOn w:val="61"/>
    <w:qFormat/>
    <w:uiPriority w:val="0"/>
    <w:rPr>
      <w:color w:val="02B202"/>
      <w:sz w:val="15"/>
      <w:szCs w:val="15"/>
      <w:bdr w:val="single" w:color="02B202" w:sz="4" w:space="0"/>
      <w:shd w:val="clear" w:fill="FFFFFF"/>
    </w:rPr>
  </w:style>
  <w:style w:type="character" w:customStyle="1" w:styleId="248">
    <w:name w:val="color-blue"/>
    <w:basedOn w:val="61"/>
    <w:qFormat/>
    <w:uiPriority w:val="0"/>
    <w:rPr>
      <w:color w:val="2272DE"/>
      <w:sz w:val="15"/>
      <w:szCs w:val="15"/>
      <w:bdr w:val="single" w:color="2272DE" w:sz="4" w:space="0"/>
      <w:shd w:val="clear" w:fill="FFFFFF"/>
    </w:rPr>
  </w:style>
  <w:style w:type="character" w:customStyle="1" w:styleId="249">
    <w:name w:val="color-red"/>
    <w:basedOn w:val="61"/>
    <w:qFormat/>
    <w:uiPriority w:val="0"/>
    <w:rPr>
      <w:color w:val="FF6E40"/>
      <w:sz w:val="15"/>
      <w:szCs w:val="15"/>
      <w:bdr w:val="single" w:color="FF6E40" w:sz="4" w:space="0"/>
      <w:shd w:val="clear" w:fill="FFFFFF"/>
    </w:rPr>
  </w:style>
  <w:style w:type="character" w:customStyle="1" w:styleId="250">
    <w:name w:val="btn_xlxz"/>
    <w:basedOn w:val="61"/>
    <w:qFormat/>
    <w:uiPriority w:val="0"/>
  </w:style>
  <w:style w:type="character" w:customStyle="1" w:styleId="251">
    <w:name w:val="btn_xlxz1"/>
    <w:basedOn w:val="61"/>
    <w:uiPriority w:val="0"/>
  </w:style>
  <w:style w:type="character" w:customStyle="1" w:styleId="252">
    <w:name w:val="tit"/>
    <w:basedOn w:val="61"/>
    <w:qFormat/>
    <w:uiPriority w:val="0"/>
    <w:rPr>
      <w:color w:val="FFFFFF"/>
    </w:rPr>
  </w:style>
  <w:style w:type="character" w:customStyle="1" w:styleId="253">
    <w:name w:val="first-child"/>
    <w:basedOn w:val="61"/>
    <w:qFormat/>
    <w:uiPriority w:val="0"/>
  </w:style>
  <w:style w:type="paragraph" w:customStyle="1" w:styleId="254">
    <w:name w:val="_Style 253"/>
    <w:basedOn w:val="1"/>
    <w:next w:val="1"/>
    <w:qFormat/>
    <w:uiPriority w:val="0"/>
    <w:pPr>
      <w:pBdr>
        <w:bottom w:val="single" w:color="auto" w:sz="6" w:space="1"/>
      </w:pBdr>
      <w:jc w:val="center"/>
    </w:pPr>
    <w:rPr>
      <w:rFonts w:ascii="Arial" w:eastAsia="宋体"/>
      <w:vanish/>
      <w:sz w:val="16"/>
    </w:rPr>
  </w:style>
  <w:style w:type="paragraph" w:customStyle="1" w:styleId="255">
    <w:name w:val="_Style 254"/>
    <w:basedOn w:val="1"/>
    <w:next w:val="1"/>
    <w:qFormat/>
    <w:uiPriority w:val="0"/>
    <w:pPr>
      <w:pBdr>
        <w:top w:val="single" w:color="auto" w:sz="6" w:space="1"/>
      </w:pBdr>
      <w:jc w:val="center"/>
    </w:pPr>
    <w:rPr>
      <w:rFonts w:ascii="Arial" w:eastAsia="宋体"/>
      <w:vanish/>
      <w:sz w:val="16"/>
    </w:rPr>
  </w:style>
  <w:style w:type="paragraph" w:customStyle="1" w:styleId="256">
    <w:name w:val="z-正文"/>
    <w:basedOn w:val="1"/>
    <w:qFormat/>
    <w:uiPriority w:val="0"/>
    <w:pPr>
      <w:spacing w:beforeLines="50" w:line="360" w:lineRule="auto"/>
      <w:ind w:firstLine="200" w:firstLineChars="200"/>
    </w:pPr>
    <w:rPr>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767EBF-EC95-46B9-9593-E6516AF838A8}">
  <ds:schemaRefs/>
</ds:datastoreItem>
</file>

<file path=docProps/app.xml><?xml version="1.0" encoding="utf-8"?>
<Properties xmlns="http://schemas.openxmlformats.org/officeDocument/2006/extended-properties" xmlns:vt="http://schemas.openxmlformats.org/officeDocument/2006/docPropsVTypes">
  <Template>Normal</Template>
  <Manager>罗成</Manager>
  <Company>重庆市政府采购中心</Company>
  <Pages>164</Pages>
  <Words>1501</Words>
  <Characters>1653</Characters>
  <Lines>3165</Lines>
  <Paragraphs>2696</Paragraphs>
  <TotalTime>3</TotalTime>
  <ScaleCrop>false</ScaleCrop>
  <LinksUpToDate>false</LinksUpToDate>
  <CharactersWithSpaces>1844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2023-07-06T10:53:00Z</dcterms:created>
  <dc:creator>罗成</dc:creator>
  <cp:lastModifiedBy>邱亚</cp:lastModifiedBy>
  <cp:lastPrinted>2024-07-05T00:09:00Z</cp:lastPrinted>
  <dcterms:modified xsi:type="dcterms:W3CDTF">2025-06-27T11:58:43Z</dcterms:modified>
  <dc:title>竞争性磋商文件</dc:title>
  <cp:revision>378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7E72DA3DEBB042C1A55DFE0C691D2226_13</vt:lpwstr>
  </property>
  <property fmtid="{D5CDD505-2E9C-101B-9397-08002B2CF9AE}" pid="4" name="KSOTemplateDocerSaveRecord">
    <vt:lpwstr>eyJoZGlkIjoiYmQ3NjQxYmZmN2ZkODIxYWNiNTEzMzQyMTZmNzQ1MmMiLCJ1c2VySWQiOiIyNTE0ODkwODcifQ==</vt:lpwstr>
  </property>
</Properties>
</file>