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4A898D">
      <w:pPr>
        <w:jc w:val="center"/>
        <w:rPr>
          <w:rFonts w:ascii="宋体" w:hAnsi="宋体" w:cs="宋体"/>
          <w:color w:val="auto"/>
          <w:highlight w:val="none"/>
        </w:rPr>
      </w:pPr>
      <w:r>
        <w:rPr>
          <w:rFonts w:hint="eastAsia" w:ascii="宋体" w:hAnsi="宋体" w:cs="宋体"/>
          <w:color w:val="auto"/>
          <w:highlight w:val="none"/>
        </w:rPr>
        <w:t xml:space="preserve"> . </w:t>
      </w:r>
    </w:p>
    <w:p w14:paraId="57CA5A77">
      <w:pPr>
        <w:jc w:val="center"/>
        <w:rPr>
          <w:rFonts w:ascii="宋体" w:hAnsi="宋体" w:cs="宋体"/>
          <w:color w:val="auto"/>
          <w:highlight w:val="none"/>
        </w:rPr>
      </w:pPr>
    </w:p>
    <w:p w14:paraId="00C77827">
      <w:pPr>
        <w:jc w:val="center"/>
        <w:rPr>
          <w:rFonts w:ascii="宋体" w:hAnsi="宋体" w:cs="宋体"/>
          <w:color w:val="auto"/>
          <w:highlight w:val="none"/>
        </w:rPr>
      </w:pPr>
    </w:p>
    <w:p w14:paraId="258B58D4">
      <w:pPr>
        <w:jc w:val="center"/>
        <w:outlineLvl w:val="0"/>
        <w:rPr>
          <w:rFonts w:ascii="宋体" w:hAnsi="宋体" w:cs="宋体"/>
          <w:color w:val="auto"/>
          <w:spacing w:val="80"/>
          <w:sz w:val="112"/>
          <w:szCs w:val="112"/>
          <w:highlight w:val="none"/>
        </w:rPr>
      </w:pPr>
      <w:r>
        <w:rPr>
          <w:rFonts w:hint="eastAsia" w:ascii="宋体" w:hAnsi="宋体" w:cs="宋体"/>
          <w:color w:val="auto"/>
          <w:spacing w:val="80"/>
          <w:sz w:val="112"/>
          <w:szCs w:val="112"/>
          <w:highlight w:val="none"/>
        </w:rPr>
        <w:t>竞争性磋商</w:t>
      </w:r>
    </w:p>
    <w:p w14:paraId="544C16EA">
      <w:pPr>
        <w:jc w:val="center"/>
        <w:outlineLvl w:val="0"/>
        <w:rPr>
          <w:rFonts w:ascii="宋体" w:hAnsi="宋体" w:cs="宋体"/>
          <w:color w:val="auto"/>
          <w:spacing w:val="80"/>
          <w:sz w:val="112"/>
          <w:szCs w:val="112"/>
          <w:highlight w:val="none"/>
        </w:rPr>
      </w:pPr>
      <w:r>
        <w:rPr>
          <w:rFonts w:hint="eastAsia" w:ascii="宋体" w:hAnsi="宋体" w:cs="宋体"/>
          <w:color w:val="auto"/>
          <w:spacing w:val="80"/>
          <w:sz w:val="112"/>
          <w:szCs w:val="112"/>
          <w:highlight w:val="none"/>
        </w:rPr>
        <w:t>文件</w:t>
      </w:r>
    </w:p>
    <w:p w14:paraId="1FC01E9C">
      <w:pPr>
        <w:spacing w:line="700" w:lineRule="exact"/>
        <w:jc w:val="center"/>
        <w:rPr>
          <w:rFonts w:ascii="宋体" w:hAnsi="宋体" w:cs="宋体"/>
          <w:color w:val="auto"/>
          <w:sz w:val="32"/>
          <w:highlight w:val="none"/>
        </w:rPr>
      </w:pPr>
    </w:p>
    <w:p w14:paraId="2BD22CC5">
      <w:pPr>
        <w:spacing w:line="700" w:lineRule="exact"/>
        <w:jc w:val="center"/>
        <w:rPr>
          <w:rFonts w:ascii="宋体" w:hAnsi="宋体" w:cs="宋体"/>
          <w:color w:val="auto"/>
          <w:sz w:val="32"/>
          <w:highlight w:val="none"/>
        </w:rPr>
      </w:pPr>
    </w:p>
    <w:p w14:paraId="4479A207">
      <w:pPr>
        <w:spacing w:line="700" w:lineRule="exact"/>
        <w:rPr>
          <w:rFonts w:ascii="宋体" w:hAnsi="宋体" w:cs="宋体"/>
          <w:color w:val="auto"/>
          <w:sz w:val="32"/>
          <w:highlight w:val="none"/>
        </w:rPr>
      </w:pPr>
    </w:p>
    <w:p w14:paraId="63878B93">
      <w:pPr>
        <w:spacing w:line="700" w:lineRule="exact"/>
        <w:rPr>
          <w:rFonts w:ascii="宋体" w:hAnsi="宋体" w:cs="宋体"/>
          <w:color w:val="auto"/>
          <w:sz w:val="36"/>
          <w:szCs w:val="30"/>
          <w:highlight w:val="none"/>
        </w:rPr>
      </w:pPr>
      <w:r>
        <w:rPr>
          <w:rFonts w:hint="eastAsia" w:ascii="宋体" w:hAnsi="宋体" w:cs="宋体"/>
          <w:color w:val="auto"/>
          <w:sz w:val="36"/>
          <w:szCs w:val="30"/>
          <w:highlight w:val="none"/>
        </w:rPr>
        <w:t>项 目 号 ：WLZC-F-2025-118</w:t>
      </w:r>
    </w:p>
    <w:p w14:paraId="3F00D338">
      <w:pPr>
        <w:spacing w:line="700" w:lineRule="exact"/>
        <w:rPr>
          <w:rFonts w:ascii="宋体" w:hAnsi="宋体" w:cs="宋体"/>
          <w:color w:val="auto"/>
          <w:sz w:val="36"/>
          <w:szCs w:val="30"/>
          <w:highlight w:val="none"/>
        </w:rPr>
      </w:pPr>
      <w:r>
        <w:rPr>
          <w:rFonts w:hint="eastAsia" w:ascii="宋体" w:hAnsi="宋体" w:cs="宋体"/>
          <w:color w:val="auto"/>
          <w:sz w:val="36"/>
          <w:szCs w:val="30"/>
          <w:highlight w:val="none"/>
        </w:rPr>
        <w:t>项目执行编号：ZJZB-2025-16155</w:t>
      </w:r>
    </w:p>
    <w:p w14:paraId="36931BC0">
      <w:pPr>
        <w:spacing w:line="700" w:lineRule="exact"/>
        <w:rPr>
          <w:rFonts w:ascii="宋体" w:hAnsi="宋体" w:cs="宋体"/>
          <w:color w:val="auto"/>
          <w:sz w:val="36"/>
          <w:szCs w:val="30"/>
          <w:highlight w:val="none"/>
        </w:rPr>
      </w:pPr>
      <w:r>
        <w:rPr>
          <w:rFonts w:hint="eastAsia" w:ascii="宋体" w:hAnsi="宋体" w:cs="宋体"/>
          <w:color w:val="auto"/>
          <w:sz w:val="36"/>
          <w:szCs w:val="30"/>
          <w:highlight w:val="none"/>
        </w:rPr>
        <w:t>项 目 名 称 ：重庆文理学院食</w:t>
      </w:r>
      <w:r>
        <w:rPr>
          <w:rFonts w:hint="eastAsia" w:ascii="宋体" w:hAnsi="宋体" w:cs="宋体"/>
          <w:b w:val="0"/>
          <w:bCs w:val="0"/>
          <w:color w:val="auto"/>
          <w:sz w:val="36"/>
          <w:szCs w:val="30"/>
          <w:highlight w:val="none"/>
        </w:rPr>
        <w:t>堂委托</w:t>
      </w:r>
      <w:r>
        <w:rPr>
          <w:rFonts w:hint="eastAsia" w:ascii="宋体" w:hAnsi="宋体" w:eastAsia="宋体" w:cs="宋体"/>
          <w:b w:val="0"/>
          <w:bCs w:val="0"/>
          <w:color w:val="auto"/>
          <w:sz w:val="36"/>
          <w:szCs w:val="30"/>
          <w:highlight w:val="none"/>
        </w:rPr>
        <w:t>经营</w:t>
      </w:r>
      <w:r>
        <w:rPr>
          <w:rFonts w:hint="eastAsia" w:ascii="宋体" w:hAnsi="宋体" w:eastAsia="宋体" w:cs="宋体"/>
          <w:b w:val="0"/>
          <w:bCs w:val="0"/>
          <w:sz w:val="32"/>
          <w:szCs w:val="32"/>
          <w:highlight w:val="none"/>
        </w:rPr>
        <w:t>（第二</w:t>
      </w:r>
      <w:r>
        <w:rPr>
          <w:rFonts w:hint="eastAsia" w:ascii="宋体" w:hAnsi="宋体" w:eastAsia="宋体" w:cs="宋体"/>
          <w:b w:val="0"/>
          <w:bCs w:val="0"/>
          <w:sz w:val="32"/>
          <w:szCs w:val="32"/>
          <w:highlight w:val="none"/>
          <w:lang w:val="en-US" w:eastAsia="zh-CN"/>
        </w:rPr>
        <w:t>次</w:t>
      </w:r>
      <w:r>
        <w:rPr>
          <w:rFonts w:hint="eastAsia" w:ascii="宋体" w:hAnsi="宋体" w:eastAsia="宋体" w:cs="宋体"/>
          <w:b w:val="0"/>
          <w:bCs w:val="0"/>
          <w:sz w:val="32"/>
          <w:szCs w:val="32"/>
          <w:highlight w:val="none"/>
        </w:rPr>
        <w:t>）</w:t>
      </w:r>
    </w:p>
    <w:p w14:paraId="5AA2B866">
      <w:pPr>
        <w:spacing w:line="700" w:lineRule="exact"/>
        <w:ind w:firstLine="1749" w:firstLineChars="486"/>
        <w:rPr>
          <w:rFonts w:ascii="宋体" w:hAnsi="宋体" w:cs="宋体"/>
          <w:color w:val="auto"/>
          <w:sz w:val="36"/>
          <w:szCs w:val="30"/>
          <w:highlight w:val="none"/>
        </w:rPr>
      </w:pPr>
    </w:p>
    <w:p w14:paraId="4A9B8CF9">
      <w:pPr>
        <w:spacing w:line="700" w:lineRule="exact"/>
        <w:jc w:val="center"/>
        <w:rPr>
          <w:rFonts w:ascii="宋体" w:hAnsi="宋体" w:cs="宋体"/>
          <w:b/>
          <w:color w:val="auto"/>
          <w:sz w:val="30"/>
          <w:szCs w:val="30"/>
          <w:highlight w:val="none"/>
        </w:rPr>
      </w:pPr>
    </w:p>
    <w:p w14:paraId="77CA3BDD">
      <w:pPr>
        <w:spacing w:line="700" w:lineRule="exact"/>
        <w:jc w:val="center"/>
        <w:rPr>
          <w:rFonts w:ascii="宋体" w:hAnsi="宋体" w:cs="宋体"/>
          <w:b/>
          <w:color w:val="auto"/>
          <w:sz w:val="30"/>
          <w:szCs w:val="30"/>
          <w:highlight w:val="none"/>
        </w:rPr>
      </w:pPr>
    </w:p>
    <w:p w14:paraId="297FB866">
      <w:pPr>
        <w:spacing w:line="700" w:lineRule="exact"/>
        <w:ind w:firstLine="2160" w:firstLineChars="600"/>
        <w:rPr>
          <w:rFonts w:ascii="宋体" w:hAnsi="宋体" w:cs="宋体"/>
          <w:color w:val="auto"/>
          <w:sz w:val="48"/>
          <w:szCs w:val="32"/>
          <w:highlight w:val="none"/>
        </w:rPr>
      </w:pPr>
      <w:r>
        <w:rPr>
          <w:rFonts w:hint="eastAsia" w:ascii="宋体" w:hAnsi="宋体" w:cs="宋体"/>
          <w:color w:val="auto"/>
          <w:sz w:val="36"/>
          <w:szCs w:val="30"/>
          <w:highlight w:val="none"/>
        </w:rPr>
        <w:t>采 购 人：重庆文理学院</w:t>
      </w:r>
    </w:p>
    <w:p w14:paraId="0BDF1F8A">
      <w:pPr>
        <w:spacing w:line="700" w:lineRule="exact"/>
        <w:ind w:firstLine="2160" w:firstLineChars="600"/>
        <w:rPr>
          <w:rFonts w:ascii="宋体" w:hAnsi="宋体" w:cs="宋体"/>
          <w:color w:val="auto"/>
          <w:sz w:val="36"/>
          <w:szCs w:val="30"/>
          <w:highlight w:val="none"/>
        </w:rPr>
      </w:pPr>
      <w:r>
        <w:rPr>
          <w:rFonts w:hint="eastAsia" w:ascii="宋体" w:hAnsi="宋体" w:cs="宋体"/>
          <w:color w:val="auto"/>
          <w:sz w:val="36"/>
          <w:szCs w:val="30"/>
          <w:highlight w:val="none"/>
        </w:rPr>
        <w:t>采购代理机构：中捷通信有限公司</w:t>
      </w:r>
    </w:p>
    <w:p w14:paraId="34A9F76D">
      <w:pPr>
        <w:spacing w:line="700" w:lineRule="exact"/>
        <w:ind w:firstLine="3240" w:firstLineChars="900"/>
        <w:jc w:val="left"/>
        <w:rPr>
          <w:rFonts w:ascii="宋体" w:hAnsi="宋体" w:cs="宋体"/>
          <w:color w:val="auto"/>
          <w:sz w:val="36"/>
          <w:szCs w:val="30"/>
          <w:highlight w:val="none"/>
        </w:rPr>
      </w:pPr>
      <w:r>
        <w:rPr>
          <w:rFonts w:hint="eastAsia" w:ascii="宋体" w:hAnsi="宋体" w:cs="宋体"/>
          <w:color w:val="auto"/>
          <w:sz w:val="36"/>
          <w:szCs w:val="30"/>
          <w:highlight w:val="none"/>
        </w:rPr>
        <w:t>二〇二五年</w:t>
      </w:r>
      <w:r>
        <w:rPr>
          <w:rFonts w:hint="eastAsia" w:ascii="宋体" w:hAnsi="宋体" w:cs="宋体"/>
          <w:color w:val="auto"/>
          <w:sz w:val="36"/>
          <w:szCs w:val="30"/>
          <w:highlight w:val="none"/>
          <w:lang w:val="en-US" w:eastAsia="zh-CN"/>
        </w:rPr>
        <w:t>七</w:t>
      </w:r>
      <w:r>
        <w:rPr>
          <w:rFonts w:hint="eastAsia" w:ascii="宋体" w:hAnsi="宋体" w:cs="宋体"/>
          <w:color w:val="auto"/>
          <w:sz w:val="36"/>
          <w:szCs w:val="30"/>
          <w:highlight w:val="none"/>
        </w:rPr>
        <w:t>月</w:t>
      </w:r>
    </w:p>
    <w:p w14:paraId="1FB6A3E7">
      <w:pPr>
        <w:pStyle w:val="42"/>
        <w:rPr>
          <w:rFonts w:ascii="宋体" w:hAnsi="宋体" w:cs="宋体"/>
          <w:color w:val="auto"/>
          <w:sz w:val="36"/>
          <w:szCs w:val="36"/>
          <w:highlight w:val="none"/>
        </w:rPr>
      </w:pPr>
    </w:p>
    <w:p w14:paraId="426FDF0E">
      <w:pPr>
        <w:pStyle w:val="42"/>
        <w:rPr>
          <w:rFonts w:ascii="宋体" w:hAnsi="宋体" w:cs="宋体"/>
          <w:color w:val="auto"/>
          <w:sz w:val="36"/>
          <w:szCs w:val="36"/>
          <w:highlight w:val="none"/>
        </w:rPr>
      </w:pPr>
    </w:p>
    <w:p w14:paraId="2F139CB0">
      <w:pPr>
        <w:spacing w:line="720" w:lineRule="exact"/>
        <w:jc w:val="center"/>
        <w:outlineLvl w:val="0"/>
        <w:rPr>
          <w:rFonts w:ascii="宋体" w:hAnsi="宋体" w:cs="宋体"/>
          <w:color w:val="auto"/>
          <w:sz w:val="48"/>
          <w:szCs w:val="32"/>
          <w:highlight w:val="none"/>
        </w:rPr>
      </w:pPr>
    </w:p>
    <w:p w14:paraId="5E456C38">
      <w:pPr>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18CA5016">
      <w:pPr>
        <w:pStyle w:val="39"/>
        <w:tabs>
          <w:tab w:val="right" w:leader="dot" w:pos="9412"/>
        </w:tabs>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_Toc23847 </w:instrText>
      </w:r>
      <w:r>
        <w:rPr>
          <w:rFonts w:hint="eastAsia" w:ascii="宋体" w:hAnsi="宋体" w:cs="宋体"/>
          <w:szCs w:val="21"/>
          <w:highlight w:val="none"/>
        </w:rPr>
        <w:fldChar w:fldCharType="separate"/>
      </w:r>
      <w:r>
        <w:rPr>
          <w:rFonts w:hint="eastAsia"/>
          <w:szCs w:val="32"/>
          <w:highlight w:val="none"/>
        </w:rPr>
        <w:t>第一篇</w:t>
      </w:r>
      <w:r>
        <w:rPr>
          <w:szCs w:val="32"/>
          <w:highlight w:val="none"/>
        </w:rPr>
        <w:t xml:space="preserve">  </w:t>
      </w:r>
      <w:r>
        <w:rPr>
          <w:rFonts w:hint="eastAsia"/>
          <w:szCs w:val="32"/>
          <w:highlight w:val="none"/>
        </w:rPr>
        <w:t>采购邀请书</w:t>
      </w:r>
      <w:r>
        <w:tab/>
      </w:r>
      <w:r>
        <w:fldChar w:fldCharType="begin"/>
      </w:r>
      <w:r>
        <w:instrText xml:space="preserve"> PAGEREF _Toc23847 \h </w:instrText>
      </w:r>
      <w:r>
        <w:fldChar w:fldCharType="separate"/>
      </w:r>
      <w:r>
        <w:t>- 4 -</w:t>
      </w:r>
      <w:r>
        <w:fldChar w:fldCharType="end"/>
      </w:r>
      <w:r>
        <w:rPr>
          <w:rFonts w:hint="eastAsia" w:ascii="宋体" w:hAnsi="宋体" w:cs="宋体"/>
          <w:color w:val="auto"/>
          <w:szCs w:val="21"/>
          <w:highlight w:val="none"/>
        </w:rPr>
        <w:fldChar w:fldCharType="end"/>
      </w:r>
    </w:p>
    <w:p w14:paraId="50DA30F0">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_Toc21147 </w:instrText>
      </w:r>
      <w:r>
        <w:rPr>
          <w:rFonts w:hint="eastAsia" w:ascii="宋体" w:hAnsi="宋体" w:cs="宋体"/>
          <w:szCs w:val="21"/>
          <w:highlight w:val="none"/>
        </w:rPr>
        <w:fldChar w:fldCharType="separate"/>
      </w:r>
      <w:r>
        <w:rPr>
          <w:rFonts w:hint="eastAsia"/>
          <w:szCs w:val="28"/>
          <w:highlight w:val="none"/>
        </w:rPr>
        <w:t>一、竞争性磋商内容</w:t>
      </w:r>
      <w:r>
        <w:tab/>
      </w:r>
      <w:r>
        <w:fldChar w:fldCharType="begin"/>
      </w:r>
      <w:r>
        <w:instrText xml:space="preserve"> PAGEREF _Toc21147 \h </w:instrText>
      </w:r>
      <w:r>
        <w:fldChar w:fldCharType="separate"/>
      </w:r>
      <w:r>
        <w:t>- 4 -</w:t>
      </w:r>
      <w:r>
        <w:fldChar w:fldCharType="end"/>
      </w:r>
      <w:r>
        <w:rPr>
          <w:rFonts w:hint="eastAsia" w:ascii="宋体" w:hAnsi="宋体" w:cs="宋体"/>
          <w:color w:val="auto"/>
          <w:szCs w:val="21"/>
          <w:highlight w:val="none"/>
        </w:rPr>
        <w:fldChar w:fldCharType="end"/>
      </w:r>
    </w:p>
    <w:p w14:paraId="1C8F9C84">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_Toc27152 </w:instrText>
      </w:r>
      <w:r>
        <w:rPr>
          <w:rFonts w:hint="eastAsia" w:ascii="宋体" w:hAnsi="宋体" w:cs="宋体"/>
          <w:szCs w:val="21"/>
          <w:highlight w:val="none"/>
        </w:rPr>
        <w:fldChar w:fldCharType="separate"/>
      </w:r>
      <w:r>
        <w:rPr>
          <w:rFonts w:hint="eastAsia"/>
          <w:szCs w:val="28"/>
          <w:highlight w:val="none"/>
        </w:rPr>
        <w:t>二、供应商资格条件</w:t>
      </w:r>
      <w:r>
        <w:tab/>
      </w:r>
      <w:r>
        <w:fldChar w:fldCharType="begin"/>
      </w:r>
      <w:r>
        <w:instrText xml:space="preserve"> PAGEREF _Toc27152 \h </w:instrText>
      </w:r>
      <w:r>
        <w:fldChar w:fldCharType="separate"/>
      </w:r>
      <w:r>
        <w:t>- 4 -</w:t>
      </w:r>
      <w:r>
        <w:fldChar w:fldCharType="end"/>
      </w:r>
      <w:r>
        <w:rPr>
          <w:rFonts w:hint="eastAsia" w:ascii="宋体" w:hAnsi="宋体" w:cs="宋体"/>
          <w:color w:val="auto"/>
          <w:szCs w:val="21"/>
          <w:highlight w:val="none"/>
        </w:rPr>
        <w:fldChar w:fldCharType="end"/>
      </w:r>
    </w:p>
    <w:p w14:paraId="09594EB5">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_Toc25135 </w:instrText>
      </w:r>
      <w:r>
        <w:rPr>
          <w:rFonts w:hint="eastAsia" w:ascii="宋体" w:hAnsi="宋体" w:cs="宋体"/>
          <w:szCs w:val="21"/>
          <w:highlight w:val="none"/>
        </w:rPr>
        <w:fldChar w:fldCharType="separate"/>
      </w:r>
      <w:r>
        <w:rPr>
          <w:rFonts w:hint="eastAsia"/>
          <w:highlight w:val="none"/>
        </w:rPr>
        <w:t>三、磋商有关说明</w:t>
      </w:r>
      <w:r>
        <w:tab/>
      </w:r>
      <w:r>
        <w:fldChar w:fldCharType="begin"/>
      </w:r>
      <w:r>
        <w:instrText xml:space="preserve"> PAGEREF _Toc25135 \h </w:instrText>
      </w:r>
      <w:r>
        <w:fldChar w:fldCharType="separate"/>
      </w:r>
      <w:r>
        <w:t>- 4 -</w:t>
      </w:r>
      <w:r>
        <w:fldChar w:fldCharType="end"/>
      </w:r>
      <w:r>
        <w:rPr>
          <w:rFonts w:hint="eastAsia" w:ascii="宋体" w:hAnsi="宋体" w:cs="宋体"/>
          <w:color w:val="auto"/>
          <w:szCs w:val="21"/>
          <w:highlight w:val="none"/>
        </w:rPr>
        <w:fldChar w:fldCharType="end"/>
      </w:r>
    </w:p>
    <w:p w14:paraId="7D62150B">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_Toc3210 </w:instrText>
      </w:r>
      <w:r>
        <w:rPr>
          <w:rFonts w:hint="eastAsia" w:ascii="宋体" w:hAnsi="宋体" w:cs="宋体"/>
          <w:szCs w:val="21"/>
          <w:highlight w:val="none"/>
        </w:rPr>
        <w:fldChar w:fldCharType="separate"/>
      </w:r>
      <w:r>
        <w:rPr>
          <w:rFonts w:hint="eastAsia"/>
          <w:highlight w:val="none"/>
        </w:rPr>
        <w:t>四、磋商保证金</w:t>
      </w:r>
      <w:r>
        <w:tab/>
      </w:r>
      <w:r>
        <w:fldChar w:fldCharType="begin"/>
      </w:r>
      <w:r>
        <w:instrText xml:space="preserve"> PAGEREF _Toc3210 \h </w:instrText>
      </w:r>
      <w:r>
        <w:fldChar w:fldCharType="separate"/>
      </w:r>
      <w:r>
        <w:t>- 5 -</w:t>
      </w:r>
      <w:r>
        <w:fldChar w:fldCharType="end"/>
      </w:r>
      <w:r>
        <w:rPr>
          <w:rFonts w:hint="eastAsia" w:ascii="宋体" w:hAnsi="宋体" w:cs="宋体"/>
          <w:color w:val="auto"/>
          <w:szCs w:val="21"/>
          <w:highlight w:val="none"/>
        </w:rPr>
        <w:fldChar w:fldCharType="end"/>
      </w:r>
    </w:p>
    <w:p w14:paraId="3D01AB07">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_Toc10950 </w:instrText>
      </w:r>
      <w:r>
        <w:rPr>
          <w:rFonts w:hint="eastAsia" w:ascii="宋体" w:hAnsi="宋体" w:cs="宋体"/>
          <w:szCs w:val="21"/>
          <w:highlight w:val="none"/>
        </w:rPr>
        <w:fldChar w:fldCharType="separate"/>
      </w:r>
      <w:r>
        <w:rPr>
          <w:rFonts w:hint="eastAsia"/>
          <w:highlight w:val="none"/>
        </w:rPr>
        <w:t>五、其它有关规定</w:t>
      </w:r>
      <w:r>
        <w:tab/>
      </w:r>
      <w:r>
        <w:fldChar w:fldCharType="begin"/>
      </w:r>
      <w:r>
        <w:instrText xml:space="preserve"> PAGEREF _Toc10950 \h </w:instrText>
      </w:r>
      <w:r>
        <w:fldChar w:fldCharType="separate"/>
      </w:r>
      <w:r>
        <w:t>- 6 -</w:t>
      </w:r>
      <w:r>
        <w:fldChar w:fldCharType="end"/>
      </w:r>
      <w:r>
        <w:rPr>
          <w:rFonts w:hint="eastAsia" w:ascii="宋体" w:hAnsi="宋体" w:cs="宋体"/>
          <w:color w:val="auto"/>
          <w:szCs w:val="21"/>
          <w:highlight w:val="none"/>
        </w:rPr>
        <w:fldChar w:fldCharType="end"/>
      </w:r>
    </w:p>
    <w:p w14:paraId="27B03756">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_Toc14301 </w:instrText>
      </w:r>
      <w:r>
        <w:rPr>
          <w:rFonts w:hint="eastAsia" w:ascii="宋体" w:hAnsi="宋体" w:cs="宋体"/>
          <w:szCs w:val="21"/>
          <w:highlight w:val="none"/>
        </w:rPr>
        <w:fldChar w:fldCharType="separate"/>
      </w:r>
      <w:r>
        <w:rPr>
          <w:rFonts w:hint="eastAsia"/>
          <w:highlight w:val="none"/>
          <w:lang w:val="en-US" w:eastAsia="zh-CN"/>
        </w:rPr>
        <w:t>六</w:t>
      </w:r>
      <w:r>
        <w:rPr>
          <w:rFonts w:hint="eastAsia"/>
          <w:highlight w:val="none"/>
        </w:rPr>
        <w:t>、联系方式</w:t>
      </w:r>
      <w:r>
        <w:tab/>
      </w:r>
      <w:r>
        <w:fldChar w:fldCharType="begin"/>
      </w:r>
      <w:r>
        <w:instrText xml:space="preserve"> PAGEREF _Toc14301 \h </w:instrText>
      </w:r>
      <w:r>
        <w:fldChar w:fldCharType="separate"/>
      </w:r>
      <w:r>
        <w:t>- 7 -</w:t>
      </w:r>
      <w:r>
        <w:fldChar w:fldCharType="end"/>
      </w:r>
      <w:r>
        <w:rPr>
          <w:rFonts w:hint="eastAsia" w:ascii="宋体" w:hAnsi="宋体" w:cs="宋体"/>
          <w:color w:val="auto"/>
          <w:szCs w:val="21"/>
          <w:highlight w:val="none"/>
        </w:rPr>
        <w:fldChar w:fldCharType="end"/>
      </w:r>
    </w:p>
    <w:p w14:paraId="25AB06A0">
      <w:pPr>
        <w:pStyle w:val="39"/>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_Toc23077 </w:instrText>
      </w:r>
      <w:r>
        <w:rPr>
          <w:rFonts w:hint="eastAsia" w:ascii="宋体" w:hAnsi="宋体" w:cs="宋体"/>
          <w:szCs w:val="21"/>
          <w:highlight w:val="none"/>
        </w:rPr>
        <w:fldChar w:fldCharType="separate"/>
      </w:r>
      <w:r>
        <w:rPr>
          <w:rFonts w:hint="eastAsia"/>
          <w:szCs w:val="32"/>
          <w:highlight w:val="none"/>
        </w:rPr>
        <w:t>第二篇</w:t>
      </w:r>
      <w:r>
        <w:rPr>
          <w:szCs w:val="32"/>
          <w:highlight w:val="none"/>
        </w:rPr>
        <w:t xml:space="preserve">  </w:t>
      </w:r>
      <w:r>
        <w:rPr>
          <w:rFonts w:hint="eastAsia"/>
          <w:szCs w:val="32"/>
          <w:highlight w:val="none"/>
        </w:rPr>
        <w:t>采购服务需求</w:t>
      </w:r>
      <w:r>
        <w:tab/>
      </w:r>
      <w:r>
        <w:fldChar w:fldCharType="begin"/>
      </w:r>
      <w:r>
        <w:instrText xml:space="preserve"> PAGEREF _Toc23077 \h </w:instrText>
      </w:r>
      <w:r>
        <w:fldChar w:fldCharType="separate"/>
      </w:r>
      <w:r>
        <w:t>- 8 -</w:t>
      </w:r>
      <w:r>
        <w:fldChar w:fldCharType="end"/>
      </w:r>
      <w:r>
        <w:rPr>
          <w:rFonts w:hint="eastAsia" w:ascii="宋体" w:hAnsi="宋体" w:cs="宋体"/>
          <w:color w:val="auto"/>
          <w:szCs w:val="21"/>
          <w:highlight w:val="none"/>
        </w:rPr>
        <w:fldChar w:fldCharType="end"/>
      </w:r>
    </w:p>
    <w:p w14:paraId="0AD80B96">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_Toc21459 </w:instrText>
      </w:r>
      <w:r>
        <w:rPr>
          <w:rFonts w:hint="eastAsia" w:ascii="宋体" w:hAnsi="宋体" w:cs="宋体"/>
          <w:szCs w:val="21"/>
          <w:highlight w:val="none"/>
        </w:rPr>
        <w:fldChar w:fldCharType="separate"/>
      </w:r>
      <w:r>
        <w:rPr>
          <w:rFonts w:hint="eastAsia"/>
          <w:highlight w:val="none"/>
        </w:rPr>
        <w:t>一、项目基本概况介绍</w:t>
      </w:r>
      <w:r>
        <w:tab/>
      </w:r>
      <w:r>
        <w:fldChar w:fldCharType="begin"/>
      </w:r>
      <w:r>
        <w:instrText xml:space="preserve"> PAGEREF _Toc21459 \h </w:instrText>
      </w:r>
      <w:r>
        <w:fldChar w:fldCharType="separate"/>
      </w:r>
      <w:r>
        <w:t>- 8 -</w:t>
      </w:r>
      <w:r>
        <w:fldChar w:fldCharType="end"/>
      </w:r>
      <w:r>
        <w:rPr>
          <w:rFonts w:hint="eastAsia" w:ascii="宋体" w:hAnsi="宋体" w:cs="宋体"/>
          <w:color w:val="auto"/>
          <w:szCs w:val="21"/>
          <w:highlight w:val="none"/>
        </w:rPr>
        <w:fldChar w:fldCharType="end"/>
      </w:r>
    </w:p>
    <w:p w14:paraId="1602423B">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_Toc19875 </w:instrText>
      </w:r>
      <w:r>
        <w:rPr>
          <w:rFonts w:hint="eastAsia" w:ascii="宋体" w:hAnsi="宋体" w:cs="宋体"/>
          <w:szCs w:val="21"/>
          <w:highlight w:val="none"/>
        </w:rPr>
        <w:fldChar w:fldCharType="separate"/>
      </w:r>
      <w:r>
        <w:rPr>
          <w:rFonts w:hint="eastAsia"/>
          <w:highlight w:val="none"/>
        </w:rPr>
        <w:t>二、委托经营时间</w:t>
      </w:r>
      <w:r>
        <w:tab/>
      </w:r>
      <w:r>
        <w:fldChar w:fldCharType="begin"/>
      </w:r>
      <w:r>
        <w:instrText xml:space="preserve"> PAGEREF _Toc19875 \h </w:instrText>
      </w:r>
      <w:r>
        <w:fldChar w:fldCharType="separate"/>
      </w:r>
      <w:r>
        <w:t>- 8 -</w:t>
      </w:r>
      <w:r>
        <w:fldChar w:fldCharType="end"/>
      </w:r>
      <w:r>
        <w:rPr>
          <w:rFonts w:hint="eastAsia" w:ascii="宋体" w:hAnsi="宋体" w:cs="宋体"/>
          <w:color w:val="auto"/>
          <w:szCs w:val="21"/>
          <w:highlight w:val="none"/>
        </w:rPr>
        <w:fldChar w:fldCharType="end"/>
      </w:r>
    </w:p>
    <w:p w14:paraId="19783F16">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_Toc21079 </w:instrText>
      </w:r>
      <w:r>
        <w:rPr>
          <w:rFonts w:hint="eastAsia" w:ascii="宋体" w:hAnsi="宋体" w:cs="宋体"/>
          <w:szCs w:val="21"/>
          <w:highlight w:val="none"/>
        </w:rPr>
        <w:fldChar w:fldCharType="separate"/>
      </w:r>
      <w:r>
        <w:rPr>
          <w:rFonts w:hint="eastAsia"/>
          <w:highlight w:val="none"/>
        </w:rPr>
        <w:t>三、招标项目基本情况</w:t>
      </w:r>
      <w:r>
        <w:tab/>
      </w:r>
      <w:r>
        <w:fldChar w:fldCharType="begin"/>
      </w:r>
      <w:r>
        <w:instrText xml:space="preserve"> PAGEREF _Toc21079 \h </w:instrText>
      </w:r>
      <w:r>
        <w:fldChar w:fldCharType="separate"/>
      </w:r>
      <w:r>
        <w:t>- 8 -</w:t>
      </w:r>
      <w:r>
        <w:fldChar w:fldCharType="end"/>
      </w:r>
      <w:r>
        <w:rPr>
          <w:rFonts w:hint="eastAsia" w:ascii="宋体" w:hAnsi="宋体" w:cs="宋体"/>
          <w:color w:val="auto"/>
          <w:szCs w:val="21"/>
          <w:highlight w:val="none"/>
        </w:rPr>
        <w:fldChar w:fldCharType="end"/>
      </w:r>
    </w:p>
    <w:p w14:paraId="10A60300">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_Toc14787 </w:instrText>
      </w:r>
      <w:r>
        <w:rPr>
          <w:rFonts w:hint="eastAsia" w:ascii="宋体" w:hAnsi="宋体" w:cs="宋体"/>
          <w:szCs w:val="21"/>
          <w:highlight w:val="none"/>
        </w:rPr>
        <w:fldChar w:fldCharType="separate"/>
      </w:r>
      <w:r>
        <w:rPr>
          <w:highlight w:val="none"/>
        </w:rPr>
        <w:t>*</w:t>
      </w:r>
      <w:r>
        <w:rPr>
          <w:rFonts w:hint="eastAsia"/>
          <w:highlight w:val="none"/>
        </w:rPr>
        <w:t>四、招标项目服务需求</w:t>
      </w:r>
      <w:r>
        <w:tab/>
      </w:r>
      <w:r>
        <w:fldChar w:fldCharType="begin"/>
      </w:r>
      <w:r>
        <w:instrText xml:space="preserve"> PAGEREF _Toc14787 \h </w:instrText>
      </w:r>
      <w:r>
        <w:fldChar w:fldCharType="separate"/>
      </w:r>
      <w:r>
        <w:t>- 8 -</w:t>
      </w:r>
      <w:r>
        <w:fldChar w:fldCharType="end"/>
      </w:r>
      <w:r>
        <w:rPr>
          <w:rFonts w:hint="eastAsia" w:ascii="宋体" w:hAnsi="宋体" w:cs="宋体"/>
          <w:color w:val="auto"/>
          <w:szCs w:val="21"/>
          <w:highlight w:val="none"/>
        </w:rPr>
        <w:fldChar w:fldCharType="end"/>
      </w:r>
    </w:p>
    <w:p w14:paraId="3A1BB6E6">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_Toc32531 </w:instrText>
      </w:r>
      <w:r>
        <w:rPr>
          <w:rFonts w:hint="eastAsia" w:ascii="宋体" w:hAnsi="宋体" w:cs="宋体"/>
          <w:szCs w:val="21"/>
          <w:highlight w:val="none"/>
        </w:rPr>
        <w:fldChar w:fldCharType="separate"/>
      </w:r>
      <w:r>
        <w:rPr>
          <w:rFonts w:hint="eastAsia"/>
          <w:highlight w:val="none"/>
        </w:rPr>
        <w:t>（一）项目总体要求</w:t>
      </w:r>
      <w:r>
        <w:tab/>
      </w:r>
      <w:r>
        <w:fldChar w:fldCharType="begin"/>
      </w:r>
      <w:r>
        <w:instrText xml:space="preserve"> PAGEREF _Toc32531 \h </w:instrText>
      </w:r>
      <w:r>
        <w:fldChar w:fldCharType="separate"/>
      </w:r>
      <w:r>
        <w:t>- 8 -</w:t>
      </w:r>
      <w:r>
        <w:fldChar w:fldCharType="end"/>
      </w:r>
      <w:r>
        <w:rPr>
          <w:rFonts w:hint="eastAsia" w:ascii="宋体" w:hAnsi="宋体" w:cs="宋体"/>
          <w:color w:val="auto"/>
          <w:szCs w:val="21"/>
          <w:highlight w:val="none"/>
        </w:rPr>
        <w:fldChar w:fldCharType="end"/>
      </w:r>
    </w:p>
    <w:p w14:paraId="6ED61DA2">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_Toc26584 </w:instrText>
      </w:r>
      <w:r>
        <w:rPr>
          <w:rFonts w:hint="eastAsia" w:ascii="宋体" w:hAnsi="宋体" w:cs="宋体"/>
          <w:szCs w:val="21"/>
          <w:highlight w:val="none"/>
        </w:rPr>
        <w:fldChar w:fldCharType="separate"/>
      </w:r>
      <w:r>
        <w:rPr>
          <w:rFonts w:hint="eastAsia"/>
          <w:highlight w:val="none"/>
        </w:rPr>
        <w:t>（二）经营管理要求</w:t>
      </w:r>
      <w:r>
        <w:tab/>
      </w:r>
      <w:r>
        <w:fldChar w:fldCharType="begin"/>
      </w:r>
      <w:r>
        <w:instrText xml:space="preserve"> PAGEREF _Toc26584 \h </w:instrText>
      </w:r>
      <w:r>
        <w:fldChar w:fldCharType="separate"/>
      </w:r>
      <w:r>
        <w:t>- 10 -</w:t>
      </w:r>
      <w:r>
        <w:fldChar w:fldCharType="end"/>
      </w:r>
      <w:r>
        <w:rPr>
          <w:rFonts w:hint="eastAsia" w:ascii="宋体" w:hAnsi="宋体" w:cs="宋体"/>
          <w:color w:val="auto"/>
          <w:szCs w:val="21"/>
          <w:highlight w:val="none"/>
        </w:rPr>
        <w:fldChar w:fldCharType="end"/>
      </w:r>
    </w:p>
    <w:p w14:paraId="2DCEEE5A">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_Toc16669 </w:instrText>
      </w:r>
      <w:r>
        <w:rPr>
          <w:rFonts w:hint="eastAsia" w:ascii="宋体" w:hAnsi="宋体" w:cs="宋体"/>
          <w:szCs w:val="21"/>
          <w:highlight w:val="none"/>
        </w:rPr>
        <w:fldChar w:fldCharType="separate"/>
      </w:r>
      <w:r>
        <w:rPr>
          <w:rFonts w:hint="eastAsia"/>
          <w:highlight w:val="none"/>
        </w:rPr>
        <w:t>（三）食材要求</w:t>
      </w:r>
      <w:r>
        <w:tab/>
      </w:r>
      <w:r>
        <w:fldChar w:fldCharType="begin"/>
      </w:r>
      <w:r>
        <w:instrText xml:space="preserve"> PAGEREF _Toc16669 \h </w:instrText>
      </w:r>
      <w:r>
        <w:fldChar w:fldCharType="separate"/>
      </w:r>
      <w:r>
        <w:t>- 14 -</w:t>
      </w:r>
      <w:r>
        <w:fldChar w:fldCharType="end"/>
      </w:r>
      <w:r>
        <w:rPr>
          <w:rFonts w:hint="eastAsia" w:ascii="宋体" w:hAnsi="宋体" w:cs="宋体"/>
          <w:color w:val="auto"/>
          <w:szCs w:val="21"/>
          <w:highlight w:val="none"/>
        </w:rPr>
        <w:fldChar w:fldCharType="end"/>
      </w:r>
    </w:p>
    <w:p w14:paraId="6C25D501">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_Toc385 </w:instrText>
      </w:r>
      <w:r>
        <w:rPr>
          <w:rFonts w:hint="eastAsia" w:ascii="宋体" w:hAnsi="宋体" w:cs="宋体"/>
          <w:szCs w:val="21"/>
          <w:highlight w:val="none"/>
        </w:rPr>
        <w:fldChar w:fldCharType="separate"/>
      </w:r>
      <w:r>
        <w:rPr>
          <w:rFonts w:hint="eastAsia"/>
          <w:highlight w:val="none"/>
        </w:rPr>
        <w:t>（四）食堂消防安全要求</w:t>
      </w:r>
      <w:r>
        <w:tab/>
      </w:r>
      <w:r>
        <w:fldChar w:fldCharType="begin"/>
      </w:r>
      <w:r>
        <w:instrText xml:space="preserve"> PAGEREF _Toc385 \h </w:instrText>
      </w:r>
      <w:r>
        <w:fldChar w:fldCharType="separate"/>
      </w:r>
      <w:r>
        <w:t>- 15 -</w:t>
      </w:r>
      <w:r>
        <w:fldChar w:fldCharType="end"/>
      </w:r>
      <w:r>
        <w:rPr>
          <w:rFonts w:hint="eastAsia" w:ascii="宋体" w:hAnsi="宋体" w:cs="宋体"/>
          <w:color w:val="auto"/>
          <w:szCs w:val="21"/>
          <w:highlight w:val="none"/>
        </w:rPr>
        <w:fldChar w:fldCharType="end"/>
      </w:r>
    </w:p>
    <w:p w14:paraId="5A5B36AF">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_Toc1778 </w:instrText>
      </w:r>
      <w:r>
        <w:rPr>
          <w:rFonts w:hint="eastAsia" w:ascii="宋体" w:hAnsi="宋体" w:cs="宋体"/>
          <w:szCs w:val="21"/>
          <w:highlight w:val="none"/>
        </w:rPr>
        <w:fldChar w:fldCharType="separate"/>
      </w:r>
      <w:r>
        <w:rPr>
          <w:rFonts w:hint="eastAsia"/>
          <w:highlight w:val="none"/>
        </w:rPr>
        <w:t>（五）食堂服务育人要求</w:t>
      </w:r>
      <w:r>
        <w:tab/>
      </w:r>
      <w:r>
        <w:fldChar w:fldCharType="begin"/>
      </w:r>
      <w:r>
        <w:instrText xml:space="preserve"> PAGEREF _Toc1778 \h </w:instrText>
      </w:r>
      <w:r>
        <w:fldChar w:fldCharType="separate"/>
      </w:r>
      <w:r>
        <w:t>- 17 -</w:t>
      </w:r>
      <w:r>
        <w:fldChar w:fldCharType="end"/>
      </w:r>
      <w:r>
        <w:rPr>
          <w:rFonts w:hint="eastAsia" w:ascii="宋体" w:hAnsi="宋体" w:cs="宋体"/>
          <w:color w:val="auto"/>
          <w:szCs w:val="21"/>
          <w:highlight w:val="none"/>
        </w:rPr>
        <w:fldChar w:fldCharType="end"/>
      </w:r>
    </w:p>
    <w:p w14:paraId="27A779EC">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_Toc24888 </w:instrText>
      </w:r>
      <w:r>
        <w:rPr>
          <w:rFonts w:hint="eastAsia" w:ascii="宋体" w:hAnsi="宋体" w:cs="宋体"/>
          <w:szCs w:val="21"/>
          <w:highlight w:val="none"/>
        </w:rPr>
        <w:fldChar w:fldCharType="separate"/>
      </w:r>
      <w:r>
        <w:rPr>
          <w:rFonts w:hint="eastAsia"/>
          <w:highlight w:val="none"/>
        </w:rPr>
        <w:t>（六）招标项目环境改造要求</w:t>
      </w:r>
      <w:r>
        <w:tab/>
      </w:r>
      <w:r>
        <w:fldChar w:fldCharType="begin"/>
      </w:r>
      <w:r>
        <w:instrText xml:space="preserve"> PAGEREF _Toc24888 \h </w:instrText>
      </w:r>
      <w:r>
        <w:fldChar w:fldCharType="separate"/>
      </w:r>
      <w:r>
        <w:t>- 17 -</w:t>
      </w:r>
      <w:r>
        <w:fldChar w:fldCharType="end"/>
      </w:r>
      <w:r>
        <w:rPr>
          <w:rFonts w:hint="eastAsia" w:ascii="宋体" w:hAnsi="宋体" w:cs="宋体"/>
          <w:color w:val="auto"/>
          <w:szCs w:val="21"/>
          <w:highlight w:val="none"/>
        </w:rPr>
        <w:fldChar w:fldCharType="end"/>
      </w:r>
    </w:p>
    <w:p w14:paraId="6D449514">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_Toc5961 </w:instrText>
      </w:r>
      <w:r>
        <w:rPr>
          <w:rFonts w:hint="eastAsia" w:ascii="宋体" w:hAnsi="宋体" w:cs="宋体"/>
          <w:szCs w:val="21"/>
          <w:highlight w:val="none"/>
        </w:rPr>
        <w:fldChar w:fldCharType="separate"/>
      </w:r>
      <w:r>
        <w:rPr>
          <w:rFonts w:hint="eastAsia"/>
          <w:highlight w:val="none"/>
        </w:rPr>
        <w:t>（七）教工餐要求</w:t>
      </w:r>
      <w:r>
        <w:tab/>
      </w:r>
      <w:r>
        <w:fldChar w:fldCharType="begin"/>
      </w:r>
      <w:r>
        <w:instrText xml:space="preserve"> PAGEREF _Toc5961 \h </w:instrText>
      </w:r>
      <w:r>
        <w:fldChar w:fldCharType="separate"/>
      </w:r>
      <w:r>
        <w:t>- 21 -</w:t>
      </w:r>
      <w:r>
        <w:fldChar w:fldCharType="end"/>
      </w:r>
      <w:r>
        <w:rPr>
          <w:rFonts w:hint="eastAsia" w:ascii="宋体" w:hAnsi="宋体" w:cs="宋体"/>
          <w:color w:val="auto"/>
          <w:szCs w:val="21"/>
          <w:highlight w:val="none"/>
        </w:rPr>
        <w:fldChar w:fldCharType="end"/>
      </w:r>
    </w:p>
    <w:p w14:paraId="2CB6CF7A">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_Toc22617 </w:instrText>
      </w:r>
      <w:r>
        <w:rPr>
          <w:rFonts w:hint="eastAsia" w:ascii="宋体" w:hAnsi="宋体" w:cs="宋体"/>
          <w:szCs w:val="21"/>
          <w:highlight w:val="none"/>
        </w:rPr>
        <w:fldChar w:fldCharType="separate"/>
      </w:r>
      <w:r>
        <w:rPr>
          <w:highlight w:val="none"/>
        </w:rPr>
        <w:t>*</w:t>
      </w:r>
      <w:r>
        <w:rPr>
          <w:rFonts w:hint="eastAsia"/>
          <w:highlight w:val="none"/>
        </w:rPr>
        <w:t>五、数智食堂建设要求</w:t>
      </w:r>
      <w:r>
        <w:tab/>
      </w:r>
      <w:r>
        <w:fldChar w:fldCharType="begin"/>
      </w:r>
      <w:r>
        <w:instrText xml:space="preserve"> PAGEREF _Toc22617 \h </w:instrText>
      </w:r>
      <w:r>
        <w:fldChar w:fldCharType="separate"/>
      </w:r>
      <w:r>
        <w:t>- 21 -</w:t>
      </w:r>
      <w:r>
        <w:fldChar w:fldCharType="end"/>
      </w:r>
      <w:r>
        <w:rPr>
          <w:rFonts w:hint="eastAsia" w:ascii="宋体" w:hAnsi="宋体" w:cs="宋体"/>
          <w:color w:val="auto"/>
          <w:szCs w:val="21"/>
          <w:highlight w:val="none"/>
        </w:rPr>
        <w:fldChar w:fldCharType="end"/>
      </w:r>
    </w:p>
    <w:p w14:paraId="0084A181">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_Toc5515 </w:instrText>
      </w:r>
      <w:r>
        <w:rPr>
          <w:rFonts w:hint="eastAsia" w:ascii="宋体" w:hAnsi="宋体" w:cs="宋体"/>
          <w:szCs w:val="21"/>
          <w:highlight w:val="none"/>
        </w:rPr>
        <w:fldChar w:fldCharType="separate"/>
      </w:r>
      <w:r>
        <w:rPr>
          <w:highlight w:val="none"/>
        </w:rPr>
        <w:t>*</w:t>
      </w:r>
      <w:r>
        <w:rPr>
          <w:rFonts w:hint="eastAsia"/>
          <w:highlight w:val="none"/>
        </w:rPr>
        <w:t>六、项目管理班子要求</w:t>
      </w:r>
      <w:r>
        <w:tab/>
      </w:r>
      <w:r>
        <w:fldChar w:fldCharType="begin"/>
      </w:r>
      <w:r>
        <w:instrText xml:space="preserve"> PAGEREF _Toc5515 \h </w:instrText>
      </w:r>
      <w:r>
        <w:fldChar w:fldCharType="separate"/>
      </w:r>
      <w:r>
        <w:t>- 42 -</w:t>
      </w:r>
      <w:r>
        <w:fldChar w:fldCharType="end"/>
      </w:r>
      <w:r>
        <w:rPr>
          <w:rFonts w:hint="eastAsia" w:ascii="宋体" w:hAnsi="宋体" w:cs="宋体"/>
          <w:color w:val="auto"/>
          <w:szCs w:val="21"/>
          <w:highlight w:val="none"/>
        </w:rPr>
        <w:fldChar w:fldCharType="end"/>
      </w:r>
    </w:p>
    <w:p w14:paraId="2CB925D9">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_Toc16107 </w:instrText>
      </w:r>
      <w:r>
        <w:rPr>
          <w:rFonts w:hint="eastAsia" w:ascii="宋体" w:hAnsi="宋体" w:cs="宋体"/>
          <w:szCs w:val="21"/>
          <w:highlight w:val="none"/>
        </w:rPr>
        <w:fldChar w:fldCharType="separate"/>
      </w:r>
      <w:r>
        <w:rPr>
          <w:highlight w:val="none"/>
        </w:rPr>
        <w:t>*</w:t>
      </w:r>
      <w:r>
        <w:rPr>
          <w:rFonts w:hint="eastAsia"/>
          <w:highlight w:val="none"/>
        </w:rPr>
        <w:t>七、考核管理</w:t>
      </w:r>
      <w:r>
        <w:tab/>
      </w:r>
      <w:r>
        <w:fldChar w:fldCharType="begin"/>
      </w:r>
      <w:r>
        <w:instrText xml:space="preserve"> PAGEREF _Toc16107 \h </w:instrText>
      </w:r>
      <w:r>
        <w:fldChar w:fldCharType="separate"/>
      </w:r>
      <w:r>
        <w:t>- 42 -</w:t>
      </w:r>
      <w:r>
        <w:fldChar w:fldCharType="end"/>
      </w:r>
      <w:r>
        <w:rPr>
          <w:rFonts w:hint="eastAsia" w:ascii="宋体" w:hAnsi="宋体" w:cs="宋体"/>
          <w:color w:val="auto"/>
          <w:szCs w:val="21"/>
          <w:highlight w:val="none"/>
        </w:rPr>
        <w:fldChar w:fldCharType="end"/>
      </w:r>
    </w:p>
    <w:p w14:paraId="74EF73CD">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_Toc31092 </w:instrText>
      </w:r>
      <w:r>
        <w:rPr>
          <w:rFonts w:hint="eastAsia" w:ascii="宋体" w:hAnsi="宋体" w:cs="宋体"/>
          <w:szCs w:val="21"/>
          <w:highlight w:val="none"/>
        </w:rPr>
        <w:fldChar w:fldCharType="separate"/>
      </w:r>
      <w:r>
        <w:rPr>
          <w:highlight w:val="none"/>
        </w:rPr>
        <w:t>*</w:t>
      </w:r>
      <w:r>
        <w:rPr>
          <w:rFonts w:hint="eastAsia"/>
          <w:highlight w:val="none"/>
        </w:rPr>
        <w:t>八、特别要求</w:t>
      </w:r>
      <w:r>
        <w:tab/>
      </w:r>
      <w:r>
        <w:fldChar w:fldCharType="begin"/>
      </w:r>
      <w:r>
        <w:instrText xml:space="preserve"> PAGEREF _Toc31092 \h </w:instrText>
      </w:r>
      <w:r>
        <w:fldChar w:fldCharType="separate"/>
      </w:r>
      <w:r>
        <w:t>- 49 -</w:t>
      </w:r>
      <w:r>
        <w:fldChar w:fldCharType="end"/>
      </w:r>
      <w:r>
        <w:rPr>
          <w:rFonts w:hint="eastAsia" w:ascii="宋体" w:hAnsi="宋体" w:cs="宋体"/>
          <w:color w:val="auto"/>
          <w:szCs w:val="21"/>
          <w:highlight w:val="none"/>
        </w:rPr>
        <w:fldChar w:fldCharType="end"/>
      </w:r>
    </w:p>
    <w:p w14:paraId="4F6208CC">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_Toc19837 </w:instrText>
      </w:r>
      <w:r>
        <w:rPr>
          <w:rFonts w:hint="eastAsia" w:ascii="宋体" w:hAnsi="宋体" w:cs="宋体"/>
          <w:szCs w:val="21"/>
          <w:highlight w:val="none"/>
        </w:rPr>
        <w:fldChar w:fldCharType="separate"/>
      </w:r>
      <w:r>
        <w:rPr>
          <w:rFonts w:hint="eastAsia"/>
          <w:highlight w:val="none"/>
        </w:rPr>
        <w:t>九、现场查勘</w:t>
      </w:r>
      <w:r>
        <w:tab/>
      </w:r>
      <w:r>
        <w:fldChar w:fldCharType="begin"/>
      </w:r>
      <w:r>
        <w:instrText xml:space="preserve"> PAGEREF _Toc19837 \h </w:instrText>
      </w:r>
      <w:r>
        <w:fldChar w:fldCharType="separate"/>
      </w:r>
      <w:r>
        <w:t>- 49 -</w:t>
      </w:r>
      <w:r>
        <w:fldChar w:fldCharType="end"/>
      </w:r>
      <w:r>
        <w:rPr>
          <w:rFonts w:hint="eastAsia" w:ascii="宋体" w:hAnsi="宋体" w:cs="宋体"/>
          <w:color w:val="auto"/>
          <w:szCs w:val="21"/>
          <w:highlight w:val="none"/>
        </w:rPr>
        <w:fldChar w:fldCharType="end"/>
      </w:r>
    </w:p>
    <w:p w14:paraId="22EFF46F">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_Toc31466 </w:instrText>
      </w:r>
      <w:r>
        <w:rPr>
          <w:rFonts w:hint="eastAsia" w:ascii="宋体" w:hAnsi="宋体" w:cs="宋体"/>
          <w:szCs w:val="21"/>
          <w:highlight w:val="none"/>
        </w:rPr>
        <w:fldChar w:fldCharType="separate"/>
      </w:r>
      <w:r>
        <w:rPr>
          <w:rFonts w:hint="eastAsia"/>
          <w:highlight w:val="none"/>
        </w:rPr>
        <w:t>十、其他</w:t>
      </w:r>
      <w:r>
        <w:tab/>
      </w:r>
      <w:r>
        <w:fldChar w:fldCharType="begin"/>
      </w:r>
      <w:r>
        <w:instrText xml:space="preserve"> PAGEREF _Toc31466 \h </w:instrText>
      </w:r>
      <w:r>
        <w:fldChar w:fldCharType="separate"/>
      </w:r>
      <w:r>
        <w:t>- 49 -</w:t>
      </w:r>
      <w:r>
        <w:fldChar w:fldCharType="end"/>
      </w:r>
      <w:r>
        <w:rPr>
          <w:rFonts w:hint="eastAsia" w:ascii="宋体" w:hAnsi="宋体" w:cs="宋体"/>
          <w:color w:val="auto"/>
          <w:szCs w:val="21"/>
          <w:highlight w:val="none"/>
        </w:rPr>
        <w:fldChar w:fldCharType="end"/>
      </w:r>
    </w:p>
    <w:p w14:paraId="46DE09C0">
      <w:pPr>
        <w:pStyle w:val="39"/>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_Toc6327 </w:instrText>
      </w:r>
      <w:r>
        <w:rPr>
          <w:rFonts w:hint="eastAsia" w:ascii="宋体" w:hAnsi="宋体" w:cs="宋体"/>
          <w:szCs w:val="21"/>
          <w:highlight w:val="none"/>
        </w:rPr>
        <w:fldChar w:fldCharType="separate"/>
      </w:r>
      <w:r>
        <w:rPr>
          <w:rFonts w:hint="eastAsia"/>
          <w:bCs/>
          <w:szCs w:val="32"/>
          <w:highlight w:val="none"/>
        </w:rPr>
        <w:t>第三篇</w:t>
      </w:r>
      <w:r>
        <w:rPr>
          <w:bCs/>
          <w:szCs w:val="32"/>
          <w:highlight w:val="none"/>
        </w:rPr>
        <w:t xml:space="preserve">  </w:t>
      </w:r>
      <w:r>
        <w:rPr>
          <w:rFonts w:hint="eastAsia"/>
          <w:bCs/>
          <w:szCs w:val="32"/>
          <w:highlight w:val="none"/>
        </w:rPr>
        <w:t>采购商务需求</w:t>
      </w:r>
      <w:r>
        <w:tab/>
      </w:r>
      <w:r>
        <w:fldChar w:fldCharType="begin"/>
      </w:r>
      <w:r>
        <w:instrText xml:space="preserve"> PAGEREF _Toc6327 \h </w:instrText>
      </w:r>
      <w:r>
        <w:fldChar w:fldCharType="separate"/>
      </w:r>
      <w:r>
        <w:t>- 50 -</w:t>
      </w:r>
      <w:r>
        <w:fldChar w:fldCharType="end"/>
      </w:r>
      <w:r>
        <w:rPr>
          <w:rFonts w:hint="eastAsia" w:ascii="宋体" w:hAnsi="宋体" w:cs="宋体"/>
          <w:color w:val="auto"/>
          <w:szCs w:val="21"/>
          <w:highlight w:val="none"/>
        </w:rPr>
        <w:fldChar w:fldCharType="end"/>
      </w:r>
    </w:p>
    <w:p w14:paraId="13F8E8C5">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_Toc9474 </w:instrText>
      </w:r>
      <w:r>
        <w:rPr>
          <w:rFonts w:hint="eastAsia" w:ascii="宋体" w:hAnsi="宋体" w:cs="宋体"/>
          <w:szCs w:val="21"/>
          <w:highlight w:val="none"/>
        </w:rPr>
        <w:fldChar w:fldCharType="separate"/>
      </w:r>
      <w:r>
        <w:rPr>
          <w:rFonts w:hint="eastAsia"/>
          <w:szCs w:val="28"/>
          <w:highlight w:val="none"/>
        </w:rPr>
        <w:t>一、时间、地点要求，人员要求及验收方式</w:t>
      </w:r>
      <w:r>
        <w:tab/>
      </w:r>
      <w:r>
        <w:fldChar w:fldCharType="begin"/>
      </w:r>
      <w:r>
        <w:instrText xml:space="preserve"> PAGEREF _Toc9474 \h </w:instrText>
      </w:r>
      <w:r>
        <w:fldChar w:fldCharType="separate"/>
      </w:r>
      <w:r>
        <w:t>- 50 -</w:t>
      </w:r>
      <w:r>
        <w:fldChar w:fldCharType="end"/>
      </w:r>
      <w:r>
        <w:rPr>
          <w:rFonts w:hint="eastAsia" w:ascii="宋体" w:hAnsi="宋体" w:cs="宋体"/>
          <w:color w:val="auto"/>
          <w:szCs w:val="21"/>
          <w:highlight w:val="none"/>
        </w:rPr>
        <w:fldChar w:fldCharType="end"/>
      </w:r>
    </w:p>
    <w:p w14:paraId="238A0D31">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_Toc1854 </w:instrText>
      </w:r>
      <w:r>
        <w:rPr>
          <w:rFonts w:hint="eastAsia" w:ascii="宋体" w:hAnsi="宋体" w:cs="宋体"/>
          <w:szCs w:val="21"/>
          <w:highlight w:val="none"/>
        </w:rPr>
        <w:fldChar w:fldCharType="separate"/>
      </w:r>
      <w:r>
        <w:rPr>
          <w:rFonts w:hint="eastAsia"/>
          <w:szCs w:val="28"/>
          <w:highlight w:val="none"/>
        </w:rPr>
        <w:t>二、报价要求</w:t>
      </w:r>
      <w:r>
        <w:tab/>
      </w:r>
      <w:r>
        <w:fldChar w:fldCharType="begin"/>
      </w:r>
      <w:r>
        <w:instrText xml:space="preserve"> PAGEREF _Toc1854 \h </w:instrText>
      </w:r>
      <w:r>
        <w:fldChar w:fldCharType="separate"/>
      </w:r>
      <w:r>
        <w:t>- 50 -</w:t>
      </w:r>
      <w:r>
        <w:fldChar w:fldCharType="end"/>
      </w:r>
      <w:r>
        <w:rPr>
          <w:rFonts w:hint="eastAsia" w:ascii="宋体" w:hAnsi="宋体" w:cs="宋体"/>
          <w:color w:val="auto"/>
          <w:szCs w:val="21"/>
          <w:highlight w:val="none"/>
        </w:rPr>
        <w:fldChar w:fldCharType="end"/>
      </w:r>
    </w:p>
    <w:p w14:paraId="2064DED0">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_Toc25245 </w:instrText>
      </w:r>
      <w:r>
        <w:rPr>
          <w:rFonts w:hint="eastAsia" w:ascii="宋体" w:hAnsi="宋体" w:cs="宋体"/>
          <w:szCs w:val="21"/>
          <w:highlight w:val="none"/>
        </w:rPr>
        <w:fldChar w:fldCharType="separate"/>
      </w:r>
      <w:r>
        <w:rPr>
          <w:highlight w:val="none"/>
        </w:rPr>
        <w:t>*</w:t>
      </w:r>
      <w:r>
        <w:rPr>
          <w:rFonts w:hint="eastAsia"/>
          <w:szCs w:val="28"/>
          <w:highlight w:val="none"/>
        </w:rPr>
        <w:t>三、履约保证金</w:t>
      </w:r>
      <w:r>
        <w:tab/>
      </w:r>
      <w:r>
        <w:fldChar w:fldCharType="begin"/>
      </w:r>
      <w:r>
        <w:instrText xml:space="preserve"> PAGEREF _Toc25245 \h </w:instrText>
      </w:r>
      <w:r>
        <w:fldChar w:fldCharType="separate"/>
      </w:r>
      <w:r>
        <w:t>- 50 -</w:t>
      </w:r>
      <w:r>
        <w:fldChar w:fldCharType="end"/>
      </w:r>
      <w:r>
        <w:rPr>
          <w:rFonts w:hint="eastAsia" w:ascii="宋体" w:hAnsi="宋体" w:cs="宋体"/>
          <w:color w:val="auto"/>
          <w:szCs w:val="21"/>
          <w:highlight w:val="none"/>
        </w:rPr>
        <w:fldChar w:fldCharType="end"/>
      </w:r>
    </w:p>
    <w:p w14:paraId="77268D60">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_Toc17402 </w:instrText>
      </w:r>
      <w:r>
        <w:rPr>
          <w:rFonts w:hint="eastAsia" w:ascii="宋体" w:hAnsi="宋体" w:cs="宋体"/>
          <w:szCs w:val="21"/>
          <w:highlight w:val="none"/>
        </w:rPr>
        <w:fldChar w:fldCharType="separate"/>
      </w:r>
      <w:r>
        <w:rPr>
          <w:highlight w:val="none"/>
        </w:rPr>
        <w:t>*</w:t>
      </w:r>
      <w:r>
        <w:rPr>
          <w:rFonts w:hint="eastAsia"/>
          <w:szCs w:val="28"/>
          <w:highlight w:val="none"/>
        </w:rPr>
        <w:t>四、费用结算及支付</w:t>
      </w:r>
      <w:r>
        <w:tab/>
      </w:r>
      <w:r>
        <w:fldChar w:fldCharType="begin"/>
      </w:r>
      <w:r>
        <w:instrText xml:space="preserve"> PAGEREF _Toc17402 \h </w:instrText>
      </w:r>
      <w:r>
        <w:fldChar w:fldCharType="separate"/>
      </w:r>
      <w:r>
        <w:t>- 50 -</w:t>
      </w:r>
      <w:r>
        <w:fldChar w:fldCharType="end"/>
      </w:r>
      <w:r>
        <w:rPr>
          <w:rFonts w:hint="eastAsia" w:ascii="宋体" w:hAnsi="宋体" w:cs="宋体"/>
          <w:color w:val="auto"/>
          <w:szCs w:val="21"/>
          <w:highlight w:val="none"/>
        </w:rPr>
        <w:fldChar w:fldCharType="end"/>
      </w:r>
    </w:p>
    <w:p w14:paraId="163A6364">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_Toc6250 </w:instrText>
      </w:r>
      <w:r>
        <w:rPr>
          <w:rFonts w:hint="eastAsia" w:ascii="宋体" w:hAnsi="宋体" w:cs="宋体"/>
          <w:szCs w:val="21"/>
          <w:highlight w:val="none"/>
        </w:rPr>
        <w:fldChar w:fldCharType="separate"/>
      </w:r>
      <w:r>
        <w:rPr>
          <w:highlight w:val="none"/>
        </w:rPr>
        <w:t>*</w:t>
      </w:r>
      <w:r>
        <w:rPr>
          <w:rFonts w:hint="eastAsia"/>
          <w:szCs w:val="28"/>
          <w:highlight w:val="none"/>
        </w:rPr>
        <w:t>五、知识产权</w:t>
      </w:r>
      <w:r>
        <w:tab/>
      </w:r>
      <w:r>
        <w:fldChar w:fldCharType="begin"/>
      </w:r>
      <w:r>
        <w:instrText xml:space="preserve"> PAGEREF _Toc6250 \h </w:instrText>
      </w:r>
      <w:r>
        <w:fldChar w:fldCharType="separate"/>
      </w:r>
      <w:r>
        <w:t>- 51 -</w:t>
      </w:r>
      <w:r>
        <w:fldChar w:fldCharType="end"/>
      </w:r>
      <w:r>
        <w:rPr>
          <w:rFonts w:hint="eastAsia" w:ascii="宋体" w:hAnsi="宋体" w:cs="宋体"/>
          <w:color w:val="auto"/>
          <w:szCs w:val="21"/>
          <w:highlight w:val="none"/>
        </w:rPr>
        <w:fldChar w:fldCharType="end"/>
      </w:r>
    </w:p>
    <w:p w14:paraId="4B528366">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_Toc30899 </w:instrText>
      </w:r>
      <w:r>
        <w:rPr>
          <w:rFonts w:hint="eastAsia" w:ascii="宋体" w:hAnsi="宋体" w:cs="宋体"/>
          <w:szCs w:val="21"/>
          <w:highlight w:val="none"/>
        </w:rPr>
        <w:fldChar w:fldCharType="separate"/>
      </w:r>
      <w:r>
        <w:rPr>
          <w:highlight w:val="none"/>
        </w:rPr>
        <w:t>*</w:t>
      </w:r>
      <w:r>
        <w:rPr>
          <w:rFonts w:hint="eastAsia"/>
          <w:szCs w:val="28"/>
          <w:highlight w:val="none"/>
        </w:rPr>
        <w:t>六、退出机制</w:t>
      </w:r>
      <w:r>
        <w:tab/>
      </w:r>
      <w:r>
        <w:fldChar w:fldCharType="begin"/>
      </w:r>
      <w:r>
        <w:instrText xml:space="preserve"> PAGEREF _Toc30899 \h </w:instrText>
      </w:r>
      <w:r>
        <w:fldChar w:fldCharType="separate"/>
      </w:r>
      <w:r>
        <w:t>- 51 -</w:t>
      </w:r>
      <w:r>
        <w:fldChar w:fldCharType="end"/>
      </w:r>
      <w:r>
        <w:rPr>
          <w:rFonts w:hint="eastAsia" w:ascii="宋体" w:hAnsi="宋体" w:cs="宋体"/>
          <w:color w:val="auto"/>
          <w:szCs w:val="21"/>
          <w:highlight w:val="none"/>
        </w:rPr>
        <w:fldChar w:fldCharType="end"/>
      </w:r>
    </w:p>
    <w:p w14:paraId="33462BFC">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_Toc10623 </w:instrText>
      </w:r>
      <w:r>
        <w:rPr>
          <w:rFonts w:hint="eastAsia" w:ascii="宋体" w:hAnsi="宋体" w:cs="宋体"/>
          <w:szCs w:val="21"/>
          <w:highlight w:val="none"/>
        </w:rPr>
        <w:fldChar w:fldCharType="separate"/>
      </w:r>
      <w:r>
        <w:rPr>
          <w:highlight w:val="none"/>
        </w:rPr>
        <w:t>*</w:t>
      </w:r>
      <w:r>
        <w:rPr>
          <w:rFonts w:hint="eastAsia"/>
          <w:szCs w:val="28"/>
          <w:highlight w:val="none"/>
        </w:rPr>
        <w:t>七、违约责任</w:t>
      </w:r>
      <w:r>
        <w:tab/>
      </w:r>
      <w:r>
        <w:fldChar w:fldCharType="begin"/>
      </w:r>
      <w:r>
        <w:instrText xml:space="preserve"> PAGEREF _Toc10623 \h </w:instrText>
      </w:r>
      <w:r>
        <w:fldChar w:fldCharType="separate"/>
      </w:r>
      <w:r>
        <w:t>- 52 -</w:t>
      </w:r>
      <w:r>
        <w:fldChar w:fldCharType="end"/>
      </w:r>
      <w:r>
        <w:rPr>
          <w:rFonts w:hint="eastAsia" w:ascii="宋体" w:hAnsi="宋体" w:cs="宋体"/>
          <w:color w:val="auto"/>
          <w:szCs w:val="21"/>
          <w:highlight w:val="none"/>
        </w:rPr>
        <w:fldChar w:fldCharType="end"/>
      </w:r>
    </w:p>
    <w:p w14:paraId="7B75000F">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_Toc8915 </w:instrText>
      </w:r>
      <w:r>
        <w:rPr>
          <w:rFonts w:hint="eastAsia" w:ascii="宋体" w:hAnsi="宋体" w:cs="宋体"/>
          <w:szCs w:val="21"/>
          <w:highlight w:val="none"/>
        </w:rPr>
        <w:fldChar w:fldCharType="separate"/>
      </w:r>
      <w:r>
        <w:rPr>
          <w:rFonts w:hint="eastAsia"/>
          <w:szCs w:val="28"/>
          <w:highlight w:val="none"/>
        </w:rPr>
        <w:t>八、保密</w:t>
      </w:r>
      <w:r>
        <w:tab/>
      </w:r>
      <w:r>
        <w:fldChar w:fldCharType="begin"/>
      </w:r>
      <w:r>
        <w:instrText xml:space="preserve"> PAGEREF _Toc8915 \h </w:instrText>
      </w:r>
      <w:r>
        <w:fldChar w:fldCharType="separate"/>
      </w:r>
      <w:r>
        <w:t>- 54 -</w:t>
      </w:r>
      <w:r>
        <w:fldChar w:fldCharType="end"/>
      </w:r>
      <w:r>
        <w:rPr>
          <w:rFonts w:hint="eastAsia" w:ascii="宋体" w:hAnsi="宋体" w:cs="宋体"/>
          <w:color w:val="auto"/>
          <w:szCs w:val="21"/>
          <w:highlight w:val="none"/>
        </w:rPr>
        <w:fldChar w:fldCharType="end"/>
      </w:r>
    </w:p>
    <w:p w14:paraId="7532D48A">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_Toc20899 </w:instrText>
      </w:r>
      <w:r>
        <w:rPr>
          <w:rFonts w:hint="eastAsia" w:ascii="宋体" w:hAnsi="宋体" w:cs="宋体"/>
          <w:szCs w:val="21"/>
          <w:highlight w:val="none"/>
        </w:rPr>
        <w:fldChar w:fldCharType="separate"/>
      </w:r>
      <w:r>
        <w:rPr>
          <w:rFonts w:hint="eastAsia"/>
          <w:szCs w:val="28"/>
          <w:highlight w:val="none"/>
        </w:rPr>
        <w:t>九、风险提示</w:t>
      </w:r>
      <w:r>
        <w:tab/>
      </w:r>
      <w:r>
        <w:fldChar w:fldCharType="begin"/>
      </w:r>
      <w:r>
        <w:instrText xml:space="preserve"> PAGEREF _Toc20899 \h </w:instrText>
      </w:r>
      <w:r>
        <w:fldChar w:fldCharType="separate"/>
      </w:r>
      <w:r>
        <w:t>- 54 -</w:t>
      </w:r>
      <w:r>
        <w:fldChar w:fldCharType="end"/>
      </w:r>
      <w:r>
        <w:rPr>
          <w:rFonts w:hint="eastAsia" w:ascii="宋体" w:hAnsi="宋体" w:cs="宋体"/>
          <w:color w:val="auto"/>
          <w:szCs w:val="21"/>
          <w:highlight w:val="none"/>
        </w:rPr>
        <w:fldChar w:fldCharType="end"/>
      </w:r>
    </w:p>
    <w:p w14:paraId="3C923AD2">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_Toc31486 </w:instrText>
      </w:r>
      <w:r>
        <w:rPr>
          <w:rFonts w:hint="eastAsia" w:ascii="宋体" w:hAnsi="宋体" w:cs="宋体"/>
          <w:szCs w:val="21"/>
          <w:highlight w:val="none"/>
        </w:rPr>
        <w:fldChar w:fldCharType="separate"/>
      </w:r>
      <w:r>
        <w:rPr>
          <w:szCs w:val="28"/>
          <w:highlight w:val="none"/>
        </w:rPr>
        <w:t>*</w:t>
      </w:r>
      <w:r>
        <w:rPr>
          <w:rFonts w:hint="eastAsia"/>
          <w:szCs w:val="28"/>
          <w:highlight w:val="none"/>
        </w:rPr>
        <w:t>十、其他</w:t>
      </w:r>
      <w:r>
        <w:tab/>
      </w:r>
      <w:r>
        <w:fldChar w:fldCharType="begin"/>
      </w:r>
      <w:r>
        <w:instrText xml:space="preserve"> PAGEREF _Toc31486 \h </w:instrText>
      </w:r>
      <w:r>
        <w:fldChar w:fldCharType="separate"/>
      </w:r>
      <w:r>
        <w:t>- 54 -</w:t>
      </w:r>
      <w:r>
        <w:fldChar w:fldCharType="end"/>
      </w:r>
      <w:r>
        <w:rPr>
          <w:rFonts w:hint="eastAsia" w:ascii="宋体" w:hAnsi="宋体" w:cs="宋体"/>
          <w:color w:val="auto"/>
          <w:szCs w:val="21"/>
          <w:highlight w:val="none"/>
        </w:rPr>
        <w:fldChar w:fldCharType="end"/>
      </w:r>
    </w:p>
    <w:p w14:paraId="5211BC40">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_Toc2807 </w:instrText>
      </w:r>
      <w:r>
        <w:rPr>
          <w:rFonts w:hint="eastAsia" w:ascii="宋体" w:hAnsi="宋体" w:cs="宋体"/>
          <w:szCs w:val="21"/>
          <w:highlight w:val="none"/>
        </w:rPr>
        <w:fldChar w:fldCharType="separate"/>
      </w:r>
      <w:r>
        <w:rPr>
          <w:rFonts w:hint="eastAsia" w:ascii="宋体" w:hAnsi="宋体" w:eastAsia="宋体" w:cs="宋体"/>
          <w:szCs w:val="30"/>
          <w:highlight w:val="none"/>
        </w:rPr>
        <w:t>第四篇</w:t>
      </w:r>
      <w:r>
        <w:rPr>
          <w:rFonts w:ascii="宋体" w:hAnsi="宋体" w:eastAsia="宋体" w:cs="宋体"/>
          <w:szCs w:val="30"/>
          <w:highlight w:val="none"/>
        </w:rPr>
        <w:t xml:space="preserve">  </w:t>
      </w:r>
      <w:r>
        <w:rPr>
          <w:rFonts w:hint="eastAsia" w:ascii="宋体" w:hAnsi="宋体" w:eastAsia="宋体" w:cs="宋体"/>
          <w:szCs w:val="30"/>
          <w:highlight w:val="none"/>
        </w:rPr>
        <w:t>磋商程序及方法、评审标准、无效响应和采购终止</w:t>
      </w:r>
      <w:r>
        <w:tab/>
      </w:r>
      <w:r>
        <w:fldChar w:fldCharType="begin"/>
      </w:r>
      <w:r>
        <w:instrText xml:space="preserve"> PAGEREF _Toc2807 \h </w:instrText>
      </w:r>
      <w:r>
        <w:fldChar w:fldCharType="separate"/>
      </w:r>
      <w:r>
        <w:t>- 55 -</w:t>
      </w:r>
      <w:r>
        <w:fldChar w:fldCharType="end"/>
      </w:r>
      <w:r>
        <w:rPr>
          <w:rFonts w:hint="eastAsia" w:ascii="宋体" w:hAnsi="宋体" w:cs="宋体"/>
          <w:color w:val="auto"/>
          <w:szCs w:val="21"/>
          <w:highlight w:val="none"/>
        </w:rPr>
        <w:fldChar w:fldCharType="end"/>
      </w:r>
    </w:p>
    <w:p w14:paraId="21C8EF0C">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_Toc28319 </w:instrText>
      </w:r>
      <w:r>
        <w:rPr>
          <w:rFonts w:hint="eastAsia" w:ascii="宋体" w:hAnsi="宋体" w:cs="宋体"/>
          <w:szCs w:val="21"/>
          <w:highlight w:val="none"/>
        </w:rPr>
        <w:fldChar w:fldCharType="separate"/>
      </w:r>
      <w:r>
        <w:rPr>
          <w:rFonts w:hint="eastAsia" w:ascii="宋体" w:hAnsi="宋体" w:cs="宋体"/>
          <w:szCs w:val="24"/>
          <w:highlight w:val="none"/>
        </w:rPr>
        <w:t>一、磋商程序及方法</w:t>
      </w:r>
      <w:r>
        <w:tab/>
      </w:r>
      <w:r>
        <w:fldChar w:fldCharType="begin"/>
      </w:r>
      <w:r>
        <w:instrText xml:space="preserve"> PAGEREF _Toc28319 \h </w:instrText>
      </w:r>
      <w:r>
        <w:fldChar w:fldCharType="separate"/>
      </w:r>
      <w:r>
        <w:t>- 55 -</w:t>
      </w:r>
      <w:r>
        <w:fldChar w:fldCharType="end"/>
      </w:r>
      <w:r>
        <w:rPr>
          <w:rFonts w:hint="eastAsia" w:ascii="宋体" w:hAnsi="宋体" w:cs="宋体"/>
          <w:color w:val="auto"/>
          <w:szCs w:val="21"/>
          <w:highlight w:val="none"/>
        </w:rPr>
        <w:fldChar w:fldCharType="end"/>
      </w:r>
    </w:p>
    <w:p w14:paraId="34467A41">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_Toc8673 </w:instrText>
      </w:r>
      <w:r>
        <w:rPr>
          <w:rFonts w:hint="eastAsia" w:ascii="宋体" w:hAnsi="宋体" w:cs="宋体"/>
          <w:szCs w:val="21"/>
          <w:highlight w:val="none"/>
        </w:rPr>
        <w:fldChar w:fldCharType="separate"/>
      </w:r>
      <w:r>
        <w:rPr>
          <w:rFonts w:hint="eastAsia" w:ascii="宋体" w:hAnsi="宋体" w:cs="宋体"/>
          <w:szCs w:val="24"/>
          <w:highlight w:val="none"/>
        </w:rPr>
        <w:t>二、评审标准</w:t>
      </w:r>
      <w:r>
        <w:rPr>
          <w:rFonts w:hint="eastAsia" w:ascii="宋体" w:hAnsi="宋体" w:cs="宋体"/>
          <w:szCs w:val="24"/>
          <w:highlight w:val="none"/>
          <w:lang w:eastAsia="zh-CN"/>
        </w:rPr>
        <w:t>（</w:t>
      </w:r>
      <w:r>
        <w:rPr>
          <w:rFonts w:hint="eastAsia" w:ascii="宋体" w:hAnsi="宋体" w:cs="宋体"/>
          <w:szCs w:val="24"/>
          <w:highlight w:val="none"/>
          <w:lang w:val="en-US" w:eastAsia="zh-CN"/>
        </w:rPr>
        <w:t>适用于包4</w:t>
      </w:r>
      <w:r>
        <w:rPr>
          <w:rFonts w:hint="eastAsia" w:ascii="微软雅黑" w:hAnsi="微软雅黑" w:eastAsia="微软雅黑" w:cs="微软雅黑"/>
          <w:szCs w:val="24"/>
          <w:highlight w:val="none"/>
          <w:lang w:val="en-US" w:eastAsia="zh-CN"/>
        </w:rPr>
        <w:t>～</w:t>
      </w:r>
      <w:r>
        <w:rPr>
          <w:rFonts w:hint="eastAsia" w:ascii="宋体" w:hAnsi="宋体" w:cs="宋体"/>
          <w:szCs w:val="24"/>
          <w:highlight w:val="none"/>
          <w:lang w:val="en-US" w:eastAsia="zh-CN"/>
        </w:rPr>
        <w:t>包5</w:t>
      </w:r>
      <w:r>
        <w:rPr>
          <w:rFonts w:hint="eastAsia" w:ascii="宋体" w:hAnsi="宋体" w:cs="宋体"/>
          <w:szCs w:val="24"/>
          <w:highlight w:val="none"/>
          <w:lang w:eastAsia="zh-CN"/>
        </w:rPr>
        <w:t>）</w:t>
      </w:r>
      <w:r>
        <w:tab/>
      </w:r>
      <w:r>
        <w:fldChar w:fldCharType="begin"/>
      </w:r>
      <w:r>
        <w:instrText xml:space="preserve"> PAGEREF _Toc8673 \h </w:instrText>
      </w:r>
      <w:r>
        <w:fldChar w:fldCharType="separate"/>
      </w:r>
      <w:r>
        <w:t>- 57 -</w:t>
      </w:r>
      <w:r>
        <w:fldChar w:fldCharType="end"/>
      </w:r>
      <w:r>
        <w:rPr>
          <w:rFonts w:hint="eastAsia" w:ascii="宋体" w:hAnsi="宋体" w:cs="宋体"/>
          <w:color w:val="auto"/>
          <w:szCs w:val="21"/>
          <w:highlight w:val="none"/>
        </w:rPr>
        <w:fldChar w:fldCharType="end"/>
      </w:r>
    </w:p>
    <w:p w14:paraId="39777BA4">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_Toc25240 </w:instrText>
      </w:r>
      <w:r>
        <w:rPr>
          <w:rFonts w:hint="eastAsia" w:ascii="宋体" w:hAnsi="宋体" w:cs="宋体"/>
          <w:szCs w:val="21"/>
          <w:highlight w:val="none"/>
        </w:rPr>
        <w:fldChar w:fldCharType="separate"/>
      </w:r>
      <w:r>
        <w:rPr>
          <w:rFonts w:hint="eastAsia" w:ascii="宋体" w:hAnsi="宋体" w:cs="宋体"/>
          <w:szCs w:val="24"/>
          <w:highlight w:val="none"/>
        </w:rPr>
        <w:t>三、无效响应</w:t>
      </w:r>
      <w:r>
        <w:tab/>
      </w:r>
      <w:r>
        <w:fldChar w:fldCharType="begin"/>
      </w:r>
      <w:r>
        <w:instrText xml:space="preserve"> PAGEREF _Toc25240 \h </w:instrText>
      </w:r>
      <w:r>
        <w:fldChar w:fldCharType="separate"/>
      </w:r>
      <w:r>
        <w:t>- 59 -</w:t>
      </w:r>
      <w:r>
        <w:fldChar w:fldCharType="end"/>
      </w:r>
      <w:r>
        <w:rPr>
          <w:rFonts w:hint="eastAsia" w:ascii="宋体" w:hAnsi="宋体" w:cs="宋体"/>
          <w:color w:val="auto"/>
          <w:szCs w:val="21"/>
          <w:highlight w:val="none"/>
        </w:rPr>
        <w:fldChar w:fldCharType="end"/>
      </w:r>
    </w:p>
    <w:p w14:paraId="24EF2998">
      <w:pPr>
        <w:pStyle w:val="29"/>
        <w:tabs>
          <w:tab w:val="right" w:leader="dot" w:pos="9412"/>
        </w:tabs>
        <w:ind w:left="0" w:leftChars="0" w:firstLine="560" w:firstLineChars="200"/>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_Toc29037 </w:instrText>
      </w:r>
      <w:r>
        <w:rPr>
          <w:rFonts w:hint="eastAsia" w:ascii="宋体" w:hAnsi="宋体" w:cs="宋体"/>
          <w:szCs w:val="21"/>
          <w:highlight w:val="none"/>
        </w:rPr>
        <w:fldChar w:fldCharType="separate"/>
      </w:r>
      <w:r>
        <w:rPr>
          <w:rFonts w:hint="eastAsia" w:ascii="宋体" w:hAnsi="宋体" w:cs="宋体"/>
          <w:szCs w:val="24"/>
          <w:highlight w:val="none"/>
        </w:rPr>
        <w:t>四、采购终止</w:t>
      </w:r>
      <w:r>
        <w:tab/>
      </w:r>
      <w:r>
        <w:fldChar w:fldCharType="begin"/>
      </w:r>
      <w:r>
        <w:instrText xml:space="preserve"> PAGEREF _Toc29037 \h </w:instrText>
      </w:r>
      <w:r>
        <w:fldChar w:fldCharType="separate"/>
      </w:r>
      <w:r>
        <w:t>- 60 -</w:t>
      </w:r>
      <w:r>
        <w:fldChar w:fldCharType="end"/>
      </w:r>
      <w:r>
        <w:rPr>
          <w:rFonts w:hint="eastAsia" w:ascii="宋体" w:hAnsi="宋体" w:cs="宋体"/>
          <w:color w:val="auto"/>
          <w:szCs w:val="21"/>
          <w:highlight w:val="none"/>
        </w:rPr>
        <w:fldChar w:fldCharType="end"/>
      </w:r>
    </w:p>
    <w:p w14:paraId="12F012D6">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_Toc28853 </w:instrText>
      </w:r>
      <w:r>
        <w:rPr>
          <w:rFonts w:hint="eastAsia" w:ascii="宋体" w:hAnsi="宋体" w:cs="宋体"/>
          <w:szCs w:val="21"/>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_Toc28853 \h </w:instrText>
      </w:r>
      <w:r>
        <w:fldChar w:fldCharType="separate"/>
      </w:r>
      <w:r>
        <w:t>- 61 -</w:t>
      </w:r>
      <w:r>
        <w:fldChar w:fldCharType="end"/>
      </w:r>
      <w:r>
        <w:rPr>
          <w:rFonts w:hint="eastAsia" w:ascii="宋体" w:hAnsi="宋体" w:cs="宋体"/>
          <w:color w:val="auto"/>
          <w:szCs w:val="21"/>
          <w:highlight w:val="none"/>
        </w:rPr>
        <w:fldChar w:fldCharType="end"/>
      </w:r>
    </w:p>
    <w:p w14:paraId="432CCEFC">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_Toc21365 </w:instrText>
      </w:r>
      <w:r>
        <w:rPr>
          <w:rFonts w:hint="eastAsia" w:ascii="宋体" w:hAnsi="宋体" w:cs="宋体"/>
          <w:szCs w:val="21"/>
          <w:highlight w:val="none"/>
        </w:rPr>
        <w:fldChar w:fldCharType="separate"/>
      </w:r>
      <w:r>
        <w:rPr>
          <w:rFonts w:hint="eastAsia" w:ascii="宋体" w:hAnsi="宋体" w:eastAsia="宋体" w:cs="宋体"/>
          <w:highlight w:val="none"/>
        </w:rPr>
        <w:t>一、磋商费用</w:t>
      </w:r>
      <w:r>
        <w:tab/>
      </w:r>
      <w:r>
        <w:fldChar w:fldCharType="begin"/>
      </w:r>
      <w:r>
        <w:instrText xml:space="preserve"> PAGEREF _Toc21365 \h </w:instrText>
      </w:r>
      <w:r>
        <w:fldChar w:fldCharType="separate"/>
      </w:r>
      <w:r>
        <w:t>- 61 -</w:t>
      </w:r>
      <w:r>
        <w:fldChar w:fldCharType="end"/>
      </w:r>
      <w:r>
        <w:rPr>
          <w:rFonts w:hint="eastAsia" w:ascii="宋体" w:hAnsi="宋体" w:cs="宋体"/>
          <w:color w:val="auto"/>
          <w:szCs w:val="21"/>
          <w:highlight w:val="none"/>
        </w:rPr>
        <w:fldChar w:fldCharType="end"/>
      </w:r>
    </w:p>
    <w:p w14:paraId="4FC1240D">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_Toc7583 </w:instrText>
      </w:r>
      <w:r>
        <w:rPr>
          <w:rFonts w:hint="eastAsia" w:ascii="宋体" w:hAnsi="宋体" w:cs="宋体"/>
          <w:szCs w:val="21"/>
          <w:highlight w:val="none"/>
        </w:rPr>
        <w:fldChar w:fldCharType="separate"/>
      </w:r>
      <w:r>
        <w:rPr>
          <w:rFonts w:hint="eastAsia" w:ascii="宋体" w:hAnsi="宋体" w:eastAsia="宋体" w:cs="宋体"/>
          <w:highlight w:val="none"/>
        </w:rPr>
        <w:t>二、竞争性磋商文件</w:t>
      </w:r>
      <w:r>
        <w:tab/>
      </w:r>
      <w:r>
        <w:fldChar w:fldCharType="begin"/>
      </w:r>
      <w:r>
        <w:instrText xml:space="preserve"> PAGEREF _Toc7583 \h </w:instrText>
      </w:r>
      <w:r>
        <w:fldChar w:fldCharType="separate"/>
      </w:r>
      <w:r>
        <w:t>- 61 -</w:t>
      </w:r>
      <w:r>
        <w:fldChar w:fldCharType="end"/>
      </w:r>
      <w:r>
        <w:rPr>
          <w:rFonts w:hint="eastAsia" w:ascii="宋体" w:hAnsi="宋体" w:cs="宋体"/>
          <w:color w:val="auto"/>
          <w:szCs w:val="21"/>
          <w:highlight w:val="none"/>
        </w:rPr>
        <w:fldChar w:fldCharType="end"/>
      </w:r>
    </w:p>
    <w:p w14:paraId="684BC588">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_Toc27474 </w:instrText>
      </w:r>
      <w:r>
        <w:rPr>
          <w:rFonts w:hint="eastAsia" w:ascii="宋体" w:hAnsi="宋体" w:cs="宋体"/>
          <w:szCs w:val="21"/>
          <w:highlight w:val="none"/>
        </w:rPr>
        <w:fldChar w:fldCharType="separate"/>
      </w:r>
      <w:r>
        <w:rPr>
          <w:rFonts w:hint="eastAsia" w:ascii="宋体" w:hAnsi="宋体" w:eastAsia="宋体" w:cs="宋体"/>
          <w:highlight w:val="none"/>
        </w:rPr>
        <w:t>三、磋商要求</w:t>
      </w:r>
      <w:r>
        <w:tab/>
      </w:r>
      <w:r>
        <w:fldChar w:fldCharType="begin"/>
      </w:r>
      <w:r>
        <w:instrText xml:space="preserve"> PAGEREF _Toc27474 \h </w:instrText>
      </w:r>
      <w:r>
        <w:fldChar w:fldCharType="separate"/>
      </w:r>
      <w:r>
        <w:t>- 61 -</w:t>
      </w:r>
      <w:r>
        <w:fldChar w:fldCharType="end"/>
      </w:r>
      <w:r>
        <w:rPr>
          <w:rFonts w:hint="eastAsia" w:ascii="宋体" w:hAnsi="宋体" w:cs="宋体"/>
          <w:color w:val="auto"/>
          <w:szCs w:val="21"/>
          <w:highlight w:val="none"/>
        </w:rPr>
        <w:fldChar w:fldCharType="end"/>
      </w:r>
    </w:p>
    <w:p w14:paraId="194CD270">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_Toc13140 </w:instrText>
      </w:r>
      <w:r>
        <w:rPr>
          <w:rFonts w:hint="eastAsia" w:ascii="宋体" w:hAnsi="宋体" w:cs="宋体"/>
          <w:szCs w:val="21"/>
          <w:highlight w:val="none"/>
        </w:rPr>
        <w:fldChar w:fldCharType="separate"/>
      </w:r>
      <w:r>
        <w:rPr>
          <w:rFonts w:hint="eastAsia" w:ascii="宋体" w:hAnsi="宋体" w:eastAsia="宋体" w:cs="宋体"/>
          <w:highlight w:val="none"/>
        </w:rPr>
        <w:t>四、成交商的确认和变更</w:t>
      </w:r>
      <w:r>
        <w:tab/>
      </w:r>
      <w:r>
        <w:fldChar w:fldCharType="begin"/>
      </w:r>
      <w:r>
        <w:instrText xml:space="preserve"> PAGEREF _Toc13140 \h </w:instrText>
      </w:r>
      <w:r>
        <w:fldChar w:fldCharType="separate"/>
      </w:r>
      <w:r>
        <w:t>- 62 -</w:t>
      </w:r>
      <w:r>
        <w:fldChar w:fldCharType="end"/>
      </w:r>
      <w:r>
        <w:rPr>
          <w:rFonts w:hint="eastAsia" w:ascii="宋体" w:hAnsi="宋体" w:cs="宋体"/>
          <w:color w:val="auto"/>
          <w:szCs w:val="21"/>
          <w:highlight w:val="none"/>
        </w:rPr>
        <w:fldChar w:fldCharType="end"/>
      </w:r>
    </w:p>
    <w:p w14:paraId="1A5C9453">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_Toc26350 </w:instrText>
      </w:r>
      <w:r>
        <w:rPr>
          <w:rFonts w:hint="eastAsia" w:ascii="宋体" w:hAnsi="宋体" w:cs="宋体"/>
          <w:szCs w:val="21"/>
          <w:highlight w:val="none"/>
        </w:rPr>
        <w:fldChar w:fldCharType="separate"/>
      </w:r>
      <w:r>
        <w:rPr>
          <w:rFonts w:hint="eastAsia" w:ascii="宋体" w:hAnsi="宋体" w:eastAsia="宋体" w:cs="宋体"/>
          <w:highlight w:val="none"/>
        </w:rPr>
        <w:t>五、成交通知</w:t>
      </w:r>
      <w:r>
        <w:tab/>
      </w:r>
      <w:r>
        <w:fldChar w:fldCharType="begin"/>
      </w:r>
      <w:r>
        <w:instrText xml:space="preserve"> PAGEREF _Toc26350 \h </w:instrText>
      </w:r>
      <w:r>
        <w:fldChar w:fldCharType="separate"/>
      </w:r>
      <w:r>
        <w:t>- 62 -</w:t>
      </w:r>
      <w:r>
        <w:fldChar w:fldCharType="end"/>
      </w:r>
      <w:r>
        <w:rPr>
          <w:rFonts w:hint="eastAsia" w:ascii="宋体" w:hAnsi="宋体" w:cs="宋体"/>
          <w:color w:val="auto"/>
          <w:szCs w:val="21"/>
          <w:highlight w:val="none"/>
        </w:rPr>
        <w:fldChar w:fldCharType="end"/>
      </w:r>
    </w:p>
    <w:p w14:paraId="699B5D91">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_Toc3185 </w:instrText>
      </w:r>
      <w:r>
        <w:rPr>
          <w:rFonts w:hint="eastAsia" w:ascii="宋体" w:hAnsi="宋体" w:cs="宋体"/>
          <w:szCs w:val="21"/>
          <w:highlight w:val="none"/>
        </w:rPr>
        <w:fldChar w:fldCharType="separate"/>
      </w:r>
      <w:r>
        <w:rPr>
          <w:rFonts w:hint="eastAsia" w:ascii="宋体" w:hAnsi="宋体" w:eastAsia="宋体" w:cs="宋体"/>
          <w:highlight w:val="none"/>
        </w:rPr>
        <w:t>六、关于质疑和投诉</w:t>
      </w:r>
      <w:r>
        <w:tab/>
      </w:r>
      <w:r>
        <w:fldChar w:fldCharType="begin"/>
      </w:r>
      <w:r>
        <w:instrText xml:space="preserve"> PAGEREF _Toc3185 \h </w:instrText>
      </w:r>
      <w:r>
        <w:fldChar w:fldCharType="separate"/>
      </w:r>
      <w:r>
        <w:t>- 62 -</w:t>
      </w:r>
      <w:r>
        <w:fldChar w:fldCharType="end"/>
      </w:r>
      <w:r>
        <w:rPr>
          <w:rFonts w:hint="eastAsia" w:ascii="宋体" w:hAnsi="宋体" w:cs="宋体"/>
          <w:color w:val="auto"/>
          <w:szCs w:val="21"/>
          <w:highlight w:val="none"/>
        </w:rPr>
        <w:fldChar w:fldCharType="end"/>
      </w:r>
    </w:p>
    <w:p w14:paraId="16CBCC9D">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_Toc29025 </w:instrText>
      </w:r>
      <w:r>
        <w:rPr>
          <w:rFonts w:hint="eastAsia" w:ascii="宋体" w:hAnsi="宋体" w:cs="宋体"/>
          <w:szCs w:val="21"/>
          <w:highlight w:val="none"/>
        </w:rPr>
        <w:fldChar w:fldCharType="separate"/>
      </w:r>
      <w:r>
        <w:rPr>
          <w:rFonts w:hint="eastAsia" w:ascii="宋体" w:hAnsi="宋体" w:eastAsia="宋体" w:cs="宋体"/>
          <w:highlight w:val="none"/>
        </w:rPr>
        <w:t>七、采购代理服务费</w:t>
      </w:r>
      <w:r>
        <w:tab/>
      </w:r>
      <w:r>
        <w:fldChar w:fldCharType="begin"/>
      </w:r>
      <w:r>
        <w:instrText xml:space="preserve"> PAGEREF _Toc29025 \h </w:instrText>
      </w:r>
      <w:r>
        <w:fldChar w:fldCharType="separate"/>
      </w:r>
      <w:r>
        <w:t>- 64 -</w:t>
      </w:r>
      <w:r>
        <w:fldChar w:fldCharType="end"/>
      </w:r>
      <w:r>
        <w:rPr>
          <w:rFonts w:hint="eastAsia" w:ascii="宋体" w:hAnsi="宋体" w:cs="宋体"/>
          <w:color w:val="auto"/>
          <w:szCs w:val="21"/>
          <w:highlight w:val="none"/>
        </w:rPr>
        <w:fldChar w:fldCharType="end"/>
      </w:r>
    </w:p>
    <w:p w14:paraId="7D1387DE">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_Toc16089 </w:instrText>
      </w:r>
      <w:r>
        <w:rPr>
          <w:rFonts w:hint="eastAsia" w:ascii="宋体" w:hAnsi="宋体" w:cs="宋体"/>
          <w:szCs w:val="21"/>
          <w:highlight w:val="none"/>
        </w:rPr>
        <w:fldChar w:fldCharType="separate"/>
      </w:r>
      <w:r>
        <w:rPr>
          <w:rFonts w:hint="eastAsia" w:ascii="宋体" w:hAnsi="宋体" w:eastAsia="宋体" w:cs="宋体"/>
          <w:highlight w:val="none"/>
        </w:rPr>
        <w:t>八、签订合同</w:t>
      </w:r>
      <w:r>
        <w:tab/>
      </w:r>
      <w:r>
        <w:fldChar w:fldCharType="begin"/>
      </w:r>
      <w:r>
        <w:instrText xml:space="preserve"> PAGEREF _Toc16089 \h </w:instrText>
      </w:r>
      <w:r>
        <w:fldChar w:fldCharType="separate"/>
      </w:r>
      <w:r>
        <w:t>- 64 -</w:t>
      </w:r>
      <w:r>
        <w:fldChar w:fldCharType="end"/>
      </w:r>
      <w:r>
        <w:rPr>
          <w:rFonts w:hint="eastAsia" w:ascii="宋体" w:hAnsi="宋体" w:cs="宋体"/>
          <w:color w:val="auto"/>
          <w:szCs w:val="21"/>
          <w:highlight w:val="none"/>
        </w:rPr>
        <w:fldChar w:fldCharType="end"/>
      </w:r>
    </w:p>
    <w:p w14:paraId="5C9B14AE">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_Toc11141 </w:instrText>
      </w:r>
      <w:r>
        <w:rPr>
          <w:rFonts w:hint="eastAsia" w:ascii="宋体" w:hAnsi="宋体" w:cs="宋体"/>
          <w:szCs w:val="21"/>
          <w:highlight w:val="none"/>
        </w:rPr>
        <w:fldChar w:fldCharType="separate"/>
      </w:r>
      <w:r>
        <w:rPr>
          <w:rFonts w:hint="eastAsia" w:ascii="宋体" w:hAnsi="宋体" w:eastAsia="宋体" w:cs="宋体"/>
          <w:highlight w:val="none"/>
        </w:rPr>
        <w:t>九、项目验收</w:t>
      </w:r>
      <w:r>
        <w:tab/>
      </w:r>
      <w:r>
        <w:fldChar w:fldCharType="begin"/>
      </w:r>
      <w:r>
        <w:instrText xml:space="preserve"> PAGEREF _Toc11141 \h </w:instrText>
      </w:r>
      <w:r>
        <w:fldChar w:fldCharType="separate"/>
      </w:r>
      <w:r>
        <w:t>- 65 -</w:t>
      </w:r>
      <w:r>
        <w:fldChar w:fldCharType="end"/>
      </w:r>
      <w:r>
        <w:rPr>
          <w:rFonts w:hint="eastAsia" w:ascii="宋体" w:hAnsi="宋体" w:cs="宋体"/>
          <w:color w:val="auto"/>
          <w:szCs w:val="21"/>
          <w:highlight w:val="none"/>
        </w:rPr>
        <w:fldChar w:fldCharType="end"/>
      </w:r>
    </w:p>
    <w:p w14:paraId="47FE1B91">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_Toc18553 </w:instrText>
      </w:r>
      <w:r>
        <w:rPr>
          <w:rFonts w:hint="eastAsia" w:ascii="宋体" w:hAnsi="宋体" w:cs="宋体"/>
          <w:szCs w:val="21"/>
          <w:highlight w:val="none"/>
        </w:rPr>
        <w:fldChar w:fldCharType="separate"/>
      </w:r>
      <w:r>
        <w:rPr>
          <w:rFonts w:hint="eastAsia" w:ascii="宋体" w:hAnsi="宋体" w:eastAsia="宋体" w:cs="宋体"/>
          <w:szCs w:val="30"/>
          <w:highlight w:val="none"/>
          <w:lang w:val="en-US" w:eastAsia="zh-CN"/>
        </w:rPr>
        <w:t xml:space="preserve">第六篇  </w:t>
      </w:r>
      <w:r>
        <w:rPr>
          <w:rFonts w:hint="eastAsia" w:ascii="宋体" w:hAnsi="宋体" w:eastAsia="宋体" w:cs="宋体"/>
          <w:szCs w:val="30"/>
          <w:highlight w:val="none"/>
        </w:rPr>
        <w:t>采购合同</w:t>
      </w:r>
      <w:r>
        <w:tab/>
      </w:r>
      <w:r>
        <w:fldChar w:fldCharType="begin"/>
      </w:r>
      <w:r>
        <w:instrText xml:space="preserve"> PAGEREF _Toc18553 \h </w:instrText>
      </w:r>
      <w:r>
        <w:fldChar w:fldCharType="separate"/>
      </w:r>
      <w:r>
        <w:t>- 66 -</w:t>
      </w:r>
      <w:r>
        <w:fldChar w:fldCharType="end"/>
      </w:r>
      <w:r>
        <w:rPr>
          <w:rFonts w:hint="eastAsia" w:ascii="宋体" w:hAnsi="宋体" w:cs="宋体"/>
          <w:color w:val="auto"/>
          <w:szCs w:val="21"/>
          <w:highlight w:val="none"/>
        </w:rPr>
        <w:fldChar w:fldCharType="end"/>
      </w:r>
    </w:p>
    <w:p w14:paraId="0C5DF627">
      <w:pPr>
        <w:pStyle w:val="47"/>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_Toc14133 </w:instrText>
      </w:r>
      <w:r>
        <w:rPr>
          <w:rFonts w:hint="eastAsia" w:ascii="宋体" w:hAnsi="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_Toc14133 \h </w:instrText>
      </w:r>
      <w:r>
        <w:fldChar w:fldCharType="separate"/>
      </w:r>
      <w:r>
        <w:t>120</w:t>
      </w:r>
      <w:r>
        <w:fldChar w:fldCharType="end"/>
      </w:r>
      <w:r>
        <w:rPr>
          <w:rFonts w:hint="eastAsia" w:ascii="宋体" w:hAnsi="宋体" w:cs="宋体"/>
          <w:color w:val="auto"/>
          <w:szCs w:val="21"/>
          <w:highlight w:val="none"/>
        </w:rPr>
        <w:fldChar w:fldCharType="end"/>
      </w:r>
    </w:p>
    <w:p w14:paraId="10726E63">
      <w:pPr>
        <w:pStyle w:val="29"/>
        <w:tabs>
          <w:tab w:val="right" w:leader="dot" w:pos="9412"/>
        </w:tabs>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_Toc14008 </w:instrText>
      </w:r>
      <w:r>
        <w:rPr>
          <w:rFonts w:hint="eastAsia" w:ascii="宋体" w:hAnsi="宋体" w:cs="宋体"/>
          <w:szCs w:val="21"/>
          <w:highlight w:val="none"/>
        </w:rPr>
        <w:fldChar w:fldCharType="separate"/>
      </w:r>
      <w:r>
        <w:rPr>
          <w:rFonts w:hint="eastAsia" w:ascii="宋体" w:hAnsi="宋体" w:cs="宋体"/>
          <w:bCs w:val="0"/>
          <w:szCs w:val="24"/>
          <w:highlight w:val="none"/>
          <w:lang w:val="en-US" w:eastAsia="zh-CN"/>
        </w:rPr>
        <w:t>一</w:t>
      </w:r>
      <w:r>
        <w:rPr>
          <w:rFonts w:hint="eastAsia" w:ascii="宋体" w:hAnsi="宋体" w:cs="宋体"/>
          <w:bCs w:val="0"/>
          <w:szCs w:val="24"/>
          <w:highlight w:val="none"/>
        </w:rPr>
        <w:t>、</w:t>
      </w:r>
      <w:r>
        <w:rPr>
          <w:rFonts w:hint="eastAsia" w:ascii="宋体" w:hAnsi="宋体" w:cs="宋体"/>
          <w:bCs w:val="0"/>
          <w:szCs w:val="24"/>
          <w:highlight w:val="none"/>
          <w:lang w:val="en-US" w:eastAsia="zh-CN"/>
        </w:rPr>
        <w:t>经济</w:t>
      </w:r>
      <w:r>
        <w:rPr>
          <w:rFonts w:hint="eastAsia" w:ascii="宋体" w:hAnsi="宋体" w:cs="宋体"/>
          <w:bCs w:val="0"/>
          <w:szCs w:val="24"/>
          <w:highlight w:val="none"/>
        </w:rPr>
        <w:t>文件</w:t>
      </w:r>
      <w:r>
        <w:tab/>
      </w:r>
      <w:r>
        <w:fldChar w:fldCharType="begin"/>
      </w:r>
      <w:r>
        <w:instrText xml:space="preserve"> PAGEREF _Toc14008 \h </w:instrText>
      </w:r>
      <w:r>
        <w:fldChar w:fldCharType="separate"/>
      </w:r>
      <w:r>
        <w:t>120</w:t>
      </w:r>
      <w:r>
        <w:fldChar w:fldCharType="end"/>
      </w:r>
      <w:r>
        <w:rPr>
          <w:rFonts w:hint="eastAsia" w:ascii="宋体" w:hAnsi="宋体" w:cs="宋体"/>
          <w:color w:val="auto"/>
          <w:szCs w:val="21"/>
          <w:highlight w:val="none"/>
        </w:rPr>
        <w:fldChar w:fldCharType="end"/>
      </w:r>
    </w:p>
    <w:p w14:paraId="24C60568">
      <w:pPr>
        <w:pStyle w:val="29"/>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_Toc14008 </w:instrText>
      </w:r>
      <w:r>
        <w:rPr>
          <w:rFonts w:hint="eastAsia" w:ascii="宋体" w:hAnsi="宋体" w:cs="宋体"/>
          <w:szCs w:val="21"/>
          <w:highlight w:val="none"/>
        </w:rPr>
        <w:fldChar w:fldCharType="separate"/>
      </w:r>
      <w:r>
        <w:rPr>
          <w:rFonts w:hint="eastAsia" w:ascii="宋体" w:hAnsi="宋体" w:cs="宋体"/>
          <w:bCs w:val="0"/>
          <w:szCs w:val="24"/>
          <w:highlight w:val="none"/>
        </w:rPr>
        <w:t>二、资格文件</w:t>
      </w:r>
      <w:r>
        <w:tab/>
      </w:r>
      <w:r>
        <w:fldChar w:fldCharType="begin"/>
      </w:r>
      <w:r>
        <w:instrText xml:space="preserve"> PAGEREF _Toc14008 \h </w:instrText>
      </w:r>
      <w:r>
        <w:fldChar w:fldCharType="separate"/>
      </w:r>
      <w:r>
        <w:t>120</w:t>
      </w:r>
      <w:r>
        <w:fldChar w:fldCharType="end"/>
      </w:r>
      <w:r>
        <w:rPr>
          <w:rFonts w:hint="eastAsia" w:ascii="宋体" w:hAnsi="宋体" w:cs="宋体"/>
          <w:color w:val="auto"/>
          <w:szCs w:val="21"/>
          <w:highlight w:val="none"/>
        </w:rPr>
        <w:fldChar w:fldCharType="end"/>
      </w:r>
    </w:p>
    <w:p w14:paraId="3A303183">
      <w:pPr>
        <w:pStyle w:val="29"/>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_Toc19785 </w:instrText>
      </w:r>
      <w:r>
        <w:rPr>
          <w:rFonts w:hint="eastAsia" w:ascii="宋体" w:hAnsi="宋体" w:cs="宋体"/>
          <w:szCs w:val="21"/>
          <w:highlight w:val="none"/>
        </w:rPr>
        <w:fldChar w:fldCharType="separate"/>
      </w:r>
      <w:r>
        <w:rPr>
          <w:rFonts w:hint="eastAsia" w:ascii="宋体" w:hAnsi="宋体" w:cs="宋体"/>
          <w:bCs w:val="0"/>
          <w:szCs w:val="24"/>
          <w:highlight w:val="none"/>
        </w:rPr>
        <w:t>三、商务文件</w:t>
      </w:r>
      <w:r>
        <w:tab/>
      </w:r>
      <w:r>
        <w:fldChar w:fldCharType="begin"/>
      </w:r>
      <w:r>
        <w:instrText xml:space="preserve"> PAGEREF _Toc19785 \h </w:instrText>
      </w:r>
      <w:r>
        <w:fldChar w:fldCharType="separate"/>
      </w:r>
      <w:r>
        <w:t>120</w:t>
      </w:r>
      <w:r>
        <w:fldChar w:fldCharType="end"/>
      </w:r>
      <w:r>
        <w:rPr>
          <w:rFonts w:hint="eastAsia" w:ascii="宋体" w:hAnsi="宋体" w:cs="宋体"/>
          <w:color w:val="auto"/>
          <w:szCs w:val="21"/>
          <w:highlight w:val="none"/>
        </w:rPr>
        <w:fldChar w:fldCharType="end"/>
      </w:r>
    </w:p>
    <w:p w14:paraId="0FEE0666">
      <w:pPr>
        <w:pStyle w:val="29"/>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_Toc22204 </w:instrText>
      </w:r>
      <w:r>
        <w:rPr>
          <w:rFonts w:hint="eastAsia" w:ascii="宋体" w:hAnsi="宋体" w:cs="宋体"/>
          <w:szCs w:val="21"/>
          <w:highlight w:val="none"/>
        </w:rPr>
        <w:fldChar w:fldCharType="separate"/>
      </w:r>
      <w:r>
        <w:rPr>
          <w:rFonts w:hint="eastAsia" w:ascii="宋体" w:hAnsi="宋体" w:cs="宋体"/>
          <w:bCs w:val="0"/>
          <w:szCs w:val="24"/>
          <w:highlight w:val="none"/>
        </w:rPr>
        <w:t>四、技术文件</w:t>
      </w:r>
      <w:r>
        <w:tab/>
      </w:r>
      <w:r>
        <w:fldChar w:fldCharType="begin"/>
      </w:r>
      <w:r>
        <w:instrText xml:space="preserve"> PAGEREF _Toc22204 \h </w:instrText>
      </w:r>
      <w:r>
        <w:fldChar w:fldCharType="separate"/>
      </w:r>
      <w:r>
        <w:t>120</w:t>
      </w:r>
      <w:r>
        <w:fldChar w:fldCharType="end"/>
      </w:r>
      <w:r>
        <w:rPr>
          <w:rFonts w:hint="eastAsia" w:ascii="宋体" w:hAnsi="宋体" w:cs="宋体"/>
          <w:color w:val="auto"/>
          <w:szCs w:val="21"/>
          <w:highlight w:val="none"/>
        </w:rPr>
        <w:fldChar w:fldCharType="end"/>
      </w:r>
    </w:p>
    <w:p w14:paraId="4CD2BBDD">
      <w:pPr>
        <w:pStyle w:val="29"/>
        <w:tabs>
          <w:tab w:val="right" w:leader="dot" w:pos="9412"/>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_Toc28063 </w:instrText>
      </w:r>
      <w:r>
        <w:rPr>
          <w:rFonts w:hint="eastAsia" w:ascii="宋体" w:hAnsi="宋体" w:cs="宋体"/>
          <w:szCs w:val="21"/>
          <w:highlight w:val="none"/>
        </w:rPr>
        <w:fldChar w:fldCharType="separate"/>
      </w:r>
      <w:r>
        <w:rPr>
          <w:rFonts w:hint="eastAsia" w:ascii="宋体" w:hAnsi="宋体" w:cs="宋体"/>
          <w:bCs w:val="0"/>
          <w:szCs w:val="24"/>
          <w:highlight w:val="none"/>
        </w:rPr>
        <w:t>五、其他</w:t>
      </w:r>
      <w:r>
        <w:tab/>
      </w:r>
      <w:r>
        <w:fldChar w:fldCharType="begin"/>
      </w:r>
      <w:r>
        <w:instrText xml:space="preserve"> PAGEREF _Toc28063 \h </w:instrText>
      </w:r>
      <w:r>
        <w:fldChar w:fldCharType="separate"/>
      </w:r>
      <w:r>
        <w:t>120</w:t>
      </w:r>
      <w:r>
        <w:fldChar w:fldCharType="end"/>
      </w:r>
      <w:r>
        <w:rPr>
          <w:rFonts w:hint="eastAsia" w:ascii="宋体" w:hAnsi="宋体" w:cs="宋体"/>
          <w:color w:val="auto"/>
          <w:szCs w:val="21"/>
          <w:highlight w:val="none"/>
        </w:rPr>
        <w:fldChar w:fldCharType="end"/>
      </w:r>
    </w:p>
    <w:p w14:paraId="46C88A3E">
      <w:pPr>
        <w:pStyle w:val="29"/>
        <w:tabs>
          <w:tab w:val="right" w:leader="dot" w:pos="9412"/>
        </w:tabs>
        <w:ind w:left="0" w:leftChars="0" w:firstLine="0" w:firstLineChars="0"/>
      </w:pPr>
    </w:p>
    <w:p w14:paraId="4289CFA0">
      <w:pPr>
        <w:pStyle w:val="47"/>
        <w:tabs>
          <w:tab w:val="right" w:leader="dot" w:pos="9402"/>
        </w:tabs>
        <w:spacing w:line="480" w:lineRule="exact"/>
        <w:ind w:left="560"/>
        <w:jc w:val="center"/>
        <w:rPr>
          <w:rFonts w:ascii="宋体" w:hAnsi="宋体" w:cs="宋体"/>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r>
        <w:rPr>
          <w:rFonts w:hint="eastAsia" w:ascii="宋体" w:hAnsi="宋体" w:cs="宋体"/>
          <w:color w:val="auto"/>
          <w:szCs w:val="21"/>
          <w:highlight w:val="none"/>
        </w:rPr>
        <w:fldChar w:fldCharType="end"/>
      </w:r>
    </w:p>
    <w:p w14:paraId="417472A2">
      <w:pPr>
        <w:pStyle w:val="2"/>
        <w:jc w:val="center"/>
        <w:rPr>
          <w:rFonts w:hAnsi="宋体" w:cs="宋体"/>
          <w:color w:val="auto"/>
          <w:szCs w:val="30"/>
          <w:highlight w:val="none"/>
        </w:rPr>
      </w:pPr>
      <w:bookmarkStart w:id="0" w:name="_Toc5666"/>
      <w:bookmarkStart w:id="1" w:name="_Toc9323"/>
      <w:bookmarkStart w:id="2" w:name="_Toc11641050"/>
      <w:bookmarkStart w:id="3" w:name="_Toc23847"/>
      <w:bookmarkStart w:id="4" w:name="_Toc12789052"/>
      <w:r>
        <w:rPr>
          <w:rFonts w:hint="eastAsia"/>
          <w:color w:val="auto"/>
          <w:sz w:val="32"/>
          <w:szCs w:val="32"/>
          <w:highlight w:val="none"/>
        </w:rPr>
        <w:t>第一篇</w:t>
      </w:r>
      <w:r>
        <w:rPr>
          <w:color w:val="auto"/>
          <w:sz w:val="32"/>
          <w:szCs w:val="32"/>
          <w:highlight w:val="none"/>
        </w:rPr>
        <w:t xml:space="preserve">  </w:t>
      </w:r>
      <w:r>
        <w:rPr>
          <w:rFonts w:hint="eastAsia"/>
          <w:color w:val="auto"/>
          <w:sz w:val="32"/>
          <w:szCs w:val="32"/>
          <w:highlight w:val="none"/>
        </w:rPr>
        <w:t>采购邀请书</w:t>
      </w:r>
      <w:bookmarkEnd w:id="0"/>
      <w:bookmarkEnd w:id="1"/>
      <w:bookmarkEnd w:id="2"/>
      <w:bookmarkEnd w:id="3"/>
      <w:bookmarkEnd w:id="4"/>
    </w:p>
    <w:p w14:paraId="491806B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中捷通信有限</w:t>
      </w:r>
      <w:r>
        <w:rPr>
          <w:rFonts w:ascii="宋体" w:hAnsi="宋体" w:cs="宋体"/>
          <w:color w:val="auto"/>
          <w:sz w:val="24"/>
          <w:szCs w:val="24"/>
          <w:highlight w:val="none"/>
        </w:rPr>
        <w:t>公司受重庆文理学院的委托，对</w:t>
      </w:r>
      <w:r>
        <w:rPr>
          <w:rFonts w:hint="eastAsia" w:ascii="宋体" w:hAnsi="宋体" w:cs="宋体"/>
          <w:color w:val="auto"/>
          <w:sz w:val="24"/>
          <w:szCs w:val="24"/>
          <w:highlight w:val="none"/>
        </w:rPr>
        <w:t>重庆文理学院食堂委托经营项目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第二次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进行竞争性磋商采购。欢迎有资格的供应商前来参与磋商。</w:t>
      </w:r>
    </w:p>
    <w:p w14:paraId="4F5339F4">
      <w:pPr>
        <w:pStyle w:val="3"/>
        <w:spacing w:line="400" w:lineRule="exact"/>
        <w:rPr>
          <w:b w:val="0"/>
          <w:color w:val="auto"/>
          <w:sz w:val="28"/>
          <w:szCs w:val="28"/>
          <w:highlight w:val="none"/>
        </w:rPr>
      </w:pPr>
      <w:bookmarkStart w:id="5" w:name="_Toc1382"/>
      <w:bookmarkStart w:id="6" w:name="_Toc23596"/>
      <w:bookmarkStart w:id="7" w:name="_Toc21147"/>
      <w:bookmarkStart w:id="8" w:name="_Toc317775175"/>
      <w:bookmarkStart w:id="9" w:name="_Toc313893526"/>
      <w:r>
        <w:rPr>
          <w:rFonts w:hint="eastAsia"/>
          <w:b w:val="0"/>
          <w:color w:val="auto"/>
          <w:sz w:val="28"/>
          <w:szCs w:val="28"/>
          <w:highlight w:val="none"/>
        </w:rPr>
        <w:t>一、竞争性磋商内容</w:t>
      </w:r>
      <w:bookmarkEnd w:id="5"/>
      <w:bookmarkEnd w:id="6"/>
      <w:bookmarkEnd w:id="7"/>
      <w:bookmarkEnd w:id="8"/>
      <w:bookmarkEnd w:id="9"/>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12"/>
        <w:gridCol w:w="1269"/>
        <w:gridCol w:w="1277"/>
        <w:gridCol w:w="931"/>
        <w:gridCol w:w="2483"/>
      </w:tblGrid>
      <w:tr w14:paraId="2458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vAlign w:val="center"/>
          </w:tcPr>
          <w:p w14:paraId="6F977118">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包号</w:t>
            </w:r>
          </w:p>
        </w:tc>
        <w:tc>
          <w:tcPr>
            <w:tcW w:w="2612" w:type="dxa"/>
            <w:vAlign w:val="center"/>
          </w:tcPr>
          <w:p w14:paraId="3C0BAE4B">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269" w:type="dxa"/>
            <w:shd w:val="clear" w:color="auto" w:fill="auto"/>
            <w:vAlign w:val="center"/>
          </w:tcPr>
          <w:p w14:paraId="090923F3">
            <w:pPr>
              <w:jc w:val="center"/>
              <w:rPr>
                <w:rFonts w:ascii="宋体" w:hAnsi="宋体" w:cs="宋体"/>
                <w:color w:val="auto"/>
                <w:sz w:val="21"/>
                <w:szCs w:val="21"/>
                <w:highlight w:val="none"/>
              </w:rPr>
            </w:pPr>
            <w:r>
              <w:rPr>
                <w:rFonts w:hint="eastAsia" w:ascii="宋体" w:hAnsi="宋体" w:cs="宋体"/>
                <w:color w:val="auto"/>
                <w:sz w:val="21"/>
                <w:szCs w:val="21"/>
                <w:highlight w:val="none"/>
              </w:rPr>
              <w:t>磋商保证金</w:t>
            </w:r>
          </w:p>
          <w:p w14:paraId="073CF5B3">
            <w:pPr>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1277" w:type="dxa"/>
            <w:shd w:val="clear" w:color="auto" w:fill="auto"/>
            <w:vAlign w:val="center"/>
          </w:tcPr>
          <w:p w14:paraId="691286E9">
            <w:pPr>
              <w:jc w:val="center"/>
              <w:rPr>
                <w:rFonts w:ascii="宋体" w:hAnsi="宋体" w:cs="宋体"/>
                <w:color w:val="auto"/>
                <w:sz w:val="21"/>
                <w:szCs w:val="21"/>
                <w:highlight w:val="none"/>
              </w:rPr>
            </w:pPr>
            <w:r>
              <w:rPr>
                <w:rFonts w:hint="eastAsia" w:ascii="宋体" w:hAnsi="宋体" w:cs="宋体"/>
                <w:color w:val="auto"/>
                <w:sz w:val="21"/>
                <w:szCs w:val="21"/>
                <w:highlight w:val="none"/>
              </w:rPr>
              <w:t>履约保证金</w:t>
            </w:r>
          </w:p>
          <w:p w14:paraId="399D35B6">
            <w:pPr>
              <w:ind w:left="-48" w:leftChars="-17" w:right="-81" w:rightChars="-29"/>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931" w:type="dxa"/>
            <w:shd w:val="clear" w:color="auto" w:fill="auto"/>
            <w:vAlign w:val="center"/>
          </w:tcPr>
          <w:p w14:paraId="4877CF67">
            <w:pPr>
              <w:jc w:val="center"/>
              <w:rPr>
                <w:rFonts w:ascii="宋体" w:hAnsi="宋体" w:cs="宋体"/>
                <w:color w:val="auto"/>
                <w:sz w:val="21"/>
                <w:szCs w:val="21"/>
                <w:highlight w:val="none"/>
              </w:rPr>
            </w:pPr>
            <w:r>
              <w:rPr>
                <w:rFonts w:hint="eastAsia" w:ascii="宋体" w:hAnsi="宋体" w:cs="宋体"/>
                <w:color w:val="auto"/>
                <w:sz w:val="21"/>
                <w:szCs w:val="21"/>
                <w:highlight w:val="none"/>
              </w:rPr>
              <w:t>成交服务商</w:t>
            </w:r>
          </w:p>
        </w:tc>
        <w:tc>
          <w:tcPr>
            <w:tcW w:w="2483" w:type="dxa"/>
            <w:vAlign w:val="center"/>
          </w:tcPr>
          <w:p w14:paraId="2AEA3834">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建筑面积（㎡）</w:t>
            </w:r>
          </w:p>
        </w:tc>
      </w:tr>
      <w:tr w14:paraId="5B0C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08" w:type="dxa"/>
            <w:vAlign w:val="center"/>
          </w:tcPr>
          <w:p w14:paraId="1CF093AA">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包</w:t>
            </w:r>
            <w:r>
              <w:rPr>
                <w:rFonts w:ascii="宋体" w:hAnsi="宋体" w:cs="宋体"/>
                <w:color w:val="auto"/>
                <w:sz w:val="21"/>
                <w:szCs w:val="21"/>
                <w:highlight w:val="none"/>
              </w:rPr>
              <w:t>4</w:t>
            </w:r>
          </w:p>
        </w:tc>
        <w:tc>
          <w:tcPr>
            <w:tcW w:w="2612" w:type="dxa"/>
            <w:vAlign w:val="center"/>
          </w:tcPr>
          <w:p w14:paraId="7DDAAF0B">
            <w:pPr>
              <w:jc w:val="center"/>
              <w:rPr>
                <w:rFonts w:ascii="宋体" w:hAnsi="宋体"/>
                <w:color w:val="auto"/>
                <w:sz w:val="21"/>
                <w:szCs w:val="21"/>
                <w:highlight w:val="none"/>
              </w:rPr>
            </w:pPr>
            <w:r>
              <w:rPr>
                <w:rFonts w:hint="eastAsia" w:ascii="宋体" w:hAnsi="宋体"/>
                <w:color w:val="auto"/>
                <w:sz w:val="21"/>
                <w:szCs w:val="21"/>
                <w:highlight w:val="none"/>
              </w:rPr>
              <w:t>红河</w:t>
            </w:r>
            <w:r>
              <w:rPr>
                <w:rFonts w:ascii="宋体" w:hAnsi="宋体"/>
                <w:color w:val="auto"/>
                <w:sz w:val="21"/>
                <w:szCs w:val="21"/>
                <w:highlight w:val="none"/>
              </w:rPr>
              <w:t>A校区三食堂（含教工餐厅）委托经营</w:t>
            </w:r>
          </w:p>
        </w:tc>
        <w:tc>
          <w:tcPr>
            <w:tcW w:w="1269" w:type="dxa"/>
            <w:vAlign w:val="center"/>
          </w:tcPr>
          <w:p w14:paraId="66F36DD4">
            <w:pPr>
              <w:jc w:val="center"/>
              <w:rPr>
                <w:rFonts w:ascii="宋体" w:hAnsi="宋体" w:cs="宋体"/>
                <w:color w:val="auto"/>
                <w:sz w:val="21"/>
                <w:szCs w:val="21"/>
                <w:highlight w:val="none"/>
              </w:rPr>
            </w:pPr>
            <w:r>
              <w:rPr>
                <w:rFonts w:ascii="宋体" w:hAnsi="宋体" w:cs="宋体"/>
                <w:color w:val="auto"/>
                <w:sz w:val="21"/>
                <w:szCs w:val="21"/>
                <w:highlight w:val="none"/>
              </w:rPr>
              <w:t>20</w:t>
            </w:r>
          </w:p>
        </w:tc>
        <w:tc>
          <w:tcPr>
            <w:tcW w:w="1277" w:type="dxa"/>
            <w:vAlign w:val="center"/>
          </w:tcPr>
          <w:p w14:paraId="5DACA514">
            <w:pPr>
              <w:jc w:val="center"/>
              <w:rPr>
                <w:rFonts w:ascii="宋体" w:hAnsi="宋体" w:cs="宋体"/>
                <w:color w:val="auto"/>
                <w:sz w:val="21"/>
                <w:szCs w:val="21"/>
                <w:highlight w:val="none"/>
              </w:rPr>
            </w:pPr>
            <w:r>
              <w:rPr>
                <w:rFonts w:ascii="宋体" w:hAnsi="宋体" w:cs="宋体"/>
                <w:color w:val="auto"/>
                <w:sz w:val="21"/>
                <w:szCs w:val="21"/>
                <w:highlight w:val="none"/>
              </w:rPr>
              <w:t>100</w:t>
            </w:r>
          </w:p>
        </w:tc>
        <w:tc>
          <w:tcPr>
            <w:tcW w:w="931" w:type="dxa"/>
            <w:vAlign w:val="center"/>
          </w:tcPr>
          <w:p w14:paraId="5240F5A2">
            <w:pPr>
              <w:jc w:val="center"/>
              <w:rPr>
                <w:rFonts w:ascii="宋体" w:hAnsi="宋体" w:cs="宋体"/>
                <w:color w:val="auto"/>
                <w:sz w:val="21"/>
                <w:szCs w:val="21"/>
                <w:highlight w:val="none"/>
              </w:rPr>
            </w:pPr>
            <w:r>
              <w:rPr>
                <w:rFonts w:ascii="宋体" w:hAnsi="宋体" w:cs="宋体"/>
                <w:color w:val="auto"/>
                <w:sz w:val="21"/>
                <w:szCs w:val="21"/>
                <w:highlight w:val="none"/>
              </w:rPr>
              <w:t>1名</w:t>
            </w:r>
          </w:p>
        </w:tc>
        <w:tc>
          <w:tcPr>
            <w:tcW w:w="2483" w:type="dxa"/>
            <w:vAlign w:val="center"/>
          </w:tcPr>
          <w:p w14:paraId="2D9B7602">
            <w:pPr>
              <w:spacing w:line="240" w:lineRule="exact"/>
              <w:jc w:val="center"/>
              <w:rPr>
                <w:rFonts w:ascii="宋体" w:hAnsi="宋体" w:cs="宋体"/>
                <w:color w:val="auto"/>
                <w:sz w:val="21"/>
                <w:szCs w:val="21"/>
                <w:highlight w:val="none"/>
              </w:rPr>
            </w:pPr>
            <w:r>
              <w:rPr>
                <w:rFonts w:ascii="宋体" w:hAnsi="宋体" w:cs="宋体"/>
                <w:color w:val="auto"/>
                <w:sz w:val="21"/>
                <w:szCs w:val="21"/>
                <w:highlight w:val="none"/>
              </w:rPr>
              <w:t>5000㎡</w:t>
            </w:r>
            <w:r>
              <w:rPr>
                <w:rFonts w:hint="eastAsia" w:ascii="宋体" w:hAnsi="宋体"/>
                <w:color w:val="auto"/>
                <w:sz w:val="21"/>
                <w:szCs w:val="21"/>
                <w:highlight w:val="none"/>
              </w:rPr>
              <w:t>（以实际勘察为准）</w:t>
            </w:r>
          </w:p>
          <w:p w14:paraId="71046FA6">
            <w:pPr>
              <w:spacing w:line="240" w:lineRule="exact"/>
              <w:jc w:val="center"/>
              <w:rPr>
                <w:rFonts w:ascii="宋体" w:hAnsi="宋体" w:cs="宋体"/>
                <w:color w:val="auto"/>
                <w:sz w:val="21"/>
                <w:szCs w:val="21"/>
                <w:highlight w:val="none"/>
              </w:rPr>
            </w:pPr>
          </w:p>
        </w:tc>
      </w:tr>
      <w:tr w14:paraId="3010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08" w:type="dxa"/>
            <w:vAlign w:val="center"/>
          </w:tcPr>
          <w:p w14:paraId="34B125AE">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包</w:t>
            </w:r>
            <w:r>
              <w:rPr>
                <w:rFonts w:ascii="宋体" w:hAnsi="宋体" w:cs="宋体"/>
                <w:color w:val="auto"/>
                <w:sz w:val="21"/>
                <w:szCs w:val="21"/>
                <w:highlight w:val="none"/>
              </w:rPr>
              <w:t>5</w:t>
            </w:r>
          </w:p>
        </w:tc>
        <w:tc>
          <w:tcPr>
            <w:tcW w:w="2612" w:type="dxa"/>
            <w:vAlign w:val="center"/>
          </w:tcPr>
          <w:p w14:paraId="3BBE1456">
            <w:pPr>
              <w:jc w:val="center"/>
              <w:rPr>
                <w:rFonts w:ascii="宋体" w:hAnsi="宋体"/>
                <w:color w:val="auto"/>
                <w:sz w:val="21"/>
                <w:szCs w:val="21"/>
                <w:highlight w:val="none"/>
              </w:rPr>
            </w:pPr>
            <w:r>
              <w:rPr>
                <w:rFonts w:hint="eastAsia" w:ascii="宋体" w:hAnsi="宋体"/>
                <w:color w:val="auto"/>
                <w:sz w:val="21"/>
                <w:szCs w:val="21"/>
                <w:highlight w:val="none"/>
              </w:rPr>
              <w:t>星湖校区知和楼一、二楼食堂（含教工餐厅）及学聚苑食堂委托经营</w:t>
            </w:r>
          </w:p>
        </w:tc>
        <w:tc>
          <w:tcPr>
            <w:tcW w:w="1269" w:type="dxa"/>
            <w:shd w:val="clear" w:color="auto" w:fill="auto"/>
            <w:vAlign w:val="center"/>
          </w:tcPr>
          <w:p w14:paraId="4D4AFFFD">
            <w:pPr>
              <w:jc w:val="center"/>
              <w:rPr>
                <w:rFonts w:ascii="宋体" w:hAnsi="宋体" w:cs="宋体"/>
                <w:color w:val="auto"/>
                <w:sz w:val="21"/>
                <w:szCs w:val="21"/>
                <w:highlight w:val="none"/>
              </w:rPr>
            </w:pPr>
            <w:r>
              <w:rPr>
                <w:rFonts w:ascii="宋体" w:hAnsi="宋体" w:cs="宋体"/>
                <w:color w:val="auto"/>
                <w:sz w:val="21"/>
                <w:szCs w:val="21"/>
                <w:highlight w:val="none"/>
              </w:rPr>
              <w:t>20</w:t>
            </w:r>
          </w:p>
        </w:tc>
        <w:tc>
          <w:tcPr>
            <w:tcW w:w="1277" w:type="dxa"/>
            <w:shd w:val="clear" w:color="auto" w:fill="auto"/>
            <w:vAlign w:val="center"/>
          </w:tcPr>
          <w:p w14:paraId="36AAF127">
            <w:pPr>
              <w:jc w:val="center"/>
              <w:rPr>
                <w:rFonts w:ascii="宋体" w:hAnsi="宋体" w:cs="宋体"/>
                <w:color w:val="auto"/>
                <w:sz w:val="21"/>
                <w:szCs w:val="21"/>
                <w:highlight w:val="none"/>
              </w:rPr>
            </w:pPr>
            <w:r>
              <w:rPr>
                <w:rFonts w:ascii="宋体" w:hAnsi="宋体" w:cs="宋体"/>
                <w:color w:val="auto"/>
                <w:sz w:val="21"/>
                <w:szCs w:val="21"/>
                <w:highlight w:val="none"/>
              </w:rPr>
              <w:t>100</w:t>
            </w:r>
          </w:p>
        </w:tc>
        <w:tc>
          <w:tcPr>
            <w:tcW w:w="931" w:type="dxa"/>
            <w:shd w:val="clear" w:color="auto" w:fill="auto"/>
            <w:vAlign w:val="center"/>
          </w:tcPr>
          <w:p w14:paraId="0942D1DF">
            <w:pPr>
              <w:jc w:val="center"/>
              <w:rPr>
                <w:rFonts w:ascii="宋体" w:hAnsi="宋体" w:cs="宋体"/>
                <w:color w:val="auto"/>
                <w:sz w:val="21"/>
                <w:szCs w:val="21"/>
                <w:highlight w:val="none"/>
              </w:rPr>
            </w:pPr>
            <w:r>
              <w:rPr>
                <w:rFonts w:ascii="宋体" w:hAnsi="宋体" w:cs="宋体"/>
                <w:color w:val="auto"/>
                <w:sz w:val="21"/>
                <w:szCs w:val="21"/>
                <w:highlight w:val="none"/>
              </w:rPr>
              <w:t>1名</w:t>
            </w:r>
          </w:p>
        </w:tc>
        <w:tc>
          <w:tcPr>
            <w:tcW w:w="2483" w:type="dxa"/>
            <w:vAlign w:val="center"/>
          </w:tcPr>
          <w:p w14:paraId="32509D73">
            <w:pPr>
              <w:spacing w:line="240" w:lineRule="exact"/>
              <w:jc w:val="center"/>
              <w:rPr>
                <w:rFonts w:ascii="宋体" w:hAnsi="宋体"/>
                <w:color w:val="auto"/>
                <w:sz w:val="21"/>
                <w:szCs w:val="21"/>
                <w:highlight w:val="none"/>
              </w:rPr>
            </w:pPr>
            <w:r>
              <w:rPr>
                <w:rFonts w:ascii="宋体" w:hAnsi="宋体" w:cs="宋体"/>
                <w:color w:val="auto"/>
                <w:sz w:val="21"/>
                <w:szCs w:val="21"/>
                <w:highlight w:val="none"/>
              </w:rPr>
              <w:t>6052㎡</w:t>
            </w:r>
          </w:p>
          <w:p w14:paraId="35EE93F4">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其中，星湖校区知和楼一二楼食堂</w:t>
            </w:r>
            <w:r>
              <w:rPr>
                <w:rFonts w:ascii="宋体" w:hAnsi="宋体"/>
                <w:color w:val="auto"/>
                <w:sz w:val="21"/>
                <w:szCs w:val="21"/>
                <w:highlight w:val="none"/>
              </w:rPr>
              <w:t>5200</w:t>
            </w:r>
            <w:r>
              <w:rPr>
                <w:rFonts w:hint="eastAsia" w:ascii="宋体" w:hAnsi="宋体" w:cs="宋体"/>
                <w:color w:val="auto"/>
                <w:sz w:val="21"/>
                <w:szCs w:val="21"/>
                <w:highlight w:val="none"/>
              </w:rPr>
              <w:t>㎡</w:t>
            </w:r>
            <w:r>
              <w:rPr>
                <w:rFonts w:hint="eastAsia" w:ascii="宋体" w:hAnsi="宋体"/>
                <w:color w:val="auto"/>
                <w:sz w:val="21"/>
                <w:szCs w:val="21"/>
                <w:highlight w:val="none"/>
              </w:rPr>
              <w:t>，学聚苑食堂</w:t>
            </w:r>
            <w:r>
              <w:rPr>
                <w:rFonts w:ascii="宋体" w:hAnsi="宋体"/>
                <w:color w:val="auto"/>
                <w:sz w:val="21"/>
                <w:szCs w:val="21"/>
                <w:highlight w:val="none"/>
              </w:rPr>
              <w:t>852</w:t>
            </w:r>
            <w:r>
              <w:rPr>
                <w:rFonts w:hint="eastAsia" w:ascii="宋体" w:hAnsi="宋体" w:cs="宋体"/>
                <w:color w:val="auto"/>
                <w:sz w:val="21"/>
                <w:szCs w:val="21"/>
                <w:highlight w:val="none"/>
              </w:rPr>
              <w:t>㎡</w:t>
            </w:r>
            <w:r>
              <w:rPr>
                <w:rFonts w:ascii="宋体" w:hAnsi="宋体"/>
                <w:color w:val="auto"/>
                <w:sz w:val="21"/>
                <w:szCs w:val="21"/>
                <w:highlight w:val="none"/>
              </w:rPr>
              <w:t>,（以实际勘察为准）</w:t>
            </w:r>
          </w:p>
        </w:tc>
      </w:tr>
    </w:tbl>
    <w:p w14:paraId="65014CBD">
      <w:pPr>
        <w:rPr>
          <w:rFonts w:ascii="宋体" w:hAnsi="宋体" w:cs="宋体"/>
          <w:color w:val="auto"/>
          <w:sz w:val="24"/>
          <w:szCs w:val="24"/>
          <w:highlight w:val="none"/>
        </w:rPr>
      </w:pPr>
      <w:r>
        <w:rPr>
          <w:rFonts w:hint="eastAsia" w:ascii="宋体" w:hAnsi="宋体" w:cs="宋体"/>
          <w:color w:val="auto"/>
          <w:sz w:val="24"/>
          <w:szCs w:val="24"/>
          <w:highlight w:val="none"/>
        </w:rPr>
        <w:t>注：（一）本项目无图纸，需现场勘察自行制作图纸。</w:t>
      </w:r>
    </w:p>
    <w:p w14:paraId="5A1064B2">
      <w:pPr>
        <w:ind w:firstLine="480" w:firstLineChars="200"/>
        <w:rPr>
          <w:rFonts w:ascii="宋体" w:hAnsi="宋体" w:cs="宋体"/>
          <w:color w:val="auto"/>
          <w:highlight w:val="none"/>
        </w:rPr>
      </w:pPr>
      <w:r>
        <w:rPr>
          <w:rFonts w:hint="eastAsia" w:ascii="宋体" w:hAnsi="宋体" w:cs="宋体"/>
          <w:color w:val="auto"/>
          <w:sz w:val="24"/>
          <w:szCs w:val="24"/>
          <w:highlight w:val="none"/>
        </w:rPr>
        <w:t>（二）供应商在勘探现场时需注意的是上述经营面积可能与现场实际经营场地有出入，主要以采购人指定区域为准。</w:t>
      </w:r>
    </w:p>
    <w:p w14:paraId="708E950C">
      <w:pPr>
        <w:pStyle w:val="3"/>
        <w:spacing w:line="360" w:lineRule="exact"/>
        <w:rPr>
          <w:b w:val="0"/>
          <w:color w:val="auto"/>
          <w:sz w:val="28"/>
          <w:szCs w:val="28"/>
          <w:highlight w:val="none"/>
        </w:rPr>
      </w:pPr>
      <w:bookmarkStart w:id="10" w:name="_Toc19985"/>
      <w:bookmarkStart w:id="11" w:name="_Toc2668"/>
      <w:bookmarkStart w:id="12" w:name="_Toc27152"/>
      <w:bookmarkStart w:id="13" w:name="_Toc373860293"/>
      <w:bookmarkStart w:id="14" w:name="_Toc317775178"/>
      <w:r>
        <w:rPr>
          <w:rFonts w:hint="eastAsia"/>
          <w:b w:val="0"/>
          <w:color w:val="auto"/>
          <w:sz w:val="28"/>
          <w:szCs w:val="28"/>
          <w:highlight w:val="none"/>
        </w:rPr>
        <w:t>二、供应商资格条件</w:t>
      </w:r>
      <w:bookmarkEnd w:id="10"/>
      <w:bookmarkEnd w:id="11"/>
      <w:bookmarkEnd w:id="12"/>
    </w:p>
    <w:p w14:paraId="55769981">
      <w:pPr>
        <w:spacing w:line="400" w:lineRule="exact"/>
        <w:ind w:firstLine="480" w:firstLineChars="200"/>
        <w:rPr>
          <w:rFonts w:ascii="宋体" w:hAnsi="宋体" w:cs="宋体"/>
          <w:color w:val="auto"/>
          <w:sz w:val="24"/>
          <w:szCs w:val="24"/>
          <w:highlight w:val="none"/>
        </w:rPr>
      </w:pPr>
      <w:bookmarkStart w:id="15" w:name="_Toc11257"/>
      <w:r>
        <w:rPr>
          <w:rFonts w:hint="eastAsia" w:ascii="宋体" w:hAnsi="宋体" w:cs="宋体"/>
          <w:color w:val="auto"/>
          <w:sz w:val="24"/>
          <w:szCs w:val="24"/>
          <w:highlight w:val="none"/>
        </w:rPr>
        <w:t>（一）满足《中华人民共和国政府采购法》第二十二条规定的六项基本资格条件；</w:t>
      </w:r>
    </w:p>
    <w:p w14:paraId="1205E1D4">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具有独立承担民事责任的能力；</w:t>
      </w:r>
    </w:p>
    <w:p w14:paraId="1C90AF7C">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具有良好的商业信誉和健全的财务会计制度；</w:t>
      </w:r>
    </w:p>
    <w:p w14:paraId="1B55796E">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3.具有履行合同所必需的设备和专业技术能力；</w:t>
      </w:r>
    </w:p>
    <w:p w14:paraId="26471FA1">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4.有依法缴纳税收和社会保障资金的良好记录；</w:t>
      </w:r>
    </w:p>
    <w:p w14:paraId="3AAADCA7">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5.近三年内，在经营活动中没有重大违法记录；</w:t>
      </w:r>
    </w:p>
    <w:p w14:paraId="62E03D5D">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6.法律、行政法规规定的其他条件。</w:t>
      </w:r>
    </w:p>
    <w:p w14:paraId="1654193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（二）本项目的特定资格要求：</w:t>
      </w:r>
    </w:p>
    <w:p w14:paraId="021ADDB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1.供应商须持有有效的市场监督管理局颁发的食品经营许可证且</w:t>
      </w:r>
      <w:r>
        <w:rPr>
          <w:rFonts w:hint="eastAsia" w:ascii="宋体" w:hAnsi="宋体" w:cs="宋体"/>
          <w:color w:val="auto"/>
          <w:sz w:val="24"/>
          <w:szCs w:val="24"/>
          <w:highlight w:val="none"/>
          <w:lang w:val="en-US" w:eastAsia="zh-CN"/>
        </w:rPr>
        <w:t>主体业态或经营项目具有</w:t>
      </w:r>
      <w:r>
        <w:rPr>
          <w:rFonts w:hint="eastAsia" w:ascii="宋体" w:hAnsi="宋体" w:cs="宋体"/>
          <w:color w:val="auto"/>
          <w:sz w:val="24"/>
          <w:szCs w:val="24"/>
          <w:highlight w:val="none"/>
        </w:rPr>
        <w:t>餐饮服务（提供证书复印件并加盖鲜章，原件备查）；</w:t>
      </w:r>
    </w:p>
    <w:p w14:paraId="16B2CCA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2.供应商2020年1月1日以来至投标截止时间（以合同签订时间为准），具有单个合同经营面积2000m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rPr>
        <w:t>及以上（必须是合同中明确的经营面积）的</w:t>
      </w:r>
      <w:r>
        <w:rPr>
          <w:rFonts w:hint="eastAsia" w:ascii="宋体" w:hAnsi="宋体" w:cs="宋体"/>
          <w:color w:val="auto"/>
          <w:sz w:val="24"/>
          <w:szCs w:val="24"/>
          <w:highlight w:val="none"/>
          <w:lang w:val="en-US" w:eastAsia="zh-CN"/>
        </w:rPr>
        <w:t>与</w:t>
      </w:r>
      <w:r>
        <w:rPr>
          <w:rFonts w:hint="eastAsia" w:ascii="宋体" w:hAnsi="宋体" w:cs="宋体"/>
          <w:color w:val="auto"/>
          <w:sz w:val="24"/>
          <w:szCs w:val="24"/>
          <w:highlight w:val="none"/>
        </w:rPr>
        <w:t>高校</w:t>
      </w:r>
      <w:r>
        <w:rPr>
          <w:rFonts w:hint="eastAsia" w:ascii="宋体" w:hAnsi="宋体" w:cs="宋体"/>
          <w:color w:val="auto"/>
          <w:sz w:val="24"/>
          <w:szCs w:val="24"/>
          <w:highlight w:val="none"/>
          <w:lang w:val="en-US" w:eastAsia="zh-CN"/>
        </w:rPr>
        <w:t>签订的</w:t>
      </w:r>
      <w:r>
        <w:rPr>
          <w:rFonts w:hint="eastAsia" w:ascii="宋体" w:hAnsi="宋体" w:cs="宋体"/>
          <w:color w:val="auto"/>
          <w:sz w:val="24"/>
          <w:szCs w:val="24"/>
          <w:highlight w:val="none"/>
        </w:rPr>
        <w:t>食堂经营业绩1个，提供合同复印件并加盖投标人公章（原件备查）。</w:t>
      </w:r>
    </w:p>
    <w:bookmarkEnd w:id="13"/>
    <w:bookmarkEnd w:id="14"/>
    <w:bookmarkEnd w:id="15"/>
    <w:p w14:paraId="436066D8">
      <w:pPr>
        <w:pStyle w:val="3"/>
        <w:spacing w:line="360" w:lineRule="exact"/>
        <w:rPr>
          <w:b w:val="0"/>
          <w:color w:val="auto"/>
          <w:highlight w:val="none"/>
        </w:rPr>
      </w:pPr>
      <w:bookmarkStart w:id="16" w:name="_Toc4438"/>
      <w:bookmarkStart w:id="17" w:name="_Toc25135"/>
      <w:r>
        <w:rPr>
          <w:rFonts w:hint="eastAsia"/>
          <w:b w:val="0"/>
          <w:color w:val="auto"/>
          <w:highlight w:val="none"/>
        </w:rPr>
        <w:t>三、磋商有关说明</w:t>
      </w:r>
      <w:bookmarkEnd w:id="16"/>
      <w:bookmarkEnd w:id="17"/>
    </w:p>
    <w:p w14:paraId="5984222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（一）供应商需通过“行采家”平台（</w:t>
      </w:r>
      <w:r>
        <w:rPr>
          <w:rFonts w:ascii="宋体" w:hAnsi="宋体" w:cs="宋体"/>
          <w:color w:val="auto"/>
          <w:sz w:val="24"/>
          <w:szCs w:val="24"/>
          <w:highlight w:val="none"/>
        </w:rPr>
        <w:t>http://www.gec123.com）进行注册，成为正式</w:t>
      </w:r>
      <w:r>
        <w:rPr>
          <w:rFonts w:hint="eastAsia" w:ascii="宋体" w:hAnsi="宋体" w:cs="宋体"/>
          <w:color w:val="auto"/>
          <w:sz w:val="24"/>
          <w:szCs w:val="24"/>
          <w:highlight w:val="none"/>
        </w:rPr>
        <w:t>供应商方能参与采购活动。</w:t>
      </w:r>
    </w:p>
    <w:p w14:paraId="2A89265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（二）凡有意参加磋商的供应商，请在“行采家”平台（</w:t>
      </w:r>
      <w:r>
        <w:rPr>
          <w:rFonts w:ascii="宋体" w:hAnsi="宋体" w:cs="宋体"/>
          <w:color w:val="auto"/>
          <w:sz w:val="24"/>
          <w:szCs w:val="24"/>
          <w:highlight w:val="none"/>
        </w:rPr>
        <w:t>http://www.gec123.com）下载或到采购代理机构处领取本项目竞争性磋商文件以及图纸、澄清等磋商前公布的所有项目资料，无论供应商下载或领取与否，均视为已知晓所有磋商实质性要求内容。</w:t>
      </w:r>
    </w:p>
    <w:p w14:paraId="05E66AC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7D4F5C3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w:t>
      </w:r>
      <w:r>
        <w:rPr>
          <w:color w:val="auto"/>
          <w:highlight w:val="none"/>
        </w:rPr>
        <w:fldChar w:fldCharType="begin"/>
      </w:r>
      <w:r>
        <w:rPr>
          <w:color w:val="auto"/>
          <w:highlight w:val="none"/>
        </w:rPr>
        <w:instrText xml:space="preserve"> HYPERLINK "mailto:2.报名方式在磋商文件发售期内，供应商将《报名表》（加盖供应商公章）扫描后发送至1245997864@qq.com（邮箱）。" </w:instrText>
      </w:r>
      <w:r>
        <w:rPr>
          <w:color w:val="auto"/>
          <w:highlight w:val="none"/>
        </w:rPr>
        <w:fldChar w:fldCharType="separate"/>
      </w:r>
      <w:r>
        <w:rPr>
          <w:rFonts w:hint="eastAsia" w:ascii="宋体" w:hAnsi="宋体" w:cs="宋体"/>
          <w:color w:val="auto"/>
          <w:sz w:val="24"/>
          <w:szCs w:val="24"/>
          <w:highlight w:val="none"/>
        </w:rPr>
        <w:t>报名方式：无需报名。</w:t>
      </w:r>
      <w:r>
        <w:rPr>
          <w:rFonts w:hint="eastAsia" w:ascii="宋体" w:hAnsi="宋体" w:cs="宋体"/>
          <w:color w:val="auto"/>
          <w:sz w:val="24"/>
          <w:szCs w:val="24"/>
          <w:highlight w:val="none"/>
        </w:rPr>
        <w:fldChar w:fldCharType="end"/>
      </w:r>
    </w:p>
    <w:p w14:paraId="43DA8C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竞争性磋商文件售价：人民币</w:t>
      </w:r>
      <w:r>
        <w:rPr>
          <w:rFonts w:ascii="宋体" w:hAnsi="宋体" w:cs="宋体"/>
          <w:color w:val="auto"/>
          <w:sz w:val="24"/>
          <w:szCs w:val="24"/>
          <w:highlight w:val="none"/>
        </w:rPr>
        <w:t>1000元/包（磋商当日开标现场缴纳）。</w:t>
      </w:r>
    </w:p>
    <w:p w14:paraId="2694B39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（五）递交响应文件地点：重庆文理学院恪勤楼203室（重庆市永川区红河大道319号）</w:t>
      </w:r>
      <w:r>
        <w:rPr>
          <w:rFonts w:ascii="宋体" w:hAnsi="宋体" w:cs="宋体"/>
          <w:color w:val="auto"/>
          <w:sz w:val="24"/>
          <w:szCs w:val="24"/>
          <w:highlight w:val="none"/>
        </w:rPr>
        <w:t>。</w:t>
      </w:r>
    </w:p>
    <w:p w14:paraId="50D1FDE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（六重庆文理学院恪勤楼203室（重庆市永川区红河大道319号）</w:t>
      </w:r>
      <w:r>
        <w:rPr>
          <w:rFonts w:ascii="宋体" w:hAnsi="宋体" w:cs="宋体"/>
          <w:color w:val="auto"/>
          <w:sz w:val="24"/>
          <w:szCs w:val="24"/>
          <w:highlight w:val="none"/>
        </w:rPr>
        <w:t>。</w:t>
      </w:r>
      <w:r>
        <w:rPr>
          <w:rFonts w:hint="eastAsia" w:ascii="宋体" w:hAnsi="宋体" w:cs="宋体"/>
          <w:color w:val="auto"/>
          <w:sz w:val="24"/>
          <w:szCs w:val="24"/>
          <w:highlight w:val="none"/>
        </w:rPr>
        <w:t>）递交响应文件开始时间：</w:t>
      </w:r>
      <w:r>
        <w:rPr>
          <w:rFonts w:ascii="宋体" w:hAnsi="宋体" w:cs="宋体"/>
          <w:color w:val="auto"/>
          <w:sz w:val="24"/>
          <w:szCs w:val="24"/>
          <w:highlight w:val="none"/>
        </w:rPr>
        <w:t>2025年</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ascii="宋体" w:hAnsi="宋体" w:cs="宋体"/>
          <w:color w:val="auto"/>
          <w:sz w:val="24"/>
          <w:szCs w:val="24"/>
          <w:highlight w:val="none"/>
        </w:rPr>
        <w:t>日北京时间9:00</w:t>
      </w:r>
    </w:p>
    <w:p w14:paraId="13DE498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（七）递交响应文件截止时间：</w:t>
      </w:r>
      <w:r>
        <w:rPr>
          <w:rFonts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ascii="宋体" w:hAnsi="宋体" w:cs="宋体"/>
          <w:color w:val="auto"/>
          <w:sz w:val="24"/>
          <w:szCs w:val="24"/>
          <w:highlight w:val="none"/>
        </w:rPr>
        <w:t>日北京时间9:30</w:t>
      </w:r>
    </w:p>
    <w:p w14:paraId="7E27AA1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（八）磋商开始时间：</w:t>
      </w:r>
      <w:r>
        <w:rPr>
          <w:rFonts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ascii="宋体" w:hAnsi="宋体" w:cs="宋体"/>
          <w:color w:val="auto"/>
          <w:sz w:val="24"/>
          <w:szCs w:val="24"/>
          <w:highlight w:val="none"/>
        </w:rPr>
        <w:t xml:space="preserve">日北京时间9:30 </w:t>
      </w:r>
    </w:p>
    <w:p w14:paraId="02E9FA16">
      <w:pPr>
        <w:pStyle w:val="3"/>
        <w:spacing w:line="360" w:lineRule="exact"/>
        <w:rPr>
          <w:b w:val="0"/>
          <w:color w:val="auto"/>
          <w:highlight w:val="none"/>
        </w:rPr>
      </w:pPr>
      <w:bookmarkStart w:id="18" w:name="_Toc111824338"/>
      <w:bookmarkStart w:id="19" w:name="_Toc3210"/>
      <w:bookmarkStart w:id="20" w:name="_Toc4629"/>
      <w:bookmarkStart w:id="21" w:name="_Toc480466699"/>
      <w:bookmarkStart w:id="22" w:name="_Toc76462322"/>
      <w:r>
        <w:rPr>
          <w:rFonts w:hint="eastAsia"/>
          <w:b w:val="0"/>
          <w:color w:val="auto"/>
          <w:highlight w:val="none"/>
        </w:rPr>
        <w:t>四、磋商保证金</w:t>
      </w:r>
      <w:bookmarkEnd w:id="18"/>
      <w:bookmarkEnd w:id="19"/>
      <w:bookmarkEnd w:id="20"/>
    </w:p>
    <w:p w14:paraId="3723D859">
      <w:pPr>
        <w:snapToGrid w:val="0"/>
        <w:spacing w:line="380" w:lineRule="exact"/>
        <w:ind w:firstLine="480" w:firstLineChars="200"/>
        <w:rPr>
          <w:rFonts w:ascii="宋体" w:hAnsi="宋体" w:cs="宋体"/>
          <w:color w:val="auto"/>
          <w:sz w:val="24"/>
          <w:szCs w:val="24"/>
          <w:highlight w:val="none"/>
        </w:rPr>
      </w:pPr>
      <w:bookmarkStart w:id="23" w:name="_Toc1475"/>
      <w:r>
        <w:rPr>
          <w:rFonts w:hint="eastAsia" w:ascii="宋体" w:hAnsi="宋体" w:cs="宋体"/>
          <w:color w:val="auto"/>
          <w:sz w:val="24"/>
          <w:szCs w:val="24"/>
          <w:highlight w:val="none"/>
        </w:rPr>
        <w:t>（一）磋商保证金递交</w:t>
      </w:r>
    </w:p>
    <w:p w14:paraId="394F7CA4">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1.供应商应足额交纳磋商保证金（保证金金额详见本篇“一、竞争性磋商内容”），并汇至以下任一开户行账户，</w:t>
      </w:r>
      <w:r>
        <w:rPr>
          <w:rFonts w:hint="eastAsia" w:ascii="宋体" w:hAnsi="宋体" w:cs="宋体"/>
          <w:bCs/>
          <w:color w:val="auto"/>
          <w:sz w:val="24"/>
          <w:szCs w:val="24"/>
          <w:highlight w:val="none"/>
        </w:rPr>
        <w:t>磋商保证金的到账截止时间同响应文件递交截止时间。</w:t>
      </w:r>
    </w:p>
    <w:p w14:paraId="35E9CA5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磋商保证金账户：</w:t>
      </w:r>
    </w:p>
    <w:p w14:paraId="2956508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户名：中捷通信有限公司</w:t>
      </w:r>
    </w:p>
    <w:p w14:paraId="2672E98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开户银行：中信银行广州花园支行</w:t>
      </w:r>
    </w:p>
    <w:p w14:paraId="6EA532C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保证金账号：3110910043850052406</w:t>
      </w:r>
      <w:r>
        <w:rPr>
          <w:rFonts w:ascii="宋体" w:hAnsi="宋体" w:cs="宋体"/>
          <w:color w:val="auto"/>
          <w:sz w:val="24"/>
          <w:szCs w:val="24"/>
          <w:highlight w:val="none"/>
        </w:rPr>
        <w:t xml:space="preserve">   </w:t>
      </w:r>
    </w:p>
    <w:p w14:paraId="47F1CFC8">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2.缴纳磋商保证金的单位名称必须与供应商名称相同，只有按规定交纳磋商保证金后，才</w:t>
      </w:r>
      <w:r>
        <w:rPr>
          <w:rFonts w:hint="eastAsia" w:ascii="宋体" w:hAnsi="宋体" w:cs="宋体"/>
          <w:color w:val="auto"/>
          <w:sz w:val="24"/>
          <w:szCs w:val="24"/>
          <w:highlight w:val="none"/>
        </w:rPr>
        <w:t>具备磋商资格。</w:t>
      </w:r>
    </w:p>
    <w:p w14:paraId="774538F5">
      <w:pPr>
        <w:snapToGrid w:val="0"/>
        <w:spacing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3.凡有意向参与本项目的潜在供应商，请通过</w:t>
      </w:r>
      <w:r>
        <w:rPr>
          <w:rFonts w:hint="eastAsia" w:ascii="宋体" w:hAnsi="宋体" w:cs="宋体"/>
          <w:bCs/>
          <w:color w:val="auto"/>
          <w:sz w:val="24"/>
          <w:szCs w:val="24"/>
          <w:highlight w:val="none"/>
        </w:rPr>
        <w:t>中捷通信有限公司招投标平台（网址：https://zjzb.chinaccsscm.cn）</w:t>
      </w:r>
      <w:r>
        <w:rPr>
          <w:rFonts w:ascii="宋体" w:hAnsi="宋体" w:cs="宋体"/>
          <w:bCs/>
          <w:color w:val="auto"/>
          <w:sz w:val="24"/>
          <w:szCs w:val="24"/>
          <w:highlight w:val="none"/>
        </w:rPr>
        <w:t>完成供应商的注册，未注册成功的供应商保证金退还时间将受影响。</w:t>
      </w:r>
    </w:p>
    <w:p w14:paraId="69B18972">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4.磋商保证金必须从供应商的企业基本账户</w:t>
      </w:r>
      <w:r>
        <w:rPr>
          <w:rFonts w:hint="eastAsia" w:ascii="宋体" w:hAnsi="宋体" w:cs="宋体"/>
          <w:color w:val="auto"/>
          <w:sz w:val="24"/>
          <w:szCs w:val="24"/>
          <w:highlight w:val="none"/>
        </w:rPr>
        <w:t>通过网银转账方式或电汇方式直接划付到提供的以上银行账户，缴、退磋商保证金的手续费均由供应商承担。</w:t>
      </w:r>
    </w:p>
    <w:p w14:paraId="22B85E2B">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在磋商文件规定的磋商保证金截止时间之前，本项目专用账户收到的磋商保证金为有效磋商保证金。应自行考虑汇入时间风险，如同城汇入、异地汇入、跨行汇入的时间要求。因银行等原因造成的磋商保证金入账确认时间延迟，采购机构不承担任何责任。</w:t>
      </w:r>
    </w:p>
    <w:p w14:paraId="5152B78C">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6.磋商保证金的有效期限在响应文件有效期过后30天内继续有效。</w:t>
      </w:r>
    </w:p>
    <w:p w14:paraId="0364A0A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注意事项：未在规定的时间内足额缴纳磋商保证金的，磋商保证金未从供应商单位基本账户缴入的，磋商保证金缴入账号错误的，磋商保证金来款账户名称与供应商基本账户名称不一致的，其磋商文件将被拒收。</w:t>
      </w:r>
    </w:p>
    <w:p w14:paraId="1561614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（二）磋商保证金的退还方式：</w:t>
      </w:r>
    </w:p>
    <w:p w14:paraId="7CD2911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通过网上程序将磋商保证金退还到供应商的基本账户。</w:t>
      </w:r>
    </w:p>
    <w:p w14:paraId="28BDAFE6">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1.在《成交通知书》发出后五个工作日内，按资金来款渠道直接退还未成交人的磋商保证金；在采购合同签订后五个工作日内，按资金来款渠道直接退还成交人的磋商保证金。</w:t>
      </w:r>
    </w:p>
    <w:p w14:paraId="2340E834">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2.出现流标、</w:t>
      </w:r>
      <w:r>
        <w:rPr>
          <w:rFonts w:hint="eastAsia" w:ascii="宋体" w:hAnsi="宋体" w:cs="宋体"/>
          <w:color w:val="auto"/>
          <w:sz w:val="24"/>
          <w:szCs w:val="24"/>
          <w:highlight w:val="none"/>
        </w:rPr>
        <w:t>废标情况，流标、废标公告发布后三个工作日内向供应商办理保证金退还手续。同一项目采购公告再次发布后，供应商须按规定重新缴纳磋商保证金。</w:t>
      </w:r>
    </w:p>
    <w:p w14:paraId="5ED78C26">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3.如因供应商自身原因，磋商保证金未缴入本项目专用账户导致的磋商保证金退还延迟，由供应商自行负责。</w:t>
      </w:r>
    </w:p>
    <w:p w14:paraId="143CC26F">
      <w:pPr>
        <w:pStyle w:val="3"/>
        <w:spacing w:line="360" w:lineRule="exact"/>
        <w:rPr>
          <w:b w:val="0"/>
          <w:color w:val="auto"/>
          <w:highlight w:val="none"/>
        </w:rPr>
      </w:pPr>
      <w:bookmarkStart w:id="24" w:name="_Toc10950"/>
      <w:r>
        <w:rPr>
          <w:rFonts w:hint="eastAsia"/>
          <w:b w:val="0"/>
          <w:color w:val="auto"/>
          <w:highlight w:val="none"/>
        </w:rPr>
        <w:t>五、其它有关规定</w:t>
      </w:r>
      <w:bookmarkEnd w:id="21"/>
      <w:bookmarkEnd w:id="22"/>
      <w:bookmarkEnd w:id="23"/>
      <w:bookmarkEnd w:id="24"/>
    </w:p>
    <w:p w14:paraId="3FF4A4F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0CD2490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CE61F8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（三）本项目的澄清文件（如果有）一律在“行采家”平台（</w:t>
      </w:r>
      <w:r>
        <w:rPr>
          <w:rFonts w:ascii="宋体" w:hAnsi="宋体" w:cs="宋体"/>
          <w:color w:val="auto"/>
          <w:sz w:val="24"/>
          <w:szCs w:val="24"/>
          <w:highlight w:val="none"/>
        </w:rPr>
        <w:t>http://www.gec123.com）上发布，请各供应商注意下载或到采购代理机构处领取；无论供应商下载或领取与否，均视同供应商已知晓本项目澄清文件（如果有）的内容。</w:t>
      </w:r>
    </w:p>
    <w:p w14:paraId="7194D24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7567B3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2EBDECD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（六）本项目不接受联合体参与磋商，否则按无效处理。</w:t>
      </w:r>
    </w:p>
    <w:p w14:paraId="3C31905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（七）同一供应商最多可投</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个包，但最多只能中标1个包。</w:t>
      </w:r>
    </w:p>
    <w:p w14:paraId="3BBE585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（八）本项目不接受合同分包转包，否则按无效处理。</w:t>
      </w:r>
    </w:p>
    <w:p w14:paraId="5B87FFD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w:t>
      </w:r>
      <w:r>
        <w:rPr>
          <w:rFonts w:ascii="宋体" w:hAnsi="宋体" w:cs="宋体"/>
          <w:color w:val="auto"/>
          <w:sz w:val="24"/>
          <w:szCs w:val="24"/>
          <w:highlight w:val="none"/>
        </w:rPr>
        <w:t>2016〕125号，供应商列入失信被执行人、</w:t>
      </w:r>
      <w:r>
        <w:rPr>
          <w:rFonts w:hint="eastAsia" w:ascii="宋体" w:hAnsi="宋体" w:cs="宋体"/>
          <w:color w:val="auto"/>
          <w:sz w:val="24"/>
          <w:szCs w:val="24"/>
          <w:highlight w:val="none"/>
        </w:rPr>
        <w:t>发生过重大食品安全事故、</w:t>
      </w:r>
      <w:r>
        <w:rPr>
          <w:rFonts w:ascii="宋体" w:hAnsi="宋体" w:cs="宋体"/>
          <w:color w:val="auto"/>
          <w:sz w:val="24"/>
          <w:szCs w:val="24"/>
          <w:highlight w:val="none"/>
        </w:rPr>
        <w:t>重大税收违法案件当事人名单、政府采购严重违法失信行为记录名单及其他不符合《中华人民共和国政府采购法》第二十二条规定条件的供应商，将拒绝其参与政府采购活动。</w:t>
      </w:r>
    </w:p>
    <w:p w14:paraId="021D56E5">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十</w:t>
      </w:r>
      <w:r>
        <w:rPr>
          <w:rFonts w:hint="eastAsia"/>
          <w:sz w:val="24"/>
          <w:szCs w:val="24"/>
          <w:highlight w:val="none"/>
          <w:lang w:eastAsia="zh-CN"/>
        </w:rPr>
        <w:t>）</w:t>
      </w:r>
      <w:r>
        <w:rPr>
          <w:rFonts w:hint="eastAsia"/>
          <w:sz w:val="24"/>
          <w:szCs w:val="24"/>
          <w:highlight w:val="none"/>
        </w:rPr>
        <w:t>为避免垄断，保障多元竞争和平衡，</w:t>
      </w:r>
      <w:r>
        <w:rPr>
          <w:rFonts w:hint="eastAsia"/>
          <w:sz w:val="24"/>
          <w:szCs w:val="24"/>
          <w:highlight w:val="none"/>
          <w:lang w:val="en-US" w:eastAsia="zh-CN"/>
        </w:rPr>
        <w:t>已在</w:t>
      </w:r>
      <w:r>
        <w:rPr>
          <w:rFonts w:hint="eastAsia"/>
          <w:sz w:val="24"/>
          <w:szCs w:val="24"/>
          <w:highlight w:val="none"/>
        </w:rPr>
        <w:t>重庆文理学院食堂委托经营项目编号WLZC-F-2025-118</w:t>
      </w:r>
      <w:r>
        <w:rPr>
          <w:rFonts w:hint="eastAsia"/>
          <w:sz w:val="24"/>
          <w:szCs w:val="24"/>
          <w:highlight w:val="none"/>
          <w:lang w:eastAsia="zh-CN"/>
        </w:rPr>
        <w:t>，</w:t>
      </w:r>
      <w:r>
        <w:rPr>
          <w:rFonts w:hint="eastAsia" w:ascii="宋体" w:hAnsi="宋体" w:cs="宋体"/>
          <w:color w:val="auto"/>
          <w:sz w:val="24"/>
          <w:szCs w:val="24"/>
          <w:highlight w:val="none"/>
        </w:rPr>
        <w:t>项目执行编号：ZJZB-2025-16155</w:t>
      </w:r>
      <w:r>
        <w:rPr>
          <w:rFonts w:hint="eastAsia"/>
          <w:sz w:val="24"/>
          <w:szCs w:val="24"/>
          <w:highlight w:val="none"/>
        </w:rPr>
        <w:t>的中标人不能参与本次磋商活动</w:t>
      </w:r>
      <w:r>
        <w:rPr>
          <w:rFonts w:hint="eastAsia"/>
          <w:sz w:val="24"/>
          <w:szCs w:val="24"/>
          <w:highlight w:val="none"/>
          <w:lang w:eastAsia="zh-CN"/>
        </w:rPr>
        <w:t>。</w:t>
      </w:r>
    </w:p>
    <w:p w14:paraId="38329D6A">
      <w:pPr>
        <w:pStyle w:val="3"/>
        <w:spacing w:line="360" w:lineRule="exact"/>
        <w:rPr>
          <w:rFonts w:hint="eastAsia"/>
          <w:b w:val="0"/>
          <w:color w:val="auto"/>
          <w:highlight w:val="none"/>
        </w:rPr>
      </w:pPr>
      <w:bookmarkStart w:id="25" w:name="_Toc14617"/>
      <w:bookmarkStart w:id="26" w:name="_Toc13008"/>
      <w:bookmarkStart w:id="27" w:name="_Toc14301"/>
      <w:r>
        <w:rPr>
          <w:rFonts w:hint="eastAsia"/>
          <w:b w:val="0"/>
          <w:color w:val="auto"/>
          <w:highlight w:val="none"/>
          <w:lang w:val="en-US" w:eastAsia="zh-CN"/>
        </w:rPr>
        <w:t>六</w:t>
      </w:r>
      <w:r>
        <w:rPr>
          <w:rFonts w:hint="eastAsia"/>
          <w:b w:val="0"/>
          <w:color w:val="auto"/>
          <w:highlight w:val="none"/>
        </w:rPr>
        <w:t>、联系方式</w:t>
      </w:r>
      <w:bookmarkEnd w:id="25"/>
      <w:bookmarkEnd w:id="26"/>
      <w:bookmarkEnd w:id="27"/>
    </w:p>
    <w:p w14:paraId="0A28B18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（一）采购代理机构：中捷通信有限公司</w:t>
      </w:r>
    </w:p>
    <w:p w14:paraId="631330A4">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联系人：谭稼彬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黄伟、彭跃川</w:t>
      </w:r>
    </w:p>
    <w:p w14:paraId="4F26CBFA">
      <w:pPr>
        <w:snapToGrid w:val="0"/>
        <w:spacing w:line="3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15730407055</w:t>
      </w:r>
    </w:p>
    <w:p w14:paraId="12DC57E4">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bookmarkStart w:id="258" w:name="_GoBack"/>
      <w:r>
        <w:rPr>
          <w:rFonts w:hint="eastAsia" w:ascii="宋体" w:hAnsi="宋体" w:cs="宋体"/>
          <w:color w:val="auto"/>
          <w:sz w:val="24"/>
          <w:szCs w:val="24"/>
          <w:highlight w:val="none"/>
        </w:rPr>
        <w:t>重庆市渝北区黄山大道中段67号信达国际B栋804</w:t>
      </w:r>
      <w:bookmarkEnd w:id="258"/>
    </w:p>
    <w:p w14:paraId="0505F10F">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（二）采购人：重庆文理学院</w:t>
      </w:r>
    </w:p>
    <w:p w14:paraId="26D87F07">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联系人：周老师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宫老师</w:t>
      </w:r>
    </w:p>
    <w:p w14:paraId="4E32740D">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ascii="宋体" w:hAnsi="宋体" w:cs="宋体"/>
          <w:color w:val="auto"/>
          <w:sz w:val="24"/>
          <w:szCs w:val="24"/>
          <w:highlight w:val="none"/>
        </w:rPr>
        <w:t>023-49891782</w:t>
      </w:r>
    </w:p>
    <w:p w14:paraId="0448B7C3">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重庆市永川区红河大道</w:t>
      </w:r>
      <w:r>
        <w:rPr>
          <w:rFonts w:ascii="宋体" w:hAnsi="宋体" w:cs="宋体"/>
          <w:color w:val="auto"/>
          <w:sz w:val="24"/>
          <w:szCs w:val="24"/>
          <w:highlight w:val="none"/>
        </w:rPr>
        <w:t>319号</w:t>
      </w:r>
    </w:p>
    <w:p w14:paraId="1AEEE99F">
      <w:pPr>
        <w:rPr>
          <w:rFonts w:ascii="宋体" w:hAnsi="宋体" w:cs="宋体"/>
          <w:color w:val="auto"/>
          <w:highlight w:val="none"/>
        </w:rPr>
      </w:pPr>
      <w:r>
        <w:rPr>
          <w:rFonts w:ascii="宋体" w:hAnsi="宋体" w:cs="宋体"/>
          <w:color w:val="auto"/>
          <w:highlight w:val="none"/>
        </w:rPr>
        <w:br w:type="page"/>
      </w:r>
    </w:p>
    <w:p w14:paraId="62E85E4D">
      <w:pPr>
        <w:pStyle w:val="42"/>
        <w:rPr>
          <w:rFonts w:ascii="宋体" w:hAnsi="宋体" w:cs="宋体"/>
          <w:color w:val="auto"/>
          <w:highlight w:val="none"/>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14:paraId="4C35F74C">
      <w:pPr>
        <w:pStyle w:val="2"/>
        <w:jc w:val="center"/>
        <w:rPr>
          <w:color w:val="auto"/>
          <w:sz w:val="32"/>
          <w:szCs w:val="32"/>
          <w:highlight w:val="none"/>
        </w:rPr>
      </w:pPr>
      <w:bookmarkStart w:id="28" w:name="_Toc20289"/>
      <w:bookmarkStart w:id="29" w:name="_Toc13255"/>
      <w:bookmarkStart w:id="30" w:name="_Toc23077"/>
      <w:r>
        <w:rPr>
          <w:rFonts w:hint="eastAsia"/>
          <w:color w:val="auto"/>
          <w:sz w:val="32"/>
          <w:szCs w:val="32"/>
          <w:highlight w:val="none"/>
        </w:rPr>
        <w:t>第二篇</w:t>
      </w:r>
      <w:r>
        <w:rPr>
          <w:color w:val="auto"/>
          <w:sz w:val="32"/>
          <w:szCs w:val="32"/>
          <w:highlight w:val="none"/>
        </w:rPr>
        <w:t xml:space="preserve">  </w:t>
      </w:r>
      <w:r>
        <w:rPr>
          <w:rFonts w:hint="eastAsia"/>
          <w:color w:val="auto"/>
          <w:sz w:val="32"/>
          <w:szCs w:val="32"/>
          <w:highlight w:val="none"/>
        </w:rPr>
        <w:t>采购服务需求</w:t>
      </w:r>
      <w:bookmarkEnd w:id="28"/>
      <w:bookmarkEnd w:id="29"/>
      <w:bookmarkEnd w:id="30"/>
    </w:p>
    <w:p w14:paraId="3E0F2C13">
      <w:pPr>
        <w:spacing w:line="400" w:lineRule="exact"/>
        <w:ind w:firstLine="480" w:firstLineChars="200"/>
        <w:rPr>
          <w:rFonts w:ascii="宋体" w:hAnsi="宋体" w:cs="宋体"/>
          <w:color w:val="auto"/>
          <w:sz w:val="24"/>
          <w:szCs w:val="24"/>
          <w:highlight w:val="none"/>
        </w:rPr>
      </w:pPr>
      <w:bookmarkStart w:id="31" w:name="_Toc76462325"/>
      <w:r>
        <w:rPr>
          <w:rFonts w:hint="eastAsia" w:ascii="宋体" w:hAnsi="宋体" w:cs="宋体"/>
          <w:color w:val="auto"/>
          <w:sz w:val="24"/>
          <w:szCs w:val="24"/>
          <w:highlight w:val="none"/>
        </w:rPr>
        <w:t>“</w:t>
      </w:r>
      <w:r>
        <w:rPr>
          <w:rFonts w:ascii="宋体" w:hAnsi="宋体" w:cs="宋体"/>
          <w:color w:val="auto"/>
          <w:sz w:val="24"/>
          <w:szCs w:val="24"/>
          <w:highlight w:val="none"/>
        </w:rPr>
        <w:t>*”标注的服务需求为符合性审查中的实质性要求，若不</w:t>
      </w:r>
      <w:r>
        <w:rPr>
          <w:rFonts w:hint="eastAsia" w:ascii="宋体" w:hAnsi="宋体" w:cs="宋体"/>
          <w:color w:val="auto"/>
          <w:sz w:val="24"/>
          <w:szCs w:val="24"/>
          <w:highlight w:val="none"/>
        </w:rPr>
        <w:t>满足按无效投标处理。</w:t>
      </w:r>
    </w:p>
    <w:bookmarkEnd w:id="31"/>
    <w:p w14:paraId="341C0ADE">
      <w:pPr>
        <w:rPr>
          <w:rFonts w:ascii="宋体" w:hAnsi="宋体" w:cs="宋体"/>
          <w:color w:val="auto"/>
          <w:highlight w:val="none"/>
        </w:rPr>
      </w:pPr>
    </w:p>
    <w:p w14:paraId="217B5293">
      <w:pPr>
        <w:pStyle w:val="3"/>
        <w:spacing w:line="400" w:lineRule="exact"/>
        <w:rPr>
          <w:b w:val="0"/>
          <w:color w:val="auto"/>
          <w:highlight w:val="none"/>
        </w:rPr>
      </w:pPr>
      <w:bookmarkStart w:id="32" w:name="_Toc21459"/>
      <w:bookmarkStart w:id="33" w:name="_Toc27083"/>
      <w:bookmarkStart w:id="34" w:name="_Toc2393"/>
      <w:bookmarkStart w:id="35" w:name="_Toc3350"/>
      <w:bookmarkStart w:id="36" w:name="_Toc12789058"/>
      <w:bookmarkStart w:id="37" w:name="_Toc23813"/>
      <w:r>
        <w:rPr>
          <w:rFonts w:hint="eastAsia"/>
          <w:b w:val="0"/>
          <w:color w:val="auto"/>
          <w:highlight w:val="none"/>
        </w:rPr>
        <w:t>一、项目基本概况介绍</w:t>
      </w:r>
      <w:bookmarkEnd w:id="32"/>
      <w:bookmarkEnd w:id="33"/>
    </w:p>
    <w:p w14:paraId="4E0E0A13">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项目名称：重庆文理学院学生食堂委托经营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第二次</w:t>
      </w:r>
      <w:r>
        <w:rPr>
          <w:rFonts w:hint="eastAsia" w:ascii="宋体" w:hAnsi="宋体" w:cs="宋体"/>
          <w:color w:val="auto"/>
          <w:sz w:val="24"/>
          <w:szCs w:val="24"/>
          <w:highlight w:val="none"/>
          <w:lang w:eastAsia="zh-CN"/>
        </w:rPr>
        <w:t>）</w:t>
      </w:r>
    </w:p>
    <w:tbl>
      <w:tblPr>
        <w:tblStyle w:val="59"/>
        <w:tblW w:w="3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10"/>
        <w:gridCol w:w="2282"/>
        <w:gridCol w:w="2132"/>
      </w:tblGrid>
      <w:tr w14:paraId="43D4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4" w:type="dxa"/>
            <w:vAlign w:val="center"/>
          </w:tcPr>
          <w:p w14:paraId="0693A205">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包号</w:t>
            </w:r>
          </w:p>
        </w:tc>
        <w:tc>
          <w:tcPr>
            <w:tcW w:w="2510" w:type="dxa"/>
            <w:vAlign w:val="center"/>
          </w:tcPr>
          <w:p w14:paraId="5BF749E1">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2282" w:type="dxa"/>
            <w:vAlign w:val="center"/>
          </w:tcPr>
          <w:p w14:paraId="73CF6BAC">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建筑面积</w:t>
            </w:r>
          </w:p>
          <w:p w14:paraId="790EC6B2">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132" w:type="dxa"/>
            <w:vAlign w:val="center"/>
          </w:tcPr>
          <w:p w14:paraId="2EBA5CBF">
            <w:pPr>
              <w:spacing w:line="320" w:lineRule="exact"/>
              <w:jc w:val="center"/>
              <w:rPr>
                <w:rFonts w:ascii="宋体" w:hAnsi="宋体" w:cs="宋体"/>
                <w:color w:val="auto"/>
                <w:sz w:val="21"/>
                <w:szCs w:val="21"/>
                <w:highlight w:val="none"/>
              </w:rPr>
            </w:pPr>
            <w:r>
              <w:rPr>
                <w:rFonts w:hint="eastAsia" w:ascii="宋体" w:hAnsi="宋体"/>
                <w:color w:val="auto"/>
                <w:sz w:val="21"/>
                <w:szCs w:val="21"/>
                <w:highlight w:val="none"/>
              </w:rPr>
              <w:t>委托经营</w:t>
            </w:r>
            <w:r>
              <w:rPr>
                <w:rFonts w:hint="eastAsia" w:ascii="宋体" w:hAnsi="宋体" w:cs="宋体"/>
                <w:color w:val="auto"/>
                <w:sz w:val="21"/>
                <w:szCs w:val="21"/>
                <w:highlight w:val="none"/>
              </w:rPr>
              <w:t>期限</w:t>
            </w:r>
          </w:p>
          <w:p w14:paraId="5182D894">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（截止日期）</w:t>
            </w:r>
          </w:p>
        </w:tc>
      </w:tr>
      <w:tr w14:paraId="607D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44" w:type="dxa"/>
            <w:vAlign w:val="center"/>
          </w:tcPr>
          <w:p w14:paraId="18E6A1F4">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包</w:t>
            </w:r>
            <w:r>
              <w:rPr>
                <w:rFonts w:ascii="宋体" w:hAnsi="宋体" w:cs="宋体"/>
                <w:color w:val="auto"/>
                <w:sz w:val="21"/>
                <w:szCs w:val="21"/>
                <w:highlight w:val="none"/>
              </w:rPr>
              <w:t>4</w:t>
            </w:r>
          </w:p>
        </w:tc>
        <w:tc>
          <w:tcPr>
            <w:tcW w:w="2510" w:type="dxa"/>
            <w:vAlign w:val="center"/>
          </w:tcPr>
          <w:p w14:paraId="48A03616">
            <w:pPr>
              <w:jc w:val="center"/>
              <w:rPr>
                <w:rFonts w:ascii="宋体" w:hAnsi="宋体"/>
                <w:color w:val="auto"/>
                <w:sz w:val="21"/>
                <w:szCs w:val="21"/>
                <w:highlight w:val="none"/>
              </w:rPr>
            </w:pPr>
            <w:r>
              <w:rPr>
                <w:rFonts w:hint="eastAsia" w:ascii="宋体" w:hAnsi="宋体"/>
                <w:color w:val="auto"/>
                <w:sz w:val="21"/>
                <w:szCs w:val="21"/>
                <w:highlight w:val="none"/>
              </w:rPr>
              <w:t>红河</w:t>
            </w:r>
            <w:r>
              <w:rPr>
                <w:rFonts w:ascii="宋体" w:hAnsi="宋体"/>
                <w:color w:val="auto"/>
                <w:sz w:val="21"/>
                <w:szCs w:val="21"/>
                <w:highlight w:val="none"/>
              </w:rPr>
              <w:t>A校区三食堂（含教工餐厅）委托经营</w:t>
            </w:r>
          </w:p>
        </w:tc>
        <w:tc>
          <w:tcPr>
            <w:tcW w:w="2282" w:type="dxa"/>
            <w:vAlign w:val="center"/>
          </w:tcPr>
          <w:p w14:paraId="6D95B029">
            <w:pPr>
              <w:spacing w:line="240" w:lineRule="exact"/>
              <w:jc w:val="center"/>
              <w:rPr>
                <w:rFonts w:ascii="宋体" w:hAnsi="宋体" w:cs="宋体"/>
                <w:color w:val="auto"/>
                <w:sz w:val="21"/>
                <w:szCs w:val="21"/>
                <w:highlight w:val="none"/>
              </w:rPr>
            </w:pPr>
            <w:r>
              <w:rPr>
                <w:rFonts w:ascii="宋体" w:hAnsi="宋体" w:cs="宋体"/>
                <w:color w:val="auto"/>
                <w:sz w:val="21"/>
                <w:szCs w:val="21"/>
                <w:highlight w:val="none"/>
              </w:rPr>
              <w:t>5000㎡</w:t>
            </w:r>
            <w:r>
              <w:rPr>
                <w:rFonts w:hint="eastAsia" w:ascii="宋体" w:hAnsi="宋体"/>
                <w:color w:val="auto"/>
                <w:sz w:val="21"/>
                <w:szCs w:val="21"/>
                <w:highlight w:val="none"/>
              </w:rPr>
              <w:t>（以实际勘察为准）</w:t>
            </w:r>
          </w:p>
          <w:p w14:paraId="344E226F">
            <w:pPr>
              <w:spacing w:line="240" w:lineRule="exact"/>
              <w:jc w:val="center"/>
              <w:rPr>
                <w:rFonts w:ascii="宋体" w:hAnsi="宋体" w:cs="宋体"/>
                <w:color w:val="auto"/>
                <w:sz w:val="21"/>
                <w:szCs w:val="21"/>
                <w:highlight w:val="none"/>
              </w:rPr>
            </w:pPr>
          </w:p>
        </w:tc>
        <w:tc>
          <w:tcPr>
            <w:tcW w:w="2132" w:type="dxa"/>
            <w:vAlign w:val="center"/>
          </w:tcPr>
          <w:p w14:paraId="35CC431C">
            <w:pPr>
              <w:spacing w:line="320" w:lineRule="exact"/>
              <w:jc w:val="center"/>
              <w:rPr>
                <w:rFonts w:ascii="宋体" w:hAnsi="宋体" w:cs="宋体"/>
                <w:color w:val="auto"/>
                <w:sz w:val="21"/>
                <w:szCs w:val="21"/>
                <w:highlight w:val="none"/>
              </w:rPr>
            </w:pPr>
            <w:r>
              <w:rPr>
                <w:rFonts w:ascii="宋体" w:hAnsi="宋体" w:cs="宋体"/>
                <w:color w:val="auto"/>
                <w:sz w:val="21"/>
                <w:szCs w:val="21"/>
                <w:highlight w:val="none"/>
              </w:rPr>
              <w:t>2030年7月10日</w:t>
            </w:r>
          </w:p>
        </w:tc>
      </w:tr>
      <w:tr w14:paraId="7496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44" w:type="dxa"/>
            <w:vAlign w:val="center"/>
          </w:tcPr>
          <w:p w14:paraId="0DD912DA">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包</w:t>
            </w:r>
            <w:r>
              <w:rPr>
                <w:rFonts w:ascii="宋体" w:hAnsi="宋体" w:cs="宋体"/>
                <w:color w:val="auto"/>
                <w:sz w:val="21"/>
                <w:szCs w:val="21"/>
                <w:highlight w:val="none"/>
              </w:rPr>
              <w:t>5</w:t>
            </w:r>
          </w:p>
        </w:tc>
        <w:tc>
          <w:tcPr>
            <w:tcW w:w="2510" w:type="dxa"/>
            <w:vAlign w:val="center"/>
          </w:tcPr>
          <w:p w14:paraId="78FA64A4">
            <w:pPr>
              <w:jc w:val="center"/>
              <w:rPr>
                <w:rFonts w:ascii="宋体" w:hAnsi="宋体"/>
                <w:color w:val="auto"/>
                <w:sz w:val="21"/>
                <w:szCs w:val="21"/>
                <w:highlight w:val="none"/>
              </w:rPr>
            </w:pPr>
            <w:r>
              <w:rPr>
                <w:rFonts w:hint="eastAsia" w:ascii="宋体" w:hAnsi="宋体"/>
                <w:color w:val="auto"/>
                <w:sz w:val="21"/>
                <w:szCs w:val="21"/>
                <w:highlight w:val="none"/>
              </w:rPr>
              <w:t>星湖校区知和楼一、二楼食堂（含教工餐厅）及学聚苑食堂委托经营</w:t>
            </w:r>
          </w:p>
        </w:tc>
        <w:tc>
          <w:tcPr>
            <w:tcW w:w="2282" w:type="dxa"/>
            <w:vAlign w:val="center"/>
          </w:tcPr>
          <w:p w14:paraId="3F1299E2">
            <w:pPr>
              <w:spacing w:line="240" w:lineRule="exact"/>
              <w:jc w:val="center"/>
              <w:rPr>
                <w:rFonts w:ascii="宋体" w:hAnsi="宋体"/>
                <w:color w:val="auto"/>
                <w:sz w:val="21"/>
                <w:szCs w:val="21"/>
                <w:highlight w:val="none"/>
              </w:rPr>
            </w:pPr>
            <w:r>
              <w:rPr>
                <w:rFonts w:ascii="宋体" w:hAnsi="宋体" w:cs="宋体"/>
                <w:color w:val="auto"/>
                <w:sz w:val="21"/>
                <w:szCs w:val="21"/>
                <w:highlight w:val="none"/>
              </w:rPr>
              <w:t>6052㎡</w:t>
            </w:r>
          </w:p>
          <w:p w14:paraId="0645AAEF">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其中，星湖校区知和楼一二楼食堂</w:t>
            </w:r>
            <w:r>
              <w:rPr>
                <w:rFonts w:ascii="宋体" w:hAnsi="宋体"/>
                <w:color w:val="auto"/>
                <w:sz w:val="21"/>
                <w:szCs w:val="21"/>
                <w:highlight w:val="none"/>
              </w:rPr>
              <w:t>5200</w:t>
            </w:r>
            <w:r>
              <w:rPr>
                <w:rFonts w:hint="eastAsia" w:ascii="宋体" w:hAnsi="宋体" w:cs="宋体"/>
                <w:color w:val="auto"/>
                <w:sz w:val="21"/>
                <w:szCs w:val="21"/>
                <w:highlight w:val="none"/>
              </w:rPr>
              <w:t>㎡</w:t>
            </w:r>
            <w:r>
              <w:rPr>
                <w:rFonts w:hint="eastAsia" w:ascii="宋体" w:hAnsi="宋体"/>
                <w:color w:val="auto"/>
                <w:sz w:val="21"/>
                <w:szCs w:val="21"/>
                <w:highlight w:val="none"/>
              </w:rPr>
              <w:t>，学聚苑食堂</w:t>
            </w:r>
            <w:r>
              <w:rPr>
                <w:rFonts w:ascii="宋体" w:hAnsi="宋体"/>
                <w:color w:val="auto"/>
                <w:sz w:val="21"/>
                <w:szCs w:val="21"/>
                <w:highlight w:val="none"/>
              </w:rPr>
              <w:t>852</w:t>
            </w:r>
            <w:r>
              <w:rPr>
                <w:rFonts w:hint="eastAsia" w:ascii="宋体" w:hAnsi="宋体" w:cs="宋体"/>
                <w:color w:val="auto"/>
                <w:sz w:val="21"/>
                <w:szCs w:val="21"/>
                <w:highlight w:val="none"/>
              </w:rPr>
              <w:t>㎡</w:t>
            </w:r>
            <w:r>
              <w:rPr>
                <w:rFonts w:ascii="宋体" w:hAnsi="宋体"/>
                <w:color w:val="auto"/>
                <w:sz w:val="21"/>
                <w:szCs w:val="21"/>
                <w:highlight w:val="none"/>
              </w:rPr>
              <w:t>,（以实际勘察为准）</w:t>
            </w:r>
          </w:p>
        </w:tc>
        <w:tc>
          <w:tcPr>
            <w:tcW w:w="2132" w:type="dxa"/>
            <w:vAlign w:val="center"/>
          </w:tcPr>
          <w:p w14:paraId="1A9660B2">
            <w:pPr>
              <w:spacing w:line="320" w:lineRule="exact"/>
              <w:jc w:val="center"/>
              <w:rPr>
                <w:rFonts w:ascii="宋体" w:hAnsi="宋体" w:cs="宋体"/>
                <w:color w:val="auto"/>
                <w:sz w:val="21"/>
                <w:szCs w:val="21"/>
                <w:highlight w:val="none"/>
              </w:rPr>
            </w:pPr>
            <w:r>
              <w:rPr>
                <w:rFonts w:ascii="宋体" w:hAnsi="宋体" w:cs="宋体"/>
                <w:color w:val="auto"/>
                <w:sz w:val="21"/>
                <w:szCs w:val="21"/>
                <w:highlight w:val="none"/>
              </w:rPr>
              <w:t>2030年7月10日</w:t>
            </w:r>
          </w:p>
        </w:tc>
      </w:tr>
    </w:tbl>
    <w:p w14:paraId="0AB0B52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:建筑面积为估算值，具体区域面积以采购人指定区域为准。</w:t>
      </w:r>
    </w:p>
    <w:p w14:paraId="0FFA1123">
      <w:pPr>
        <w:pStyle w:val="3"/>
        <w:spacing w:line="400" w:lineRule="exact"/>
        <w:rPr>
          <w:rFonts w:ascii="宋体" w:hAnsi="宋体" w:eastAsia="宋体" w:cs="宋体"/>
          <w:b w:val="0"/>
          <w:bCs/>
          <w:color w:val="auto"/>
          <w:szCs w:val="32"/>
          <w:highlight w:val="none"/>
        </w:rPr>
      </w:pPr>
      <w:bookmarkStart w:id="38" w:name="_Toc313536013"/>
      <w:bookmarkStart w:id="39" w:name="_Toc344475116"/>
      <w:bookmarkStart w:id="40" w:name="_Toc19875"/>
      <w:bookmarkStart w:id="41" w:name="_Toc9346"/>
      <w:r>
        <w:rPr>
          <w:rFonts w:hint="eastAsia"/>
          <w:b w:val="0"/>
          <w:color w:val="auto"/>
          <w:highlight w:val="none"/>
        </w:rPr>
        <w:t>二、</w:t>
      </w:r>
      <w:bookmarkEnd w:id="38"/>
      <w:bookmarkEnd w:id="39"/>
      <w:r>
        <w:rPr>
          <w:rFonts w:hint="eastAsia"/>
          <w:b w:val="0"/>
          <w:color w:val="auto"/>
          <w:highlight w:val="none"/>
        </w:rPr>
        <w:t>委托经营时间</w:t>
      </w:r>
      <w:bookmarkEnd w:id="40"/>
      <w:bookmarkEnd w:id="41"/>
    </w:p>
    <w:p w14:paraId="6990D1AD">
      <w:pPr>
        <w:ind w:firstLine="480"/>
        <w:jc w:val="left"/>
        <w:rPr>
          <w:rFonts w:ascii="宋体" w:hAnsi="宋体" w:cs="宋体"/>
          <w:color w:val="auto"/>
          <w:sz w:val="24"/>
          <w:szCs w:val="24"/>
          <w:highlight w:val="none"/>
        </w:rPr>
      </w:pPr>
      <w:r>
        <w:rPr>
          <w:rFonts w:ascii="宋体" w:hAnsi="宋体" w:cs="宋体"/>
          <w:color w:val="auto"/>
          <w:sz w:val="24"/>
          <w:szCs w:val="24"/>
          <w:highlight w:val="none"/>
        </w:rPr>
        <w:t>2030年7月10日截止。</w:t>
      </w:r>
    </w:p>
    <w:p w14:paraId="3570083C">
      <w:pPr>
        <w:pStyle w:val="3"/>
        <w:spacing w:line="400" w:lineRule="exact"/>
        <w:rPr>
          <w:b w:val="0"/>
          <w:color w:val="auto"/>
          <w:highlight w:val="none"/>
        </w:rPr>
      </w:pPr>
      <w:bookmarkStart w:id="42" w:name="_Toc21079"/>
      <w:bookmarkStart w:id="43" w:name="_Toc21981"/>
      <w:bookmarkStart w:id="44" w:name="_Toc41986732"/>
      <w:bookmarkStart w:id="45" w:name="_Toc42780312"/>
      <w:r>
        <w:rPr>
          <w:rFonts w:hint="eastAsia"/>
          <w:b w:val="0"/>
          <w:color w:val="auto"/>
          <w:highlight w:val="none"/>
        </w:rPr>
        <w:t>三、招标项目基本情况</w:t>
      </w:r>
      <w:bookmarkEnd w:id="42"/>
    </w:p>
    <w:p w14:paraId="5F05916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满足师生员工多样化、个性化的后勤餐饮服务需求，丰富校园特色风味餐饮，同时通过食堂数智化管理和运营，实现资源的高效利用和环境保护。各包需引入经济实力强、社会信誉好、经营管理服务好的餐饮管理类企业建设数智生态环保食堂，参与学校后勤供餐保障服务。目前红河</w:t>
      </w:r>
      <w:r>
        <w:rPr>
          <w:rFonts w:ascii="宋体" w:hAnsi="宋体" w:cs="宋体"/>
          <w:color w:val="auto"/>
          <w:sz w:val="24"/>
          <w:szCs w:val="24"/>
          <w:highlight w:val="none"/>
        </w:rPr>
        <w:t>A区约11000名学生，星湖校区（含校外公寓约1400名学生）约5000名学生。</w:t>
      </w:r>
    </w:p>
    <w:p w14:paraId="5CB270C4">
      <w:pPr>
        <w:pStyle w:val="3"/>
        <w:spacing w:line="400" w:lineRule="exact"/>
        <w:rPr>
          <w:b w:val="0"/>
          <w:color w:val="auto"/>
          <w:highlight w:val="none"/>
        </w:rPr>
      </w:pPr>
      <w:bookmarkStart w:id="46" w:name="_Toc14787"/>
      <w:r>
        <w:rPr>
          <w:b w:val="0"/>
          <w:color w:val="auto"/>
          <w:highlight w:val="none"/>
        </w:rPr>
        <w:t>*</w:t>
      </w:r>
      <w:r>
        <w:rPr>
          <w:rFonts w:hint="eastAsia"/>
          <w:b w:val="0"/>
          <w:color w:val="auto"/>
          <w:highlight w:val="none"/>
        </w:rPr>
        <w:t>四、招标项目服务需求</w:t>
      </w:r>
      <w:bookmarkEnd w:id="46"/>
    </w:p>
    <w:p w14:paraId="40C4ED87">
      <w:pPr>
        <w:pStyle w:val="4"/>
        <w:spacing w:line="400" w:lineRule="exact"/>
        <w:rPr>
          <w:rFonts w:ascii="宋体" w:hAnsi="宋体" w:cs="宋体"/>
          <w:b w:val="0"/>
          <w:color w:val="auto"/>
          <w:szCs w:val="28"/>
          <w:highlight w:val="none"/>
        </w:rPr>
      </w:pPr>
      <w:bookmarkStart w:id="47" w:name="_Toc32531"/>
      <w:r>
        <w:rPr>
          <w:rFonts w:hint="eastAsia"/>
          <w:b w:val="0"/>
          <w:color w:val="auto"/>
          <w:highlight w:val="none"/>
        </w:rPr>
        <w:t>（一）项目总体要求</w:t>
      </w:r>
      <w:bookmarkEnd w:id="47"/>
    </w:p>
    <w:p w14:paraId="424DDA40">
      <w:pPr>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1.食堂实行场地“零租赁”、免收管理费，中标人需结合经营场地的实际情况以及学校内涵建设，提供食堂环境改善方案，自行负责装修、设备设施购置、安装与管理、维护。采购人每月按月营业收入的3‰收取餐饮公司</w:t>
      </w:r>
      <w:r>
        <w:rPr>
          <w:rFonts w:hint="eastAsia" w:ascii="宋体" w:hAnsi="宋体" w:cs="宋体"/>
          <w:color w:val="auto"/>
          <w:sz w:val="24"/>
          <w:szCs w:val="24"/>
          <w:highlight w:val="none"/>
        </w:rPr>
        <w:t>一卡通使用维护费用和营业收入的</w:t>
      </w:r>
      <w:r>
        <w:rPr>
          <w:rFonts w:ascii="宋体" w:hAnsi="宋体" w:cs="宋体"/>
          <w:color w:val="auto"/>
          <w:sz w:val="24"/>
          <w:szCs w:val="24"/>
          <w:highlight w:val="none"/>
        </w:rPr>
        <w:t>7‰收取餐饮公司物业费（</w:t>
      </w:r>
      <w:r>
        <w:rPr>
          <w:rFonts w:hint="eastAsia" w:ascii="宋体" w:hAnsi="宋体" w:cs="宋体"/>
          <w:color w:val="auto"/>
          <w:sz w:val="24"/>
          <w:szCs w:val="24"/>
          <w:highlight w:val="none"/>
        </w:rPr>
        <w:t>含生活垃圾处置费）及按营业收入的一定比例暂扣考核费。</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成交商必须合法经营，诚信经营，自负盈亏，并在合同规定的范围内开展经营活动，开展经营所需的工商、税务、餐饮服务许可证、环保、文化、卫生等高校食堂经营所必须具备的相关手续由成交商自行办理，所产生的费用由成交商自行承担，采购人配合成交商办理，上述证件的原件交由采购人管理保存。</w:t>
      </w:r>
      <w:r>
        <w:rPr>
          <w:rFonts w:ascii="宋体" w:hAnsi="宋体" w:cs="宋体"/>
          <w:color w:val="auto"/>
          <w:sz w:val="24"/>
          <w:szCs w:val="24"/>
          <w:highlight w:val="none"/>
        </w:rPr>
        <w:t xml:space="preserve"> </w:t>
      </w:r>
    </w:p>
    <w:p w14:paraId="0A5EFA55">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2.委托经营地点:</w:t>
      </w:r>
      <w:r>
        <w:rPr>
          <w:rFonts w:hint="eastAsia" w:ascii="宋体" w:hAnsi="宋体" w:cs="宋体"/>
          <w:color w:val="auto"/>
          <w:sz w:val="24"/>
          <w:szCs w:val="24"/>
          <w:highlight w:val="none"/>
        </w:rPr>
        <w:t>包</w:t>
      </w:r>
      <w:r>
        <w:rPr>
          <w:rFonts w:ascii="宋体" w:hAnsi="宋体" w:cs="宋体"/>
          <w:color w:val="auto"/>
          <w:sz w:val="24"/>
          <w:szCs w:val="24"/>
          <w:highlight w:val="none"/>
        </w:rPr>
        <w:t>4为重庆文理学院红河A校区三食堂（含教工餐厅）；包5星湖校区知和楼一、二楼食堂（含教工餐厅）及</w:t>
      </w:r>
      <w:r>
        <w:rPr>
          <w:rFonts w:hint="eastAsia" w:ascii="宋体" w:hAnsi="宋体" w:cs="宋体"/>
          <w:color w:val="auto"/>
          <w:sz w:val="24"/>
          <w:szCs w:val="24"/>
          <w:highlight w:val="none"/>
        </w:rPr>
        <w:t>学聚苑食堂。</w:t>
      </w:r>
    </w:p>
    <w:p w14:paraId="75F836BE">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成交商应合理使用采购人提供的房屋、场地及其附属设施，负责日常管理与维护，如因使用不当造成房屋、场地及设施损坏的，成交商应立即负责修复或给予经济赔偿。在合同期内，成交商未事先征得学校书面同意，不得擅自改变房屋、场地及其附属设施的外观、结构和用途。不得超承重负荷使用房屋。</w:t>
      </w:r>
    </w:p>
    <w:p w14:paraId="56E8F3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val="zh-CN"/>
        </w:rPr>
        <w:t>招标项目餐饮服务定位与要求：</w:t>
      </w:r>
      <w:r>
        <w:rPr>
          <w:rFonts w:hint="eastAsia" w:ascii="宋体" w:hAnsi="宋体" w:cs="宋体"/>
          <w:color w:val="auto"/>
          <w:sz w:val="24"/>
          <w:szCs w:val="24"/>
          <w:highlight w:val="none"/>
        </w:rPr>
        <w:t>本项目所有食堂定位为基本大伙保障型食堂，为师生提供保障用餐。主营基本大伙保障餐、特色风味餐、爱心保障餐、教工餐、接待餐。</w:t>
      </w:r>
      <w:r>
        <w:rPr>
          <w:rFonts w:hint="eastAsia" w:ascii="宋体" w:hAnsi="宋体" w:cs="仿宋"/>
          <w:color w:val="auto"/>
          <w:sz w:val="24"/>
          <w:szCs w:val="24"/>
          <w:highlight w:val="none"/>
        </w:rPr>
        <w:t>不得在食堂内使用、销售预制菜</w:t>
      </w:r>
      <w:r>
        <w:rPr>
          <w:rFonts w:hint="eastAsia" w:ascii="宋体" w:hAnsi="宋体" w:cs="宋体"/>
          <w:color w:val="auto"/>
          <w:sz w:val="24"/>
          <w:szCs w:val="24"/>
          <w:highlight w:val="none"/>
        </w:rPr>
        <w:t>。饭菜价格，使用实行审核备案制，严禁随意涨价、调价。</w:t>
      </w:r>
    </w:p>
    <w:p w14:paraId="58DFE1A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rPr>
        <w:t>包</w:t>
      </w:r>
      <w:r>
        <w:rPr>
          <w:rFonts w:ascii="宋体" w:hAnsi="宋体" w:cs="宋体"/>
          <w:color w:val="auto"/>
          <w:sz w:val="24"/>
          <w:szCs w:val="24"/>
          <w:highlight w:val="none"/>
        </w:rPr>
        <w:t>5</w:t>
      </w:r>
      <w:r>
        <w:rPr>
          <w:rFonts w:hint="eastAsia" w:ascii="宋体" w:hAnsi="宋体" w:cs="宋体"/>
          <w:color w:val="auto"/>
          <w:sz w:val="24"/>
          <w:szCs w:val="24"/>
          <w:highlight w:val="none"/>
        </w:rPr>
        <w:t>成交商在星湖校区知和楼二楼食堂必须分别保证有一个面积大小合理、窗口独立的民族特色食品专卖窗口，须严格遵守少数民族的饮食习惯和加工程序。</w:t>
      </w:r>
    </w:p>
    <w:p w14:paraId="13246A6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.座位个数。包4红河A校区三食堂不低于900个座位；包5星湖校区知和楼一、二楼食堂不低于1000个座位，</w:t>
      </w:r>
      <w:r>
        <w:rPr>
          <w:rFonts w:hint="eastAsia" w:ascii="宋体" w:hAnsi="宋体" w:cs="宋体"/>
          <w:color w:val="auto"/>
          <w:sz w:val="24"/>
          <w:szCs w:val="24"/>
          <w:highlight w:val="none"/>
        </w:rPr>
        <w:t>学聚苑食堂不低于</w:t>
      </w:r>
      <w:r>
        <w:rPr>
          <w:rFonts w:ascii="宋体" w:hAnsi="宋体" w:cs="宋体"/>
          <w:color w:val="auto"/>
          <w:sz w:val="24"/>
          <w:szCs w:val="24"/>
          <w:highlight w:val="none"/>
        </w:rPr>
        <w:t>264个座位。</w:t>
      </w:r>
      <w:r>
        <w:rPr>
          <w:rFonts w:hint="eastAsia" w:ascii="宋体" w:hAnsi="宋体" w:cs="宋体"/>
          <w:color w:val="auto"/>
          <w:sz w:val="24"/>
          <w:szCs w:val="24"/>
          <w:highlight w:val="none"/>
        </w:rPr>
        <w:t>成交商的餐桌椅配置须符合高端大气的现代大学食堂标准要求，并经采购人基建后勤处书面同意。</w:t>
      </w:r>
    </w:p>
    <w:p w14:paraId="62E5261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.合同期满，</w:t>
      </w:r>
      <w:r>
        <w:rPr>
          <w:rFonts w:hint="eastAsia" w:ascii="宋体" w:hAnsi="宋体" w:cs="宋体"/>
          <w:color w:val="auto"/>
          <w:sz w:val="24"/>
          <w:szCs w:val="24"/>
          <w:highlight w:val="none"/>
        </w:rPr>
        <w:t>成交商投入的装修装饰和管网、电线、消防设施、数智食堂及设施设备所有权无偿转让给采购人，交由采购人进行处置，成交商不得破坏。同时成交商</w:t>
      </w:r>
      <w:r>
        <w:rPr>
          <w:rFonts w:hint="eastAsia" w:ascii="宋体" w:hAnsi="宋体"/>
          <w:color w:val="auto"/>
          <w:sz w:val="24"/>
          <w:szCs w:val="24"/>
          <w:highlight w:val="none"/>
        </w:rPr>
        <w:t>在撤离时如数返还采购人原有设施设备，完成食堂内的清洁工作。成交商逾期未撤离，采购人有权对成交商所有投入设施设备进行全权处置，由此造成的一切后果与损失由成交商自行承担。成交商在合同期内可以对食堂进行再次装修，其装修费用均由成交商自行承担，成交商再次装修方案必须经采购人基建后勤处书面书面同意后方可进行，否则，采购人扣除成交商</w:t>
      </w:r>
      <w:r>
        <w:rPr>
          <w:rFonts w:ascii="宋体" w:hAnsi="宋体"/>
          <w:color w:val="auto"/>
          <w:sz w:val="24"/>
          <w:szCs w:val="24"/>
          <w:highlight w:val="none"/>
        </w:rPr>
        <w:t>50000元的违约金。</w:t>
      </w:r>
      <w:r>
        <w:rPr>
          <w:rFonts w:hint="eastAsia" w:ascii="宋体" w:hAnsi="宋体" w:cs="宋体"/>
          <w:color w:val="auto"/>
          <w:sz w:val="24"/>
          <w:szCs w:val="24"/>
          <w:highlight w:val="none"/>
        </w:rPr>
        <w:t>尾料、现场垃圾及废品、废物须由成交商负责处置并打扫清理干净，采购人无义务回收或转让。成交商与食堂监管部门进行清点并完善移交签字手续。</w:t>
      </w:r>
    </w:p>
    <w:p w14:paraId="1CC0143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.监督管理。</w:t>
      </w:r>
      <w:r>
        <w:rPr>
          <w:rFonts w:hint="eastAsia" w:ascii="宋体" w:hAnsi="宋体" w:cs="宋体"/>
          <w:color w:val="auto"/>
          <w:sz w:val="24"/>
          <w:szCs w:val="24"/>
          <w:highlight w:val="none"/>
        </w:rPr>
        <w:t>成交商须服从学校现有的以及学校不断完善和新增的各项管理制度、规范及考核办法，并按照考核结果和考核意见进行整改落实。考核分为日常考核、学期考核，按考核办法执行。成交供应商在运营期间，因管理不善，收到学校、国家机关在监督管理过程中提出的各项整改要求和处罚必须无条件按要求限时完成整改，接受处罚。</w:t>
      </w:r>
    </w:p>
    <w:p w14:paraId="0CCE968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.各食堂的用电负荷上限须取得采购人基建后勤处的</w:t>
      </w:r>
      <w:r>
        <w:rPr>
          <w:rFonts w:hint="eastAsia" w:ascii="宋体" w:hAnsi="宋体" w:cs="宋体"/>
          <w:color w:val="auto"/>
          <w:sz w:val="24"/>
          <w:szCs w:val="24"/>
          <w:highlight w:val="none"/>
        </w:rPr>
        <w:t>书面同意</w:t>
      </w:r>
      <w:r>
        <w:rPr>
          <w:rFonts w:ascii="宋体" w:hAnsi="宋体" w:cs="宋体"/>
          <w:color w:val="auto"/>
          <w:sz w:val="24"/>
          <w:szCs w:val="24"/>
          <w:highlight w:val="none"/>
        </w:rPr>
        <w:t>。</w:t>
      </w:r>
    </w:p>
    <w:p w14:paraId="67F182A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.经营服务时间：</w:t>
      </w:r>
      <w:r>
        <w:rPr>
          <w:rFonts w:hint="eastAsia" w:ascii="宋体" w:hAnsi="宋体" w:cs="宋体"/>
          <w:color w:val="auto"/>
          <w:sz w:val="24"/>
          <w:szCs w:val="24"/>
          <w:highlight w:val="none"/>
        </w:rPr>
        <w:t>成交商须无条件服从采购人关于寒暑假期间留校师生正常伙食供应的值班工作安排，保证寒暑假期间师生的正常供餐，否则，采购人可按</w:t>
      </w:r>
      <w:r>
        <w:rPr>
          <w:rFonts w:ascii="宋体" w:hAnsi="宋体" w:cs="宋体"/>
          <w:color w:val="auto"/>
          <w:sz w:val="24"/>
          <w:szCs w:val="24"/>
          <w:highlight w:val="none"/>
        </w:rPr>
        <w:t>50000元/次扣除</w:t>
      </w:r>
      <w:r>
        <w:rPr>
          <w:rFonts w:hint="eastAsia" w:ascii="宋体" w:hAnsi="宋体" w:cs="宋体"/>
          <w:color w:val="auto"/>
          <w:sz w:val="24"/>
          <w:szCs w:val="24"/>
          <w:highlight w:val="none"/>
        </w:rPr>
        <w:t>成交商违约金。每学期开学及放假开停餐须严格按照采购人的通知时间执行。经营期间成交商不得以任何理由私自全部或部分或个别档口停餐，否则，采购人按每餐所停或未开餐档口</w:t>
      </w:r>
      <w:r>
        <w:rPr>
          <w:rFonts w:ascii="宋体" w:hAnsi="宋体" w:cs="宋体"/>
          <w:color w:val="auto"/>
          <w:sz w:val="24"/>
          <w:szCs w:val="24"/>
          <w:highlight w:val="none"/>
        </w:rPr>
        <w:t>20000</w:t>
      </w:r>
      <w:r>
        <w:rPr>
          <w:rFonts w:hint="eastAsia" w:ascii="宋体" w:hAnsi="宋体" w:cs="宋体"/>
          <w:color w:val="auto"/>
          <w:sz w:val="24"/>
          <w:szCs w:val="24"/>
          <w:highlight w:val="none"/>
        </w:rPr>
        <w:t>元</w:t>
      </w:r>
      <w:r>
        <w:rPr>
          <w:rFonts w:ascii="宋体" w:hAnsi="宋体" w:cs="宋体"/>
          <w:color w:val="auto"/>
          <w:sz w:val="24"/>
          <w:szCs w:val="24"/>
          <w:highlight w:val="none"/>
        </w:rPr>
        <w:t>/</w:t>
      </w:r>
      <w:r>
        <w:rPr>
          <w:rFonts w:hint="eastAsia" w:ascii="宋体" w:hAnsi="宋体" w:cs="宋体"/>
          <w:color w:val="auto"/>
          <w:sz w:val="24"/>
          <w:szCs w:val="24"/>
          <w:highlight w:val="none"/>
        </w:rPr>
        <w:t>个扣除成交商违约金。</w:t>
      </w:r>
    </w:p>
    <w:p w14:paraId="65F8F2D6">
      <w:pPr>
        <w:pStyle w:val="4"/>
        <w:spacing w:line="400" w:lineRule="exact"/>
        <w:rPr>
          <w:b w:val="0"/>
          <w:color w:val="auto"/>
          <w:highlight w:val="none"/>
        </w:rPr>
      </w:pPr>
      <w:bookmarkStart w:id="48" w:name="_Toc26584"/>
      <w:r>
        <w:rPr>
          <w:rFonts w:hint="eastAsia"/>
          <w:b w:val="0"/>
          <w:color w:val="auto"/>
          <w:highlight w:val="none"/>
        </w:rPr>
        <w:t>（二）经营管理要求</w:t>
      </w:r>
      <w:bookmarkEnd w:id="48"/>
    </w:p>
    <w:p w14:paraId="4DC81149">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成交商应充分考虑大多数学生的经济承受能力，“学生需求”与“健康饮食”的关系，严格执行采购人和行业的相关规定控制饭菜质量和价格。合理设置基本大伙档口（成交商必须设置明确标识），各食堂一楼的基本大伙档口数量占比不低于</w:t>
      </w:r>
      <w:r>
        <w:rPr>
          <w:rFonts w:ascii="宋体" w:hAnsi="宋体" w:cs="宋体"/>
          <w:color w:val="auto"/>
          <w:sz w:val="24"/>
          <w:szCs w:val="24"/>
          <w:highlight w:val="none"/>
        </w:rPr>
        <w:t>35%，同时在食堂一楼还</w:t>
      </w:r>
      <w:r>
        <w:rPr>
          <w:rFonts w:hint="eastAsia" w:ascii="宋体" w:hAnsi="宋体" w:cs="宋体"/>
          <w:color w:val="auto"/>
          <w:sz w:val="24"/>
          <w:szCs w:val="24"/>
          <w:highlight w:val="none"/>
        </w:rPr>
        <w:t>须设置独立爱心餐档口。所有饭菜价格应明码标价且应低于社会餐饮同等水平。</w:t>
      </w:r>
    </w:p>
    <w:p w14:paraId="7505B559">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2.基本大伙菜品种类和份量须满足学生用餐的实际需求。针对基本早餐类食品、基本大伙餐、爱心餐管理，暂定执行以下要求且必须确保</w:t>
      </w:r>
      <w:r>
        <w:rPr>
          <w:rFonts w:hint="eastAsia" w:ascii="宋体" w:hAnsi="宋体" w:cs="宋体"/>
          <w:color w:val="auto"/>
          <w:sz w:val="24"/>
          <w:szCs w:val="24"/>
          <w:highlight w:val="none"/>
          <w:lang w:val="zh-CN"/>
        </w:rPr>
        <w:t>供应</w:t>
      </w:r>
      <w:r>
        <w:rPr>
          <w:rFonts w:hint="eastAsia" w:ascii="宋体" w:hAnsi="宋体" w:cs="宋体"/>
          <w:color w:val="auto"/>
          <w:sz w:val="24"/>
          <w:szCs w:val="24"/>
          <w:highlight w:val="none"/>
        </w:rPr>
        <w:t>不断档或限量销售，后续调价按照重庆市教委或经市教委授权重庆教育后勤协会发布相关文件执行。</w:t>
      </w:r>
    </w:p>
    <w:p w14:paraId="7B3DAF5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1）所有菜品的出品量、荤素比、售卖价，采取报批制，严格按照</w:t>
      </w:r>
      <w:r>
        <w:rPr>
          <w:rFonts w:hint="eastAsia" w:ascii="宋体" w:hAnsi="宋体" w:cs="宋体"/>
          <w:color w:val="auto"/>
          <w:sz w:val="24"/>
          <w:szCs w:val="24"/>
          <w:highlight w:val="none"/>
        </w:rPr>
        <w:t>成交商上报的数据对照执行。所有上报的菜品包括菜品名称、菜品主配料成分、成品售卖价格。</w:t>
      </w:r>
    </w:p>
    <w:p w14:paraId="7B94318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2）所有上报的菜品与</w:t>
      </w:r>
      <w:r>
        <w:rPr>
          <w:rFonts w:hint="eastAsia" w:ascii="宋体" w:hAnsi="宋体" w:cs="宋体"/>
          <w:color w:val="auto"/>
          <w:sz w:val="24"/>
          <w:szCs w:val="24"/>
          <w:highlight w:val="none"/>
        </w:rPr>
        <w:t>永川及周边</w:t>
      </w:r>
      <w:r>
        <w:rPr>
          <w:rFonts w:ascii="宋体" w:hAnsi="宋体" w:cs="宋体"/>
          <w:color w:val="auto"/>
          <w:sz w:val="24"/>
          <w:szCs w:val="24"/>
          <w:highlight w:val="none"/>
        </w:rPr>
        <w:t>高校一致的，</w:t>
      </w:r>
      <w:r>
        <w:rPr>
          <w:rFonts w:hint="eastAsia" w:ascii="宋体" w:hAnsi="宋体" w:cs="宋体"/>
          <w:color w:val="auto"/>
          <w:sz w:val="24"/>
          <w:szCs w:val="24"/>
          <w:highlight w:val="none"/>
        </w:rPr>
        <w:t>需包括相同产品</w:t>
      </w:r>
      <w:r>
        <w:rPr>
          <w:rFonts w:ascii="宋体" w:hAnsi="宋体" w:cs="宋体"/>
          <w:color w:val="auto"/>
          <w:sz w:val="24"/>
          <w:szCs w:val="24"/>
          <w:highlight w:val="none"/>
        </w:rPr>
        <w:t>2-3所高校的对比价格。</w:t>
      </w:r>
    </w:p>
    <w:p w14:paraId="30F4448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3）基本早餐类食品价格按照以下标准：</w:t>
      </w:r>
    </w:p>
    <w:tbl>
      <w:tblPr>
        <w:tblStyle w:val="59"/>
        <w:tblW w:w="9129" w:type="dxa"/>
        <w:jc w:val="center"/>
        <w:tblLayout w:type="fixed"/>
        <w:tblCellMar>
          <w:top w:w="0" w:type="dxa"/>
          <w:left w:w="108" w:type="dxa"/>
          <w:bottom w:w="0" w:type="dxa"/>
          <w:right w:w="108" w:type="dxa"/>
        </w:tblCellMar>
      </w:tblPr>
      <w:tblGrid>
        <w:gridCol w:w="3607"/>
        <w:gridCol w:w="2888"/>
        <w:gridCol w:w="2634"/>
      </w:tblGrid>
      <w:tr w14:paraId="760BDC23">
        <w:tblPrEx>
          <w:tblCellMar>
            <w:top w:w="0" w:type="dxa"/>
            <w:left w:w="108" w:type="dxa"/>
            <w:bottom w:w="0" w:type="dxa"/>
            <w:right w:w="108" w:type="dxa"/>
          </w:tblCellMar>
        </w:tblPrEx>
        <w:trPr>
          <w:trHeight w:val="383"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770EAB3">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品类</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CA34BDE">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售价（元）</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604DAC5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单位</w:t>
            </w:r>
          </w:p>
        </w:tc>
      </w:tr>
      <w:tr w14:paraId="2B665E5D">
        <w:tblPrEx>
          <w:tblCellMar>
            <w:top w:w="0" w:type="dxa"/>
            <w:left w:w="108" w:type="dxa"/>
            <w:bottom w:w="0" w:type="dxa"/>
            <w:right w:w="108" w:type="dxa"/>
          </w:tblCellMar>
        </w:tblPrEx>
        <w:trPr>
          <w:trHeight w:val="365"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8C90650">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白馒头</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814A818">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DBD7A7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个（≥</w:t>
            </w:r>
            <w:r>
              <w:rPr>
                <w:rFonts w:ascii="宋体" w:hAnsi="宋体" w:cs="宋体"/>
                <w:color w:val="auto"/>
                <w:sz w:val="24"/>
                <w:szCs w:val="24"/>
                <w:highlight w:val="none"/>
              </w:rPr>
              <w:t>100g）</w:t>
            </w:r>
          </w:p>
        </w:tc>
      </w:tr>
      <w:tr w14:paraId="6998FEF8">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FE1036D">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花卷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09FB476">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0.6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1A8E14C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个（≥</w:t>
            </w:r>
            <w:r>
              <w:rPr>
                <w:rFonts w:ascii="宋体" w:hAnsi="宋体" w:cs="宋体"/>
                <w:color w:val="auto"/>
                <w:sz w:val="24"/>
                <w:szCs w:val="24"/>
                <w:highlight w:val="none"/>
              </w:rPr>
              <w:t>100g）</w:t>
            </w:r>
          </w:p>
        </w:tc>
      </w:tr>
      <w:tr w14:paraId="3000235E">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3A4D97A4">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发糕</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0CA0A79">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A77577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个（≥</w:t>
            </w:r>
            <w:r>
              <w:rPr>
                <w:rFonts w:ascii="宋体" w:hAnsi="宋体" w:cs="宋体"/>
                <w:color w:val="auto"/>
                <w:sz w:val="24"/>
                <w:szCs w:val="24"/>
                <w:highlight w:val="none"/>
              </w:rPr>
              <w:t>100g）</w:t>
            </w:r>
          </w:p>
        </w:tc>
      </w:tr>
      <w:tr w14:paraId="006285D7">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50B5">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白水蛋</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6735">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1</w:t>
            </w:r>
          </w:p>
        </w:tc>
        <w:tc>
          <w:tcPr>
            <w:tcW w:w="2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81C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个</w:t>
            </w:r>
          </w:p>
        </w:tc>
      </w:tr>
      <w:tr w14:paraId="711DCE26">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4BAB">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鲜肉包</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4FDB">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0.8</w:t>
            </w:r>
          </w:p>
        </w:tc>
        <w:tc>
          <w:tcPr>
            <w:tcW w:w="2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29B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个（≥</w:t>
            </w:r>
            <w:r>
              <w:rPr>
                <w:rFonts w:ascii="宋体" w:hAnsi="宋体" w:cs="宋体"/>
                <w:color w:val="auto"/>
                <w:sz w:val="24"/>
                <w:szCs w:val="24"/>
                <w:highlight w:val="none"/>
              </w:rPr>
              <w:t>80克）</w:t>
            </w:r>
          </w:p>
        </w:tc>
      </w:tr>
      <w:tr w14:paraId="32D466C7">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0BE3DB7E">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煎蛋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3F2C7DF">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7F0BD97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个</w:t>
            </w:r>
          </w:p>
        </w:tc>
      </w:tr>
      <w:tr w14:paraId="21553023">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7816D215">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卤蛋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72DD89D">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55E762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个</w:t>
            </w:r>
          </w:p>
        </w:tc>
      </w:tr>
      <w:tr w14:paraId="1EDEBB8D">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5539B9D0">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豆浆</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70F0EFA">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B46A71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碗（≥</w:t>
            </w:r>
            <w:r>
              <w:rPr>
                <w:rFonts w:ascii="宋体" w:hAnsi="宋体" w:cs="宋体"/>
                <w:color w:val="auto"/>
                <w:sz w:val="24"/>
                <w:szCs w:val="24"/>
                <w:highlight w:val="none"/>
              </w:rPr>
              <w:t>330ml）</w:t>
            </w:r>
          </w:p>
        </w:tc>
      </w:tr>
      <w:tr w14:paraId="62C62BF0">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70286C32">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油条</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1D14F13">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1</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3BF7834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w:t>
            </w:r>
            <w:r>
              <w:rPr>
                <w:rFonts w:ascii="宋体" w:hAnsi="宋体" w:cs="宋体"/>
                <w:color w:val="auto"/>
                <w:sz w:val="24"/>
                <w:szCs w:val="24"/>
                <w:highlight w:val="none"/>
              </w:rPr>
              <w:t>80g）</w:t>
            </w:r>
          </w:p>
        </w:tc>
      </w:tr>
      <w:tr w14:paraId="1A3389DE">
        <w:tblPrEx>
          <w:tblCellMar>
            <w:top w:w="0" w:type="dxa"/>
            <w:left w:w="108" w:type="dxa"/>
            <w:bottom w:w="0" w:type="dxa"/>
            <w:right w:w="108" w:type="dxa"/>
          </w:tblCellMar>
        </w:tblPrEx>
        <w:trPr>
          <w:trHeight w:val="35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250C7F9B">
            <w:pPr>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白粥</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EA395D6">
            <w:pPr>
              <w:spacing w:line="400" w:lineRule="exact"/>
              <w:ind w:firstLine="480" w:firstLineChars="200"/>
              <w:jc w:val="center"/>
              <w:rPr>
                <w:rFonts w:ascii="宋体" w:hAnsi="宋体" w:cs="宋体"/>
                <w:color w:val="auto"/>
                <w:sz w:val="24"/>
                <w:szCs w:val="24"/>
                <w:highlight w:val="none"/>
              </w:rPr>
            </w:pPr>
            <w:r>
              <w:rPr>
                <w:rFonts w:ascii="宋体" w:hAnsi="宋体" w:cs="宋体"/>
                <w:color w:val="auto"/>
                <w:sz w:val="24"/>
                <w:szCs w:val="24"/>
                <w:highlight w:val="none"/>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DDB14D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碗（≥</w:t>
            </w:r>
            <w:r>
              <w:rPr>
                <w:rFonts w:ascii="宋体" w:hAnsi="宋体" w:cs="宋体"/>
                <w:color w:val="auto"/>
                <w:sz w:val="24"/>
                <w:szCs w:val="24"/>
                <w:highlight w:val="none"/>
              </w:rPr>
              <w:t>330ml）</w:t>
            </w:r>
          </w:p>
        </w:tc>
      </w:tr>
      <w:tr w14:paraId="019DA2E1">
        <w:tblPrEx>
          <w:tblCellMar>
            <w:top w:w="0" w:type="dxa"/>
            <w:left w:w="108" w:type="dxa"/>
            <w:bottom w:w="0" w:type="dxa"/>
            <w:right w:w="108" w:type="dxa"/>
          </w:tblCellMar>
        </w:tblPrEx>
        <w:trPr>
          <w:trHeight w:val="357" w:hRule="atLeast"/>
          <w:jc w:val="center"/>
        </w:trPr>
        <w:tc>
          <w:tcPr>
            <w:tcW w:w="3607" w:type="dxa"/>
            <w:vMerge w:val="restart"/>
            <w:tcBorders>
              <w:top w:val="single" w:color="000000" w:sz="4" w:space="0"/>
              <w:left w:val="single" w:color="000000" w:sz="4" w:space="0"/>
              <w:right w:val="single" w:color="000000" w:sz="4" w:space="0"/>
            </w:tcBorders>
            <w:noWrap/>
            <w:vAlign w:val="center"/>
          </w:tcPr>
          <w:p w14:paraId="2CE4239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汤或干拌（面、</w:t>
            </w:r>
            <w:r>
              <w:rPr>
                <w:rFonts w:hint="eastAsia" w:ascii="宋体" w:hAnsi="宋体" w:cs="宋体"/>
                <w:color w:val="auto"/>
                <w:sz w:val="24"/>
                <w:szCs w:val="24"/>
                <w:highlight w:val="none"/>
                <w:lang w:val="zh-CN"/>
              </w:rPr>
              <w:t>米线、</w:t>
            </w:r>
            <w:r>
              <w:rPr>
                <w:rFonts w:hint="eastAsia" w:ascii="宋体" w:hAnsi="宋体" w:cs="宋体"/>
                <w:color w:val="auto"/>
                <w:sz w:val="24"/>
                <w:szCs w:val="24"/>
                <w:highlight w:val="none"/>
              </w:rPr>
              <w:t>粉、刀削）</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F44878B">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3101DA83">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两</w:t>
            </w:r>
          </w:p>
        </w:tc>
      </w:tr>
      <w:tr w14:paraId="50C276FD">
        <w:tblPrEx>
          <w:tblCellMar>
            <w:top w:w="0" w:type="dxa"/>
            <w:left w:w="108" w:type="dxa"/>
            <w:bottom w:w="0" w:type="dxa"/>
            <w:right w:w="108" w:type="dxa"/>
          </w:tblCellMar>
        </w:tblPrEx>
        <w:trPr>
          <w:trHeight w:val="376" w:hRule="atLeast"/>
          <w:jc w:val="center"/>
        </w:trPr>
        <w:tc>
          <w:tcPr>
            <w:tcW w:w="3607" w:type="dxa"/>
            <w:vMerge w:val="continue"/>
            <w:tcBorders>
              <w:left w:val="single" w:color="000000" w:sz="4" w:space="0"/>
              <w:right w:val="single" w:color="000000" w:sz="4" w:space="0"/>
            </w:tcBorders>
            <w:noWrap/>
            <w:vAlign w:val="center"/>
          </w:tcPr>
          <w:p w14:paraId="0B05AF7F">
            <w:pPr>
              <w:spacing w:line="400" w:lineRule="exact"/>
              <w:ind w:firstLine="480" w:firstLineChars="200"/>
              <w:rPr>
                <w:rFonts w:ascii="宋体" w:hAnsi="宋体" w:cs="宋体"/>
                <w:color w:val="auto"/>
                <w:sz w:val="24"/>
                <w:szCs w:val="24"/>
                <w:highlight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273211C">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2F62F6B">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两</w:t>
            </w:r>
          </w:p>
        </w:tc>
      </w:tr>
      <w:tr w14:paraId="59F5F84A">
        <w:tblPrEx>
          <w:tblCellMar>
            <w:top w:w="0" w:type="dxa"/>
            <w:left w:w="108" w:type="dxa"/>
            <w:bottom w:w="0" w:type="dxa"/>
            <w:right w:w="108" w:type="dxa"/>
          </w:tblCellMar>
        </w:tblPrEx>
        <w:trPr>
          <w:trHeight w:val="376" w:hRule="atLeast"/>
          <w:jc w:val="center"/>
        </w:trPr>
        <w:tc>
          <w:tcPr>
            <w:tcW w:w="3607" w:type="dxa"/>
            <w:vMerge w:val="continue"/>
            <w:tcBorders>
              <w:left w:val="single" w:color="000000" w:sz="4" w:space="0"/>
              <w:bottom w:val="single" w:color="000000" w:sz="4" w:space="0"/>
              <w:right w:val="single" w:color="000000" w:sz="4" w:space="0"/>
            </w:tcBorders>
            <w:noWrap/>
            <w:vAlign w:val="center"/>
          </w:tcPr>
          <w:p w14:paraId="095C1BEC">
            <w:pPr>
              <w:spacing w:line="400" w:lineRule="exact"/>
              <w:ind w:firstLine="480" w:firstLineChars="200"/>
              <w:rPr>
                <w:rFonts w:ascii="宋体" w:hAnsi="宋体" w:cs="宋体"/>
                <w:color w:val="auto"/>
                <w:sz w:val="24"/>
                <w:szCs w:val="24"/>
                <w:highlight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24E2FAE">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BB2B63E">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两</w:t>
            </w:r>
          </w:p>
        </w:tc>
      </w:tr>
    </w:tbl>
    <w:p w14:paraId="383BD6F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bookmarkStart w:id="49" w:name="OLE_LINK98"/>
      <w:r>
        <w:rPr>
          <w:rFonts w:hint="eastAsia" w:ascii="宋体" w:hAnsi="宋体" w:cs="宋体"/>
          <w:color w:val="auto"/>
          <w:sz w:val="24"/>
          <w:szCs w:val="24"/>
          <w:highlight w:val="none"/>
        </w:rPr>
        <w:t>基本大伙餐价格参照</w:t>
      </w:r>
      <w:bookmarkEnd w:id="49"/>
      <w:r>
        <w:rPr>
          <w:rFonts w:hint="eastAsia" w:ascii="宋体" w:hAnsi="宋体" w:cs="宋体"/>
          <w:color w:val="auto"/>
          <w:sz w:val="24"/>
          <w:szCs w:val="24"/>
          <w:highlight w:val="none"/>
        </w:rPr>
        <w:t>以下标准（其中鲜猪肉菜品比例每餐不得低于</w:t>
      </w:r>
      <w:r>
        <w:rPr>
          <w:rFonts w:ascii="宋体" w:hAnsi="宋体" w:cs="宋体"/>
          <w:color w:val="auto"/>
          <w:sz w:val="24"/>
          <w:szCs w:val="24"/>
          <w:highlight w:val="none"/>
        </w:rPr>
        <w:t>4个品种）：</w:t>
      </w:r>
    </w:p>
    <w:tbl>
      <w:tblPr>
        <w:tblStyle w:val="59"/>
        <w:tblW w:w="9157" w:type="dxa"/>
        <w:jc w:val="center"/>
        <w:tblLayout w:type="fixed"/>
        <w:tblCellMar>
          <w:top w:w="0" w:type="dxa"/>
          <w:left w:w="108" w:type="dxa"/>
          <w:bottom w:w="0" w:type="dxa"/>
          <w:right w:w="108" w:type="dxa"/>
        </w:tblCellMar>
      </w:tblPr>
      <w:tblGrid>
        <w:gridCol w:w="1561"/>
        <w:gridCol w:w="1376"/>
        <w:gridCol w:w="990"/>
        <w:gridCol w:w="3135"/>
        <w:gridCol w:w="2095"/>
      </w:tblGrid>
      <w:tr w14:paraId="1ED5B6DB">
        <w:tblPrEx>
          <w:tblCellMar>
            <w:top w:w="0" w:type="dxa"/>
            <w:left w:w="108" w:type="dxa"/>
            <w:bottom w:w="0" w:type="dxa"/>
            <w:right w:w="108" w:type="dxa"/>
          </w:tblCellMar>
        </w:tblPrEx>
        <w:trPr>
          <w:trHeight w:val="818" w:hRule="atLeast"/>
          <w:jc w:val="center"/>
        </w:trPr>
        <w:tc>
          <w:tcPr>
            <w:tcW w:w="2937" w:type="dxa"/>
            <w:gridSpan w:val="2"/>
            <w:tcBorders>
              <w:top w:val="single" w:color="000000" w:sz="4" w:space="0"/>
              <w:left w:val="single" w:color="000000" w:sz="4" w:space="0"/>
              <w:bottom w:val="single" w:color="000000" w:sz="4" w:space="0"/>
              <w:right w:val="single" w:color="000000" w:sz="4" w:space="0"/>
            </w:tcBorders>
            <w:noWrap/>
            <w:vAlign w:val="center"/>
          </w:tcPr>
          <w:p w14:paraId="0F2F134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品类</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C282B6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售价（元）</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5467429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荤菜类（</w:t>
            </w:r>
            <w:r>
              <w:rPr>
                <w:rFonts w:ascii="宋体" w:hAnsi="宋体" w:cs="宋体"/>
                <w:color w:val="auto"/>
                <w:sz w:val="24"/>
                <w:szCs w:val="24"/>
                <w:highlight w:val="none"/>
              </w:rPr>
              <w:t>g）（熟重）</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4AECD16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素菜类（</w:t>
            </w:r>
            <w:r>
              <w:rPr>
                <w:rFonts w:ascii="宋体" w:hAnsi="宋体" w:cs="宋体"/>
                <w:color w:val="auto"/>
                <w:sz w:val="24"/>
                <w:szCs w:val="24"/>
                <w:highlight w:val="none"/>
              </w:rPr>
              <w:t>g）</w:t>
            </w:r>
          </w:p>
          <w:p w14:paraId="563BD34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（熟重）</w:t>
            </w:r>
          </w:p>
        </w:tc>
      </w:tr>
      <w:tr w14:paraId="728D7240">
        <w:tblPrEx>
          <w:tblCellMar>
            <w:top w:w="0" w:type="dxa"/>
            <w:left w:w="108" w:type="dxa"/>
            <w:bottom w:w="0" w:type="dxa"/>
            <w:right w:w="108" w:type="dxa"/>
          </w:tblCellMar>
        </w:tblPrEx>
        <w:trPr>
          <w:trHeight w:val="634" w:hRule="atLeast"/>
          <w:jc w:val="center"/>
        </w:trPr>
        <w:tc>
          <w:tcPr>
            <w:tcW w:w="1561" w:type="dxa"/>
            <w:tcBorders>
              <w:top w:val="single" w:color="000000" w:sz="4" w:space="0"/>
              <w:left w:val="single" w:color="000000" w:sz="4" w:space="0"/>
              <w:bottom w:val="single" w:color="auto" w:sz="4" w:space="0"/>
              <w:right w:val="single" w:color="000000" w:sz="4" w:space="0"/>
            </w:tcBorders>
            <w:noWrap/>
            <w:vAlign w:val="center"/>
          </w:tcPr>
          <w:p w14:paraId="4A2AA5DA">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爱心餐</w:t>
            </w:r>
          </w:p>
          <w:p w14:paraId="1DD63A87">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米饭、汤免费</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5F0D35">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一荤一素</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839F49">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C6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鲜猪肉≥</w:t>
            </w:r>
            <w:r>
              <w:rPr>
                <w:rFonts w:ascii="宋体" w:hAnsi="宋体" w:cs="宋体"/>
                <w:color w:val="auto"/>
                <w:sz w:val="24"/>
                <w:szCs w:val="24"/>
                <w:highlight w:val="none"/>
              </w:rPr>
              <w:t>60，配菜≥50</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900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 xml:space="preserve">100 </w:t>
            </w:r>
          </w:p>
        </w:tc>
      </w:tr>
      <w:tr w14:paraId="7ED789F9">
        <w:tblPrEx>
          <w:tblCellMar>
            <w:top w:w="0" w:type="dxa"/>
            <w:left w:w="108" w:type="dxa"/>
            <w:bottom w:w="0" w:type="dxa"/>
            <w:right w:w="108" w:type="dxa"/>
          </w:tblCellMar>
        </w:tblPrEx>
        <w:trPr>
          <w:trHeight w:val="634" w:hRule="atLeast"/>
          <w:jc w:val="center"/>
        </w:trPr>
        <w:tc>
          <w:tcPr>
            <w:tcW w:w="1561" w:type="dxa"/>
            <w:vMerge w:val="restart"/>
            <w:tcBorders>
              <w:top w:val="single" w:color="auto" w:sz="4" w:space="0"/>
              <w:left w:val="single" w:color="000000" w:sz="4" w:space="0"/>
              <w:right w:val="single" w:color="000000" w:sz="4" w:space="0"/>
            </w:tcBorders>
            <w:noWrap/>
            <w:vAlign w:val="center"/>
          </w:tcPr>
          <w:p w14:paraId="4C4C2E7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基础大伙餐</w:t>
            </w:r>
          </w:p>
          <w:p w14:paraId="2BCEB55A">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米饭、汤免费</w:t>
            </w:r>
          </w:p>
        </w:tc>
        <w:tc>
          <w:tcPr>
            <w:tcW w:w="13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314103">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两素</w:t>
            </w:r>
          </w:p>
        </w:tc>
        <w:tc>
          <w:tcPr>
            <w:tcW w:w="9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5DAC66">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CD6">
            <w:pPr>
              <w:spacing w:line="400" w:lineRule="exact"/>
              <w:ind w:firstLine="480" w:firstLineChars="200"/>
              <w:rPr>
                <w:rFonts w:ascii="宋体" w:hAnsi="宋体" w:cs="宋体"/>
                <w:color w:val="auto"/>
                <w:sz w:val="24"/>
                <w:szCs w:val="24"/>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72B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200</w:t>
            </w:r>
          </w:p>
        </w:tc>
      </w:tr>
      <w:tr w14:paraId="673F2D21">
        <w:tblPrEx>
          <w:tblCellMar>
            <w:top w:w="0" w:type="dxa"/>
            <w:left w:w="108" w:type="dxa"/>
            <w:bottom w:w="0" w:type="dxa"/>
            <w:right w:w="108" w:type="dxa"/>
          </w:tblCellMar>
        </w:tblPrEx>
        <w:trPr>
          <w:trHeight w:val="634" w:hRule="atLeast"/>
          <w:jc w:val="center"/>
        </w:trPr>
        <w:tc>
          <w:tcPr>
            <w:tcW w:w="1561" w:type="dxa"/>
            <w:vMerge w:val="continue"/>
            <w:tcBorders>
              <w:left w:val="single" w:color="000000" w:sz="4" w:space="0"/>
              <w:right w:val="single" w:color="000000" w:sz="4" w:space="0"/>
            </w:tcBorders>
            <w:noWrap/>
            <w:vAlign w:val="center"/>
          </w:tcPr>
          <w:p w14:paraId="328C5B47">
            <w:pPr>
              <w:spacing w:line="400" w:lineRule="exact"/>
              <w:ind w:firstLine="480" w:firstLineChars="200"/>
              <w:jc w:val="center"/>
              <w:rPr>
                <w:rFonts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6FFC">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一荤一素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F607">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C86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肉类≥</w:t>
            </w:r>
            <w:r>
              <w:rPr>
                <w:rFonts w:ascii="宋体" w:hAnsi="宋体" w:cs="宋体"/>
                <w:color w:val="auto"/>
                <w:sz w:val="24"/>
                <w:szCs w:val="24"/>
                <w:highlight w:val="none"/>
              </w:rPr>
              <w:t>60，配菜≥50</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6B2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100</w:t>
            </w:r>
          </w:p>
        </w:tc>
      </w:tr>
      <w:tr w14:paraId="3AAE2D93">
        <w:tblPrEx>
          <w:tblCellMar>
            <w:top w:w="0" w:type="dxa"/>
            <w:left w:w="108" w:type="dxa"/>
            <w:bottom w:w="0" w:type="dxa"/>
            <w:right w:w="108" w:type="dxa"/>
          </w:tblCellMar>
        </w:tblPrEx>
        <w:trPr>
          <w:trHeight w:val="824"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noWrap/>
            <w:vAlign w:val="center"/>
          </w:tcPr>
          <w:p w14:paraId="49FA241A">
            <w:pPr>
              <w:spacing w:line="400" w:lineRule="exact"/>
              <w:ind w:firstLine="480" w:firstLineChars="200"/>
              <w:jc w:val="center"/>
              <w:rPr>
                <w:rFonts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E797F25">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一荤两素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9FD9BD7">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8ADB63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肉类≥</w:t>
            </w:r>
            <w:r>
              <w:rPr>
                <w:rFonts w:ascii="宋体" w:hAnsi="宋体" w:cs="宋体"/>
                <w:color w:val="auto"/>
                <w:sz w:val="24"/>
                <w:szCs w:val="24"/>
                <w:highlight w:val="none"/>
              </w:rPr>
              <w:t>60，配菜≥100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664D5B7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200</w:t>
            </w:r>
          </w:p>
        </w:tc>
      </w:tr>
      <w:tr w14:paraId="65E88E30">
        <w:tblPrEx>
          <w:tblCellMar>
            <w:top w:w="0" w:type="dxa"/>
            <w:left w:w="108" w:type="dxa"/>
            <w:bottom w:w="0" w:type="dxa"/>
            <w:right w:w="108" w:type="dxa"/>
          </w:tblCellMar>
        </w:tblPrEx>
        <w:trPr>
          <w:trHeight w:val="824"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noWrap/>
            <w:vAlign w:val="center"/>
          </w:tcPr>
          <w:p w14:paraId="74CADAA9">
            <w:pPr>
              <w:spacing w:line="400" w:lineRule="exact"/>
              <w:ind w:firstLine="480" w:firstLineChars="200"/>
              <w:jc w:val="center"/>
              <w:rPr>
                <w:rFonts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D77EF49">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两荤一素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1A0B35F">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8</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0F618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肉类≥</w:t>
            </w:r>
            <w:r>
              <w:rPr>
                <w:rFonts w:ascii="宋体" w:hAnsi="宋体" w:cs="宋体"/>
                <w:color w:val="auto"/>
                <w:sz w:val="24"/>
                <w:szCs w:val="24"/>
                <w:highlight w:val="none"/>
              </w:rPr>
              <w:t>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5A38C0E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100</w:t>
            </w:r>
          </w:p>
        </w:tc>
      </w:tr>
      <w:tr w14:paraId="759D7B1C">
        <w:tblPrEx>
          <w:tblCellMar>
            <w:top w:w="0" w:type="dxa"/>
            <w:left w:w="108" w:type="dxa"/>
            <w:bottom w:w="0" w:type="dxa"/>
            <w:right w:w="108" w:type="dxa"/>
          </w:tblCellMar>
        </w:tblPrEx>
        <w:trPr>
          <w:trHeight w:val="914"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noWrap/>
            <w:vAlign w:val="center"/>
          </w:tcPr>
          <w:p w14:paraId="62CB8F28">
            <w:pPr>
              <w:spacing w:line="400" w:lineRule="exact"/>
              <w:ind w:firstLine="480" w:firstLineChars="200"/>
              <w:jc w:val="center"/>
              <w:rPr>
                <w:rFonts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AAE0BEE">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两荤两素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B9CDD95">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10</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749540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肉类≥</w:t>
            </w:r>
            <w:r>
              <w:rPr>
                <w:rFonts w:ascii="宋体" w:hAnsi="宋体" w:cs="宋体"/>
                <w:color w:val="auto"/>
                <w:sz w:val="24"/>
                <w:szCs w:val="24"/>
                <w:highlight w:val="none"/>
              </w:rPr>
              <w:t>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1E74FD5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200</w:t>
            </w:r>
          </w:p>
        </w:tc>
      </w:tr>
    </w:tbl>
    <w:p w14:paraId="1B067254">
      <w:pPr>
        <w:spacing w:line="400" w:lineRule="exact"/>
        <w:ind w:firstLine="480" w:firstLineChars="200"/>
        <w:rPr>
          <w:rFonts w:ascii="宋体" w:hAnsi="宋体" w:cs="宋体"/>
          <w:color w:val="auto"/>
          <w:sz w:val="24"/>
          <w:szCs w:val="28"/>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5）</w:t>
      </w:r>
      <w:r>
        <w:rPr>
          <w:rFonts w:hint="eastAsia" w:ascii="宋体" w:hAnsi="宋体" w:cs="宋体"/>
          <w:color w:val="auto"/>
          <w:sz w:val="24"/>
          <w:szCs w:val="28"/>
          <w:highlight w:val="none"/>
        </w:rPr>
        <w:t>成交商须按照采购人要求每日提供爱心保障餐，以套餐形式提供，确保每日不同样，配置标准：中餐和晚餐一荤一素，提供免费汤，米饭免费添加；爱心保障餐每餐不高于</w:t>
      </w:r>
      <w:r>
        <w:rPr>
          <w:rFonts w:ascii="宋体" w:hAnsi="宋体" w:cs="宋体"/>
          <w:color w:val="auto"/>
          <w:sz w:val="24"/>
          <w:szCs w:val="28"/>
          <w:highlight w:val="none"/>
        </w:rPr>
        <w:t>5元，鼓励</w:t>
      </w:r>
      <w:r>
        <w:rPr>
          <w:rFonts w:hint="eastAsia" w:ascii="宋体" w:hAnsi="宋体" w:cs="宋体"/>
          <w:color w:val="auto"/>
          <w:sz w:val="24"/>
          <w:szCs w:val="28"/>
          <w:highlight w:val="none"/>
        </w:rPr>
        <w:t>成交商主动让利给困难家庭学生，可以通过关怀育人的项目，适当再降低餐标，由成交商在经营期内制订供餐方案，报采购人审核书面同意后实施。供应商须按照以上服务要求在基本大伙方案中响应，爱心保障餐品质应符合基本大伙饭菜品质和质量份量要求。</w:t>
      </w:r>
    </w:p>
    <w:p w14:paraId="444218BF">
      <w:pPr>
        <w:spacing w:line="400" w:lineRule="exact"/>
        <w:ind w:firstLine="480" w:firstLineChars="200"/>
        <w:rPr>
          <w:rFonts w:ascii="宋体" w:hAnsi="宋体" w:cs="仿宋"/>
          <w:color w:val="auto"/>
          <w:sz w:val="24"/>
          <w:szCs w:val="24"/>
          <w:highlight w:val="none"/>
        </w:rPr>
      </w:pPr>
      <w:r>
        <w:rPr>
          <w:rFonts w:ascii="宋体" w:hAnsi="宋体" w:cs="仿宋"/>
          <w:color w:val="auto"/>
          <w:sz w:val="24"/>
          <w:szCs w:val="24"/>
          <w:highlight w:val="none"/>
        </w:rPr>
        <w:t>3.食堂业态和档口设置须进行前置审核，特色品种在同质同量同品种的前提下，价格应低于周边市场价格或不高于同类高校，罗列所有能提供的特色菜品或套餐品类，菜肴品种、菜品价格、成本核算、菜品质量标准和经营管理（</w:t>
      </w:r>
      <w:r>
        <w:rPr>
          <w:rFonts w:hint="eastAsia" w:ascii="宋体" w:hAnsi="宋体" w:cs="仿宋"/>
          <w:color w:val="auto"/>
          <w:sz w:val="24"/>
          <w:szCs w:val="24"/>
          <w:highlight w:val="none"/>
        </w:rPr>
        <w:t>含人员管理）等须交采购人监管部门审核书面同意后方可实施，</w:t>
      </w:r>
      <w:r>
        <w:rPr>
          <w:rFonts w:hint="eastAsia" w:ascii="宋体" w:hAnsi="宋体"/>
          <w:color w:val="auto"/>
          <w:sz w:val="24"/>
          <w:szCs w:val="24"/>
          <w:highlight w:val="none"/>
        </w:rPr>
        <w:t>采购人</w:t>
      </w:r>
      <w:r>
        <w:rPr>
          <w:rFonts w:hint="eastAsia" w:ascii="宋体" w:hAnsi="宋体" w:cs="仿宋"/>
          <w:color w:val="auto"/>
          <w:sz w:val="24"/>
          <w:szCs w:val="24"/>
          <w:highlight w:val="none"/>
        </w:rPr>
        <w:t>实行全过程监督管理，</w:t>
      </w:r>
      <w:r>
        <w:rPr>
          <w:rFonts w:hint="eastAsia" w:ascii="宋体" w:hAnsi="宋体"/>
          <w:color w:val="auto"/>
          <w:sz w:val="24"/>
          <w:szCs w:val="24"/>
          <w:highlight w:val="none"/>
        </w:rPr>
        <w:t>否则，成交商按照每一菜品每次</w:t>
      </w:r>
      <w:r>
        <w:rPr>
          <w:rFonts w:ascii="宋体" w:hAnsi="宋体"/>
          <w:color w:val="auto"/>
          <w:sz w:val="24"/>
          <w:szCs w:val="24"/>
          <w:highlight w:val="none"/>
        </w:rPr>
        <w:t>5000元违约金支付采购人。</w:t>
      </w:r>
      <w:r>
        <w:rPr>
          <w:rFonts w:hint="eastAsia" w:ascii="宋体" w:hAnsi="宋体" w:cs="仿宋"/>
          <w:color w:val="auto"/>
          <w:sz w:val="24"/>
          <w:szCs w:val="24"/>
          <w:highlight w:val="none"/>
        </w:rPr>
        <w:t>成交商不得从事餐饮以外的其它任何业务（如经营超市等），不得经营超出自身经营许可或条件的餐饮项目（如没有凉菜制作条件和餐饮许可，则不得经营凉菜项目等）。成交商需不断增加饭菜的花色品种，提高饭菜质量，注重科学营养配餐。保证采购人正常教学运行期间满足师生就餐需求，且未经批准不得擅自停业。</w:t>
      </w:r>
    </w:p>
    <w:p w14:paraId="0DAE8884">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4.</w:t>
      </w:r>
      <w:r>
        <w:rPr>
          <w:rFonts w:hint="eastAsia" w:ascii="宋体" w:hAnsi="宋体" w:cs="仿宋"/>
          <w:color w:val="auto"/>
          <w:sz w:val="24"/>
          <w:szCs w:val="24"/>
          <w:highlight w:val="none"/>
        </w:rPr>
        <w:t>成交商须直接管理和经营食堂，食堂所有窗口须一体化管理，不得分包或转包，</w:t>
      </w:r>
      <w:r>
        <w:rPr>
          <w:rFonts w:hint="eastAsia" w:ascii="宋体" w:hAnsi="宋体" w:cs="仿宋"/>
          <w:bCs/>
          <w:color w:val="auto"/>
          <w:sz w:val="24"/>
          <w:szCs w:val="24"/>
          <w:highlight w:val="none"/>
        </w:rPr>
        <w:t>一经发现分包或转包，采购人不认可任何分包转包合同，有权直接终止合同，扣罚所有履约保证金并追究成交商责任。采购人定期或不定期对所有档口工作人员的聘用合同、缴纳社保的材料、上岗情况及工资流水进行查验。</w:t>
      </w:r>
      <w:r>
        <w:rPr>
          <w:rFonts w:hint="eastAsia" w:ascii="宋体" w:hAnsi="宋体" w:cs="仿宋"/>
          <w:color w:val="auto"/>
          <w:sz w:val="24"/>
          <w:szCs w:val="24"/>
          <w:highlight w:val="none"/>
        </w:rPr>
        <w:t>成交商不得在食堂内非窗口场所、食堂周边、校园内摆摊设点，不得破坏食堂整体格局、外观和使用功能。</w:t>
      </w:r>
    </w:p>
    <w:p w14:paraId="1AB4D1F6">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5.</w:t>
      </w:r>
      <w:r>
        <w:rPr>
          <w:rFonts w:hint="eastAsia" w:ascii="宋体" w:hAnsi="宋体" w:cs="仿宋"/>
          <w:color w:val="auto"/>
          <w:sz w:val="24"/>
          <w:szCs w:val="24"/>
          <w:highlight w:val="none"/>
        </w:rPr>
        <w:t>成交商须注重食品安全卫生管理，严格执行国家、政府行政主管部门、学校对食品安全生产的法律、法规、规章制度的要求，有健全的食品安全管理制度，有食品安全管理团队，有完备的食品安全事故处置预案。不得在食堂内使用、销售预制菜。</w:t>
      </w:r>
    </w:p>
    <w:p w14:paraId="23492452">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6.</w:t>
      </w:r>
      <w:r>
        <w:rPr>
          <w:rFonts w:hint="eastAsia" w:ascii="宋体" w:hAnsi="宋体" w:cs="仿宋"/>
          <w:color w:val="auto"/>
          <w:sz w:val="24"/>
          <w:szCs w:val="24"/>
          <w:highlight w:val="none"/>
        </w:rPr>
        <w:t>成交商须注重师生身体健康，按照《“健康中国</w:t>
      </w:r>
      <w:r>
        <w:rPr>
          <w:rFonts w:ascii="宋体" w:hAnsi="宋体" w:cs="仿宋"/>
          <w:color w:val="auto"/>
          <w:sz w:val="24"/>
          <w:szCs w:val="24"/>
          <w:highlight w:val="none"/>
        </w:rPr>
        <w:t>2030”规划纲要》减盐要求，本项目所有食堂须使用低钠盐。且必须在具有食盐批发业务资质的企业中采购低钠盐。否则，采购人按每次</w:t>
      </w:r>
      <w:r>
        <w:rPr>
          <w:rFonts w:ascii="宋体" w:hAnsi="宋体" w:cs="宋体"/>
          <w:color w:val="auto"/>
          <w:sz w:val="24"/>
          <w:szCs w:val="24"/>
          <w:highlight w:val="none"/>
        </w:rPr>
        <w:t>50000元扣罚</w:t>
      </w:r>
      <w:r>
        <w:rPr>
          <w:rFonts w:hint="eastAsia" w:ascii="宋体" w:hAnsi="宋体" w:cs="宋体"/>
          <w:color w:val="auto"/>
          <w:sz w:val="24"/>
          <w:szCs w:val="24"/>
          <w:highlight w:val="none"/>
        </w:rPr>
        <w:t>成交商违约金。</w:t>
      </w:r>
    </w:p>
    <w:p w14:paraId="59E18706">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7.人员管理要求：</w:t>
      </w:r>
    </w:p>
    <w:p w14:paraId="1B892438">
      <w:pPr>
        <w:spacing w:line="440" w:lineRule="exact"/>
        <w:ind w:firstLine="480" w:firstLineChars="200"/>
        <w:jc w:val="left"/>
        <w:rPr>
          <w:rFonts w:ascii="宋体" w:hAnsi="宋体"/>
          <w:color w:val="auto"/>
          <w:sz w:val="24"/>
          <w:szCs w:val="24"/>
          <w:highlight w:val="none"/>
        </w:rPr>
      </w:pPr>
      <w:r>
        <w:rPr>
          <w:rFonts w:hint="eastAsia" w:ascii="宋体" w:hAnsi="宋体" w:cs="仿宋"/>
          <w:color w:val="auto"/>
          <w:sz w:val="24"/>
          <w:szCs w:val="24"/>
          <w:highlight w:val="none"/>
        </w:rPr>
        <w:t>成交供应商在合同期内须履行好主体责任，按要求做好在本项目员工的教育管理，采购人将严格按该相关要求加强对成交供应商的考核。严格把好食堂从业人员的“入门关”，严格从业资格审查。对拟使用的食堂从业人员，要按照相关文件要求，开展性侵等各类违法犯罪信息查询，并按规定定期报备查询结果。食堂管理服务人员应政治坚定、遵纪守法、廉洁自律、品行端正、无犯罪记录；身体健康无传染性疾病；心理健康无精神病史；掌握相关岗位业务知识和技能，能胜任工作；年龄原则上不宜过大。成交商须按照要求提供项目所有人员信息（采购人严格报名）备查；采购人将不定期全面排查食堂从业人员动态信息情况，按照相关文件规定，每年</w:t>
      </w:r>
      <w:r>
        <w:rPr>
          <w:rFonts w:ascii="宋体" w:hAnsi="宋体" w:cs="仿宋"/>
          <w:color w:val="auto"/>
          <w:sz w:val="24"/>
          <w:szCs w:val="24"/>
          <w:highlight w:val="none"/>
        </w:rPr>
        <w:t>3月对在岗人员进行涉</w:t>
      </w:r>
      <w:r>
        <w:rPr>
          <w:rFonts w:hint="eastAsia" w:ascii="宋体" w:hAnsi="宋体" w:cs="仿宋"/>
          <w:color w:val="auto"/>
          <w:sz w:val="24"/>
          <w:szCs w:val="24"/>
          <w:highlight w:val="none"/>
        </w:rPr>
        <w:t>罪信息查询，对不符合或不具备在岗条件的人员要及时进行清退。成交商要关心关爱食堂从业人员，及时了解他们的思想动态，协助解决实际困难。</w:t>
      </w:r>
    </w:p>
    <w:p w14:paraId="455DC530">
      <w:pPr>
        <w:spacing w:line="440" w:lineRule="exact"/>
        <w:ind w:firstLine="480" w:firstLineChars="200"/>
        <w:jc w:val="left"/>
        <w:rPr>
          <w:rFonts w:ascii="宋体" w:hAnsi="宋体"/>
          <w:color w:val="auto"/>
          <w:sz w:val="24"/>
          <w:szCs w:val="24"/>
          <w:highlight w:val="none"/>
        </w:rPr>
      </w:pPr>
      <w:r>
        <w:rPr>
          <w:rFonts w:hint="eastAsia" w:ascii="宋体" w:hAnsi="宋体" w:cs="仿宋"/>
          <w:color w:val="auto"/>
          <w:sz w:val="24"/>
          <w:szCs w:val="24"/>
          <w:highlight w:val="none"/>
        </w:rPr>
        <w:t>成交商须服从政府相关部门和学校的监督管理和指导，自行承担经营责任和风险。</w:t>
      </w:r>
      <w:r>
        <w:rPr>
          <w:rFonts w:hint="eastAsia" w:ascii="宋体" w:hAnsi="宋体"/>
          <w:color w:val="auto"/>
          <w:sz w:val="24"/>
          <w:szCs w:val="24"/>
          <w:highlight w:val="none"/>
        </w:rPr>
        <w:t>成交商应制定完善的员工管理办法和制度，</w:t>
      </w:r>
      <w:r>
        <w:rPr>
          <w:rFonts w:hint="eastAsia" w:ascii="宋体" w:hAnsi="宋体" w:cs="仿宋"/>
          <w:color w:val="auto"/>
          <w:sz w:val="24"/>
          <w:szCs w:val="24"/>
          <w:highlight w:val="none"/>
        </w:rPr>
        <w:t>依法用工。</w:t>
      </w:r>
      <w:r>
        <w:rPr>
          <w:rFonts w:hint="eastAsia" w:ascii="宋体" w:hAnsi="宋体" w:cs="仿宋"/>
          <w:b/>
          <w:bCs/>
          <w:color w:val="auto"/>
          <w:sz w:val="24"/>
          <w:szCs w:val="24"/>
          <w:highlight w:val="none"/>
        </w:rPr>
        <w:t>成交商以本单位名义依法为本项目食堂所有从业人员全员签订劳动合同，不能签订劳动合同的必须签订劳务协议。</w:t>
      </w:r>
      <w:r>
        <w:rPr>
          <w:rFonts w:hint="eastAsia" w:ascii="宋体" w:hAnsi="宋体" w:cs="仿宋"/>
          <w:color w:val="auto"/>
          <w:sz w:val="24"/>
          <w:szCs w:val="24"/>
          <w:highlight w:val="none"/>
        </w:rPr>
        <w:t>工资待遇和社会保险按国家规定执行，</w:t>
      </w:r>
      <w:r>
        <w:rPr>
          <w:rFonts w:hint="eastAsia" w:ascii="宋体" w:hAnsi="宋体"/>
          <w:color w:val="auto"/>
          <w:sz w:val="24"/>
          <w:szCs w:val="24"/>
          <w:highlight w:val="none"/>
        </w:rPr>
        <w:t>必须做好内部员工管理，包括安全和稳定的管理。成交商应妥善处理与就餐人员之间的矛盾、冲突，且不得使冲突升级，成交商</w:t>
      </w:r>
      <w:r>
        <w:rPr>
          <w:rFonts w:hint="eastAsia" w:ascii="宋体" w:hAnsi="宋体" w:cs="仿宋"/>
          <w:color w:val="auto"/>
          <w:sz w:val="24"/>
          <w:szCs w:val="24"/>
          <w:highlight w:val="none"/>
        </w:rPr>
        <w:t>承担由此造成的一切经济、安全和法律责任。</w:t>
      </w:r>
      <w:r>
        <w:rPr>
          <w:rFonts w:hint="eastAsia" w:ascii="宋体" w:hAnsi="宋体"/>
          <w:color w:val="auto"/>
          <w:sz w:val="24"/>
          <w:szCs w:val="24"/>
          <w:highlight w:val="none"/>
        </w:rPr>
        <w:t>若因成交商资金链断裂、内部员工工伤、工资报酬、供货商、合作商、贷款纠纷等情况出现上访、投诉或重大网络舆情事件，或者发生</w:t>
      </w:r>
      <w:r>
        <w:rPr>
          <w:rFonts w:hint="eastAsia" w:ascii="宋体" w:hAnsi="宋体" w:cs="宋体"/>
          <w:color w:val="auto"/>
          <w:sz w:val="24"/>
          <w:szCs w:val="24"/>
          <w:highlight w:val="none"/>
          <w:lang w:val="zh-CN"/>
        </w:rPr>
        <w:t>学生集体性食物中毒、火灾、拥挤踩踏等群体性安全事故和</w:t>
      </w:r>
      <w:r>
        <w:rPr>
          <w:rFonts w:hint="eastAsia" w:ascii="宋体" w:hAnsi="宋体" w:cs="宋体"/>
          <w:color w:val="auto"/>
          <w:sz w:val="24"/>
          <w:szCs w:val="24"/>
          <w:highlight w:val="none"/>
        </w:rPr>
        <w:t>重大</w:t>
      </w:r>
      <w:r>
        <w:rPr>
          <w:rFonts w:hint="eastAsia" w:ascii="宋体" w:hAnsi="宋体" w:cs="宋体"/>
          <w:color w:val="auto"/>
          <w:sz w:val="24"/>
          <w:szCs w:val="24"/>
          <w:highlight w:val="none"/>
          <w:lang w:val="zh-CN"/>
        </w:rPr>
        <w:t>网络舆情事件</w:t>
      </w:r>
      <w:r>
        <w:rPr>
          <w:rFonts w:hint="eastAsia" w:ascii="宋体" w:hAnsi="宋体" w:cs="宋体"/>
          <w:bCs/>
          <w:color w:val="auto"/>
          <w:sz w:val="24"/>
          <w:szCs w:val="24"/>
          <w:highlight w:val="none"/>
          <w:lang w:val="zh-CN"/>
        </w:rPr>
        <w:t>，</w:t>
      </w:r>
      <w:r>
        <w:rPr>
          <w:rFonts w:hint="eastAsia" w:ascii="宋体" w:hAnsi="宋体"/>
          <w:color w:val="auto"/>
          <w:sz w:val="24"/>
          <w:szCs w:val="24"/>
          <w:highlight w:val="none"/>
        </w:rPr>
        <w:t>一经查实，成交商每次向采购人支付违约金</w:t>
      </w:r>
      <w:r>
        <w:rPr>
          <w:rFonts w:ascii="宋体" w:hAnsi="宋体"/>
          <w:color w:val="auto"/>
          <w:sz w:val="24"/>
          <w:szCs w:val="24"/>
          <w:highlight w:val="none"/>
        </w:rPr>
        <w:t>500000元，</w:t>
      </w:r>
      <w:r>
        <w:rPr>
          <w:rFonts w:hint="eastAsia" w:ascii="宋体" w:hAnsi="宋体"/>
          <w:color w:val="auto"/>
          <w:sz w:val="24"/>
          <w:szCs w:val="24"/>
          <w:highlight w:val="none"/>
        </w:rPr>
        <w:t>如</w:t>
      </w:r>
      <w:r>
        <w:rPr>
          <w:rFonts w:ascii="宋体" w:hAnsi="宋体"/>
          <w:color w:val="auto"/>
          <w:sz w:val="24"/>
          <w:szCs w:val="24"/>
          <w:highlight w:val="none"/>
        </w:rPr>
        <w:t>造成重大不良影响</w:t>
      </w:r>
      <w:r>
        <w:rPr>
          <w:rFonts w:hint="eastAsia" w:ascii="宋体" w:hAnsi="宋体"/>
          <w:color w:val="auto"/>
          <w:sz w:val="24"/>
          <w:szCs w:val="24"/>
          <w:highlight w:val="none"/>
        </w:rPr>
        <w:t>，</w:t>
      </w:r>
      <w:r>
        <w:rPr>
          <w:rFonts w:ascii="宋体" w:hAnsi="宋体"/>
          <w:color w:val="auto"/>
          <w:sz w:val="24"/>
          <w:szCs w:val="24"/>
          <w:highlight w:val="none"/>
        </w:rPr>
        <w:t>采购人有权单方面解除合同，</w:t>
      </w:r>
      <w:r>
        <w:rPr>
          <w:rFonts w:hint="eastAsia" w:ascii="宋体" w:hAnsi="宋体"/>
          <w:color w:val="auto"/>
          <w:sz w:val="24"/>
          <w:szCs w:val="24"/>
          <w:highlight w:val="none"/>
        </w:rPr>
        <w:t>且</w:t>
      </w:r>
      <w:r>
        <w:rPr>
          <w:rFonts w:ascii="宋体" w:hAnsi="宋体"/>
          <w:color w:val="auto"/>
          <w:sz w:val="24"/>
          <w:szCs w:val="24"/>
          <w:highlight w:val="none"/>
        </w:rPr>
        <w:t>不退还全部履约保证金。</w:t>
      </w:r>
      <w:r>
        <w:rPr>
          <w:rFonts w:hint="eastAsia" w:ascii="宋体" w:hAnsi="宋体"/>
          <w:color w:val="auto"/>
          <w:sz w:val="24"/>
          <w:szCs w:val="24"/>
          <w:highlight w:val="none"/>
        </w:rPr>
        <w:t>成交商或成交商工作人员应遵守采购人相关规章制度，因成交商或成交商工作人员原因给自身、采购人或第三方造成的一切人身、财产损害等后果由成交商自行承担。成交商须为食堂购买食品安全责任险和燃气安全责任险，且成交商须自行承担员工和经营范围内发生的人身财产安全、食品安全、燃气安全、消防安全等事故造成的一切经济、行政和法律责任。</w:t>
      </w:r>
    </w:p>
    <w:p w14:paraId="42A8FF3D">
      <w:pPr>
        <w:spacing w:line="440" w:lineRule="exact"/>
        <w:ind w:firstLine="482" w:firstLineChars="200"/>
        <w:jc w:val="left"/>
        <w:rPr>
          <w:rFonts w:ascii="宋体" w:hAnsi="宋体"/>
          <w:b/>
          <w:color w:val="auto"/>
          <w:sz w:val="24"/>
          <w:szCs w:val="24"/>
          <w:highlight w:val="none"/>
        </w:rPr>
      </w:pPr>
      <w:r>
        <w:rPr>
          <w:rFonts w:hint="eastAsia" w:ascii="宋体" w:hAnsi="宋体" w:cs="仿宋"/>
          <w:b/>
          <w:color w:val="auto"/>
          <w:sz w:val="24"/>
          <w:szCs w:val="24"/>
          <w:highlight w:val="none"/>
        </w:rPr>
        <w:t>成交商必须以本单位名义为本项目食堂所有从业人员购买社保，不能购买社保的超龄人员必须</w:t>
      </w:r>
      <w:r>
        <w:rPr>
          <w:rFonts w:ascii="宋体" w:hAnsi="宋体" w:cs="仿宋"/>
          <w:b/>
          <w:color w:val="auto"/>
          <w:sz w:val="24"/>
          <w:szCs w:val="24"/>
          <w:highlight w:val="none"/>
        </w:rPr>
        <w:t>100%购买雇主责任险，如发现少买或漏买，采购人将按每人每月1000元违约金处罚成交商。</w:t>
      </w:r>
    </w:p>
    <w:p w14:paraId="4D4ABD47">
      <w:pPr>
        <w:spacing w:line="440" w:lineRule="exact"/>
        <w:ind w:firstLine="482" w:firstLineChars="200"/>
        <w:jc w:val="left"/>
        <w:rPr>
          <w:rFonts w:ascii="宋体" w:hAnsi="宋体" w:cs="仿宋"/>
          <w:b/>
          <w:color w:val="auto"/>
          <w:sz w:val="24"/>
          <w:szCs w:val="24"/>
          <w:highlight w:val="none"/>
        </w:rPr>
      </w:pPr>
      <w:r>
        <w:rPr>
          <w:rFonts w:ascii="宋体" w:hAnsi="宋体" w:cs="仿宋"/>
          <w:b/>
          <w:color w:val="auto"/>
          <w:sz w:val="24"/>
          <w:szCs w:val="24"/>
          <w:highlight w:val="none"/>
        </w:rPr>
        <w:t>8.结算要求：</w:t>
      </w:r>
      <w:r>
        <w:rPr>
          <w:rFonts w:hint="eastAsia" w:ascii="宋体" w:hAnsi="宋体" w:cs="仿宋"/>
          <w:b/>
          <w:color w:val="auto"/>
          <w:sz w:val="24"/>
          <w:szCs w:val="24"/>
          <w:highlight w:val="none"/>
        </w:rPr>
        <w:t>成交商营业款结算周期则上为每月</w:t>
      </w:r>
      <w:r>
        <w:rPr>
          <w:rFonts w:ascii="宋体" w:hAnsi="宋体" w:cs="仿宋"/>
          <w:b/>
          <w:color w:val="auto"/>
          <w:sz w:val="24"/>
          <w:szCs w:val="24"/>
          <w:highlight w:val="none"/>
        </w:rPr>
        <w:t>20日，如遇寒暑</w:t>
      </w:r>
      <w:r>
        <w:rPr>
          <w:rFonts w:hint="eastAsia" w:ascii="宋体" w:hAnsi="宋体" w:cs="仿宋"/>
          <w:b/>
          <w:color w:val="auto"/>
          <w:sz w:val="24"/>
          <w:szCs w:val="24"/>
          <w:highlight w:val="none"/>
        </w:rPr>
        <w:t>假和法定节假日，</w:t>
      </w:r>
      <w:r>
        <w:rPr>
          <w:rFonts w:ascii="宋体" w:hAnsi="宋体" w:cs="仿宋"/>
          <w:b/>
          <w:color w:val="auto"/>
          <w:sz w:val="24"/>
          <w:szCs w:val="24"/>
          <w:highlight w:val="none"/>
        </w:rPr>
        <w:t>结算周期</w:t>
      </w:r>
      <w:r>
        <w:rPr>
          <w:rFonts w:hint="eastAsia" w:ascii="宋体" w:hAnsi="宋体" w:cs="仿宋"/>
          <w:b/>
          <w:color w:val="auto"/>
          <w:sz w:val="24"/>
          <w:szCs w:val="24"/>
          <w:highlight w:val="none"/>
        </w:rPr>
        <w:t>顺延</w:t>
      </w:r>
      <w:r>
        <w:rPr>
          <w:rFonts w:ascii="宋体" w:hAnsi="宋体" w:cs="仿宋"/>
          <w:b/>
          <w:color w:val="auto"/>
          <w:sz w:val="24"/>
          <w:szCs w:val="24"/>
          <w:highlight w:val="none"/>
        </w:rPr>
        <w:t>。为防止</w:t>
      </w:r>
      <w:r>
        <w:rPr>
          <w:rFonts w:hint="eastAsia" w:ascii="宋体" w:hAnsi="宋体" w:cs="仿宋"/>
          <w:b/>
          <w:color w:val="auto"/>
          <w:sz w:val="24"/>
          <w:szCs w:val="24"/>
          <w:highlight w:val="none"/>
        </w:rPr>
        <w:t>成交商拖欠员工工资、保险，供货商货款和其他合作商款项等，成交商需在采购人发出的营业款结算帐单之日起</w:t>
      </w:r>
      <w:r>
        <w:rPr>
          <w:rFonts w:ascii="宋体" w:hAnsi="宋体" w:cs="仿宋"/>
          <w:b/>
          <w:color w:val="auto"/>
          <w:sz w:val="24"/>
          <w:szCs w:val="24"/>
          <w:highlight w:val="none"/>
        </w:rPr>
        <w:t>10日内将员</w:t>
      </w:r>
      <w:r>
        <w:rPr>
          <w:rFonts w:hint="eastAsia" w:ascii="宋体" w:hAnsi="宋体" w:cs="仿宋"/>
          <w:b/>
          <w:color w:val="auto"/>
          <w:sz w:val="24"/>
          <w:szCs w:val="24"/>
          <w:highlight w:val="none"/>
        </w:rPr>
        <w:t>工资、保险，供货商货款和其他合作商款项</w:t>
      </w:r>
      <w:r>
        <w:rPr>
          <w:rFonts w:ascii="宋体" w:hAnsi="宋体" w:cs="仿宋"/>
          <w:b/>
          <w:color w:val="auto"/>
          <w:sz w:val="24"/>
          <w:szCs w:val="24"/>
          <w:highlight w:val="none"/>
        </w:rPr>
        <w:t>支付到位，采购人在收到</w:t>
      </w:r>
      <w:r>
        <w:rPr>
          <w:rFonts w:hint="eastAsia" w:ascii="宋体" w:hAnsi="宋体" w:cs="仿宋"/>
          <w:b/>
          <w:color w:val="auto"/>
          <w:sz w:val="24"/>
          <w:szCs w:val="24"/>
          <w:highlight w:val="none"/>
        </w:rPr>
        <w:t>成交商提交的工资、保险，供货商货款和其他合作商款项支付证明材料后</w:t>
      </w:r>
      <w:r>
        <w:rPr>
          <w:rFonts w:ascii="宋体" w:hAnsi="宋体" w:cs="仿宋"/>
          <w:b/>
          <w:color w:val="auto"/>
          <w:sz w:val="24"/>
          <w:szCs w:val="24"/>
          <w:highlight w:val="none"/>
        </w:rPr>
        <w:t>10内将营业款支付到位。</w:t>
      </w:r>
    </w:p>
    <w:p w14:paraId="509DBEF3">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9.</w:t>
      </w:r>
      <w:r>
        <w:rPr>
          <w:rFonts w:hint="eastAsia" w:ascii="宋体" w:hAnsi="宋体" w:cs="仿宋"/>
          <w:color w:val="auto"/>
          <w:sz w:val="24"/>
          <w:szCs w:val="24"/>
          <w:highlight w:val="none"/>
        </w:rPr>
        <w:t>成交商必须使用采购人的一卡通系统进行收费，不得采取其他任何支付方式</w:t>
      </w:r>
      <w:r>
        <w:rPr>
          <w:rFonts w:ascii="宋体" w:hAnsi="宋体" w:cs="仿宋"/>
          <w:color w:val="auto"/>
          <w:sz w:val="24"/>
          <w:szCs w:val="24"/>
          <w:highlight w:val="none"/>
        </w:rPr>
        <w:t>(除学校统一监管的现金收银以外)。否则，经查实后</w:t>
      </w:r>
      <w:r>
        <w:rPr>
          <w:rFonts w:hint="eastAsia" w:ascii="宋体" w:hAnsi="宋体" w:cs="仿宋"/>
          <w:color w:val="auto"/>
          <w:sz w:val="24"/>
          <w:szCs w:val="24"/>
          <w:highlight w:val="none"/>
        </w:rPr>
        <w:t>成交商按照每次</w:t>
      </w:r>
      <w:r>
        <w:rPr>
          <w:rFonts w:ascii="宋体" w:hAnsi="宋体" w:cs="仿宋"/>
          <w:color w:val="auto"/>
          <w:sz w:val="24"/>
          <w:szCs w:val="24"/>
          <w:highlight w:val="none"/>
        </w:rPr>
        <w:t>20000元的违约金标准支付采购人，若当月发现三次以上违规交易的情况，则扣除当月营业额的20%作为违约金。采购人不再向</w:t>
      </w:r>
      <w:r>
        <w:rPr>
          <w:rFonts w:hint="eastAsia" w:ascii="宋体" w:hAnsi="宋体" w:cs="仿宋"/>
          <w:color w:val="auto"/>
          <w:sz w:val="24"/>
          <w:szCs w:val="24"/>
          <w:highlight w:val="none"/>
        </w:rPr>
        <w:t>成交商收取收费系统维护费，成交商需自行承担采购人食堂新增收费终端设备和数智食堂软硬件的购买、升级、线路改造及日常设备维护费用。</w:t>
      </w:r>
    </w:p>
    <w:p w14:paraId="15F09ACA">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10.</w:t>
      </w:r>
      <w:r>
        <w:rPr>
          <w:rFonts w:hint="eastAsia" w:ascii="宋体" w:hAnsi="宋体" w:cs="仿宋"/>
          <w:color w:val="auto"/>
          <w:sz w:val="24"/>
          <w:szCs w:val="24"/>
          <w:highlight w:val="none"/>
        </w:rPr>
        <w:t>成交商须根据食堂的定位和要求进行成本核算。要按照相关规章制度和采购人要求，聘请市内外专家对员工进行安全和业务能力培训，并承担专家指导费；与其他食堂保持和谐经营关系。要采取有效措施确保饮食安全、生产安全和价格稳定，接受采购人监督考核，承担一切安全事故责任。</w:t>
      </w:r>
    </w:p>
    <w:p w14:paraId="0FA6B2F1">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11.本项目</w:t>
      </w:r>
      <w:r>
        <w:rPr>
          <w:rFonts w:hint="eastAsia" w:ascii="宋体" w:hAnsi="宋体" w:cs="仿宋"/>
          <w:color w:val="auto"/>
          <w:sz w:val="24"/>
          <w:szCs w:val="24"/>
          <w:highlight w:val="none"/>
        </w:rPr>
        <w:t>成交商所有员工上岗前必须取得健康证，避免因员工身体原因造成的安全事故，否则不能上岗且按照每次违规扣罚2</w:t>
      </w:r>
      <w:r>
        <w:rPr>
          <w:rFonts w:ascii="宋体" w:hAnsi="宋体" w:cs="仿宋"/>
          <w:color w:val="auto"/>
          <w:sz w:val="24"/>
          <w:szCs w:val="24"/>
          <w:highlight w:val="none"/>
        </w:rPr>
        <w:t>000元标准执行。</w:t>
      </w:r>
      <w:r>
        <w:rPr>
          <w:rFonts w:hint="eastAsia" w:ascii="宋体" w:hAnsi="宋体" w:cs="仿宋"/>
          <w:color w:val="auto"/>
          <w:sz w:val="24"/>
          <w:szCs w:val="24"/>
          <w:highlight w:val="none"/>
        </w:rPr>
        <w:t>成交商还须根据实际用工需求接纳采购人推荐的优秀员工和管理人员。</w:t>
      </w:r>
    </w:p>
    <w:p w14:paraId="25033B82">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12.</w:t>
      </w:r>
      <w:r>
        <w:rPr>
          <w:rFonts w:hint="eastAsia" w:ascii="宋体" w:hAnsi="宋体" w:cs="仿宋"/>
          <w:color w:val="auto"/>
          <w:sz w:val="24"/>
          <w:szCs w:val="24"/>
          <w:highlight w:val="none"/>
        </w:rPr>
        <w:t>成交商需自行负责经营区域及分摊的公共区域清洁卫生，其标准必须达到上级主管部门及采购人的相关要求，接受学校的日常监督考核。</w:t>
      </w:r>
    </w:p>
    <w:p w14:paraId="2B14D8AE">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13.</w:t>
      </w:r>
      <w:r>
        <w:rPr>
          <w:rFonts w:hint="eastAsia" w:ascii="宋体" w:hAnsi="宋体" w:cs="仿宋"/>
          <w:color w:val="auto"/>
          <w:sz w:val="24"/>
          <w:szCs w:val="24"/>
          <w:highlight w:val="none"/>
        </w:rPr>
        <w:t>成交商须确保饭菜品质，成品菜符合质量要求，按五项指标（饮食卫生、服务态度、饭菜价格、饭菜质量、花色品种）接受采购人后勤部门考核和监督。成交商必须设立纸质意见簿和“一码收集”“一键反馈”等数智化意见采集和反馈系统，听取意见，改进服务，师生满意率达</w:t>
      </w:r>
      <w:r>
        <w:rPr>
          <w:rFonts w:ascii="宋体" w:hAnsi="宋体" w:cs="仿宋"/>
          <w:color w:val="auto"/>
          <w:sz w:val="24"/>
          <w:szCs w:val="24"/>
          <w:highlight w:val="none"/>
        </w:rPr>
        <w:t>85%以上。无条件配合采购人创建主管部门组织的学生食堂相关评选和创建活动。</w:t>
      </w:r>
    </w:p>
    <w:p w14:paraId="7926357D">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14.</w:t>
      </w:r>
      <w:r>
        <w:rPr>
          <w:rFonts w:hint="eastAsia" w:ascii="宋体" w:hAnsi="宋体" w:cs="仿宋"/>
          <w:color w:val="auto"/>
          <w:sz w:val="24"/>
          <w:szCs w:val="24"/>
          <w:highlight w:val="none"/>
        </w:rPr>
        <w:t>成交商必须把好饮食卫生“四关”，即验收关、拣洗关、烹饪关和销售关；“三消毒”，即餐具消毒、工用具消毒和功能间消毒；“二净”，即窗口服务员工要衣、帽干净整洁；“一留样”，即熟食留样并记录。</w:t>
      </w:r>
    </w:p>
    <w:p w14:paraId="5EC6FF68">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15.</w:t>
      </w:r>
      <w:r>
        <w:rPr>
          <w:rFonts w:hint="eastAsia" w:ascii="宋体" w:hAnsi="宋体" w:cs="仿宋"/>
          <w:color w:val="auto"/>
          <w:sz w:val="24"/>
          <w:szCs w:val="24"/>
          <w:highlight w:val="none"/>
        </w:rPr>
        <w:t>成交商做好餐具和工用具的洗涤，洗涤用品必须选用符合国家相关标准的食品级用品，清洗好的餐具和工用具做好保洁工作，餐具需烘干，无水渍。</w:t>
      </w:r>
    </w:p>
    <w:p w14:paraId="4F9605B3">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16.</w:t>
      </w:r>
      <w:r>
        <w:rPr>
          <w:rFonts w:hint="eastAsia" w:ascii="宋体" w:hAnsi="宋体" w:cs="仿宋"/>
          <w:color w:val="auto"/>
          <w:sz w:val="24"/>
          <w:szCs w:val="24"/>
          <w:highlight w:val="none"/>
        </w:rPr>
        <w:t>成交商所提供的不锈钢餐具必须符合国家标准</w:t>
      </w:r>
      <w:r>
        <w:rPr>
          <w:rFonts w:ascii="宋体" w:hAnsi="宋体" w:cs="仿宋"/>
          <w:color w:val="auto"/>
          <w:sz w:val="24"/>
          <w:szCs w:val="24"/>
          <w:highlight w:val="none"/>
        </w:rPr>
        <w:t>GB/T15067.2-2016，密胺塑料餐具必须符合国家标准GB/T41001-2021，一次性塑料餐饮用具必须符合国家标准GB/T18006.12009，GB/T18006.1-2020，一次性纸</w:t>
      </w:r>
      <w:r>
        <w:rPr>
          <w:rFonts w:hint="eastAsia" w:ascii="宋体" w:hAnsi="宋体" w:cs="仿宋"/>
          <w:color w:val="auto"/>
          <w:sz w:val="24"/>
          <w:szCs w:val="24"/>
          <w:highlight w:val="none"/>
        </w:rPr>
        <w:t>碗必须符合国家标准</w:t>
      </w:r>
      <w:r>
        <w:rPr>
          <w:rFonts w:ascii="宋体" w:hAnsi="宋体" w:cs="仿宋"/>
          <w:color w:val="auto"/>
          <w:sz w:val="24"/>
          <w:szCs w:val="24"/>
          <w:highlight w:val="none"/>
        </w:rPr>
        <w:t>GB/T27591—2011，一次性筷子（木筷）必须符合国家标准GB/T19790.1-2021，一次性筷子（竹筷）必须符合国家标准GB19790.2-2005，倡导使用环保低碳可降解产品。</w:t>
      </w:r>
    </w:p>
    <w:p w14:paraId="0320D723">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17.</w:t>
      </w:r>
      <w:r>
        <w:rPr>
          <w:rFonts w:hint="eastAsia" w:ascii="宋体" w:hAnsi="宋体" w:cs="仿宋"/>
          <w:color w:val="auto"/>
          <w:sz w:val="24"/>
          <w:szCs w:val="24"/>
          <w:highlight w:val="none"/>
        </w:rPr>
        <w:t>成交商应加强员工安全教育，落实安全措施，按加工流程和操作流程规范生产，违章操作者按有关制度严格处罚，确保食品安全、消防安全、生产安全、食堂卫生、环境卫生，“四防”（防毒、防火、防盗、防恐）责任到人，食堂负责人及专职安全员每日负责检查并作好检查记录备查。</w:t>
      </w:r>
    </w:p>
    <w:p w14:paraId="3F4D58EA">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18.</w:t>
      </w:r>
      <w:r>
        <w:rPr>
          <w:rFonts w:hint="eastAsia" w:ascii="宋体" w:hAnsi="宋体" w:cs="仿宋"/>
          <w:color w:val="auto"/>
          <w:sz w:val="24"/>
          <w:szCs w:val="24"/>
          <w:highlight w:val="none"/>
        </w:rPr>
        <w:t>成交商经营本项目要实行“四统一”，即统一规划建设、统一管理、统一采购、统一洗消，服从调整和安排。如遇紧急情况和突发事件，成交商必须无条件服从采购人的统一安排和指挥。</w:t>
      </w:r>
    </w:p>
    <w:p w14:paraId="51385DD3">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19.</w:t>
      </w:r>
      <w:r>
        <w:rPr>
          <w:rFonts w:hint="eastAsia" w:ascii="宋体" w:hAnsi="宋体" w:cs="仿宋"/>
          <w:color w:val="auto"/>
          <w:sz w:val="24"/>
          <w:szCs w:val="24"/>
          <w:highlight w:val="none"/>
        </w:rPr>
        <w:t>成交商必须按照采购人要求，指派公司负责人全面统筹所经营管理食堂的食品安全、饭菜质量、内部管理等，每月应至少</w:t>
      </w:r>
      <w:r>
        <w:rPr>
          <w:rFonts w:ascii="宋体" w:hAnsi="宋体" w:cs="仿宋"/>
          <w:color w:val="auto"/>
          <w:sz w:val="24"/>
          <w:szCs w:val="24"/>
          <w:highlight w:val="none"/>
        </w:rPr>
        <w:t>1次到食堂现场检查食品安全工作并留在检查影像资料和记录备查。</w:t>
      </w:r>
    </w:p>
    <w:p w14:paraId="60BA0D41">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20.招标文件中未尽条款按《中华人民共和国食品安全法》、《中华人民共和国食品安全法实施条例》、《餐饮服务食品安全操作规范》、《GB31654-2021食品安全国家标准餐饮服务通用卫生规范</w:t>
      </w:r>
      <w:r>
        <w:rPr>
          <w:rFonts w:hint="eastAsia" w:ascii="宋体" w:hAnsi="宋体" w:cs="仿宋"/>
          <w:color w:val="auto"/>
          <w:sz w:val="24"/>
          <w:szCs w:val="24"/>
          <w:highlight w:val="none"/>
        </w:rPr>
        <w:t>》、《重庆文理学院食品安全管理办法》、《重庆文理学院食堂监管办法》等最新相关文件要求执行。</w:t>
      </w:r>
    </w:p>
    <w:p w14:paraId="1AB8F52E">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21.采购人不提供员工住宿场所，</w:t>
      </w:r>
      <w:r>
        <w:rPr>
          <w:rFonts w:hint="eastAsia" w:ascii="宋体" w:hAnsi="宋体" w:cs="仿宋"/>
          <w:color w:val="auto"/>
          <w:sz w:val="24"/>
          <w:szCs w:val="24"/>
          <w:highlight w:val="none"/>
        </w:rPr>
        <w:t>成交商自行解决员工住宿问题，员工不得在食堂内住宿。</w:t>
      </w:r>
    </w:p>
    <w:p w14:paraId="2BDF0429">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22.垃圾处理及油污排放:厨余垃圾成交供应商必须交由政府相关部门指定的有合法资质的单位回收处理，</w:t>
      </w:r>
      <w:bookmarkStart w:id="50" w:name="OLE_LINK12"/>
      <w:r>
        <w:rPr>
          <w:rFonts w:hint="eastAsia" w:ascii="宋体" w:hAnsi="宋体" w:cs="仿宋"/>
          <w:color w:val="auto"/>
          <w:sz w:val="24"/>
          <w:szCs w:val="24"/>
          <w:highlight w:val="none"/>
        </w:rPr>
        <w:t>费用由成交供应商承担，</w:t>
      </w:r>
      <w:bookmarkEnd w:id="50"/>
      <w:r>
        <w:rPr>
          <w:rFonts w:hint="eastAsia" w:ascii="宋体" w:hAnsi="宋体" w:cs="仿宋"/>
          <w:color w:val="auto"/>
          <w:sz w:val="24"/>
          <w:szCs w:val="24"/>
          <w:highlight w:val="none"/>
        </w:rPr>
        <w:t>严禁私自变卖等违法处理，否则每次扣罚违约金10000元。油污排放：食堂内所有油污必须排入学校现有的化油池，食堂至化油池间的管网根据需要进行必要的改造，并做好疏通和维护保养工作，</w:t>
      </w:r>
      <w:bookmarkStart w:id="51" w:name="OLE_LINK14"/>
      <w:bookmarkStart w:id="52" w:name="OLE_LINK13"/>
      <w:r>
        <w:rPr>
          <w:rFonts w:hint="eastAsia" w:ascii="宋体" w:hAnsi="宋体" w:cs="仿宋"/>
          <w:color w:val="auto"/>
          <w:sz w:val="24"/>
          <w:szCs w:val="24"/>
          <w:highlight w:val="none"/>
        </w:rPr>
        <w:t>其费用由成交供应商承担，拒绝改造或者改造不到位的每次扣罚违约金10000元。</w:t>
      </w:r>
    </w:p>
    <w:bookmarkEnd w:id="51"/>
    <w:bookmarkEnd w:id="52"/>
    <w:p w14:paraId="7A1B4FDB">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23.食堂货运升降梯使用要求:现食堂内有部分货运升降梯暂不能使用，如成交供应商需要使用须对其安全性进行加强</w:t>
      </w:r>
      <w:r>
        <w:rPr>
          <w:rFonts w:hint="eastAsia" w:ascii="宋体" w:hAnsi="宋体" w:cs="仿宋"/>
          <w:color w:val="auto"/>
          <w:sz w:val="24"/>
          <w:szCs w:val="24"/>
          <w:highlight w:val="none"/>
        </w:rPr>
        <w:t>管理，并取得市场监管部门许可后方可使用，其使用的安全责任和费用由成交供应商承担。</w:t>
      </w:r>
    </w:p>
    <w:p w14:paraId="78C947E1">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 xml:space="preserve">24、物质存贮管理要求:建设数智化库房管理系统，做到物资分区、分类、整齐有序，标识清楚、温度适宜、干净卫生、专人管理、台账清晰。 </w:t>
      </w:r>
    </w:p>
    <w:p w14:paraId="2C232268">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2</w:t>
      </w:r>
      <w:r>
        <w:rPr>
          <w:rFonts w:hint="eastAsia" w:ascii="宋体" w:hAnsi="宋体" w:cs="仿宋"/>
          <w:color w:val="auto"/>
          <w:sz w:val="24"/>
          <w:szCs w:val="24"/>
          <w:highlight w:val="none"/>
          <w:lang w:val="en-US" w:eastAsia="zh-CN"/>
        </w:rPr>
        <w:t>5</w:t>
      </w:r>
      <w:r>
        <w:rPr>
          <w:rFonts w:ascii="宋体" w:hAnsi="宋体" w:cs="仿宋"/>
          <w:color w:val="auto"/>
          <w:sz w:val="24"/>
          <w:szCs w:val="24"/>
          <w:highlight w:val="none"/>
        </w:rPr>
        <w:t>.包5成交商必须在收到中标通知之日起至2025年9月5日正式供餐之前，无条件根据采购人要求做好暑假食堂供餐值班保障工作。所有成交商在2025年9月5日必须达到正式供餐条件要求，否则按违约处理，每延迟一天须支付违约金100000元。</w:t>
      </w:r>
    </w:p>
    <w:p w14:paraId="12CAC329">
      <w:pPr>
        <w:pStyle w:val="4"/>
        <w:spacing w:line="400" w:lineRule="exact"/>
        <w:rPr>
          <w:b w:val="0"/>
          <w:color w:val="auto"/>
          <w:highlight w:val="none"/>
        </w:rPr>
      </w:pPr>
      <w:bookmarkStart w:id="53" w:name="_Toc16669"/>
      <w:bookmarkStart w:id="54" w:name="_Toc22378"/>
      <w:r>
        <w:rPr>
          <w:rFonts w:hint="eastAsia"/>
          <w:b w:val="0"/>
          <w:color w:val="auto"/>
          <w:highlight w:val="none"/>
        </w:rPr>
        <w:t>（三）食材要求</w:t>
      </w:r>
      <w:bookmarkEnd w:id="53"/>
      <w:bookmarkEnd w:id="54"/>
    </w:p>
    <w:p w14:paraId="4875BD74">
      <w:pPr>
        <w:spacing w:line="440" w:lineRule="exact"/>
        <w:ind w:firstLine="480" w:firstLineChars="200"/>
        <w:jc w:val="left"/>
        <w:rPr>
          <w:rFonts w:ascii="宋体" w:hAnsi="宋体" w:cs="仿宋"/>
          <w:color w:val="auto"/>
          <w:sz w:val="24"/>
          <w:szCs w:val="24"/>
          <w:highlight w:val="none"/>
        </w:rPr>
      </w:pPr>
      <w:r>
        <w:rPr>
          <w:rFonts w:ascii="宋体" w:hAnsi="宋体" w:cs="宋体"/>
          <w:color w:val="auto"/>
          <w:sz w:val="24"/>
          <w:szCs w:val="28"/>
          <w:highlight w:val="none"/>
        </w:rPr>
        <w:t>1.</w:t>
      </w:r>
      <w:r>
        <w:rPr>
          <w:rFonts w:hint="eastAsia" w:ascii="宋体" w:hAnsi="宋体" w:cs="宋体"/>
          <w:color w:val="auto"/>
          <w:sz w:val="24"/>
          <w:szCs w:val="28"/>
          <w:highlight w:val="none"/>
        </w:rPr>
        <w:t>成交商必须建立食堂集中统一采购制度，集中统一采购食材（含米、面、油、肉、蔬菜、一次性餐具以及各类原辅料及调料），其中食用油必须为非转基因品种，米为</w:t>
      </w:r>
      <w:r>
        <w:rPr>
          <w:rFonts w:hint="eastAsia"/>
          <w:color w:val="auto"/>
          <w:sz w:val="24"/>
          <w:szCs w:val="24"/>
          <w:highlight w:val="none"/>
        </w:rPr>
        <w:t>品牌优质东北当年产大米</w:t>
      </w:r>
      <w:r>
        <w:rPr>
          <w:rFonts w:hint="eastAsia" w:ascii="宋体" w:hAnsi="宋体" w:cs="宋体"/>
          <w:color w:val="auto"/>
          <w:sz w:val="24"/>
          <w:szCs w:val="28"/>
          <w:highlight w:val="none"/>
        </w:rPr>
        <w:t>，未经采购人允许，不得使用及进口冻制食材。成交商必须全力配合采购人搞好食品安全的入口关管理，</w:t>
      </w:r>
      <w:r>
        <w:rPr>
          <w:rFonts w:hint="eastAsia" w:ascii="宋体" w:hAnsi="宋体" w:cs="仿宋"/>
          <w:color w:val="auto"/>
          <w:sz w:val="24"/>
          <w:szCs w:val="24"/>
          <w:highlight w:val="none"/>
        </w:rPr>
        <w:t>须保证各类食材供应商资质符合采购人要求，相应证照复印件收集完整，报采购人备案，并</w:t>
      </w:r>
      <w:r>
        <w:rPr>
          <w:rFonts w:hint="eastAsia" w:ascii="宋体" w:hAnsi="宋体" w:cs="宋体"/>
          <w:color w:val="auto"/>
          <w:sz w:val="24"/>
          <w:szCs w:val="28"/>
          <w:highlight w:val="none"/>
        </w:rPr>
        <w:t>将原辅料采购相关信息纳入采购人数智食堂系统统一管理。执行好采购人规定的采购原则和制度，确保食材采购管理规范。</w:t>
      </w:r>
    </w:p>
    <w:p w14:paraId="5B5FCD26">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2.</w:t>
      </w:r>
      <w:r>
        <w:rPr>
          <w:rFonts w:hint="eastAsia" w:ascii="宋体" w:hAnsi="宋体" w:cs="仿宋"/>
          <w:color w:val="auto"/>
          <w:sz w:val="24"/>
          <w:szCs w:val="24"/>
          <w:highlight w:val="none"/>
        </w:rPr>
        <w:t>成交商必须使用进销存管理系统，在系统中建立所有食材（主料、辅料、调料）进货、出货台账，采购人将根据系统数据对食材进出情况进行核验。成交商须安排专人负责管理进销存系统，确保每天进货、出货数据及时更新，保证食材种类、数量与系统数据一致。</w:t>
      </w:r>
    </w:p>
    <w:p w14:paraId="39E262B3">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3.餐饮原材料的采购须严格执行</w:t>
      </w:r>
      <w:r>
        <w:rPr>
          <w:rFonts w:hint="eastAsia" w:ascii="宋体" w:hAnsi="宋体" w:cs="宋体"/>
          <w:color w:val="auto"/>
          <w:sz w:val="24"/>
          <w:szCs w:val="28"/>
          <w:highlight w:val="none"/>
        </w:rPr>
        <w:t>索证索票、登记和验收制度</w:t>
      </w:r>
      <w:r>
        <w:rPr>
          <w:rFonts w:hint="eastAsia" w:ascii="宋体" w:hAnsi="宋体" w:cs="仿宋"/>
          <w:color w:val="auto"/>
          <w:sz w:val="24"/>
          <w:szCs w:val="24"/>
          <w:highlight w:val="none"/>
        </w:rPr>
        <w:t>，并建立台帐，</w:t>
      </w:r>
      <w:r>
        <w:rPr>
          <w:rFonts w:hint="eastAsia" w:ascii="宋体" w:hAnsi="宋体" w:cs="宋体"/>
          <w:color w:val="auto"/>
          <w:sz w:val="24"/>
          <w:szCs w:val="28"/>
          <w:highlight w:val="none"/>
        </w:rPr>
        <w:t>确保准确溯源。</w:t>
      </w:r>
      <w:r>
        <w:rPr>
          <w:rFonts w:hint="eastAsia" w:ascii="宋体" w:hAnsi="宋体" w:cs="仿宋"/>
          <w:color w:val="auto"/>
          <w:sz w:val="24"/>
          <w:szCs w:val="24"/>
          <w:highlight w:val="none"/>
        </w:rPr>
        <w:t>对购买的每批次货物生产厂家的营业执照、卫生许可证、检疫检验、购货单据等相关证明应保存二年以上，以备查验。</w:t>
      </w:r>
      <w:r>
        <w:rPr>
          <w:rFonts w:hint="eastAsia" w:ascii="宋体" w:hAnsi="宋体" w:cs="宋体"/>
          <w:color w:val="auto"/>
          <w:sz w:val="24"/>
          <w:szCs w:val="28"/>
          <w:highlight w:val="none"/>
        </w:rPr>
        <w:t>严禁“三无产品”（无生产日期、无质量合格证及无生产厂家）、不合格品、过期、变质食品及原料进入食堂</w:t>
      </w:r>
      <w:r>
        <w:rPr>
          <w:rFonts w:hint="eastAsia" w:ascii="宋体" w:hAnsi="宋体" w:cs="仿宋"/>
          <w:color w:val="auto"/>
          <w:sz w:val="24"/>
          <w:szCs w:val="24"/>
          <w:highlight w:val="none"/>
        </w:rPr>
        <w:t>，否则视为违约，</w:t>
      </w:r>
      <w:r>
        <w:rPr>
          <w:rFonts w:ascii="宋体" w:hAnsi="宋体"/>
          <w:color w:val="auto"/>
          <w:sz w:val="24"/>
          <w:szCs w:val="24"/>
          <w:highlight w:val="none"/>
        </w:rPr>
        <w:t>采购人有权单方面解除合同，</w:t>
      </w:r>
      <w:r>
        <w:rPr>
          <w:rFonts w:hint="eastAsia" w:ascii="宋体" w:hAnsi="宋体"/>
          <w:color w:val="auto"/>
          <w:sz w:val="24"/>
          <w:szCs w:val="24"/>
          <w:highlight w:val="none"/>
        </w:rPr>
        <w:t>且</w:t>
      </w:r>
      <w:r>
        <w:rPr>
          <w:rFonts w:ascii="宋体" w:hAnsi="宋体"/>
          <w:color w:val="auto"/>
          <w:sz w:val="24"/>
          <w:szCs w:val="24"/>
          <w:highlight w:val="none"/>
        </w:rPr>
        <w:t>不退还全部履约保证金</w:t>
      </w:r>
      <w:r>
        <w:rPr>
          <w:rFonts w:hint="eastAsia" w:ascii="宋体" w:hAnsi="宋体"/>
          <w:color w:val="auto"/>
          <w:sz w:val="24"/>
          <w:szCs w:val="24"/>
          <w:highlight w:val="none"/>
        </w:rPr>
        <w:t>。</w:t>
      </w:r>
    </w:p>
    <w:p w14:paraId="72A0C043">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4.采购人随机检查</w:t>
      </w:r>
      <w:r>
        <w:rPr>
          <w:rFonts w:hint="eastAsia" w:ascii="宋体" w:hAnsi="宋体" w:cs="仿宋"/>
          <w:color w:val="auto"/>
          <w:sz w:val="24"/>
          <w:szCs w:val="24"/>
          <w:highlight w:val="none"/>
        </w:rPr>
        <w:t>成交商的伙食原材料采购情况，包括但不限于供应商合同、发票、支付凭证等文件资料，采购人必要时有权委托第三方机构对成交商伙食原料进行检验检测，并由成交商承担检验检测费；检验检测不合格的，成交商承担所有有关责任。成交商需积极配合采购人开展此项工作，不得推诿、拒绝，否则视为违约，每次扣罚违约金10000元。</w:t>
      </w:r>
    </w:p>
    <w:p w14:paraId="5A70A124">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5.</w:t>
      </w:r>
      <w:r>
        <w:rPr>
          <w:rFonts w:hint="eastAsia" w:ascii="宋体" w:hAnsi="宋体" w:cs="仿宋"/>
          <w:color w:val="auto"/>
          <w:sz w:val="24"/>
          <w:szCs w:val="24"/>
          <w:highlight w:val="none"/>
        </w:rPr>
        <w:t>成交商烹制饭菜所用的原材料、调味品等应符合国家有关规定，严禁使用非食用辅助材料或添加剂加工食品，否则视为违约，首次扣罚违约金10000元，第二次开始每次50000元。</w:t>
      </w:r>
    </w:p>
    <w:p w14:paraId="0DA3BE2C">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6.</w:t>
      </w:r>
      <w:r>
        <w:rPr>
          <w:rFonts w:hint="eastAsia" w:ascii="宋体" w:hAnsi="宋体" w:cs="宋体"/>
          <w:color w:val="auto"/>
          <w:sz w:val="24"/>
          <w:szCs w:val="28"/>
          <w:highlight w:val="none"/>
        </w:rPr>
        <w:t>成交商须按照《重庆市财政局关于做好贫困地区农副产品预留采购份额工作的通知》（渝财采购〔</w:t>
      </w:r>
      <w:r>
        <w:rPr>
          <w:rFonts w:ascii="宋体" w:hAnsi="宋体" w:cs="宋体"/>
          <w:color w:val="auto"/>
          <w:sz w:val="24"/>
          <w:szCs w:val="28"/>
          <w:highlight w:val="none"/>
        </w:rPr>
        <w:t xml:space="preserve">2019〕10 </w:t>
      </w:r>
      <w:r>
        <w:rPr>
          <w:rFonts w:hint="eastAsia" w:ascii="宋体" w:hAnsi="宋体" w:cs="宋体"/>
          <w:color w:val="auto"/>
          <w:sz w:val="24"/>
          <w:szCs w:val="28"/>
          <w:highlight w:val="none"/>
        </w:rPr>
        <w:t>号，如有新文件要求，按新文件要求执行）及相关上级部门关于消费帮扶工作的要求，完成采购人预留给贫困地区或乡村振兴帮扶地区农副产品的采购份额，采购金额以采购人核定为准，成交商不得</w:t>
      </w:r>
      <w:r>
        <w:rPr>
          <w:rFonts w:hint="eastAsia" w:ascii="宋体" w:hAnsi="宋体" w:cs="仿宋"/>
          <w:color w:val="auto"/>
          <w:sz w:val="24"/>
          <w:szCs w:val="24"/>
          <w:highlight w:val="none"/>
        </w:rPr>
        <w:t>推诿、拒绝，否则，</w:t>
      </w:r>
      <w:r>
        <w:rPr>
          <w:rFonts w:hint="eastAsia" w:ascii="宋体" w:hAnsi="宋体"/>
          <w:color w:val="auto"/>
          <w:sz w:val="24"/>
          <w:szCs w:val="24"/>
          <w:highlight w:val="none"/>
        </w:rPr>
        <w:t>成交商每次向采购人支付违约金</w:t>
      </w:r>
      <w:r>
        <w:rPr>
          <w:rFonts w:ascii="宋体" w:hAnsi="宋体"/>
          <w:color w:val="auto"/>
          <w:sz w:val="24"/>
          <w:szCs w:val="24"/>
          <w:highlight w:val="none"/>
        </w:rPr>
        <w:t>50000元人民币</w:t>
      </w:r>
      <w:r>
        <w:rPr>
          <w:rFonts w:hint="eastAsia" w:ascii="宋体" w:hAnsi="宋体" w:cs="仿宋"/>
          <w:color w:val="auto"/>
          <w:sz w:val="24"/>
          <w:szCs w:val="24"/>
          <w:highlight w:val="none"/>
        </w:rPr>
        <w:t>。</w:t>
      </w:r>
    </w:p>
    <w:p w14:paraId="6688D2F1">
      <w:pPr>
        <w:pStyle w:val="4"/>
        <w:spacing w:line="400" w:lineRule="exact"/>
        <w:rPr>
          <w:b w:val="0"/>
          <w:color w:val="auto"/>
          <w:highlight w:val="none"/>
        </w:rPr>
      </w:pPr>
      <w:bookmarkStart w:id="55" w:name="_Toc385"/>
      <w:r>
        <w:rPr>
          <w:rFonts w:hint="eastAsia"/>
          <w:b w:val="0"/>
          <w:color w:val="auto"/>
          <w:highlight w:val="none"/>
        </w:rPr>
        <w:t>（四）食堂消防安全要求</w:t>
      </w:r>
      <w:bookmarkEnd w:id="55"/>
    </w:p>
    <w:p w14:paraId="2E989DCF">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1.</w:t>
      </w:r>
      <w:r>
        <w:rPr>
          <w:rFonts w:hint="eastAsia" w:ascii="宋体" w:hAnsi="宋体" w:cs="宋体"/>
          <w:color w:val="auto"/>
          <w:sz w:val="24"/>
          <w:szCs w:val="28"/>
          <w:highlight w:val="none"/>
        </w:rPr>
        <w:t>成交商必须按照市场监管、消防、环保、燃气等部门及采购人的要求对食堂的燃气设施、一氧化碳探头、燃气报警装置和安全自闭阀、抽排灭火喷淋、新风系统、消防报警、喷淋、烟感、温感、报警系统、特种设备及电路电气设备进行安装、更换、添置、维修、维护、年检并取得相关合格报告或检验合格证明材料交采购人备案，保证相关设施、设备的正常、安全运行，确保通过食品安全、消防安全、燃气安全、环保等部门的验收。为保证服务需要，</w:t>
      </w:r>
      <w:r>
        <w:rPr>
          <w:rFonts w:hint="eastAsia" w:ascii="宋体" w:hAnsi="宋体" w:cs="宋体"/>
          <w:bCs/>
          <w:color w:val="auto"/>
          <w:sz w:val="24"/>
          <w:szCs w:val="28"/>
          <w:highlight w:val="none"/>
        </w:rPr>
        <w:t>完成油烟净化器、烟道、烟机及送排风系统的更换</w:t>
      </w:r>
      <w:r>
        <w:rPr>
          <w:rFonts w:hint="eastAsia" w:ascii="宋体" w:hAnsi="宋体" w:cs="宋体"/>
          <w:color w:val="auto"/>
          <w:sz w:val="24"/>
          <w:szCs w:val="28"/>
          <w:highlight w:val="none"/>
        </w:rPr>
        <w:t>、清洗、维护，油烟抽排标准符合国家及重庆市有关规定，上述一切改造、安装、更换、维修维护、整改费用由成交商自行承担。</w:t>
      </w:r>
    </w:p>
    <w:p w14:paraId="4ACE9DB8">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2.</w:t>
      </w:r>
      <w:r>
        <w:rPr>
          <w:rFonts w:hint="eastAsia" w:ascii="宋体" w:hAnsi="宋体" w:cs="宋体"/>
          <w:color w:val="auto"/>
          <w:sz w:val="24"/>
          <w:szCs w:val="28"/>
          <w:highlight w:val="none"/>
        </w:rPr>
        <w:t>环境改善完成后，成交商应达到由政府机构认可的第三方机构出具的消防安全验收合格检测报告，相关费用由成交商承担。</w:t>
      </w:r>
    </w:p>
    <w:p w14:paraId="2FCD9A71">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3.</w:t>
      </w:r>
      <w:r>
        <w:rPr>
          <w:rFonts w:hint="eastAsia" w:ascii="宋体" w:hAnsi="宋体" w:cs="宋体"/>
          <w:color w:val="auto"/>
          <w:sz w:val="24"/>
          <w:szCs w:val="28"/>
          <w:highlight w:val="none"/>
        </w:rPr>
        <w:t>成交商必须按消防法规相关要求，食堂防火分隔采用</w:t>
      </w:r>
      <w:r>
        <w:rPr>
          <w:rFonts w:ascii="宋体" w:hAnsi="宋体" w:cs="宋体"/>
          <w:color w:val="auto"/>
          <w:sz w:val="24"/>
          <w:szCs w:val="28"/>
          <w:highlight w:val="none"/>
        </w:rPr>
        <w:t>2.0砖墙分隔并使用防火玻璃，装修材料燃烧性能等级需达到B1级（难燃材料）及以上，其中顶棚材料须采用A级（不燃材料），严禁使用易燃可燃材料,具体要求如下：</w:t>
      </w:r>
    </w:p>
    <w:p w14:paraId="006A6376">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w:t>
      </w:r>
      <w:r>
        <w:rPr>
          <w:rFonts w:ascii="宋体" w:hAnsi="宋体" w:cs="宋体"/>
          <w:color w:val="auto"/>
          <w:sz w:val="24"/>
          <w:szCs w:val="28"/>
          <w:highlight w:val="none"/>
        </w:rPr>
        <w:t>1）建筑防火规范</w:t>
      </w:r>
    </w:p>
    <w:p w14:paraId="64CD611E">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a.耐火等级</w:t>
      </w:r>
    </w:p>
    <w:p w14:paraId="0CFCFEA2">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厨房区域应与其他区域采用防火隔墙（≥</w:t>
      </w:r>
      <w:r>
        <w:rPr>
          <w:rFonts w:ascii="宋体" w:hAnsi="宋体" w:cs="宋体"/>
          <w:color w:val="auto"/>
          <w:sz w:val="24"/>
          <w:szCs w:val="28"/>
          <w:highlight w:val="none"/>
        </w:rPr>
        <w:t>2h耐火极限）和甲级防火门分隔。</w:t>
      </w:r>
    </w:p>
    <w:p w14:paraId="6DEEEEC5">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墙面、地面：B1级（难燃）材料</w:t>
      </w:r>
      <w:r>
        <w:rPr>
          <w:rFonts w:hint="eastAsia" w:ascii="宋体" w:hAnsi="宋体" w:cs="宋体"/>
          <w:color w:val="auto"/>
          <w:sz w:val="24"/>
          <w:szCs w:val="28"/>
          <w:highlight w:val="none"/>
        </w:rPr>
        <w:t>及以上，</w:t>
      </w:r>
      <w:r>
        <w:rPr>
          <w:rFonts w:ascii="宋体" w:hAnsi="宋体" w:cs="宋体"/>
          <w:color w:val="auto"/>
          <w:sz w:val="24"/>
          <w:szCs w:val="28"/>
          <w:highlight w:val="none"/>
        </w:rPr>
        <w:t>顶棚必须使用A级（不燃）材料，禁止使用易燃材料（如泡沫板、木板等）。</w:t>
      </w:r>
    </w:p>
    <w:p w14:paraId="6306C6C1">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b.安全疏散</w:t>
      </w:r>
    </w:p>
    <w:p w14:paraId="688CFE3F">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出口数量：至少设置</w:t>
      </w:r>
      <w:r>
        <w:rPr>
          <w:rFonts w:ascii="宋体" w:hAnsi="宋体" w:cs="宋体"/>
          <w:color w:val="auto"/>
          <w:sz w:val="24"/>
          <w:szCs w:val="28"/>
          <w:highlight w:val="none"/>
        </w:rPr>
        <w:t>2个独立安全出口，且间距≥5米。</w:t>
      </w:r>
    </w:p>
    <w:p w14:paraId="7ECE2DD3">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通道宽度：主疏散通道≥</w:t>
      </w:r>
      <w:r>
        <w:rPr>
          <w:rFonts w:ascii="宋体" w:hAnsi="宋体" w:cs="宋体"/>
          <w:color w:val="auto"/>
          <w:sz w:val="24"/>
          <w:szCs w:val="28"/>
          <w:highlight w:val="none"/>
        </w:rPr>
        <w:t>1.4米，次通道≥1.1米，不得堆放杂物。</w:t>
      </w:r>
    </w:p>
    <w:p w14:paraId="4942445F">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疏散门：必须为外开式，宽度≥</w:t>
      </w:r>
      <w:r>
        <w:rPr>
          <w:rFonts w:ascii="宋体" w:hAnsi="宋体" w:cs="宋体"/>
          <w:color w:val="auto"/>
          <w:sz w:val="24"/>
          <w:szCs w:val="28"/>
          <w:highlight w:val="none"/>
        </w:rPr>
        <w:t>1.2米，禁止使用推拉门或卷帘门。</w:t>
      </w:r>
    </w:p>
    <w:p w14:paraId="7F6F3049">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(2)厨房专项要求</w:t>
      </w:r>
    </w:p>
    <w:p w14:paraId="3CD068D7">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a.防火分隔</w:t>
      </w:r>
    </w:p>
    <w:p w14:paraId="74F4BCC9">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厨房区域必须单独划分，与用餐区采用防火墙（耐火极限≥</w:t>
      </w:r>
      <w:r>
        <w:rPr>
          <w:rFonts w:ascii="宋体" w:hAnsi="宋体" w:cs="宋体"/>
          <w:color w:val="auto"/>
          <w:sz w:val="24"/>
          <w:szCs w:val="28"/>
          <w:highlight w:val="none"/>
        </w:rPr>
        <w:t>2h）分隔，就餐区域禁止出现明火操作。</w:t>
      </w:r>
    </w:p>
    <w:p w14:paraId="42C41B78">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b.燃气表间</w:t>
      </w:r>
      <w:r>
        <w:rPr>
          <w:rFonts w:hint="eastAsia" w:ascii="宋体" w:hAnsi="宋体" w:cs="宋体"/>
          <w:color w:val="auto"/>
          <w:sz w:val="24"/>
          <w:szCs w:val="28"/>
          <w:highlight w:val="none"/>
        </w:rPr>
        <w:t>需独立设置，通风次数≥</w:t>
      </w:r>
      <w:r>
        <w:rPr>
          <w:rFonts w:ascii="宋体" w:hAnsi="宋体" w:cs="宋体"/>
          <w:color w:val="auto"/>
          <w:sz w:val="24"/>
          <w:szCs w:val="28"/>
          <w:highlight w:val="none"/>
        </w:rPr>
        <w:t>6次/小时。</w:t>
      </w:r>
    </w:p>
    <w:p w14:paraId="5CFFE1E0">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c.排油烟系统</w:t>
      </w:r>
    </w:p>
    <w:p w14:paraId="754461FB">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排油烟管道应采用不锈钢材质，</w:t>
      </w:r>
      <w:r>
        <w:rPr>
          <w:rFonts w:ascii="宋体" w:hAnsi="宋体" w:cs="宋体"/>
          <w:color w:val="auto"/>
          <w:sz w:val="24"/>
          <w:szCs w:val="28"/>
          <w:highlight w:val="none"/>
        </w:rPr>
        <w:t>安装</w:t>
      </w:r>
      <w:r>
        <w:rPr>
          <w:rFonts w:hint="eastAsia" w:ascii="宋体" w:hAnsi="宋体" w:cs="宋体"/>
          <w:color w:val="auto"/>
          <w:sz w:val="24"/>
          <w:szCs w:val="28"/>
          <w:highlight w:val="none"/>
        </w:rPr>
        <w:t>防火阀（</w:t>
      </w:r>
      <w:r>
        <w:rPr>
          <w:rFonts w:ascii="宋体" w:hAnsi="宋体" w:cs="宋体"/>
          <w:color w:val="auto"/>
          <w:sz w:val="24"/>
          <w:szCs w:val="28"/>
          <w:highlight w:val="none"/>
        </w:rPr>
        <w:t>150℃自动关闭）和油烟净化装置。</w:t>
      </w:r>
    </w:p>
    <w:p w14:paraId="7BF50A6F">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排油烟罩、管道每季月至少清洗</w:t>
      </w:r>
      <w:r>
        <w:rPr>
          <w:rFonts w:ascii="宋体" w:hAnsi="宋体" w:cs="宋体"/>
          <w:color w:val="auto"/>
          <w:sz w:val="24"/>
          <w:szCs w:val="28"/>
          <w:highlight w:val="none"/>
        </w:rPr>
        <w:t>1次（需留存清洗记录）。</w:t>
      </w:r>
    </w:p>
    <w:p w14:paraId="6F3EE963">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d.灭火设施</w:t>
      </w:r>
    </w:p>
    <w:p w14:paraId="716F1346">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厨房必须安装厨房专用自动灭火装置（覆盖炉灶、烟道等），并联动燃气切断阀。</w:t>
      </w:r>
    </w:p>
    <w:p w14:paraId="0928F796">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配置泡沫灭火器（应对油火），每</w:t>
      </w:r>
      <w:r>
        <w:rPr>
          <w:rFonts w:ascii="宋体" w:hAnsi="宋体" w:cs="宋体"/>
          <w:color w:val="auto"/>
          <w:sz w:val="24"/>
          <w:szCs w:val="28"/>
          <w:highlight w:val="none"/>
        </w:rPr>
        <w:t>50㎡不少于2具。</w:t>
      </w:r>
    </w:p>
    <w:p w14:paraId="6507F412">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(3)消防设施配置</w:t>
      </w:r>
    </w:p>
    <w:p w14:paraId="3C5F4015">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a.火灾报警系统</w:t>
      </w:r>
    </w:p>
    <w:p w14:paraId="1410E2E0">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安装感烟、感温探测器（现有位置不得私自改变、遮挡），厨房需增设可燃气体探测器并全面覆盖操作经营范围（燃气泄漏报警）。</w:t>
      </w:r>
    </w:p>
    <w:p w14:paraId="3CDCA3E0">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b.报警系统需联动声光警报和应急广播。</w:t>
      </w:r>
    </w:p>
    <w:p w14:paraId="60703298">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c.喷淋系统</w:t>
      </w:r>
    </w:p>
    <w:p w14:paraId="0C424FA3">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用餐区采用标准喷头（动作温度</w:t>
      </w:r>
      <w:r>
        <w:rPr>
          <w:rFonts w:ascii="宋体" w:hAnsi="宋体" w:cs="宋体"/>
          <w:color w:val="auto"/>
          <w:sz w:val="24"/>
          <w:szCs w:val="28"/>
          <w:highlight w:val="none"/>
        </w:rPr>
        <w:t>68℃），厨房区域需用高温喷头（93℃）。</w:t>
      </w:r>
    </w:p>
    <w:p w14:paraId="4BA3147F">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喷淋头与灶具水平距离≥</w:t>
      </w:r>
      <w:r>
        <w:rPr>
          <w:rFonts w:ascii="宋体" w:hAnsi="宋体" w:cs="宋体"/>
          <w:color w:val="auto"/>
          <w:sz w:val="24"/>
          <w:szCs w:val="28"/>
          <w:highlight w:val="none"/>
        </w:rPr>
        <w:t>0.8米，避免误喷。</w:t>
      </w:r>
    </w:p>
    <w:p w14:paraId="0D19E30F">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d.应急照明与标识</w:t>
      </w:r>
    </w:p>
    <w:p w14:paraId="4733E041">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疏散通道、出口处设置持续供电≥</w:t>
      </w:r>
      <w:r>
        <w:rPr>
          <w:rFonts w:ascii="宋体" w:hAnsi="宋体" w:cs="宋体"/>
          <w:color w:val="auto"/>
          <w:sz w:val="24"/>
          <w:szCs w:val="28"/>
          <w:highlight w:val="none"/>
        </w:rPr>
        <w:t>1小时的应急照明。</w:t>
      </w:r>
    </w:p>
    <w:p w14:paraId="74B00630">
      <w:pPr>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地面</w:t>
      </w:r>
      <w:r>
        <w:rPr>
          <w:rFonts w:ascii="宋体" w:hAnsi="宋体" w:cs="宋体"/>
          <w:color w:val="auto"/>
          <w:sz w:val="24"/>
          <w:szCs w:val="28"/>
          <w:highlight w:val="none"/>
        </w:rPr>
        <w:t>1米以下设置发光疏散指示标志，间距≤20米。</w:t>
      </w:r>
    </w:p>
    <w:p w14:paraId="27F40AE0">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(4)电气防火要求</w:t>
      </w:r>
    </w:p>
    <w:p w14:paraId="085387A3">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a.所有电线穿金属管保护或阻燃PVC管</w:t>
      </w:r>
      <w:r>
        <w:rPr>
          <w:rFonts w:hint="eastAsia" w:ascii="宋体" w:hAnsi="宋体" w:cs="宋体"/>
          <w:color w:val="auto"/>
          <w:sz w:val="24"/>
          <w:szCs w:val="28"/>
          <w:highlight w:val="none"/>
        </w:rPr>
        <w:t>，禁止私拉临时线路。</w:t>
      </w:r>
    </w:p>
    <w:p w14:paraId="35420846">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b.大功率设备（如蒸柜、烤箱）需单独回路，配电箱加装漏电保护器。</w:t>
      </w:r>
    </w:p>
    <w:p w14:paraId="1F69D832">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c.插座、开关距水源≥1米，厨房设备需防水防潮。</w:t>
      </w:r>
    </w:p>
    <w:p w14:paraId="65371D48">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(5)施工期间管理</w:t>
      </w:r>
    </w:p>
    <w:p w14:paraId="58429CC5">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动火审批：焊接、切割等作业需办理动火证，现场配置灭火器材并清除周边可燃物。</w:t>
      </w:r>
    </w:p>
    <w:p w14:paraId="601602A5">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临时用电：使用防爆灯具和电缆，下班后切断电源。</w:t>
      </w:r>
    </w:p>
    <w:p w14:paraId="4CD133DB">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4.燃气报警探头全覆盖；消防通道畅通、设施设备完好及标识标牌醒目。</w:t>
      </w:r>
      <w:r>
        <w:rPr>
          <w:rFonts w:hint="eastAsia" w:ascii="宋体" w:hAnsi="宋体" w:cs="宋体"/>
          <w:color w:val="auto"/>
          <w:sz w:val="24"/>
          <w:szCs w:val="28"/>
          <w:highlight w:val="none"/>
        </w:rPr>
        <w:t>成交商全面负责食堂内的防火、防盗工作和员工的管理工作，认真履行安全职责，不得占用消防通道、遮挡消防设施设备及标牌。注意用水、用电、用气的安全，并做好定期相关培训。配合采购人及国家相关部门定期安全检查，发现安全隐患立即整改。若成交商出现食堂重大消防安全事故并造成重大负面影响的，成交商除承担一切经济和法律责任外，采购人有权单方面解除合同，并扣罚成交商全部履约保证金；若出现食堂消防安全事故未且造成负面影响的，采购人扣罚成交商违约金</w:t>
      </w:r>
      <w:r>
        <w:rPr>
          <w:rFonts w:ascii="宋体" w:hAnsi="宋体" w:cs="宋体"/>
          <w:color w:val="auto"/>
          <w:sz w:val="24"/>
          <w:szCs w:val="28"/>
          <w:highlight w:val="none"/>
        </w:rPr>
        <w:t>20000元/次。</w:t>
      </w:r>
    </w:p>
    <w:p w14:paraId="5712B50A">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5.</w:t>
      </w:r>
      <w:r>
        <w:rPr>
          <w:rFonts w:hint="eastAsia" w:ascii="宋体" w:hAnsi="宋体" w:cs="宋体"/>
          <w:color w:val="auto"/>
          <w:sz w:val="24"/>
          <w:szCs w:val="28"/>
          <w:highlight w:val="none"/>
        </w:rPr>
        <w:t>成交商不得损坏原有的消防设施设备，如原有消防设施设备已坏或不能正常使用或覆盖不全，由成交商负责增加、更换，被更换的设施设备交由采购处置；按消防要求，成交商配置足够的灭火器材和后厨</w:t>
      </w:r>
      <w:r>
        <w:rPr>
          <w:rFonts w:ascii="宋体" w:hAnsi="宋体" w:cs="宋体"/>
          <w:color w:val="auto"/>
          <w:sz w:val="24"/>
          <w:szCs w:val="28"/>
          <w:highlight w:val="none"/>
        </w:rPr>
        <w:t>F类专用灭火器、灭火</w:t>
      </w:r>
      <w:r>
        <w:rPr>
          <w:rFonts w:hint="eastAsia" w:ascii="宋体" w:hAnsi="宋体" w:cs="宋体"/>
          <w:color w:val="auto"/>
          <w:sz w:val="24"/>
          <w:szCs w:val="28"/>
          <w:highlight w:val="none"/>
        </w:rPr>
        <w:t>毯、疏散引导箱，安装满足需要的应急照明和疏散标识。成交商需按消防和物业管理条例自行添置消防设备设施。</w:t>
      </w:r>
    </w:p>
    <w:p w14:paraId="3BDDDF82">
      <w:pPr>
        <w:pStyle w:val="3"/>
        <w:spacing w:line="500" w:lineRule="atLeast"/>
        <w:rPr>
          <w:b w:val="0"/>
          <w:color w:val="auto"/>
          <w:highlight w:val="none"/>
        </w:rPr>
      </w:pPr>
      <w:bookmarkStart w:id="56" w:name="_Toc1778"/>
      <w:r>
        <w:rPr>
          <w:rFonts w:hint="eastAsia"/>
          <w:b w:val="0"/>
          <w:color w:val="auto"/>
          <w:highlight w:val="none"/>
        </w:rPr>
        <w:t>（五）食堂服务育人要求</w:t>
      </w:r>
      <w:bookmarkEnd w:id="56"/>
    </w:p>
    <w:p w14:paraId="36E267AA">
      <w:pPr>
        <w:spacing w:line="440" w:lineRule="exact"/>
        <w:ind w:firstLine="480" w:firstLineChars="200"/>
        <w:jc w:val="left"/>
        <w:rPr>
          <w:rFonts w:ascii="宋体" w:hAnsi="宋体" w:cs="仿宋"/>
          <w:color w:val="auto"/>
          <w:sz w:val="24"/>
          <w:szCs w:val="24"/>
          <w:highlight w:val="none"/>
        </w:rPr>
      </w:pPr>
      <w:r>
        <w:rPr>
          <w:rFonts w:hint="eastAsia" w:ascii="宋体" w:hAnsi="宋体" w:cs="宋体"/>
          <w:color w:val="auto"/>
          <w:sz w:val="24"/>
          <w:szCs w:val="28"/>
          <w:highlight w:val="none"/>
        </w:rPr>
        <w:t>成交商围绕后勤育人的要求，应积极配合采购人推进“三全育人”工作，成交商需按照不低于</w:t>
      </w:r>
      <w:r>
        <w:rPr>
          <w:rFonts w:ascii="宋体" w:hAnsi="宋体" w:cs="宋体"/>
          <w:color w:val="auto"/>
          <w:sz w:val="24"/>
          <w:szCs w:val="28"/>
          <w:highlight w:val="none"/>
        </w:rPr>
        <w:t>3万元/年的投入，</w:t>
      </w:r>
      <w:r>
        <w:rPr>
          <w:rFonts w:hint="eastAsia" w:ascii="宋体" w:hAnsi="宋体" w:cs="宋体"/>
          <w:color w:val="auto"/>
          <w:sz w:val="24"/>
          <w:szCs w:val="28"/>
          <w:highlight w:val="none"/>
        </w:rPr>
        <w:t>无条件</w:t>
      </w:r>
      <w:r>
        <w:rPr>
          <w:rFonts w:ascii="宋体" w:hAnsi="宋体" w:cs="宋体"/>
          <w:color w:val="auto"/>
          <w:sz w:val="24"/>
          <w:szCs w:val="28"/>
          <w:highlight w:val="none"/>
        </w:rPr>
        <w:t>协助采购人相关部门做好</w:t>
      </w:r>
      <w:r>
        <w:rPr>
          <w:rFonts w:hint="eastAsia" w:ascii="宋体" w:hAnsi="宋体" w:cs="宋体"/>
          <w:color w:val="auto"/>
          <w:sz w:val="24"/>
          <w:szCs w:val="28"/>
          <w:highlight w:val="none"/>
        </w:rPr>
        <w:t>实践体验育人、劳动育人、环境育人、</w:t>
      </w:r>
      <w:r>
        <w:rPr>
          <w:rFonts w:ascii="宋体" w:hAnsi="宋体" w:cs="宋体"/>
          <w:color w:val="auto"/>
          <w:sz w:val="24"/>
          <w:szCs w:val="28"/>
          <w:highlight w:val="none"/>
        </w:rPr>
        <w:t>服务育人、</w:t>
      </w:r>
      <w:r>
        <w:rPr>
          <w:rFonts w:hint="eastAsia" w:ascii="宋体" w:hAnsi="宋体" w:cs="宋体"/>
          <w:color w:val="auto"/>
          <w:sz w:val="24"/>
          <w:szCs w:val="28"/>
          <w:highlight w:val="none"/>
        </w:rPr>
        <w:t>文化育人和后勤</w:t>
      </w:r>
      <w:r>
        <w:rPr>
          <w:rFonts w:ascii="宋体" w:hAnsi="宋体" w:cs="宋体"/>
          <w:color w:val="auto"/>
          <w:sz w:val="24"/>
          <w:szCs w:val="28"/>
          <w:highlight w:val="none"/>
        </w:rPr>
        <w:t>餐饮</w:t>
      </w:r>
      <w:r>
        <w:rPr>
          <w:rFonts w:hint="eastAsia" w:ascii="宋体" w:hAnsi="宋体" w:cs="宋体"/>
          <w:color w:val="auto"/>
          <w:sz w:val="24"/>
          <w:szCs w:val="28"/>
          <w:highlight w:val="none"/>
        </w:rPr>
        <w:t>特色</w:t>
      </w:r>
      <w:r>
        <w:rPr>
          <w:rFonts w:ascii="宋体" w:hAnsi="宋体" w:cs="宋体"/>
          <w:color w:val="auto"/>
          <w:sz w:val="24"/>
          <w:szCs w:val="28"/>
          <w:highlight w:val="none"/>
        </w:rPr>
        <w:t>文化打造工作。深化共建共享工作机制，在食堂就餐区</w:t>
      </w:r>
      <w:r>
        <w:rPr>
          <w:rFonts w:hint="eastAsia" w:ascii="宋体" w:hAnsi="宋体" w:cs="宋体"/>
          <w:color w:val="auto"/>
          <w:sz w:val="24"/>
          <w:szCs w:val="28"/>
          <w:highlight w:val="none"/>
        </w:rPr>
        <w:t>设立数智电子文化展示墙，由中标人投入充足经费开展以食品安全、营养健康、制止餐饮浪费等文化主题活动，积极配合采购人学生伙管会的各项活动规划和落实。成交商还需应采购人要求投入充足经费确保各类饮食文化活动项目的开展、传统佳节氛围营造、勤工助学岗位提供以及勤工助学人员的伙食保障。</w:t>
      </w:r>
      <w:r>
        <w:rPr>
          <w:rFonts w:hint="eastAsia" w:ascii="宋体" w:hAnsi="宋体" w:cs="仿宋"/>
          <w:color w:val="auto"/>
          <w:sz w:val="24"/>
          <w:szCs w:val="24"/>
          <w:highlight w:val="none"/>
        </w:rPr>
        <w:t>食堂文化建设符合采购人相关规定，与采购人发展特色契合，打造后勤育人品牌，积极营造和谐校园文化，不得在采购人本招标区域以外从事任何商业、广告、集会等活动。</w:t>
      </w:r>
    </w:p>
    <w:p w14:paraId="22B134E6">
      <w:pPr>
        <w:pStyle w:val="4"/>
        <w:spacing w:line="400" w:lineRule="exact"/>
        <w:rPr>
          <w:b w:val="0"/>
          <w:color w:val="auto"/>
          <w:highlight w:val="none"/>
        </w:rPr>
      </w:pPr>
      <w:bookmarkStart w:id="57" w:name="_Toc24888"/>
      <w:r>
        <w:rPr>
          <w:rFonts w:hint="eastAsia"/>
          <w:b w:val="0"/>
          <w:color w:val="auto"/>
          <w:highlight w:val="none"/>
        </w:rPr>
        <w:t>（六）招标项目环境改造要求</w:t>
      </w:r>
      <w:bookmarkEnd w:id="57"/>
    </w:p>
    <w:p w14:paraId="597A4E01">
      <w:pPr>
        <w:spacing w:line="400" w:lineRule="exact"/>
        <w:ind w:firstLine="480" w:firstLineChars="200"/>
        <w:jc w:val="left"/>
        <w:rPr>
          <w:rFonts w:ascii="宋体" w:hAnsi="宋体" w:cs="宋体"/>
          <w:color w:val="auto"/>
          <w:sz w:val="24"/>
          <w:szCs w:val="24"/>
          <w:highlight w:val="none"/>
        </w:rPr>
      </w:pPr>
      <w:bookmarkStart w:id="58" w:name="_Hlk103589519"/>
      <w:r>
        <w:rPr>
          <w:rFonts w:hint="eastAsia" w:ascii="宋体" w:hAnsi="宋体" w:cs="宋体"/>
          <w:color w:val="auto"/>
          <w:sz w:val="24"/>
          <w:szCs w:val="28"/>
          <w:highlight w:val="none"/>
        </w:rPr>
        <w:t>环境改造总体要求：食堂整体的装修改造严格按国家市场监督管理总局最新</w:t>
      </w:r>
      <w:r>
        <w:rPr>
          <w:rFonts w:ascii="宋体" w:hAnsi="宋体" w:cs="宋体"/>
          <w:color w:val="auto"/>
          <w:sz w:val="24"/>
          <w:szCs w:val="28"/>
          <w:highlight w:val="none"/>
        </w:rPr>
        <w:t>发布的《餐饮服务食品安全操作规范》内容进行规范化改造。食堂改造后就餐区和后</w:t>
      </w:r>
      <w:r>
        <w:rPr>
          <w:rFonts w:hint="eastAsia" w:ascii="宋体" w:hAnsi="宋体" w:cs="宋体"/>
          <w:color w:val="auto"/>
          <w:sz w:val="24"/>
          <w:szCs w:val="28"/>
          <w:highlight w:val="none"/>
        </w:rPr>
        <w:t>厨面积比原则上保持</w:t>
      </w:r>
      <w:r>
        <w:rPr>
          <w:rFonts w:ascii="宋体" w:hAnsi="宋体" w:cs="宋体"/>
          <w:color w:val="auto"/>
          <w:sz w:val="24"/>
          <w:szCs w:val="28"/>
          <w:highlight w:val="none"/>
        </w:rPr>
        <w:t>1：1，</w:t>
      </w:r>
      <w:r>
        <w:rPr>
          <w:rFonts w:hint="eastAsia" w:ascii="宋体" w:hAnsi="宋体" w:cs="宋体"/>
          <w:color w:val="auto"/>
          <w:sz w:val="24"/>
          <w:szCs w:val="28"/>
          <w:highlight w:val="none"/>
        </w:rPr>
        <w:t>后厨需按照</w:t>
      </w:r>
      <w:r>
        <w:rPr>
          <w:rFonts w:ascii="宋体" w:hAnsi="宋体" w:cs="宋体"/>
          <w:color w:val="auto"/>
          <w:sz w:val="24"/>
          <w:szCs w:val="28"/>
          <w:highlight w:val="none"/>
        </w:rPr>
        <w:t>4D及以上厨房标准设计，根据后</w:t>
      </w:r>
      <w:r>
        <w:rPr>
          <w:rFonts w:hint="eastAsia" w:ascii="宋体" w:hAnsi="宋体" w:cs="宋体"/>
          <w:color w:val="auto"/>
          <w:sz w:val="24"/>
          <w:szCs w:val="28"/>
          <w:highlight w:val="none"/>
        </w:rPr>
        <w:t>厨设计提供相应的</w:t>
      </w:r>
      <w:r>
        <w:rPr>
          <w:rFonts w:ascii="宋体" w:hAnsi="宋体" w:cs="宋体"/>
          <w:color w:val="auto"/>
          <w:sz w:val="24"/>
          <w:szCs w:val="28"/>
          <w:highlight w:val="none"/>
        </w:rPr>
        <w:t>4D及以上厨房（即：整理到位、责任到位、培训到位、执行到位）建设标准及方案。食堂需实现“明厨亮灶”，按照采购人数智食堂建设工作要求自行承担各自食堂建设费用和</w:t>
      </w:r>
      <w:r>
        <w:rPr>
          <w:rFonts w:hint="eastAsia" w:ascii="宋体" w:hAnsi="宋体" w:cs="宋体"/>
          <w:color w:val="auto"/>
          <w:sz w:val="24"/>
          <w:szCs w:val="28"/>
          <w:highlight w:val="none"/>
        </w:rPr>
        <w:t>均摊</w:t>
      </w:r>
      <w:r>
        <w:rPr>
          <w:rFonts w:hint="eastAsia" w:ascii="宋体" w:hAnsi="宋体" w:cs="宋体"/>
          <w:color w:val="auto"/>
          <w:sz w:val="24"/>
          <w:szCs w:val="24"/>
          <w:highlight w:val="none"/>
        </w:rPr>
        <w:t>数智食堂监管平台</w:t>
      </w:r>
      <w:r>
        <w:rPr>
          <w:rFonts w:hint="eastAsia" w:ascii="宋体" w:hAnsi="宋体" w:cs="宋体"/>
          <w:color w:val="auto"/>
          <w:sz w:val="24"/>
          <w:szCs w:val="28"/>
          <w:highlight w:val="none"/>
        </w:rPr>
        <w:t>建设及设备设施费用</w:t>
      </w:r>
      <w:bookmarkEnd w:id="58"/>
      <w:bookmarkStart w:id="59" w:name="OLE_LINK11"/>
      <w:bookmarkStart w:id="60" w:name="OLE_LINK10"/>
      <w:bookmarkStart w:id="61" w:name="_Hlk104212236"/>
      <w:r>
        <w:rPr>
          <w:rFonts w:hint="eastAsia" w:ascii="宋体" w:hAnsi="宋体" w:cs="宋体"/>
          <w:color w:val="auto"/>
          <w:sz w:val="24"/>
          <w:szCs w:val="28"/>
          <w:highlight w:val="none"/>
        </w:rPr>
        <w:t>。</w:t>
      </w:r>
    </w:p>
    <w:bookmarkEnd w:id="59"/>
    <w:bookmarkEnd w:id="60"/>
    <w:p w14:paraId="6FBAFCEF">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1.</w:t>
      </w:r>
      <w:r>
        <w:rPr>
          <w:rFonts w:hint="eastAsia" w:ascii="宋体" w:hAnsi="宋体" w:cs="宋体"/>
          <w:color w:val="auto"/>
          <w:sz w:val="24"/>
          <w:szCs w:val="28"/>
          <w:highlight w:val="none"/>
        </w:rPr>
        <w:t>厨房及各功能间改造：各食堂食堂需设立包括主食库、副食库、中转库房、留样间、快检室、洗碗间、备餐间、员工（男、女）更衣室、办公室、杂物间、冷冻（冷藏）间、肉类、蔬菜粗加工间、集中加工烹饪间、蒸煮间，各区域均采用色标管理，标识标牌清晰。特色餐加工区域设置必须有利于排水；后厨地面铺贴满足需要的防滑地砖。</w:t>
      </w:r>
      <w:r>
        <w:rPr>
          <w:rFonts w:hint="eastAsia" w:ascii="宋体" w:hAnsi="宋体" w:cs="仿宋"/>
          <w:color w:val="auto"/>
          <w:sz w:val="24"/>
          <w:szCs w:val="24"/>
          <w:highlight w:val="none"/>
        </w:rPr>
        <w:t>食堂防火分隔采用</w:t>
      </w:r>
      <w:r>
        <w:rPr>
          <w:rFonts w:ascii="宋体" w:hAnsi="宋体" w:cs="仿宋"/>
          <w:color w:val="auto"/>
          <w:sz w:val="24"/>
          <w:szCs w:val="24"/>
          <w:highlight w:val="none"/>
        </w:rPr>
        <w:t>2.0砖墙分隔并使用防火玻璃，燃气报警探头全覆盖；消防通道畅通、设施设备完好及标识标牌醒目。食堂内部功能布局合理，达到食品卫生、消防相关政策和法规要求。</w:t>
      </w:r>
      <w:r>
        <w:rPr>
          <w:rFonts w:hint="eastAsia" w:ascii="宋体" w:hAnsi="宋体" w:cs="仿宋"/>
          <w:color w:val="auto"/>
          <w:sz w:val="24"/>
          <w:szCs w:val="24"/>
          <w:highlight w:val="none"/>
        </w:rPr>
        <w:t>成交商应提供高效节水的厨具设备，如低流量水龙头、感应式水阀等，并提供无水或少水的清洁方案；确保后厨排水系统的设计合理，能够快速排水，保持地面干燥；选用环保、易清洁的建筑材料和厨具设备，降低清洁用水量和维护成本，同时结合无水厨房的建设，推行节能措施，提高能源利用效率，提供无水厨房方案的成本效益分析，确保方案具有经济可行性。</w:t>
      </w:r>
    </w:p>
    <w:p w14:paraId="6414A68E">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2.燃气安装要求：</w:t>
      </w:r>
      <w:r>
        <w:rPr>
          <w:rFonts w:hint="eastAsia" w:ascii="宋体" w:hAnsi="宋体" w:cs="宋体"/>
          <w:bCs/>
          <w:color w:val="auto"/>
          <w:sz w:val="24"/>
          <w:szCs w:val="24"/>
          <w:highlight w:val="none"/>
        </w:rPr>
        <w:t>成交商须自行联系永川区燃气公司，并按永川区天燃气公司的技术标准和管理要求重新安装布局，且一切费用和风险由成交商自行承担。</w:t>
      </w:r>
      <w:r>
        <w:rPr>
          <w:rFonts w:hint="eastAsia" w:ascii="宋体" w:hAnsi="宋体" w:cs="仿宋"/>
          <w:color w:val="auto"/>
          <w:sz w:val="24"/>
          <w:szCs w:val="24"/>
          <w:highlight w:val="none"/>
        </w:rPr>
        <w:t>成交商必须设置自动灭火装置。按照《建筑设计防火规范》</w:t>
      </w:r>
      <w:r>
        <w:rPr>
          <w:rFonts w:ascii="宋体" w:hAnsi="宋体" w:cs="仿宋"/>
          <w:color w:val="auto"/>
          <w:sz w:val="24"/>
          <w:szCs w:val="24"/>
          <w:highlight w:val="none"/>
        </w:rPr>
        <w:t>GB 50016—20</w:t>
      </w:r>
      <w:r>
        <w:rPr>
          <w:rFonts w:hint="eastAsia" w:ascii="宋体" w:hAnsi="宋体" w:cs="仿宋"/>
          <w:color w:val="auto"/>
          <w:sz w:val="24"/>
          <w:szCs w:val="24"/>
          <w:highlight w:val="none"/>
        </w:rPr>
        <w:t>22</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20</w:t>
      </w:r>
      <w:r>
        <w:rPr>
          <w:rFonts w:hint="eastAsia" w:ascii="宋体" w:hAnsi="宋体" w:cs="仿宋"/>
          <w:color w:val="auto"/>
          <w:sz w:val="24"/>
          <w:szCs w:val="24"/>
          <w:highlight w:val="none"/>
        </w:rPr>
        <w:t>22</w:t>
      </w:r>
      <w:r>
        <w:rPr>
          <w:rFonts w:ascii="宋体" w:hAnsi="宋体" w:cs="仿宋"/>
          <w:color w:val="auto"/>
          <w:sz w:val="24"/>
          <w:szCs w:val="24"/>
          <w:highlight w:val="none"/>
        </w:rPr>
        <w:t>年版）要求：餐厅建筑面积大于1000㎡的餐馆或食堂，其烹饪操作间的排油烟罩及烹饪部位应设置自动灭火装置，并应在燃气或燃油管道上设置与自动灭火装置联动的自动切断装置。</w:t>
      </w:r>
    </w:p>
    <w:p w14:paraId="39E2FD05">
      <w:pPr>
        <w:spacing w:line="440" w:lineRule="exact"/>
        <w:ind w:firstLine="480" w:firstLineChars="200"/>
        <w:jc w:val="left"/>
        <w:rPr>
          <w:rFonts w:ascii="宋体" w:hAnsi="宋体" w:cs="仿宋"/>
          <w:color w:val="auto"/>
          <w:sz w:val="24"/>
          <w:szCs w:val="24"/>
          <w:highlight w:val="none"/>
        </w:rPr>
      </w:pPr>
      <w:r>
        <w:rPr>
          <w:rFonts w:ascii="宋体" w:hAnsi="宋体" w:cs="仿宋"/>
          <w:color w:val="auto"/>
          <w:sz w:val="24"/>
          <w:szCs w:val="24"/>
          <w:highlight w:val="none"/>
        </w:rPr>
        <w:t>3.防水处理要求：</w:t>
      </w:r>
      <w:r>
        <w:rPr>
          <w:rFonts w:hint="eastAsia" w:ascii="宋体" w:hAnsi="宋体" w:cs="仿宋"/>
          <w:color w:val="auto"/>
          <w:sz w:val="24"/>
          <w:szCs w:val="24"/>
          <w:highlight w:val="none"/>
        </w:rPr>
        <w:t>成交商应严格按照国家相关规范对食堂重新进行防水改造，装修后必须保证楼层防水处理达到采购人要求。</w:t>
      </w:r>
    </w:p>
    <w:p w14:paraId="21DF9E3D">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4.公共卫生间设置要求：各食堂按照现有男女蹲位及站位数量设立。总体服务设施齐全，高档、美观、实用、保护隐私。须满足照明设施齐备，小便器和洗手</w:t>
      </w:r>
      <w:r>
        <w:rPr>
          <w:rFonts w:hint="eastAsia" w:ascii="宋体" w:hAnsi="宋体" w:cs="宋体"/>
          <w:color w:val="auto"/>
          <w:sz w:val="24"/>
          <w:szCs w:val="28"/>
          <w:highlight w:val="none"/>
        </w:rPr>
        <w:t>盆采用电磁感应冲水，蹲便器采用脚踏阀冲水，洗手盆为大理石台面或岩板一体洗手盆，须安装烘干设备，整体配备高档洁具。窗采用铝合金中空玻璃；门采用铝塑或高档木门（防潮）；地面采用高档防滑地砖；内墙高档瓷砖到顶；顶棚采用铝扣集成吊顶或纸面石膏板吊顶，安装抽排通风设施。</w:t>
      </w:r>
    </w:p>
    <w:p w14:paraId="68A57614">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5.各食堂就餐区可做适当分区、装修须凸显校园文化特色，融合学校现有标志标识、专业特色、服务育人等内容和功能，整体呈现现代风格，灯光明亮，符合当代大学气质，现有空调全部更换为全新格力或美的空调且食堂覆盖，须满足师生就餐、自习、研讨、工作交流等要求，确保监控设施全覆盖、</w:t>
      </w:r>
      <w:r>
        <w:rPr>
          <w:rFonts w:hint="eastAsia" w:ascii="宋体" w:hAnsi="宋体" w:cs="宋体"/>
          <w:color w:val="auto"/>
          <w:sz w:val="24"/>
          <w:szCs w:val="28"/>
          <w:highlight w:val="none"/>
        </w:rPr>
        <w:t>数智食堂功能按</w:t>
      </w:r>
      <w:r>
        <w:rPr>
          <w:rFonts w:hint="eastAsia" w:ascii="宋体" w:hAnsi="宋体" w:cs="宋体"/>
          <w:bCs/>
          <w:color w:val="auto"/>
          <w:sz w:val="24"/>
          <w:szCs w:val="24"/>
          <w:highlight w:val="none"/>
        </w:rPr>
        <w:t>“餐饮安全在线”应用手机端（原“重庆阳光食品”</w:t>
      </w:r>
      <w:r>
        <w:rPr>
          <w:rFonts w:ascii="宋体" w:hAnsi="宋体" w:cs="宋体"/>
          <w:bCs/>
          <w:color w:val="auto"/>
          <w:sz w:val="24"/>
          <w:szCs w:val="24"/>
          <w:highlight w:val="none"/>
        </w:rPr>
        <w:t>APP）</w:t>
      </w:r>
      <w:r>
        <w:rPr>
          <w:rFonts w:hint="eastAsia" w:ascii="宋体" w:hAnsi="宋体" w:cs="宋体"/>
          <w:color w:val="auto"/>
          <w:sz w:val="24"/>
          <w:szCs w:val="28"/>
          <w:highlight w:val="none"/>
        </w:rPr>
        <w:t>功能要求接入并正常使用。</w:t>
      </w:r>
    </w:p>
    <w:p w14:paraId="41E49C2C">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6.供应商提供4D及以上厨房建设方案：供应商要结合后厨设计，提供相应科学、合理且可行的4D及以上厨房建设方案，实现环境卫生“四无”要求，即地面无油渍、无水迹、无卫生死角、无杂物。墙砖满贴，功能间、加工间及</w:t>
      </w:r>
      <w:r>
        <w:rPr>
          <w:rFonts w:hint="eastAsia" w:ascii="宋体" w:hAnsi="宋体" w:cs="宋体"/>
          <w:color w:val="auto"/>
          <w:sz w:val="24"/>
          <w:szCs w:val="28"/>
          <w:highlight w:val="none"/>
        </w:rPr>
        <w:t>售卖间均全屋铝扣板吊顶。</w:t>
      </w:r>
    </w:p>
    <w:p w14:paraId="5FFEF1E9">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7.</w:t>
      </w:r>
      <w:r>
        <w:rPr>
          <w:rFonts w:hint="eastAsia" w:ascii="宋体" w:hAnsi="宋体" w:cs="宋体"/>
          <w:color w:val="auto"/>
          <w:sz w:val="24"/>
          <w:szCs w:val="28"/>
          <w:highlight w:val="none"/>
        </w:rPr>
        <w:t>成交商根据实际需要须对食堂外墙进行整修和改造工作。在合同服务期内，成交商负责对食堂装饰工程、食堂主体外墙、设备设施的质量保修维护工作。按照采购人要求及时、高效完成各项售后维修维护工作。</w:t>
      </w:r>
    </w:p>
    <w:p w14:paraId="50C0ED27">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8.供应商</w:t>
      </w:r>
      <w:r>
        <w:rPr>
          <w:rFonts w:hint="eastAsia" w:ascii="宋体" w:hAnsi="宋体" w:cs="宋体"/>
          <w:color w:val="auto"/>
          <w:sz w:val="24"/>
          <w:szCs w:val="28"/>
          <w:highlight w:val="none"/>
        </w:rPr>
        <w:t>提供数智食堂建设方案：供应商按照采购人数智食堂建设要求，无条件响应并投资完成建设。即采购人数智食堂总平台搭建（须满足采购人两校区所有</w:t>
      </w:r>
      <w:r>
        <w:rPr>
          <w:rFonts w:ascii="宋体" w:hAnsi="宋体" w:cs="宋体"/>
          <w:color w:val="auto"/>
          <w:sz w:val="24"/>
          <w:szCs w:val="28"/>
          <w:highlight w:val="none"/>
        </w:rPr>
        <w:t>食堂的统筹监管需求）、本项目食堂必要的硬件建设（具体建设需求参数见</w:t>
      </w:r>
      <w:r>
        <w:rPr>
          <w:rFonts w:hint="eastAsia" w:ascii="宋体" w:hAnsi="宋体" w:cs="宋体"/>
          <w:color w:val="auto"/>
          <w:sz w:val="24"/>
          <w:szCs w:val="28"/>
          <w:highlight w:val="none"/>
        </w:rPr>
        <w:t>“五、“数智食堂”建设要求”）。按照采购人数智食堂建设工作要求自行承担各自食堂数智食堂相关费用，</w:t>
      </w:r>
      <w:r>
        <w:rPr>
          <w:rFonts w:hint="eastAsia"/>
          <w:color w:val="auto"/>
          <w:sz w:val="24"/>
          <w:highlight w:val="none"/>
        </w:rPr>
        <w:t>其中</w:t>
      </w:r>
      <w:r>
        <w:rPr>
          <w:rFonts w:hint="eastAsia"/>
          <w:color w:val="auto"/>
          <w:sz w:val="24"/>
          <w:highlight w:val="none"/>
          <w:lang w:val="en-US" w:eastAsia="zh-CN"/>
        </w:rPr>
        <w:t>本项目第一次磋商已中标的</w:t>
      </w:r>
      <w:r>
        <w:rPr>
          <w:rFonts w:hint="eastAsia"/>
          <w:color w:val="auto"/>
          <w:sz w:val="24"/>
          <w:highlight w:val="none"/>
        </w:rPr>
        <w:t>包</w:t>
      </w:r>
      <w:r>
        <w:rPr>
          <w:color w:val="auto"/>
          <w:sz w:val="24"/>
          <w:highlight w:val="none"/>
        </w:rPr>
        <w:t>3</w:t>
      </w:r>
      <w:r>
        <w:rPr>
          <w:rFonts w:hint="eastAsia"/>
          <w:color w:val="auto"/>
          <w:sz w:val="24"/>
          <w:highlight w:val="none"/>
        </w:rPr>
        <w:t>的成交商完成“数智食堂”学校食安监管平台建设要求全部内容，成交商须按照“数智食堂”食堂数智化设备建设要求完成各自食堂的所有建设。</w:t>
      </w:r>
      <w:r>
        <w:rPr>
          <w:rFonts w:hint="eastAsia" w:ascii="宋体" w:hAnsi="宋体" w:cs="宋体"/>
          <w:color w:val="auto"/>
          <w:sz w:val="24"/>
          <w:szCs w:val="28"/>
          <w:highlight w:val="none"/>
        </w:rPr>
        <w:t>整个数智食堂系统须在该食堂装修改造投入使用前建成，经采购人验收后投入使用，成交商须委托系统建设单位负责对采购人的使用人员进行培训，成交商须在数智食堂建设合同中明确系统建设单位负责免费为采购人后续拓展接入的食堂终端设备做好技术服务，成交商同时将该系统的产权移交给采购人并办理移交手续，采购人终身免费使用该系统，成交商数智食堂建设单位须在售后服务期限内负责数智食堂系统的维护，确保整个系统正常使用。录像及管理数据资产归采购人处置，任何数据不得不经采购人书面同意提供给第三方，所有数据必须无条件提供给采购人并提供相关接口或数据库权限。</w:t>
      </w:r>
    </w:p>
    <w:p w14:paraId="55E1A2F4">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9.本次招标的食堂建筑物现状：现有的室内消防设施仅有消火栓系统、应急疏散指示标志和防火门，没有或部分没有消防报警、喷淋、防排烟、烟感和温感等设施。各供应商务必要充分了解该情况，在装修改造方案中进行合</w:t>
      </w:r>
      <w:r>
        <w:rPr>
          <w:rFonts w:hint="eastAsia" w:ascii="宋体" w:hAnsi="宋体" w:cs="宋体"/>
          <w:color w:val="auto"/>
          <w:sz w:val="24"/>
          <w:szCs w:val="28"/>
          <w:highlight w:val="none"/>
        </w:rPr>
        <w:t>规性设计并通过建设行政主管部门的消防设计审查和竣工验收，同时需要将设计方案报采购人的消防安全主管部门审核书面同意后实施。新增的各项消防设施和报警装置，需要统一接入采购人整个消防系统联网，故消防设施设备必须与原有消防系统无缝对接（</w:t>
      </w:r>
      <w:r>
        <w:rPr>
          <w:rFonts w:hint="eastAsia" w:ascii="宋体" w:hAnsi="宋体" w:cs="宋体"/>
          <w:bCs/>
          <w:color w:val="auto"/>
          <w:sz w:val="24"/>
          <w:szCs w:val="28"/>
          <w:highlight w:val="none"/>
        </w:rPr>
        <w:t>现在采购人的消防系统使用的是“海湾牌”系列产品</w:t>
      </w:r>
      <w:r>
        <w:rPr>
          <w:rFonts w:hint="eastAsia" w:ascii="宋体" w:hAnsi="宋体" w:cs="宋体"/>
          <w:color w:val="auto"/>
          <w:sz w:val="24"/>
          <w:szCs w:val="28"/>
          <w:highlight w:val="none"/>
        </w:rPr>
        <w:t>）。</w:t>
      </w:r>
    </w:p>
    <w:p w14:paraId="07891093">
      <w:pPr>
        <w:spacing w:line="44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10.食堂油烟排放改造：按照重庆市永川区生态环境局、重庆市永川区教育委员会《关于加快推进学校食堂油烟治理提标改造的通知》的要求：</w:t>
      </w:r>
    </w:p>
    <w:p w14:paraId="77E396B6">
      <w:pPr>
        <w:spacing w:line="44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技术改造标准：</w:t>
      </w:r>
    </w:p>
    <w:p w14:paraId="25AF2547">
      <w:pPr>
        <w:spacing w:line="44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(一)设备配置要求。油烟净化处理风量与灶头数量相匹配，设备标准化安装，采用高效静电、湿法冷凝等先进技术，同时净化设备应与排风机联动。</w:t>
      </w:r>
    </w:p>
    <w:p w14:paraId="79CA2BA6">
      <w:pPr>
        <w:spacing w:line="44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(二)排放限值标准。改造后油烟净化效率需≥95%,油烟排 放浓度稳定≤0.3mg/m³(鼓励达到0.1mg/m³), 非甲烷总烃浓度 ≤5mg/m³,需同步提交第三方监测报告。</w:t>
      </w:r>
    </w:p>
    <w:p w14:paraId="60C77D93">
      <w:pPr>
        <w:spacing w:line="440" w:lineRule="exact"/>
        <w:ind w:firstLine="480" w:firstLineChars="200"/>
        <w:jc w:val="left"/>
        <w:rPr>
          <w:rFonts w:ascii="宋体" w:hAnsi="宋体" w:cs="仿宋"/>
          <w:color w:val="auto"/>
          <w:sz w:val="24"/>
          <w:szCs w:val="24"/>
          <w:highlight w:val="none"/>
        </w:rPr>
      </w:pPr>
      <w:r>
        <w:rPr>
          <w:rFonts w:hint="eastAsia" w:ascii="宋体" w:hAnsi="宋体" w:cs="宋体"/>
          <w:color w:val="auto"/>
          <w:sz w:val="24"/>
          <w:szCs w:val="28"/>
          <w:highlight w:val="none"/>
        </w:rPr>
        <w:t>(三)运维管理要求。需保证治理设施持续正常运行，严格落实日常巡查工作，定期对设施进行清洗维护，且妥善保存相关记录。鼓励实施治理设施的第三方运维管理模式，以及油烟设备的自动清洗作业。对本条必须响应</w:t>
      </w:r>
      <w:r>
        <w:rPr>
          <w:rFonts w:hint="eastAsia" w:ascii="宋体" w:hAnsi="宋体" w:cs="仿宋"/>
          <w:color w:val="auto"/>
          <w:sz w:val="24"/>
          <w:szCs w:val="24"/>
          <w:highlight w:val="none"/>
        </w:rPr>
        <w:t>。</w:t>
      </w:r>
    </w:p>
    <w:p w14:paraId="1A06576B">
      <w:pPr>
        <w:spacing w:line="440" w:lineRule="exact"/>
        <w:ind w:firstLine="480" w:firstLineChars="200"/>
        <w:jc w:val="left"/>
        <w:rPr>
          <w:rFonts w:ascii="宋体" w:hAnsi="宋体" w:cs="宋体"/>
          <w:color w:val="auto"/>
          <w:sz w:val="24"/>
          <w:szCs w:val="28"/>
          <w:highlight w:val="none"/>
        </w:rPr>
      </w:pPr>
      <w:bookmarkStart w:id="62" w:name="OLE_LINK3"/>
      <w:bookmarkStart w:id="63" w:name="OLE_LINK4"/>
      <w:r>
        <w:rPr>
          <w:rFonts w:ascii="宋体" w:hAnsi="宋体" w:cs="宋体"/>
          <w:color w:val="auto"/>
          <w:sz w:val="24"/>
          <w:szCs w:val="28"/>
          <w:highlight w:val="none"/>
        </w:rPr>
        <w:t>11.</w:t>
      </w:r>
      <w:r>
        <w:rPr>
          <w:rFonts w:hint="eastAsia" w:ascii="宋体" w:hAnsi="宋体" w:cs="宋体"/>
          <w:color w:val="auto"/>
          <w:sz w:val="24"/>
          <w:szCs w:val="28"/>
          <w:highlight w:val="none"/>
        </w:rPr>
        <w:t>成交商根据招标条件、自身管理和服务的需要，对加工区的分隔或房间的功能做必要的整合或调整，装修改造方案和施工图须在满足需求、现状条件和设计规范的基础上，由成交商委托有资质的单位进行设计和施工图审查，并按照食堂所在地（重庆市永川区）建设行政主管部门和燃气管理部门、市场监督、消防管理部门的要求，办理好各项合法的建设审批手续后方能组织实施。成交商应在中标通知书发布后</w:t>
      </w:r>
      <w:r>
        <w:rPr>
          <w:rFonts w:ascii="宋体" w:hAnsi="宋体" w:cs="宋体"/>
          <w:color w:val="auto"/>
          <w:sz w:val="24"/>
          <w:szCs w:val="28"/>
          <w:highlight w:val="none"/>
        </w:rPr>
        <w:t>10</w:t>
      </w:r>
      <w:r>
        <w:rPr>
          <w:rFonts w:hint="eastAsia" w:ascii="宋体" w:hAnsi="宋体" w:cs="宋体"/>
          <w:color w:val="auto"/>
          <w:sz w:val="24"/>
          <w:szCs w:val="28"/>
          <w:highlight w:val="none"/>
        </w:rPr>
        <w:t>日内完成装修改造涉及的平面布局、管网、用电负荷等设计方案论证并通过采购人的审核，作为施工图设计的依据；同时在中标通知书发布后</w:t>
      </w:r>
      <w:r>
        <w:rPr>
          <w:rFonts w:ascii="宋体" w:hAnsi="宋体" w:cs="宋体"/>
          <w:color w:val="auto"/>
          <w:sz w:val="24"/>
          <w:szCs w:val="28"/>
          <w:highlight w:val="none"/>
        </w:rPr>
        <w:t xml:space="preserve"> 15日内，提交环境改善投入实施方案和投资概算并通过采购人的审核，作为中标人环境改善投入的实施依据。</w:t>
      </w:r>
      <w:bookmarkEnd w:id="62"/>
      <w:bookmarkEnd w:id="63"/>
    </w:p>
    <w:p w14:paraId="074D6ECF">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12.</w:t>
      </w:r>
      <w:r>
        <w:rPr>
          <w:rFonts w:hint="eastAsia" w:ascii="宋体" w:hAnsi="宋体" w:cs="宋体"/>
          <w:color w:val="auto"/>
          <w:sz w:val="24"/>
          <w:szCs w:val="28"/>
          <w:highlight w:val="none"/>
        </w:rPr>
        <w:t>成交商在装修改造中必须委托有资质的监理单位对施工全过程进行监理，装修改造完工后，成交商自行邀请所在地建设行政主管部门、燃气管理部门、市场监管部门以及其他相关主管部门进行合格验收并取得验收合格意见书。采购人结合装修改造对各食堂区域进行安防升级施工时，成交商须无条件的配合并承担升级所需的费用。在装修改造办理建设审批手续过程中，若需要以采购人名义进行的申报、报验等工作，采购人只负责配合提供采购人的相关信息、已有的工程资料和盖章，其余的所有工作，由成交商完成，并由成交商承担相应的费用。</w:t>
      </w:r>
    </w:p>
    <w:p w14:paraId="6C1071A3">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13.</w:t>
      </w:r>
      <w:r>
        <w:rPr>
          <w:rFonts w:hint="eastAsia" w:ascii="宋体" w:hAnsi="宋体" w:cs="宋体"/>
          <w:color w:val="auto"/>
          <w:sz w:val="24"/>
          <w:szCs w:val="28"/>
          <w:highlight w:val="none"/>
        </w:rPr>
        <w:t>成交商在取得相关主管部门的验收合格意见书和采购人指定的第三方有资质公司出具的项目结算审核报告书的基础上，将一套完整的施工过程资料备齐后</w:t>
      </w:r>
      <w:r>
        <w:rPr>
          <w:rFonts w:ascii="宋体" w:hAnsi="宋体" w:cs="宋体"/>
          <w:color w:val="auto"/>
          <w:sz w:val="24"/>
          <w:szCs w:val="28"/>
          <w:highlight w:val="none"/>
        </w:rPr>
        <w:t xml:space="preserve"> 15个工作日内，由采购人组织相关人员组成验收小组，对整个装修改造和设备设施投入进行验收，形成验收意见。装饰装修改造投入的结算编制，按照重庆市 2018 </w:t>
      </w:r>
      <w:r>
        <w:rPr>
          <w:rFonts w:hint="eastAsia" w:ascii="宋体" w:hAnsi="宋体" w:cs="宋体"/>
          <w:color w:val="auto"/>
          <w:sz w:val="24"/>
          <w:szCs w:val="28"/>
          <w:highlight w:val="none"/>
        </w:rPr>
        <w:t>年及最新的相关工程定额和文件计价。成交商投入金额审定的允许负偏差范围为中标承诺金额的</w:t>
      </w:r>
      <w:r>
        <w:rPr>
          <w:rFonts w:ascii="宋体" w:hAnsi="宋体" w:cs="宋体"/>
          <w:color w:val="auto"/>
          <w:sz w:val="24"/>
          <w:szCs w:val="28"/>
          <w:highlight w:val="none"/>
        </w:rPr>
        <w:t>-2%，若发现实际投资金额超出了允许的负偏差范围，视为未履行中标承诺，</w:t>
      </w:r>
      <w:r>
        <w:rPr>
          <w:rFonts w:hint="eastAsia" w:ascii="宋体" w:hAnsi="宋体" w:cs="宋体"/>
          <w:color w:val="auto"/>
          <w:sz w:val="24"/>
          <w:szCs w:val="28"/>
          <w:highlight w:val="none"/>
        </w:rPr>
        <w:t>成交商必须按差额部分</w:t>
      </w:r>
      <w:r>
        <w:rPr>
          <w:rFonts w:hint="eastAsia" w:ascii="宋体" w:hAnsi="宋体" w:cs="仿宋"/>
          <w:color w:val="auto"/>
          <w:sz w:val="24"/>
          <w:szCs w:val="24"/>
          <w:highlight w:val="none"/>
        </w:rPr>
        <w:t>补偿给采购人</w:t>
      </w:r>
      <w:r>
        <w:rPr>
          <w:rFonts w:hint="eastAsia" w:ascii="宋体" w:hAnsi="宋体" w:cs="宋体"/>
          <w:color w:val="auto"/>
          <w:sz w:val="24"/>
          <w:szCs w:val="28"/>
          <w:highlight w:val="none"/>
        </w:rPr>
        <w:t>，差额补偿金从成交商履约保证金中扣除，如</w:t>
      </w:r>
      <w:r>
        <w:rPr>
          <w:rFonts w:hint="eastAsia" w:ascii="宋体" w:hAnsi="宋体" w:cs="仿宋"/>
          <w:color w:val="auto"/>
          <w:sz w:val="24"/>
          <w:szCs w:val="24"/>
          <w:highlight w:val="none"/>
        </w:rPr>
        <w:t>影响师生就餐的，学校还将追究其违约责任。</w:t>
      </w:r>
      <w:r>
        <w:rPr>
          <w:rFonts w:hint="eastAsia" w:ascii="宋体" w:hAnsi="宋体" w:cs="宋体"/>
          <w:color w:val="auto"/>
          <w:sz w:val="24"/>
          <w:szCs w:val="28"/>
          <w:highlight w:val="none"/>
        </w:rPr>
        <w:t>装修投入的正偏差，不设上限偏差范围。</w:t>
      </w:r>
    </w:p>
    <w:bookmarkEnd w:id="61"/>
    <w:p w14:paraId="5020E1D3">
      <w:pPr>
        <w:spacing w:line="400" w:lineRule="exact"/>
        <w:ind w:firstLine="480" w:firstLineChars="200"/>
        <w:jc w:val="left"/>
        <w:rPr>
          <w:rFonts w:ascii="宋体" w:hAnsi="宋体" w:cs="宋体"/>
          <w:color w:val="auto"/>
          <w:sz w:val="24"/>
          <w:szCs w:val="28"/>
          <w:highlight w:val="none"/>
        </w:rPr>
      </w:pPr>
      <w:bookmarkStart w:id="64" w:name="OLE_LINK63"/>
      <w:bookmarkStart w:id="65" w:name="OLE_LINK62"/>
      <w:bookmarkStart w:id="66" w:name="_Toc6747"/>
      <w:r>
        <w:rPr>
          <w:rFonts w:ascii="宋体" w:hAnsi="宋体" w:cs="宋体"/>
          <w:color w:val="auto"/>
          <w:sz w:val="24"/>
          <w:szCs w:val="28"/>
          <w:highlight w:val="none"/>
        </w:rPr>
        <w:t>14.成交商资金投入要求：</w:t>
      </w:r>
      <w:bookmarkEnd w:id="64"/>
      <w:bookmarkEnd w:id="65"/>
      <w:r>
        <w:rPr>
          <w:rFonts w:ascii="宋体" w:hAnsi="宋体" w:cs="宋体"/>
          <w:color w:val="auto"/>
          <w:sz w:val="24"/>
          <w:szCs w:val="28"/>
          <w:highlight w:val="none"/>
        </w:rPr>
        <w:t>包4投入资金不得低于260万，包5投入资金不得低于250万，该投入费用包括数智食堂建设、环境改善、设施设备购置、餐厨具等，供应商在投标文件中承诺具体金额，但不低于本招标文件要求的最低金额，成交商投入资金以</w:t>
      </w:r>
      <w:r>
        <w:rPr>
          <w:rFonts w:hint="eastAsia" w:ascii="宋体" w:hAnsi="宋体" w:cs="宋体"/>
          <w:color w:val="auto"/>
          <w:sz w:val="24"/>
          <w:szCs w:val="28"/>
          <w:highlight w:val="none"/>
        </w:rPr>
        <w:t>采购人指定的</w:t>
      </w:r>
      <w:r>
        <w:rPr>
          <w:rFonts w:ascii="宋体" w:hAnsi="宋体" w:cs="宋体"/>
          <w:color w:val="auto"/>
          <w:sz w:val="24"/>
          <w:szCs w:val="28"/>
          <w:highlight w:val="none"/>
        </w:rPr>
        <w:t>第三方有资质的公司出具的项目结算审核报告书为准，结算审核</w:t>
      </w:r>
      <w:r>
        <w:rPr>
          <w:rFonts w:hint="eastAsia" w:ascii="宋体" w:hAnsi="宋体" w:cs="宋体"/>
          <w:color w:val="auto"/>
          <w:sz w:val="24"/>
          <w:szCs w:val="28"/>
          <w:highlight w:val="none"/>
        </w:rPr>
        <w:t>费用由成交商自行负担</w:t>
      </w:r>
      <w:r>
        <w:rPr>
          <w:rFonts w:ascii="宋体" w:hAnsi="宋体" w:cs="宋体"/>
          <w:color w:val="auto"/>
          <w:sz w:val="24"/>
          <w:szCs w:val="28"/>
          <w:highlight w:val="none"/>
        </w:rPr>
        <w:t>。</w:t>
      </w:r>
    </w:p>
    <w:p w14:paraId="5040B66B">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15.“三防”设施要求：确保配备符合实际的防鼠、防虫、防蝇设施并能够有效发挥作用，防止鼠类等有害生物侵入。其中，墙壁、地板应无缝隙；所有管道与外界或天花板连接处应封闭，所有管线穿越而产生的孔洞应封堵，孔洞填充牢固，无缝隙；使用水封式地漏；人员、货物与外界相连通道应设有防鼠板；门缝隙、排水管道出水口应按照操作规范要求做好“三防”措施。</w:t>
      </w:r>
    </w:p>
    <w:p w14:paraId="682FCC76">
      <w:pPr>
        <w:spacing w:line="400" w:lineRule="exact"/>
        <w:ind w:firstLine="480" w:firstLineChars="200"/>
        <w:rPr>
          <w:rFonts w:ascii="宋体" w:hAnsi="宋体" w:cs="宋体"/>
          <w:color w:val="auto"/>
          <w:sz w:val="24"/>
          <w:szCs w:val="28"/>
          <w:highlight w:val="none"/>
        </w:rPr>
      </w:pPr>
      <w:bookmarkStart w:id="67" w:name="OLE_LINK6"/>
      <w:bookmarkStart w:id="68" w:name="OLE_LINK5"/>
      <w:r>
        <w:rPr>
          <w:rFonts w:ascii="宋体" w:hAnsi="宋体" w:cs="宋体"/>
          <w:color w:val="auto"/>
          <w:sz w:val="24"/>
          <w:szCs w:val="28"/>
          <w:highlight w:val="none"/>
        </w:rPr>
        <w:t>16.水电搭接安装要求。原先的所有电气线路和给水管网必须结合自身经营所需电力负荷和使用需求重新规划布局（包括搭接至变压器的主供电电缆），如因食堂能源超负荷，还需承担能源扩容所涉及的费用。成交商整个招标经营区域只能设置一块水、电、气计量表，水电气搭接口由采购人指定，需要配备负荷用电安全要求的用电安全防护设施设备。施工中发生的安全责任事故由成交商自行承担。</w:t>
      </w:r>
      <w:bookmarkEnd w:id="67"/>
      <w:bookmarkEnd w:id="68"/>
    </w:p>
    <w:p w14:paraId="30E6DE21">
      <w:pPr>
        <w:spacing w:line="400" w:lineRule="exact"/>
        <w:ind w:firstLine="480" w:firstLineChars="200"/>
        <w:rPr>
          <w:rFonts w:ascii="宋体" w:hAnsi="宋体" w:cs="宋体"/>
          <w:color w:val="auto"/>
          <w:sz w:val="24"/>
          <w:szCs w:val="28"/>
          <w:highlight w:val="none"/>
        </w:rPr>
      </w:pPr>
      <w:r>
        <w:rPr>
          <w:rFonts w:ascii="宋体" w:hAnsi="宋体" w:cs="宋体"/>
          <w:color w:val="auto"/>
          <w:sz w:val="24"/>
          <w:szCs w:val="28"/>
          <w:highlight w:val="none"/>
        </w:rPr>
        <w:t>17.包4红河校区三食堂的成交商须邀请专业机构对大厅（隔层）和屋顶现有的钢架结构进行安全监测，并向采购人提交安全监测报告，采购人</w:t>
      </w:r>
      <w:r>
        <w:rPr>
          <w:rFonts w:hint="eastAsia" w:ascii="宋体" w:hAnsi="宋体" w:cs="宋体"/>
          <w:color w:val="auto"/>
          <w:sz w:val="24"/>
          <w:szCs w:val="28"/>
          <w:highlight w:val="none"/>
        </w:rPr>
        <w:t>邀请</w:t>
      </w:r>
      <w:r>
        <w:rPr>
          <w:rFonts w:ascii="宋体" w:hAnsi="宋体" w:cs="宋体"/>
          <w:color w:val="auto"/>
          <w:sz w:val="24"/>
          <w:szCs w:val="28"/>
          <w:highlight w:val="none"/>
        </w:rPr>
        <w:t>相关</w:t>
      </w:r>
      <w:r>
        <w:rPr>
          <w:rFonts w:hint="eastAsia" w:ascii="宋体" w:hAnsi="宋体" w:cs="宋体"/>
          <w:color w:val="auto"/>
          <w:sz w:val="24"/>
          <w:szCs w:val="28"/>
          <w:highlight w:val="none"/>
        </w:rPr>
        <w:t>专业</w:t>
      </w:r>
      <w:r>
        <w:rPr>
          <w:rFonts w:ascii="宋体" w:hAnsi="宋体" w:cs="宋体"/>
          <w:color w:val="auto"/>
          <w:sz w:val="24"/>
          <w:szCs w:val="28"/>
          <w:highlight w:val="none"/>
        </w:rPr>
        <w:t>监测机构监测后确认没有安全隐患后成交商方可投入使用，并由成交商自行承担所有相关专业检测费用；如大厅（隔层）和屋顶现有的钢架结构安全监测不合格，须成交商出资进行改造并达到安全要求。</w:t>
      </w:r>
    </w:p>
    <w:p w14:paraId="5309C6BF">
      <w:pPr>
        <w:pStyle w:val="4"/>
        <w:spacing w:line="400" w:lineRule="exact"/>
        <w:rPr>
          <w:b w:val="0"/>
          <w:color w:val="auto"/>
          <w:highlight w:val="none"/>
        </w:rPr>
      </w:pPr>
      <w:bookmarkStart w:id="69" w:name="_Toc5961"/>
      <w:r>
        <w:rPr>
          <w:rFonts w:hint="eastAsia"/>
          <w:b w:val="0"/>
          <w:color w:val="auto"/>
          <w:highlight w:val="none"/>
        </w:rPr>
        <w:t>（七）教工餐要求</w:t>
      </w:r>
      <w:bookmarkEnd w:id="69"/>
    </w:p>
    <w:p w14:paraId="381BF632">
      <w:pPr>
        <w:snapToGrid w:val="0"/>
        <w:spacing w:line="400" w:lineRule="exact"/>
        <w:ind w:firstLine="480" w:firstLineChars="200"/>
        <w:rPr>
          <w:color w:val="auto"/>
          <w:sz w:val="24"/>
          <w:szCs w:val="24"/>
          <w:highlight w:val="none"/>
        </w:rPr>
      </w:pPr>
      <w:r>
        <w:rPr>
          <w:rFonts w:ascii="宋体" w:hAnsi="宋体"/>
          <w:color w:val="auto"/>
          <w:sz w:val="24"/>
          <w:szCs w:val="24"/>
          <w:highlight w:val="none"/>
        </w:rPr>
        <w:t>1.采购人以提供的优惠条件要求</w:t>
      </w:r>
      <w:r>
        <w:rPr>
          <w:rFonts w:hint="eastAsia" w:ascii="宋体" w:hAnsi="宋体"/>
          <w:color w:val="auto"/>
          <w:sz w:val="24"/>
          <w:szCs w:val="24"/>
          <w:highlight w:val="none"/>
        </w:rPr>
        <w:t>成交商做好自助教工餐。自助教工餐菜品必须有鸡、鸭、鱼、兔、猪、牛羊肉、根茎、瓜果、豆制品、绿叶蔬菜等荤素菜合理搭配的新鲜食材。菜品基本配置：每餐</w:t>
      </w:r>
      <w:r>
        <w:rPr>
          <w:rFonts w:ascii="宋体" w:hAnsi="宋体"/>
          <w:color w:val="auto"/>
          <w:sz w:val="24"/>
          <w:szCs w:val="24"/>
          <w:highlight w:val="none"/>
        </w:rPr>
        <w:t xml:space="preserve"> 6荤6素、荤或素汤1道（变换使用）、生牛乳酸奶1盒（每人）或水果1个（每人）、米饭、粥、馒头，</w:t>
      </w:r>
      <w:r>
        <w:rPr>
          <w:rFonts w:hint="eastAsia"/>
          <w:color w:val="auto"/>
          <w:sz w:val="24"/>
          <w:szCs w:val="24"/>
          <w:highlight w:val="none"/>
        </w:rPr>
        <w:t>做到饭菜丰富、品种轮换（原则上每周菜品重复率不超过</w:t>
      </w:r>
      <w:r>
        <w:rPr>
          <w:color w:val="auto"/>
          <w:sz w:val="24"/>
          <w:szCs w:val="24"/>
          <w:highlight w:val="none"/>
        </w:rPr>
        <w:t>20%</w:t>
      </w:r>
      <w:r>
        <w:rPr>
          <w:rFonts w:hint="eastAsia"/>
          <w:color w:val="auto"/>
          <w:sz w:val="24"/>
          <w:szCs w:val="24"/>
          <w:highlight w:val="none"/>
        </w:rPr>
        <w:t>且每天要有</w:t>
      </w:r>
      <w:r>
        <w:rPr>
          <w:color w:val="auto"/>
          <w:sz w:val="24"/>
          <w:szCs w:val="24"/>
          <w:highlight w:val="none"/>
        </w:rPr>
        <w:t>1</w:t>
      </w:r>
      <w:r>
        <w:rPr>
          <w:rFonts w:hint="eastAsia"/>
          <w:color w:val="auto"/>
          <w:sz w:val="24"/>
          <w:szCs w:val="24"/>
          <w:highlight w:val="none"/>
        </w:rPr>
        <w:t>道主题菜品）、南北风味搭配；做好饭菜保温。</w:t>
      </w:r>
      <w:r>
        <w:rPr>
          <w:rFonts w:hint="eastAsia" w:ascii="宋体" w:hAnsi="宋体"/>
          <w:color w:val="auto"/>
          <w:sz w:val="24"/>
          <w:szCs w:val="24"/>
          <w:highlight w:val="none"/>
        </w:rPr>
        <w:t>价格为</w:t>
      </w:r>
      <w:r>
        <w:rPr>
          <w:rFonts w:ascii="宋体" w:hAnsi="宋体"/>
          <w:color w:val="auto"/>
          <w:sz w:val="24"/>
          <w:szCs w:val="24"/>
          <w:highlight w:val="none"/>
        </w:rPr>
        <w:t>15元（采购人在编在岗教职工当天第一次只刷卡计次学校补贴15元</w:t>
      </w:r>
      <w:r>
        <w:rPr>
          <w:rFonts w:hint="eastAsia" w:ascii="宋体" w:hAnsi="宋体"/>
          <w:color w:val="auto"/>
          <w:sz w:val="24"/>
          <w:szCs w:val="24"/>
          <w:highlight w:val="none"/>
        </w:rPr>
        <w:t>给成交商，第二次刷卡为</w:t>
      </w:r>
      <w:r>
        <w:rPr>
          <w:rFonts w:ascii="宋体" w:hAnsi="宋体"/>
          <w:color w:val="auto"/>
          <w:sz w:val="24"/>
          <w:szCs w:val="24"/>
          <w:highlight w:val="none"/>
        </w:rPr>
        <w:t>15元，采购人不再补贴；采购人外聘合同工及退休教职工当天第一次刷卡5元，采购人补贴10元</w:t>
      </w:r>
      <w:r>
        <w:rPr>
          <w:rFonts w:hint="eastAsia" w:ascii="宋体" w:hAnsi="宋体"/>
          <w:color w:val="auto"/>
          <w:sz w:val="24"/>
          <w:szCs w:val="24"/>
          <w:highlight w:val="none"/>
        </w:rPr>
        <w:t>给成交商，第二次刷卡为</w:t>
      </w:r>
      <w:r>
        <w:rPr>
          <w:rFonts w:ascii="宋体" w:hAnsi="宋体"/>
          <w:color w:val="auto"/>
          <w:sz w:val="24"/>
          <w:szCs w:val="24"/>
          <w:highlight w:val="none"/>
        </w:rPr>
        <w:t>15元，采购人不再补贴）。</w:t>
      </w:r>
      <w:r>
        <w:rPr>
          <w:rFonts w:hint="eastAsia"/>
          <w:color w:val="auto"/>
          <w:sz w:val="24"/>
          <w:szCs w:val="24"/>
          <w:highlight w:val="none"/>
        </w:rPr>
        <w:t>成交商每周提前制订教工餐菜单，并提交采购审核，并于每周五前公布下周菜单。</w:t>
      </w:r>
    </w:p>
    <w:p w14:paraId="64FC8136">
      <w:pPr>
        <w:spacing w:line="400" w:lineRule="exact"/>
        <w:ind w:firstLine="480" w:firstLineChars="200"/>
        <w:jc w:val="left"/>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成交商采购</w:t>
      </w:r>
      <w:r>
        <w:rPr>
          <w:rFonts w:hint="eastAsia"/>
          <w:color w:val="auto"/>
          <w:sz w:val="24"/>
          <w:szCs w:val="24"/>
          <w:highlight w:val="none"/>
        </w:rPr>
        <w:t>原料须符合《食品安全法》及其实施条例规定，从正规固定进货渠道采购。主材选择必须为非转基因品牌植物油，品牌优质东北米、优质鲜肉（一级以上），鱼类菜品须用活鱼制作。所选主材需提供相关证明材料交采购人备案。</w:t>
      </w:r>
    </w:p>
    <w:p w14:paraId="5E1712BC">
      <w:pPr>
        <w:spacing w:line="400" w:lineRule="exact"/>
        <w:ind w:firstLine="480" w:firstLineChars="200"/>
        <w:jc w:val="left"/>
        <w:rPr>
          <w:color w:val="auto"/>
          <w:sz w:val="24"/>
          <w:szCs w:val="24"/>
          <w:highlight w:val="none"/>
        </w:rPr>
      </w:pPr>
      <w:r>
        <w:rPr>
          <w:color w:val="auto"/>
          <w:sz w:val="24"/>
          <w:szCs w:val="24"/>
          <w:highlight w:val="none"/>
        </w:rPr>
        <w:t>3.</w:t>
      </w:r>
      <w:r>
        <w:rPr>
          <w:rFonts w:hint="eastAsia"/>
          <w:color w:val="auto"/>
          <w:sz w:val="24"/>
          <w:szCs w:val="24"/>
          <w:highlight w:val="none"/>
        </w:rPr>
        <w:t>采购人将在成交供应商运行期间适时合理调整教工餐供应方式和考核方式，成交供应商须无条件配合。</w:t>
      </w:r>
    </w:p>
    <w:p w14:paraId="7E5ED4AC">
      <w:pPr>
        <w:spacing w:line="400" w:lineRule="exact"/>
        <w:ind w:firstLine="480" w:firstLineChars="200"/>
        <w:jc w:val="left"/>
        <w:rPr>
          <w:color w:val="auto"/>
          <w:sz w:val="24"/>
          <w:szCs w:val="24"/>
          <w:highlight w:val="none"/>
        </w:rPr>
      </w:pPr>
      <w:r>
        <w:rPr>
          <w:color w:val="auto"/>
          <w:sz w:val="24"/>
          <w:szCs w:val="24"/>
          <w:highlight w:val="none"/>
        </w:rPr>
        <w:t>4.</w:t>
      </w:r>
      <w:r>
        <w:rPr>
          <w:rFonts w:hint="eastAsia"/>
          <w:color w:val="auto"/>
          <w:sz w:val="24"/>
          <w:szCs w:val="24"/>
          <w:highlight w:val="none"/>
        </w:rPr>
        <w:t>采购人在勘察阶段提供一年的教工餐菜单供投标人查看，此菜单作为合同期内的教工餐，未经采购人书面同意，不得随意变更。如未查看视为认同此菜单。</w:t>
      </w:r>
    </w:p>
    <w:p w14:paraId="56E5A63F">
      <w:pPr>
        <w:pStyle w:val="3"/>
        <w:spacing w:line="400" w:lineRule="exact"/>
        <w:rPr>
          <w:b w:val="0"/>
          <w:color w:val="auto"/>
          <w:highlight w:val="none"/>
        </w:rPr>
      </w:pPr>
      <w:bookmarkStart w:id="70" w:name="_Toc22617"/>
      <w:r>
        <w:rPr>
          <w:b w:val="0"/>
          <w:color w:val="auto"/>
          <w:highlight w:val="none"/>
        </w:rPr>
        <w:t>*</w:t>
      </w:r>
      <w:r>
        <w:rPr>
          <w:rFonts w:hint="eastAsia"/>
          <w:b w:val="0"/>
          <w:color w:val="auto"/>
          <w:highlight w:val="none"/>
        </w:rPr>
        <w:t>五、数智食堂建设要求</w:t>
      </w:r>
      <w:bookmarkEnd w:id="70"/>
    </w:p>
    <w:p w14:paraId="1A1DD83A">
      <w:pPr>
        <w:rPr>
          <w:color w:val="auto"/>
          <w:szCs w:val="28"/>
          <w:highlight w:val="none"/>
        </w:rPr>
      </w:pPr>
      <w:r>
        <w:rPr>
          <w:rFonts w:hint="eastAsia"/>
          <w:color w:val="auto"/>
          <w:highlight w:val="none"/>
        </w:rPr>
        <w:t>（一）“数智食堂”总体建设要求</w:t>
      </w:r>
    </w:p>
    <w:tbl>
      <w:tblPr>
        <w:tblStyle w:val="59"/>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1008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9391" w:type="dxa"/>
            <w:vAlign w:val="center"/>
          </w:tcPr>
          <w:p w14:paraId="5D17E069">
            <w:pPr>
              <w:keepNext/>
              <w:keepLines/>
              <w:adjustRightInd w:val="0"/>
              <w:snapToGrid w:val="0"/>
              <w:spacing w:line="360" w:lineRule="auto"/>
              <w:jc w:val="center"/>
              <w:rPr>
                <w:color w:val="auto"/>
                <w:highlight w:val="none"/>
              </w:rPr>
            </w:pPr>
            <w:r>
              <w:rPr>
                <w:rFonts w:hint="eastAsia" w:ascii="宋体" w:hAnsi="宋体" w:cs="宋体"/>
                <w:color w:val="auto"/>
                <w:szCs w:val="28"/>
                <w:highlight w:val="none"/>
              </w:rPr>
              <w:t>总体建设要求</w:t>
            </w:r>
          </w:p>
        </w:tc>
      </w:tr>
      <w:tr w14:paraId="3360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9391" w:type="dxa"/>
            <w:vAlign w:val="center"/>
          </w:tcPr>
          <w:p w14:paraId="2C4F0BA8">
            <w:pPr>
              <w:widowControl/>
              <w:spacing w:line="360" w:lineRule="auto"/>
              <w:ind w:firstLine="480" w:firstLineChars="20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项目实施后，须实现以下四个方面的管理及功能：</w:t>
            </w:r>
          </w:p>
          <w:p w14:paraId="125027B8">
            <w:pPr>
              <w:widowControl/>
              <w:spacing w:line="360" w:lineRule="auto"/>
              <w:ind w:firstLine="480" w:firstLineChars="20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一是视频监控管理，实时了解后厨动态，实现全流程记录，大厅屏幕实时播放，引导公众直接参与食安监督，提升保障食堂工作人员的自律意识，监管系统实现全覆盖，需接入学校视频监控系统；</w:t>
            </w:r>
          </w:p>
          <w:p w14:paraId="766871B3">
            <w:pPr>
              <w:widowControl/>
              <w:spacing w:line="360" w:lineRule="auto"/>
              <w:ind w:firstLine="480" w:firstLineChars="20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二是通过智能物联硬件设备</w:t>
            </w:r>
            <w:r>
              <w:rPr>
                <w:rFonts w:ascii="宋体" w:hAnsi="宋体" w:cs="宋体"/>
                <w:color w:val="auto"/>
                <w:sz w:val="24"/>
                <w:szCs w:val="24"/>
                <w:highlight w:val="none"/>
              </w:rPr>
              <w:t>+</w:t>
            </w:r>
            <w:r>
              <w:rPr>
                <w:rFonts w:hint="eastAsia" w:ascii="宋体" w:hAnsi="宋体" w:cs="宋体"/>
                <w:color w:val="auto"/>
                <w:sz w:val="24"/>
                <w:szCs w:val="24"/>
                <w:highlight w:val="none"/>
              </w:rPr>
              <w:t>食安管控平台，对食堂进行全面的监管，及时发现违规异常情况，发出预警，从多方面保障校园食品安全，智能物联硬件设备包含智能晨检门禁、智能留样秤、智能留样冰箱、动火离人摄像头、</w:t>
            </w:r>
            <w:r>
              <w:rPr>
                <w:rFonts w:ascii="宋体" w:hAnsi="宋体" w:cs="宋体"/>
                <w:color w:val="auto"/>
                <w:sz w:val="24"/>
                <w:szCs w:val="24"/>
                <w:highlight w:val="none"/>
              </w:rPr>
              <w:t>AI行为分析摄像头、AI鼠患识别、</w:t>
            </w:r>
            <w:r>
              <w:rPr>
                <w:rFonts w:hint="eastAsia" w:ascii="宋体" w:hAnsi="宋体" w:cs="宋体"/>
                <w:color w:val="auto"/>
                <w:sz w:val="24"/>
                <w:szCs w:val="24"/>
                <w:highlight w:val="none"/>
              </w:rPr>
              <w:t>食安服务终端、仓库物联监管系统、紫外消毒管理系统、餐具消毒系统、冷库监管、水电能耗监管、客流量智能人员统计摄像头、农残检测、重金属检测和智能溯源秤、陌生人识别摄像机等；</w:t>
            </w:r>
          </w:p>
          <w:p w14:paraId="0C3E140C">
            <w:pPr>
              <w:widowControl/>
              <w:spacing w:line="360" w:lineRule="auto"/>
              <w:ind w:firstLine="480" w:firstLineChars="20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三是食堂数据化管理，提高管理层的工作效率，包含食堂数据驾驶舱和后勤监管平台数据屏等；</w:t>
            </w:r>
          </w:p>
          <w:p w14:paraId="12F8892B">
            <w:pPr>
              <w:widowControl/>
              <w:spacing w:line="360" w:lineRule="auto"/>
              <w:ind w:firstLine="480" w:firstLineChars="200"/>
              <w:jc w:val="left"/>
              <w:textAlignment w:val="center"/>
              <w:rPr>
                <w:color w:val="auto"/>
                <w:highlight w:val="none"/>
              </w:rPr>
            </w:pPr>
            <w:r>
              <w:rPr>
                <w:rFonts w:hint="eastAsia" w:ascii="宋体" w:hAnsi="宋体" w:cs="宋体"/>
                <w:color w:val="auto"/>
                <w:sz w:val="24"/>
                <w:szCs w:val="24"/>
                <w:highlight w:val="none"/>
              </w:rPr>
              <w:t>四是后勤监管数智化升级，实现师生满意度管理、菜品菜价审核、菜品溯源监管、数字化巡检和合同考核、处罚管理等。</w:t>
            </w:r>
          </w:p>
        </w:tc>
      </w:tr>
    </w:tbl>
    <w:p w14:paraId="3A3F33A3">
      <w:pPr>
        <w:spacing w:line="440" w:lineRule="exact"/>
        <w:ind w:firstLine="480" w:firstLineChars="200"/>
        <w:jc w:val="left"/>
        <w:rPr>
          <w:rFonts w:ascii="宋体" w:hAnsi="宋体" w:cs="仿宋"/>
          <w:color w:val="auto"/>
          <w:sz w:val="24"/>
          <w:szCs w:val="24"/>
          <w:highlight w:val="none"/>
        </w:rPr>
      </w:pPr>
    </w:p>
    <w:p w14:paraId="082304F0">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“数智食堂”食堂数智化设备建设要求</w:t>
      </w:r>
    </w:p>
    <w:tbl>
      <w:tblPr>
        <w:tblStyle w:val="59"/>
        <w:tblW w:w="9666"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00"/>
        <w:gridCol w:w="6114"/>
        <w:gridCol w:w="810"/>
        <w:gridCol w:w="795"/>
      </w:tblGrid>
      <w:tr w14:paraId="0E47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966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49C28C3">
            <w:pPr>
              <w:widowControl/>
              <w:jc w:val="center"/>
              <w:rPr>
                <w:rFonts w:ascii="宋体" w:hAnsi="宋体" w:cs="宋体"/>
                <w:color w:val="auto"/>
                <w:kern w:val="0"/>
                <w:sz w:val="24"/>
                <w:szCs w:val="24"/>
                <w:highlight w:val="none"/>
              </w:rPr>
            </w:pPr>
            <w:r>
              <w:rPr>
                <w:rFonts w:hint="eastAsia" w:cs="宋体"/>
                <w:bCs/>
                <w:color w:val="auto"/>
                <w:szCs w:val="28"/>
                <w:highlight w:val="none"/>
              </w:rPr>
              <w:t>“数智食堂”食堂数智化设备建设要求（包</w:t>
            </w:r>
            <w:r>
              <w:rPr>
                <w:rFonts w:cs="宋体"/>
                <w:bCs/>
                <w:color w:val="auto"/>
                <w:szCs w:val="28"/>
                <w:highlight w:val="none"/>
              </w:rPr>
              <w:t>4</w:t>
            </w:r>
            <w:r>
              <w:rPr>
                <w:rFonts w:hint="eastAsia" w:cs="宋体"/>
                <w:bCs/>
                <w:color w:val="auto"/>
                <w:szCs w:val="28"/>
                <w:highlight w:val="none"/>
              </w:rPr>
              <w:t>和包</w:t>
            </w:r>
            <w:r>
              <w:rPr>
                <w:rFonts w:cs="宋体"/>
                <w:bCs/>
                <w:color w:val="auto"/>
                <w:szCs w:val="28"/>
                <w:highlight w:val="none"/>
              </w:rPr>
              <w:t>5</w:t>
            </w:r>
            <w:r>
              <w:rPr>
                <w:rFonts w:hint="eastAsia" w:cs="宋体"/>
                <w:bCs/>
                <w:color w:val="auto"/>
                <w:szCs w:val="28"/>
                <w:highlight w:val="none"/>
              </w:rPr>
              <w:t>）</w:t>
            </w:r>
          </w:p>
        </w:tc>
      </w:tr>
      <w:tr w14:paraId="7726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D86F58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8E62E1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设备名称</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21A4AF2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产品技术参数</w:t>
            </w:r>
          </w:p>
          <w:p w14:paraId="64742CB4">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(参数配置及设施设备配置均为最低要求，如有不完备，按采购人要求实施）</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548AC51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7ED176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r>
      <w:tr w14:paraId="0837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729757">
            <w:pPr>
              <w:widowControl/>
              <w:jc w:val="center"/>
              <w:textAlignment w:val="center"/>
              <w:rPr>
                <w:rFonts w:ascii="宋体" w:hAnsi="宋体" w:cs="宋体"/>
                <w:color w:val="auto"/>
                <w:kern w:val="0"/>
                <w:sz w:val="24"/>
                <w:szCs w:val="24"/>
                <w:highlight w:val="none"/>
              </w:rPr>
            </w:pPr>
            <w:r>
              <w:rPr>
                <w:rFonts w:ascii="宋体" w:hAnsi="宋体" w:cs="宋体"/>
                <w:color w:val="auto"/>
                <w:kern w:val="0"/>
                <w:sz w:val="24"/>
                <w:szCs w:val="24"/>
                <w:highlight w:val="none"/>
                <w:lang w:bidi="ar"/>
              </w:rPr>
              <w:t>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5261CFC">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智能人脸晨检门禁</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56C786">
            <w:pPr>
              <w:widowControl/>
              <w:numPr>
                <w:ilvl w:val="0"/>
                <w:numId w:val="13"/>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功能描述：</w:t>
            </w:r>
          </w:p>
          <w:p w14:paraId="73DB9C3E">
            <w:pPr>
              <w:widowControl/>
              <w:numPr>
                <w:ilvl w:val="0"/>
                <w:numId w:val="14"/>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实现每日自动晨检，并对晨检数据实时记录、自动存档，确保有效落实从业人员每日健康管理要求；</w:t>
            </w:r>
          </w:p>
          <w:p w14:paraId="7E9198B2">
            <w:pPr>
              <w:widowControl/>
              <w:numPr>
                <w:ilvl w:val="0"/>
                <w:numId w:val="14"/>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通过人体无感测温、人脸健康证比对、手部检测识别、智能语音提醒，实现每日员工测温晨检；自动生成晨检、出勤记录；同时进行员工健康证状态提醒，节省人工管理成本，降低食堂人员证照风险，同时解决员工出入管控问题；</w:t>
            </w:r>
          </w:p>
          <w:p w14:paraId="612594B6">
            <w:pPr>
              <w:widowControl/>
              <w:numPr>
                <w:ilvl w:val="0"/>
                <w:numId w:val="14"/>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自动生成晨检台账在手机</w:t>
            </w:r>
            <w:r>
              <w:rPr>
                <w:rFonts w:ascii="宋体" w:hAnsi="宋体" w:cs="宋体"/>
                <w:color w:val="auto"/>
                <w:kern w:val="0"/>
                <w:sz w:val="24"/>
                <w:szCs w:val="24"/>
                <w:highlight w:val="none"/>
                <w:lang w:bidi="ar"/>
              </w:rPr>
              <w:t>APP端、电脑后台端可导出记录生成表格打印纸质晨检</w:t>
            </w:r>
            <w:r>
              <w:rPr>
                <w:rFonts w:hint="eastAsia" w:ascii="宋体" w:hAnsi="宋体" w:cs="宋体"/>
                <w:color w:val="auto"/>
                <w:kern w:val="0"/>
                <w:sz w:val="24"/>
                <w:szCs w:val="24"/>
                <w:highlight w:val="none"/>
                <w:lang w:bidi="ar"/>
              </w:rPr>
              <w:t>台账并最少保存</w:t>
            </w:r>
            <w:r>
              <w:rPr>
                <w:rFonts w:ascii="宋体" w:hAnsi="宋体" w:cs="宋体"/>
                <w:color w:val="auto"/>
                <w:kern w:val="0"/>
                <w:sz w:val="24"/>
                <w:szCs w:val="24"/>
                <w:highlight w:val="none"/>
                <w:lang w:bidi="ar"/>
              </w:rPr>
              <w:t>2年数据；</w:t>
            </w:r>
          </w:p>
          <w:p w14:paraId="405E280F">
            <w:pPr>
              <w:widowControl/>
              <w:numPr>
                <w:ilvl w:val="0"/>
                <w:numId w:val="13"/>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设备参数：</w:t>
            </w:r>
          </w:p>
          <w:p w14:paraId="5E5268D7">
            <w:pPr>
              <w:widowControl/>
              <w:numPr>
                <w:ilvl w:val="0"/>
                <w:numId w:val="15"/>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显示参数：</w:t>
            </w:r>
          </w:p>
          <w:p w14:paraId="3BE480AC">
            <w:pPr>
              <w:widowControl/>
              <w:numPr>
                <w:ilvl w:val="0"/>
                <w:numId w:val="1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操作系统：</w:t>
            </w:r>
            <w:r>
              <w:rPr>
                <w:rFonts w:ascii="宋体" w:hAnsi="宋体" w:cs="宋体"/>
                <w:color w:val="auto"/>
                <w:kern w:val="0"/>
                <w:sz w:val="24"/>
                <w:szCs w:val="24"/>
                <w:highlight w:val="none"/>
                <w:lang w:bidi="ar"/>
              </w:rPr>
              <w:t>Linux操作系统；</w:t>
            </w:r>
          </w:p>
          <w:p w14:paraId="78E930C4">
            <w:pPr>
              <w:widowControl/>
              <w:numPr>
                <w:ilvl w:val="0"/>
                <w:numId w:val="1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处理器：不低于双核</w:t>
            </w:r>
            <w:r>
              <w:rPr>
                <w:rFonts w:ascii="宋体" w:hAnsi="宋体" w:cs="宋体"/>
                <w:color w:val="auto"/>
                <w:kern w:val="0"/>
                <w:sz w:val="24"/>
                <w:szCs w:val="24"/>
                <w:highlight w:val="none"/>
                <w:lang w:bidi="ar"/>
              </w:rPr>
              <w:t>ARMCortex-A7andRISC-VMCU的性能；</w:t>
            </w:r>
          </w:p>
          <w:p w14:paraId="2588E1AA">
            <w:pPr>
              <w:widowControl/>
              <w:numPr>
                <w:ilvl w:val="0"/>
                <w:numId w:val="1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摄像头双目：</w:t>
            </w:r>
            <w:r>
              <w:rPr>
                <w:rFonts w:ascii="宋体" w:hAnsi="宋体" w:cs="宋体"/>
                <w:color w:val="auto"/>
                <w:kern w:val="0"/>
                <w:sz w:val="24"/>
                <w:szCs w:val="24"/>
                <w:highlight w:val="none"/>
                <w:lang w:bidi="ar"/>
              </w:rPr>
              <w:t>210万有效像素，1920*1080；</w:t>
            </w:r>
          </w:p>
          <w:p w14:paraId="14203E75">
            <w:pPr>
              <w:widowControl/>
              <w:numPr>
                <w:ilvl w:val="0"/>
                <w:numId w:val="1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成像器件：</w:t>
            </w:r>
            <w:r>
              <w:rPr>
                <w:rFonts w:ascii="宋体" w:hAnsi="宋体" w:cs="宋体"/>
                <w:color w:val="auto"/>
                <w:kern w:val="0"/>
                <w:sz w:val="24"/>
                <w:szCs w:val="24"/>
                <w:highlight w:val="none"/>
                <w:lang w:bidi="ar"/>
              </w:rPr>
              <w:t>1/2.8"；</w:t>
            </w:r>
          </w:p>
          <w:p w14:paraId="05AB40E0">
            <w:pPr>
              <w:widowControl/>
              <w:numPr>
                <w:ilvl w:val="0"/>
                <w:numId w:val="1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镜头：</w:t>
            </w:r>
            <w:r>
              <w:rPr>
                <w:rFonts w:ascii="宋体" w:hAnsi="宋体" w:cs="宋体"/>
                <w:color w:val="auto"/>
                <w:kern w:val="0"/>
                <w:sz w:val="24"/>
                <w:szCs w:val="24"/>
                <w:highlight w:val="none"/>
                <w:lang w:bidi="ar"/>
              </w:rPr>
              <w:t>4.5mm焦距；</w:t>
            </w:r>
          </w:p>
          <w:p w14:paraId="683E464A">
            <w:pPr>
              <w:widowControl/>
              <w:numPr>
                <w:ilvl w:val="0"/>
                <w:numId w:val="1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扬声器：语音播放内容可定制；</w:t>
            </w:r>
          </w:p>
          <w:p w14:paraId="1E0C39AC">
            <w:pPr>
              <w:widowControl/>
              <w:numPr>
                <w:ilvl w:val="0"/>
                <w:numId w:val="1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存储：</w:t>
            </w:r>
            <w:r>
              <w:rPr>
                <w:rFonts w:ascii="宋体" w:hAnsi="宋体" w:cs="宋体"/>
                <w:color w:val="auto"/>
                <w:kern w:val="0"/>
                <w:sz w:val="24"/>
                <w:szCs w:val="24"/>
                <w:highlight w:val="none"/>
                <w:lang w:bidi="ar"/>
              </w:rPr>
              <w:t>1GB内存+8GBeMMC。</w:t>
            </w:r>
          </w:p>
          <w:p w14:paraId="6440EE6A">
            <w:pPr>
              <w:widowControl/>
              <w:numPr>
                <w:ilvl w:val="0"/>
                <w:numId w:val="15"/>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性能参数：</w:t>
            </w:r>
          </w:p>
          <w:p w14:paraId="2E4E264F">
            <w:pPr>
              <w:widowControl/>
              <w:numPr>
                <w:ilvl w:val="0"/>
                <w:numId w:val="1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识别高度：</w:t>
            </w:r>
            <w:r>
              <w:rPr>
                <w:rFonts w:ascii="宋体" w:hAnsi="宋体" w:cs="宋体"/>
                <w:color w:val="auto"/>
                <w:kern w:val="0"/>
                <w:sz w:val="24"/>
                <w:szCs w:val="24"/>
                <w:highlight w:val="none"/>
                <w:lang w:bidi="ar"/>
              </w:rPr>
              <w:t>1.2~2.3米；</w:t>
            </w:r>
          </w:p>
          <w:p w14:paraId="37546C68">
            <w:pPr>
              <w:widowControl/>
              <w:numPr>
                <w:ilvl w:val="0"/>
                <w:numId w:val="1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角度可调：识别距离</w:t>
            </w:r>
            <w:r>
              <w:rPr>
                <w:rFonts w:ascii="宋体" w:hAnsi="宋体" w:cs="宋体"/>
                <w:color w:val="auto"/>
                <w:kern w:val="0"/>
                <w:sz w:val="24"/>
                <w:szCs w:val="24"/>
                <w:highlight w:val="none"/>
                <w:lang w:bidi="ar"/>
              </w:rPr>
              <w:t>0.5~1.5米，视镜头可变；</w:t>
            </w:r>
          </w:p>
          <w:p w14:paraId="692EB753">
            <w:pPr>
              <w:widowControl/>
              <w:numPr>
                <w:ilvl w:val="0"/>
                <w:numId w:val="1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人脸角度：左右</w:t>
            </w:r>
            <w:r>
              <w:rPr>
                <w:rFonts w:ascii="宋体" w:hAnsi="宋体" w:cs="宋体"/>
                <w:color w:val="auto"/>
                <w:kern w:val="0"/>
                <w:sz w:val="24"/>
                <w:szCs w:val="24"/>
                <w:highlight w:val="none"/>
                <w:lang w:bidi="ar"/>
              </w:rPr>
              <w:t>30度，上下30度；</w:t>
            </w:r>
          </w:p>
          <w:p w14:paraId="5D7989B2">
            <w:pPr>
              <w:widowControl/>
              <w:numPr>
                <w:ilvl w:val="0"/>
                <w:numId w:val="1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识别时间：小于</w:t>
            </w:r>
            <w:r>
              <w:rPr>
                <w:rFonts w:ascii="宋体" w:hAnsi="宋体" w:cs="宋体"/>
                <w:color w:val="auto"/>
                <w:kern w:val="0"/>
                <w:sz w:val="24"/>
                <w:szCs w:val="24"/>
                <w:highlight w:val="none"/>
                <w:lang w:bidi="ar"/>
              </w:rPr>
              <w:t>0.3秒；</w:t>
            </w:r>
          </w:p>
          <w:p w14:paraId="3F61AA56">
            <w:pPr>
              <w:widowControl/>
              <w:numPr>
                <w:ilvl w:val="0"/>
                <w:numId w:val="1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识别记录容量：</w:t>
            </w:r>
            <w:r>
              <w:rPr>
                <w:rFonts w:ascii="宋体" w:hAnsi="宋体" w:cs="宋体"/>
                <w:color w:val="auto"/>
                <w:kern w:val="0"/>
                <w:sz w:val="24"/>
                <w:szCs w:val="24"/>
                <w:highlight w:val="none"/>
                <w:lang w:bidi="ar"/>
              </w:rPr>
              <w:t>69000；</w:t>
            </w:r>
          </w:p>
          <w:p w14:paraId="3A566BB2">
            <w:pPr>
              <w:widowControl/>
              <w:numPr>
                <w:ilvl w:val="0"/>
                <w:numId w:val="1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人脸容量：</w:t>
            </w:r>
            <w:r>
              <w:rPr>
                <w:rFonts w:ascii="宋体" w:hAnsi="宋体" w:cs="宋体"/>
                <w:color w:val="auto"/>
                <w:kern w:val="0"/>
                <w:sz w:val="24"/>
                <w:szCs w:val="24"/>
                <w:highlight w:val="none"/>
                <w:lang w:bidi="ar"/>
              </w:rPr>
              <w:t>24000张；</w:t>
            </w:r>
          </w:p>
          <w:p w14:paraId="3A70D37D">
            <w:pPr>
              <w:widowControl/>
              <w:numPr>
                <w:ilvl w:val="0"/>
                <w:numId w:val="15"/>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其他参数：</w:t>
            </w:r>
          </w:p>
          <w:p w14:paraId="09BD0ECF">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工作温度：</w:t>
            </w:r>
            <w:r>
              <w:rPr>
                <w:rFonts w:ascii="宋体" w:hAnsi="宋体" w:cs="宋体"/>
                <w:color w:val="auto"/>
                <w:kern w:val="0"/>
                <w:sz w:val="24"/>
                <w:szCs w:val="24"/>
                <w:highlight w:val="none"/>
                <w:lang w:bidi="ar"/>
              </w:rPr>
              <w:t>-20℃-60℃（测温环境温度：+16℃-+40℃）；</w:t>
            </w:r>
          </w:p>
          <w:p w14:paraId="12C342CC">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工作湿度：</w:t>
            </w:r>
            <w:r>
              <w:rPr>
                <w:rFonts w:ascii="宋体" w:hAnsi="宋体" w:cs="宋体"/>
                <w:color w:val="auto"/>
                <w:kern w:val="0"/>
                <w:sz w:val="24"/>
                <w:szCs w:val="24"/>
                <w:highlight w:val="none"/>
                <w:lang w:bidi="ar"/>
              </w:rPr>
              <w:t>0%～90%相对湿度，无冷凝；</w:t>
            </w:r>
          </w:p>
          <w:p w14:paraId="22BDE3FC">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设备功率：</w:t>
            </w:r>
            <w:r>
              <w:rPr>
                <w:rFonts w:ascii="宋体" w:hAnsi="宋体" w:cs="宋体"/>
                <w:color w:val="auto"/>
                <w:kern w:val="0"/>
                <w:sz w:val="24"/>
                <w:szCs w:val="24"/>
                <w:highlight w:val="none"/>
                <w:lang w:bidi="ar"/>
              </w:rPr>
              <w:t>20W(MAX)；</w:t>
            </w:r>
          </w:p>
          <w:p w14:paraId="4D5F2EC6">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盐雾等级：</w:t>
            </w:r>
            <w:r>
              <w:rPr>
                <w:rFonts w:ascii="宋体" w:hAnsi="宋体" w:cs="宋体"/>
                <w:color w:val="auto"/>
                <w:kern w:val="0"/>
                <w:sz w:val="24"/>
                <w:szCs w:val="24"/>
                <w:highlight w:val="none"/>
                <w:lang w:bidi="ar"/>
              </w:rPr>
              <w:t>Rp6级以上；</w:t>
            </w:r>
          </w:p>
          <w:p w14:paraId="5BA9576E">
            <w:pPr>
              <w:widowControl/>
              <w:numPr>
                <w:ilvl w:val="0"/>
                <w:numId w:val="18"/>
              </w:numPr>
              <w:ind w:firstLine="0"/>
              <w:jc w:val="left"/>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ESD：接触±6KV，空气±8KV；</w:t>
            </w:r>
          </w:p>
          <w:p w14:paraId="0E1591DE">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供电：</w:t>
            </w:r>
            <w:r>
              <w:rPr>
                <w:rFonts w:ascii="宋体" w:hAnsi="宋体" w:cs="宋体"/>
                <w:color w:val="auto"/>
                <w:kern w:val="0"/>
                <w:sz w:val="24"/>
                <w:szCs w:val="24"/>
                <w:highlight w:val="none"/>
                <w:lang w:bidi="ar"/>
              </w:rPr>
              <w:t>DC12V/2A；</w:t>
            </w:r>
          </w:p>
          <w:p w14:paraId="5EE6F1DE">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防护等级：</w:t>
            </w:r>
            <w:r>
              <w:rPr>
                <w:rFonts w:ascii="宋体" w:hAnsi="宋体" w:cs="宋体"/>
                <w:color w:val="auto"/>
                <w:kern w:val="0"/>
                <w:sz w:val="24"/>
                <w:szCs w:val="24"/>
                <w:highlight w:val="none"/>
                <w:lang w:bidi="ar"/>
              </w:rPr>
              <w:t>IP42；</w:t>
            </w:r>
          </w:p>
          <w:p w14:paraId="796B3FAA">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屏幕规格：</w:t>
            </w:r>
            <w:r>
              <w:rPr>
                <w:rFonts w:ascii="宋体" w:hAnsi="宋体" w:cs="宋体"/>
                <w:color w:val="auto"/>
                <w:kern w:val="0"/>
                <w:sz w:val="24"/>
                <w:szCs w:val="24"/>
                <w:highlight w:val="none"/>
                <w:lang w:bidi="ar"/>
              </w:rPr>
              <w:t>8寸高清IPS屏，分辨率1280*800；</w:t>
            </w:r>
          </w:p>
          <w:p w14:paraId="3BD9D20C">
            <w:pPr>
              <w:widowControl/>
              <w:numPr>
                <w:ilvl w:val="0"/>
                <w:numId w:val="1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设备尺寸：不低于</w:t>
            </w:r>
            <w:r>
              <w:rPr>
                <w:rFonts w:ascii="宋体" w:hAnsi="宋体" w:cs="宋体"/>
                <w:color w:val="auto"/>
                <w:kern w:val="0"/>
                <w:sz w:val="24"/>
                <w:szCs w:val="24"/>
                <w:highlight w:val="none"/>
                <w:lang w:bidi="ar"/>
              </w:rPr>
              <w:t>261.97（长）*133（宽）*87.34（厚）mm；</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95C91">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2C725F">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61F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FF15A7">
            <w:pPr>
              <w:widowControl/>
              <w:jc w:val="center"/>
              <w:textAlignment w:val="center"/>
              <w:rPr>
                <w:rFonts w:ascii="宋体" w:hAnsi="宋体" w:cs="宋体"/>
                <w:color w:val="auto"/>
                <w:kern w:val="0"/>
                <w:sz w:val="24"/>
                <w:szCs w:val="24"/>
                <w:highlight w:val="none"/>
              </w:rPr>
            </w:pPr>
            <w:r>
              <w:rPr>
                <w:rFonts w:ascii="宋体" w:hAnsi="宋体" w:cs="宋体"/>
                <w:color w:val="auto"/>
                <w:kern w:val="0"/>
                <w:sz w:val="24"/>
                <w:szCs w:val="24"/>
                <w:highlight w:val="none"/>
                <w:lang w:bidi="ar"/>
              </w:rPr>
              <w:t>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E886E35">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离人监管预警</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FC1A26">
            <w:pPr>
              <w:widowControl/>
              <w:numPr>
                <w:ilvl w:val="0"/>
                <w:numId w:val="19"/>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功能描述：</w:t>
            </w:r>
          </w:p>
          <w:p w14:paraId="26D4F9B7">
            <w:pPr>
              <w:widowControl/>
              <w:numPr>
                <w:ilvl w:val="0"/>
                <w:numId w:val="20"/>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识别灶台中心温度和区域人员侦测，如灶台温度超过</w:t>
            </w:r>
            <w:r>
              <w:rPr>
                <w:rFonts w:ascii="宋体" w:hAnsi="宋体" w:cs="宋体"/>
                <w:color w:val="auto"/>
                <w:kern w:val="0"/>
                <w:sz w:val="24"/>
                <w:szCs w:val="24"/>
                <w:highlight w:val="none"/>
                <w:lang w:bidi="ar"/>
              </w:rPr>
              <w:t>150度人员离开30秒即刻现场报警，同时摄像头拍照记录现场情况并上传数据；</w:t>
            </w:r>
          </w:p>
          <w:p w14:paraId="0CE1F813">
            <w:pPr>
              <w:widowControl/>
              <w:numPr>
                <w:ilvl w:val="0"/>
                <w:numId w:val="20"/>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温度和人员离开时间可自定义设置；</w:t>
            </w:r>
          </w:p>
          <w:p w14:paraId="5824AD29">
            <w:pPr>
              <w:widowControl/>
              <w:numPr>
                <w:ilvl w:val="0"/>
                <w:numId w:val="20"/>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摄像头支持定制语音报警；</w:t>
            </w:r>
          </w:p>
          <w:p w14:paraId="17251595">
            <w:pPr>
              <w:widowControl/>
              <w:numPr>
                <w:ilvl w:val="0"/>
                <w:numId w:val="20"/>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摄像头支持联动声光报警装置；</w:t>
            </w:r>
          </w:p>
          <w:p w14:paraId="5D9CA246">
            <w:pPr>
              <w:widowControl/>
              <w:numPr>
                <w:ilvl w:val="0"/>
                <w:numId w:val="19"/>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设备参数：</w:t>
            </w:r>
          </w:p>
          <w:p w14:paraId="21812C6C">
            <w:pPr>
              <w:widowControl/>
              <w:numPr>
                <w:ilvl w:val="0"/>
                <w:numId w:val="21"/>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基本参数：</w:t>
            </w:r>
          </w:p>
          <w:p w14:paraId="368F7B05">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主板：算力不低于</w:t>
            </w:r>
            <w:r>
              <w:rPr>
                <w:rFonts w:ascii="宋体" w:hAnsi="宋体" w:cs="宋体"/>
                <w:color w:val="auto"/>
                <w:kern w:val="0"/>
                <w:sz w:val="24"/>
                <w:szCs w:val="24"/>
                <w:highlight w:val="none"/>
                <w:lang w:bidi="ar"/>
              </w:rPr>
              <w:t>1.0Tops，内存不低于512MB，闪存不低于8GBEMMC；</w:t>
            </w:r>
          </w:p>
          <w:p w14:paraId="0F5D5FD2">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探测器类型：氧化钒非制冷红外焦平面探测器；</w:t>
            </w:r>
          </w:p>
          <w:p w14:paraId="1B8E00C4">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成像器件：</w:t>
            </w:r>
            <w:r>
              <w:rPr>
                <w:rFonts w:ascii="宋体" w:hAnsi="宋体" w:cs="宋体"/>
                <w:color w:val="auto"/>
                <w:kern w:val="0"/>
                <w:sz w:val="24"/>
                <w:szCs w:val="24"/>
                <w:highlight w:val="none"/>
                <w:lang w:bidi="ar"/>
              </w:rPr>
              <w:t>400</w:t>
            </w:r>
            <w:r>
              <w:rPr>
                <w:rFonts w:hint="eastAsia" w:ascii="宋体" w:hAnsi="宋体" w:cs="宋体"/>
                <w:color w:val="auto"/>
                <w:kern w:val="0"/>
                <w:sz w:val="24"/>
                <w:szCs w:val="24"/>
                <w:highlight w:val="none"/>
                <w:lang w:bidi="ar"/>
              </w:rPr>
              <w:t>万像素</w:t>
            </w:r>
            <w:r>
              <w:rPr>
                <w:rFonts w:ascii="宋体" w:hAnsi="宋体" w:cs="宋体"/>
                <w:color w:val="auto"/>
                <w:kern w:val="0"/>
                <w:sz w:val="24"/>
                <w:szCs w:val="24"/>
                <w:highlight w:val="none"/>
                <w:lang w:bidi="ar"/>
              </w:rPr>
              <w:t>1/3CMOS，F1.6光圈，超低照度，星光级；</w:t>
            </w:r>
          </w:p>
          <w:p w14:paraId="4A00DBEF">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有效像素：</w:t>
            </w:r>
            <w:r>
              <w:rPr>
                <w:rFonts w:ascii="宋体" w:hAnsi="宋体" w:cs="宋体"/>
                <w:color w:val="auto"/>
                <w:kern w:val="0"/>
                <w:sz w:val="24"/>
                <w:szCs w:val="24"/>
                <w:highlight w:val="none"/>
                <w:lang w:bidi="ar"/>
              </w:rPr>
              <w:t>4MP有效像素（2560*1440）；</w:t>
            </w:r>
          </w:p>
          <w:p w14:paraId="1CCD4D29">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镜头类型：定焦；</w:t>
            </w:r>
          </w:p>
          <w:p w14:paraId="0E19658A">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焦距：</w:t>
            </w:r>
            <w:r>
              <w:rPr>
                <w:rFonts w:ascii="宋体" w:hAnsi="宋体" w:cs="宋体"/>
                <w:color w:val="auto"/>
                <w:kern w:val="0"/>
                <w:sz w:val="24"/>
                <w:szCs w:val="24"/>
                <w:highlight w:val="none"/>
                <w:lang w:bidi="ar"/>
              </w:rPr>
              <w:t>6mm；</w:t>
            </w:r>
          </w:p>
          <w:p w14:paraId="1D596C25">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补光：</w:t>
            </w:r>
            <w:r>
              <w:rPr>
                <w:rFonts w:ascii="宋体" w:hAnsi="宋体" w:cs="宋体"/>
                <w:color w:val="auto"/>
                <w:kern w:val="0"/>
                <w:sz w:val="24"/>
                <w:szCs w:val="24"/>
                <w:highlight w:val="none"/>
                <w:lang w:bidi="ar"/>
              </w:rPr>
              <w:t>IR*4，白光LED*4；</w:t>
            </w:r>
          </w:p>
          <w:p w14:paraId="7201E095">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光谱范围：</w:t>
            </w:r>
            <w:r>
              <w:rPr>
                <w:rFonts w:ascii="宋体" w:hAnsi="宋体" w:cs="宋体"/>
                <w:color w:val="auto"/>
                <w:kern w:val="0"/>
                <w:sz w:val="24"/>
                <w:szCs w:val="24"/>
                <w:highlight w:val="none"/>
                <w:lang w:bidi="ar"/>
              </w:rPr>
              <w:t>8-14μm；</w:t>
            </w:r>
          </w:p>
          <w:p w14:paraId="4C6D149E">
            <w:pPr>
              <w:widowControl/>
              <w:numPr>
                <w:ilvl w:val="0"/>
                <w:numId w:val="2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原始分辨率：</w:t>
            </w:r>
            <w:r>
              <w:rPr>
                <w:rFonts w:ascii="宋体" w:hAnsi="宋体" w:cs="宋体"/>
                <w:color w:val="auto"/>
                <w:kern w:val="0"/>
                <w:sz w:val="24"/>
                <w:szCs w:val="24"/>
                <w:highlight w:val="none"/>
                <w:lang w:bidi="ar"/>
              </w:rPr>
              <w:t>256×192；</w:t>
            </w:r>
          </w:p>
          <w:p w14:paraId="5742682C">
            <w:pPr>
              <w:widowControl/>
              <w:numPr>
                <w:ilvl w:val="0"/>
                <w:numId w:val="21"/>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功能参数：</w:t>
            </w:r>
          </w:p>
          <w:p w14:paraId="6868529F">
            <w:pPr>
              <w:widowControl/>
              <w:numPr>
                <w:ilvl w:val="0"/>
                <w:numId w:val="23"/>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实时高温检测：实时全屏测温，最高温、最低温、平均温；</w:t>
            </w:r>
          </w:p>
          <w:p w14:paraId="46506111">
            <w:pPr>
              <w:widowControl/>
              <w:numPr>
                <w:ilvl w:val="0"/>
                <w:numId w:val="23"/>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自定义测温绘制：支持自定义</w:t>
            </w:r>
            <w:r>
              <w:rPr>
                <w:rFonts w:ascii="宋体" w:hAnsi="宋体" w:cs="宋体"/>
                <w:color w:val="auto"/>
                <w:kern w:val="0"/>
                <w:sz w:val="24"/>
                <w:szCs w:val="24"/>
                <w:highlight w:val="none"/>
                <w:lang w:bidi="ar"/>
              </w:rPr>
              <w:t>20个点、线、面和区域测温，区间测温对比；</w:t>
            </w:r>
          </w:p>
          <w:p w14:paraId="0B9DFDBB">
            <w:pPr>
              <w:widowControl/>
              <w:numPr>
                <w:ilvl w:val="0"/>
                <w:numId w:val="23"/>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高温报警：高温异常语音报警、白光灯报警；</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F4CE4E">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274006">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4951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126FBB">
            <w:pPr>
              <w:widowControl/>
              <w:jc w:val="center"/>
              <w:textAlignment w:val="center"/>
              <w:rPr>
                <w:rFonts w:ascii="宋体" w:hAnsi="宋体" w:cs="宋体"/>
                <w:color w:val="auto"/>
                <w:kern w:val="0"/>
                <w:sz w:val="24"/>
                <w:szCs w:val="24"/>
                <w:highlight w:val="none"/>
              </w:rPr>
            </w:pPr>
            <w:r>
              <w:rPr>
                <w:rFonts w:ascii="宋体" w:hAnsi="宋体" w:cs="宋体"/>
                <w:color w:val="auto"/>
                <w:kern w:val="0"/>
                <w:sz w:val="24"/>
                <w:szCs w:val="24"/>
                <w:highlight w:val="none"/>
                <w:lang w:bidi="ar"/>
              </w:rPr>
              <w:t>3</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CEFEF34">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智能</w:t>
            </w:r>
            <w:r>
              <w:rPr>
                <w:rFonts w:ascii="宋体" w:hAnsi="宋体" w:cs="宋体"/>
                <w:color w:val="auto"/>
                <w:kern w:val="0"/>
                <w:sz w:val="24"/>
                <w:szCs w:val="24"/>
                <w:highlight w:val="none"/>
                <w:lang w:bidi="ar"/>
              </w:rPr>
              <w:t>AI留样秤</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388452">
            <w:pPr>
              <w:widowControl/>
              <w:numPr>
                <w:ilvl w:val="0"/>
                <w:numId w:val="24"/>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功能描述：</w:t>
            </w:r>
          </w:p>
          <w:p w14:paraId="250E7352">
            <w:pPr>
              <w:widowControl/>
              <w:numPr>
                <w:ilvl w:val="0"/>
                <w:numId w:val="25"/>
              </w:numPr>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实现智能</w:t>
            </w:r>
            <w:r>
              <w:rPr>
                <w:rFonts w:ascii="宋体" w:hAnsi="宋体" w:cs="宋体"/>
                <w:color w:val="auto"/>
                <w:kern w:val="0"/>
                <w:sz w:val="24"/>
                <w:szCs w:val="24"/>
                <w:highlight w:val="none"/>
                <w:lang w:bidi="ar"/>
              </w:rPr>
              <w:t>AI菜品名称自动识别功能，同时拍照系统留存保证留样真实性并称重显示克重，如克重不满足条件不允许打印标签留样；</w:t>
            </w:r>
          </w:p>
          <w:p w14:paraId="106850A0">
            <w:pPr>
              <w:widowControl/>
              <w:numPr>
                <w:ilvl w:val="0"/>
                <w:numId w:val="25"/>
              </w:numPr>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实现留样标签自动生成打印展示留样菜品名称、克重、档口名称、留样员、留样时间；</w:t>
            </w:r>
          </w:p>
          <w:p w14:paraId="29BB46DB">
            <w:pPr>
              <w:widowControl/>
              <w:numPr>
                <w:ilvl w:val="0"/>
                <w:numId w:val="25"/>
              </w:numPr>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自动生成留样台账在手机</w:t>
            </w:r>
            <w:r>
              <w:rPr>
                <w:rFonts w:ascii="宋体" w:hAnsi="宋体" w:cs="宋体"/>
                <w:color w:val="auto"/>
                <w:kern w:val="0"/>
                <w:sz w:val="24"/>
                <w:szCs w:val="24"/>
                <w:highlight w:val="none"/>
                <w:lang w:bidi="ar"/>
              </w:rPr>
              <w:t>APP端、电脑后台端可导出记录生成表格打印纸质留样</w:t>
            </w:r>
            <w:r>
              <w:rPr>
                <w:rFonts w:hint="eastAsia" w:ascii="宋体" w:hAnsi="宋体" w:cs="宋体"/>
                <w:color w:val="auto"/>
                <w:kern w:val="0"/>
                <w:sz w:val="24"/>
                <w:szCs w:val="24"/>
                <w:highlight w:val="none"/>
                <w:lang w:bidi="ar"/>
              </w:rPr>
              <w:t>台账并最少保存</w:t>
            </w:r>
            <w:r>
              <w:rPr>
                <w:rFonts w:ascii="宋体" w:hAnsi="宋体" w:cs="宋体"/>
                <w:color w:val="auto"/>
                <w:kern w:val="0"/>
                <w:sz w:val="24"/>
                <w:szCs w:val="24"/>
                <w:highlight w:val="none"/>
                <w:lang w:bidi="ar"/>
              </w:rPr>
              <w:t>2年数据；</w:t>
            </w:r>
          </w:p>
          <w:p w14:paraId="1BAD4D13">
            <w:pPr>
              <w:widowControl/>
              <w:numPr>
                <w:ilvl w:val="0"/>
                <w:numId w:val="24"/>
              </w:numPr>
              <w:ind w:left="0" w:firstLine="0"/>
              <w:jc w:val="left"/>
              <w:textAlignment w:val="center"/>
              <w:rPr>
                <w:rFonts w:eastAsia="仿宋_GB2312"/>
                <w:color w:val="auto"/>
                <w:highlight w:val="none"/>
              </w:rPr>
            </w:pPr>
            <w:r>
              <w:rPr>
                <w:rFonts w:hint="eastAsia" w:ascii="宋体" w:hAnsi="宋体" w:cs="宋体"/>
                <w:color w:val="auto"/>
                <w:kern w:val="0"/>
                <w:sz w:val="24"/>
                <w:szCs w:val="24"/>
                <w:highlight w:val="none"/>
                <w:lang w:bidi="ar"/>
              </w:rPr>
              <w:t>设备参数：</w:t>
            </w:r>
          </w:p>
          <w:p w14:paraId="4A0EFADF">
            <w:pPr>
              <w:widowControl/>
              <w:numPr>
                <w:ilvl w:val="0"/>
                <w:numId w:val="26"/>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基本参数：</w:t>
            </w:r>
          </w:p>
          <w:p w14:paraId="1773B26C">
            <w:pPr>
              <w:widowControl/>
              <w:numPr>
                <w:ilvl w:val="0"/>
                <w:numId w:val="2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w:t>
            </w:r>
            <w:r>
              <w:rPr>
                <w:rFonts w:ascii="宋体" w:hAnsi="宋体" w:cs="宋体"/>
                <w:color w:val="auto"/>
                <w:kern w:val="0"/>
                <w:sz w:val="24"/>
                <w:szCs w:val="24"/>
                <w:highlight w:val="none"/>
                <w:lang w:bidi="ar"/>
              </w:rPr>
              <w:t>800万或以上摄像头带补光灯；</w:t>
            </w:r>
          </w:p>
          <w:p w14:paraId="3E12E7BA">
            <w:pPr>
              <w:widowControl/>
              <w:numPr>
                <w:ilvl w:val="0"/>
                <w:numId w:val="2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摄像头像素：</w:t>
            </w:r>
            <w:r>
              <w:rPr>
                <w:rFonts w:ascii="宋体" w:hAnsi="宋体" w:cs="宋体"/>
                <w:color w:val="auto"/>
                <w:kern w:val="0"/>
                <w:sz w:val="24"/>
                <w:szCs w:val="24"/>
                <w:highlight w:val="none"/>
                <w:lang w:bidi="ar"/>
              </w:rPr>
              <w:t>800万USB摄像头，分辨率3246*2448；</w:t>
            </w:r>
          </w:p>
          <w:p w14:paraId="27DA0E61">
            <w:pPr>
              <w:widowControl/>
              <w:numPr>
                <w:ilvl w:val="0"/>
                <w:numId w:val="27"/>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主屏</w:t>
            </w:r>
            <w:r>
              <w:rPr>
                <w:rFonts w:ascii="宋体" w:hAnsi="宋体" w:cs="宋体"/>
                <w:color w:val="auto"/>
                <w:kern w:val="0"/>
                <w:sz w:val="24"/>
                <w:szCs w:val="24"/>
                <w:highlight w:val="none"/>
                <w:lang w:bidi="ar"/>
              </w:rPr>
              <w:t>15.6寸1920*1080分辨率，液晶带电容触控屏；</w:t>
            </w:r>
          </w:p>
          <w:p w14:paraId="78BBD2C3">
            <w:pPr>
              <w:widowControl/>
              <w:numPr>
                <w:ilvl w:val="0"/>
                <w:numId w:val="26"/>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性能参数：</w:t>
            </w:r>
          </w:p>
          <w:p w14:paraId="4A2317D4">
            <w:pPr>
              <w:widowControl/>
              <w:numPr>
                <w:ilvl w:val="0"/>
                <w:numId w:val="2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主机内核：不低于四核</w:t>
            </w:r>
            <w:r>
              <w:rPr>
                <w:rFonts w:ascii="宋体" w:hAnsi="宋体" w:cs="宋体"/>
                <w:color w:val="auto"/>
                <w:kern w:val="0"/>
                <w:sz w:val="24"/>
                <w:szCs w:val="24"/>
                <w:highlight w:val="none"/>
                <w:lang w:bidi="ar"/>
              </w:rPr>
              <w:t>64位A55处理器2.0GHz、2GB内存+32GBEMMCWIFI的性能；</w:t>
            </w:r>
          </w:p>
          <w:p w14:paraId="4C4FF483">
            <w:pPr>
              <w:widowControl/>
              <w:numPr>
                <w:ilvl w:val="0"/>
                <w:numId w:val="2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操作系统：</w:t>
            </w:r>
            <w:r>
              <w:rPr>
                <w:rFonts w:ascii="宋体" w:hAnsi="宋体" w:cs="宋体"/>
                <w:color w:val="auto"/>
                <w:kern w:val="0"/>
                <w:sz w:val="24"/>
                <w:szCs w:val="24"/>
                <w:highlight w:val="none"/>
                <w:lang w:bidi="ar"/>
              </w:rPr>
              <w:t>Android；</w:t>
            </w:r>
          </w:p>
          <w:p w14:paraId="074052B8">
            <w:pPr>
              <w:widowControl/>
              <w:numPr>
                <w:ilvl w:val="0"/>
                <w:numId w:val="26"/>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功能参数：</w:t>
            </w:r>
          </w:p>
          <w:p w14:paraId="16486626">
            <w:pPr>
              <w:widowControl/>
              <w:numPr>
                <w:ilvl w:val="0"/>
                <w:numId w:val="29"/>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最大量程：</w:t>
            </w:r>
            <w:r>
              <w:rPr>
                <w:rFonts w:ascii="宋体" w:hAnsi="宋体" w:cs="宋体"/>
                <w:color w:val="auto"/>
                <w:kern w:val="0"/>
                <w:sz w:val="24"/>
                <w:szCs w:val="24"/>
                <w:highlight w:val="none"/>
                <w:lang w:bidi="ar"/>
              </w:rPr>
              <w:t>Max=15kg；</w:t>
            </w:r>
          </w:p>
          <w:p w14:paraId="09ACAE21">
            <w:pPr>
              <w:widowControl/>
              <w:numPr>
                <w:ilvl w:val="0"/>
                <w:numId w:val="29"/>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分度数：</w:t>
            </w:r>
            <w:r>
              <w:rPr>
                <w:rFonts w:ascii="宋体" w:hAnsi="宋体" w:cs="宋体"/>
                <w:color w:val="auto"/>
                <w:kern w:val="0"/>
                <w:sz w:val="24"/>
                <w:szCs w:val="24"/>
                <w:highlight w:val="none"/>
                <w:lang w:bidi="ar"/>
              </w:rPr>
              <w:t>3000；</w:t>
            </w:r>
          </w:p>
          <w:p w14:paraId="0C223625">
            <w:pPr>
              <w:widowControl/>
              <w:numPr>
                <w:ilvl w:val="0"/>
                <w:numId w:val="29"/>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分度值：</w:t>
            </w:r>
            <w:r>
              <w:rPr>
                <w:rFonts w:ascii="宋体" w:hAnsi="宋体" w:cs="宋体"/>
                <w:color w:val="auto"/>
                <w:kern w:val="0"/>
                <w:sz w:val="24"/>
                <w:szCs w:val="24"/>
                <w:highlight w:val="none"/>
                <w:lang w:bidi="ar"/>
              </w:rPr>
              <w:t>5g；</w:t>
            </w:r>
          </w:p>
          <w:p w14:paraId="1B3BA368">
            <w:pPr>
              <w:widowControl/>
              <w:numPr>
                <w:ilvl w:val="0"/>
                <w:numId w:val="29"/>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最小称量：</w:t>
            </w:r>
            <w:r>
              <w:rPr>
                <w:rFonts w:ascii="宋体" w:hAnsi="宋体" w:cs="宋体"/>
                <w:color w:val="auto"/>
                <w:kern w:val="0"/>
                <w:sz w:val="24"/>
                <w:szCs w:val="24"/>
                <w:highlight w:val="none"/>
                <w:lang w:bidi="ar"/>
              </w:rPr>
              <w:t>100g；</w:t>
            </w:r>
          </w:p>
          <w:p w14:paraId="001AAF90">
            <w:pPr>
              <w:widowControl/>
              <w:numPr>
                <w:ilvl w:val="0"/>
                <w:numId w:val="26"/>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其他参数</w:t>
            </w:r>
            <w:r>
              <w:rPr>
                <w:rFonts w:ascii="宋体" w:hAnsi="宋体" w:cs="宋体"/>
                <w:color w:val="auto"/>
                <w:kern w:val="0"/>
                <w:sz w:val="24"/>
                <w:szCs w:val="24"/>
                <w:highlight w:val="none"/>
                <w:lang w:bidi="ar"/>
              </w:rPr>
              <w:t>:</w:t>
            </w:r>
          </w:p>
          <w:p w14:paraId="6AD53EBF">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计重秤显：</w:t>
            </w:r>
            <w:r>
              <w:rPr>
                <w:rFonts w:ascii="宋体" w:hAnsi="宋体" w:cs="宋体"/>
                <w:color w:val="auto"/>
                <w:kern w:val="0"/>
                <w:sz w:val="24"/>
                <w:szCs w:val="24"/>
                <w:highlight w:val="none"/>
                <w:lang w:bidi="ar"/>
              </w:rPr>
              <w:t>62mm*8mm可视LED5位重量显示RS232串口通讯；</w:t>
            </w:r>
          </w:p>
          <w:p w14:paraId="3B68B81C">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四按键：秤体开关、设置、置零、去皮；</w:t>
            </w:r>
          </w:p>
          <w:p w14:paraId="74DF76F1">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内置打印机：内置</w:t>
            </w:r>
            <w:r>
              <w:rPr>
                <w:rFonts w:ascii="宋体" w:hAnsi="宋体" w:cs="宋体"/>
                <w:color w:val="auto"/>
                <w:kern w:val="0"/>
                <w:sz w:val="24"/>
                <w:szCs w:val="24"/>
                <w:highlight w:val="none"/>
                <w:lang w:bidi="ar"/>
              </w:rPr>
              <w:t>58mm以下宽度标签打印；</w:t>
            </w:r>
          </w:p>
          <w:p w14:paraId="297532DB">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打印留样票据支持自定义格式，可更改留样票据上的各个类目；</w:t>
            </w:r>
          </w:p>
          <w:p w14:paraId="67A389C1">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可在一个画面下</w:t>
            </w:r>
            <w:r>
              <w:rPr>
                <w:rFonts w:ascii="宋体" w:hAnsi="宋体" w:cs="宋体"/>
                <w:color w:val="auto"/>
                <w:kern w:val="0"/>
                <w:sz w:val="24"/>
                <w:szCs w:val="24"/>
                <w:highlight w:val="none"/>
                <w:lang w:bidi="ar"/>
              </w:rPr>
              <w:t>0.5秒内同时识别10个菜品目标。</w:t>
            </w:r>
          </w:p>
          <w:p w14:paraId="4A4238BD">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支持同时检测多个样品，还具备去皮功能，能够精确计算每个菜品的净重，实现高效的重量管理和分析。</w:t>
            </w:r>
          </w:p>
          <w:p w14:paraId="34B808A8">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单机留存菜品库标准比对图片</w:t>
            </w:r>
            <w:r>
              <w:rPr>
                <w:rFonts w:ascii="宋体" w:hAnsi="宋体" w:cs="宋体"/>
                <w:color w:val="auto"/>
                <w:kern w:val="0"/>
                <w:sz w:val="24"/>
                <w:szCs w:val="24"/>
                <w:highlight w:val="none"/>
                <w:lang w:bidi="ar"/>
              </w:rPr>
              <w:t>2000张以上。</w:t>
            </w:r>
          </w:p>
          <w:p w14:paraId="0C002516">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打印留样票据支持自定义格式，可更改留样票据上的各个类目。</w:t>
            </w:r>
          </w:p>
          <w:p w14:paraId="4313A804">
            <w:pPr>
              <w:widowControl/>
              <w:numPr>
                <w:ilvl w:val="0"/>
                <w:numId w:val="3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留样台账支持自动生成，且保持</w:t>
            </w:r>
            <w:r>
              <w:rPr>
                <w:rFonts w:ascii="宋体" w:hAnsi="宋体" w:cs="宋体"/>
                <w:color w:val="auto"/>
                <w:kern w:val="0"/>
                <w:sz w:val="24"/>
                <w:szCs w:val="24"/>
                <w:highlight w:val="none"/>
                <w:lang w:bidi="ar"/>
              </w:rPr>
              <w:t>5年以上。</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ED7D6C">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27CF55">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7FC0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BC35BB">
            <w:pPr>
              <w:widowControl/>
              <w:jc w:val="center"/>
              <w:textAlignment w:val="center"/>
              <w:rPr>
                <w:rFonts w:ascii="宋体" w:hAnsi="宋体" w:cs="宋体"/>
                <w:color w:val="auto"/>
                <w:kern w:val="0"/>
                <w:sz w:val="24"/>
                <w:szCs w:val="24"/>
                <w:highlight w:val="none"/>
              </w:rPr>
            </w:pPr>
            <w:r>
              <w:rPr>
                <w:rFonts w:ascii="宋体" w:hAnsi="宋体" w:cs="宋体"/>
                <w:color w:val="auto"/>
                <w:kern w:val="0"/>
                <w:sz w:val="24"/>
                <w:szCs w:val="24"/>
                <w:highlight w:val="none"/>
                <w:lang w:bidi="ar"/>
              </w:rPr>
              <w:t>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99F8DA3">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仓库物联监管套装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73B727">
            <w:pPr>
              <w:widowControl/>
              <w:numPr>
                <w:ilvl w:val="0"/>
                <w:numId w:val="31"/>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功能描述：</w:t>
            </w:r>
          </w:p>
          <w:p w14:paraId="61F4B923">
            <w:pPr>
              <w:widowControl/>
              <w:numPr>
                <w:ilvl w:val="0"/>
                <w:numId w:val="32"/>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挡鼠板未闭合超过预设时间可声光报警；</w:t>
            </w:r>
          </w:p>
          <w:p w14:paraId="7DD01C83">
            <w:pPr>
              <w:widowControl/>
              <w:numPr>
                <w:ilvl w:val="0"/>
                <w:numId w:val="32"/>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食材隔墙离地未规范达标，红外感应装置现场声光报警；</w:t>
            </w:r>
          </w:p>
          <w:p w14:paraId="76233C5B">
            <w:pPr>
              <w:widowControl/>
              <w:numPr>
                <w:ilvl w:val="0"/>
                <w:numId w:val="32"/>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仓库温湿度超标现场声光报警；</w:t>
            </w:r>
          </w:p>
          <w:p w14:paraId="1D0F62AA">
            <w:pPr>
              <w:widowControl/>
              <w:numPr>
                <w:ilvl w:val="0"/>
                <w:numId w:val="32"/>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支持后台查看仓库设备状态数据、物联预警事件数据；</w:t>
            </w:r>
          </w:p>
          <w:p w14:paraId="7FC3AFBC">
            <w:pPr>
              <w:widowControl/>
              <w:numPr>
                <w:ilvl w:val="0"/>
                <w:numId w:val="32"/>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各类设备状态或报警数据可在大屏端显示；</w:t>
            </w:r>
          </w:p>
          <w:p w14:paraId="60D4E37C">
            <w:pPr>
              <w:widowControl/>
              <w:numPr>
                <w:ilvl w:val="0"/>
                <w:numId w:val="31"/>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物联中控屏设备参数：</w:t>
            </w:r>
          </w:p>
          <w:p w14:paraId="7A39E83B">
            <w:pPr>
              <w:pStyle w:val="22"/>
              <w:numPr>
                <w:ilvl w:val="0"/>
                <w:numId w:val="33"/>
              </w:numPr>
              <w:ind w:left="0" w:firstLine="0"/>
              <w:rPr>
                <w:color w:val="auto"/>
                <w:highlight w:val="none"/>
              </w:rPr>
            </w:pPr>
            <w:r>
              <w:rPr>
                <w:rFonts w:hint="eastAsia" w:ascii="宋体" w:hAnsi="宋体" w:eastAsia="宋体" w:cs="宋体"/>
                <w:color w:val="auto"/>
                <w:sz w:val="24"/>
                <w:szCs w:val="24"/>
                <w:highlight w:val="none"/>
              </w:rPr>
              <w:t>主要参数：</w:t>
            </w:r>
          </w:p>
          <w:p w14:paraId="552237CB">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外壳：前置钢化玻璃</w:t>
            </w:r>
            <w:r>
              <w:rPr>
                <w:rFonts w:ascii="宋体" w:hAnsi="宋体" w:cs="宋体"/>
                <w:color w:val="auto"/>
                <w:kern w:val="0"/>
                <w:sz w:val="24"/>
                <w:szCs w:val="24"/>
                <w:highlight w:val="none"/>
                <w:lang w:bidi="ar"/>
              </w:rPr>
              <w:t>+塑胶外壳；</w:t>
            </w:r>
          </w:p>
          <w:p w14:paraId="750CEF15">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保护面板：钢化玻璃；</w:t>
            </w:r>
          </w:p>
          <w:p w14:paraId="6850C1EC">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尺寸：不低于</w:t>
            </w:r>
            <w:r>
              <w:rPr>
                <w:rFonts w:ascii="宋体" w:hAnsi="宋体" w:cs="宋体"/>
                <w:color w:val="auto"/>
                <w:kern w:val="0"/>
                <w:sz w:val="24"/>
                <w:szCs w:val="24"/>
                <w:highlight w:val="none"/>
                <w:lang w:bidi="ar"/>
              </w:rPr>
              <w:t>10.1寸；</w:t>
            </w:r>
          </w:p>
          <w:p w14:paraId="393DC3ED">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屏幕比例：</w:t>
            </w:r>
            <w:r>
              <w:rPr>
                <w:rFonts w:ascii="宋体" w:hAnsi="宋体" w:cs="宋体"/>
                <w:color w:val="auto"/>
                <w:kern w:val="0"/>
                <w:sz w:val="24"/>
                <w:szCs w:val="24"/>
                <w:highlight w:val="none"/>
                <w:lang w:bidi="ar"/>
              </w:rPr>
              <w:t>16:9；</w:t>
            </w:r>
          </w:p>
          <w:p w14:paraId="59AEAD78">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摄像头像素：</w:t>
            </w:r>
            <w:r>
              <w:rPr>
                <w:rFonts w:ascii="宋体" w:hAnsi="宋体" w:cs="宋体"/>
                <w:color w:val="auto"/>
                <w:kern w:val="0"/>
                <w:sz w:val="24"/>
                <w:szCs w:val="24"/>
                <w:highlight w:val="none"/>
                <w:lang w:bidi="ar"/>
              </w:rPr>
              <w:t>100W；</w:t>
            </w:r>
          </w:p>
          <w:p w14:paraId="54D05594">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像素间距：</w:t>
            </w:r>
            <w:r>
              <w:rPr>
                <w:rFonts w:ascii="宋体" w:hAnsi="宋体" w:cs="宋体"/>
                <w:color w:val="auto"/>
                <w:kern w:val="0"/>
                <w:sz w:val="24"/>
                <w:szCs w:val="24"/>
                <w:highlight w:val="none"/>
                <w:lang w:bidi="ar"/>
              </w:rPr>
              <w:t>0.17925×0.17925mm；</w:t>
            </w:r>
          </w:p>
          <w:p w14:paraId="5E094112">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亮度：</w:t>
            </w:r>
            <w:r>
              <w:rPr>
                <w:rFonts w:ascii="宋体" w:hAnsi="宋体" w:cs="宋体"/>
                <w:color w:val="auto"/>
                <w:kern w:val="0"/>
                <w:sz w:val="24"/>
                <w:szCs w:val="24"/>
                <w:highlight w:val="none"/>
                <w:lang w:bidi="ar"/>
              </w:rPr>
              <w:t>350cd/m²可视角度85/85/85/85（左/右/上/下)；</w:t>
            </w:r>
          </w:p>
          <w:p w14:paraId="7EBB48FB">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对比度：</w:t>
            </w:r>
            <w:r>
              <w:rPr>
                <w:rFonts w:ascii="宋体" w:hAnsi="宋体" w:cs="宋体"/>
                <w:color w:val="auto"/>
                <w:kern w:val="0"/>
                <w:sz w:val="24"/>
                <w:szCs w:val="24"/>
                <w:highlight w:val="none"/>
                <w:lang w:bidi="ar"/>
              </w:rPr>
              <w:t>1000:1；</w:t>
            </w:r>
          </w:p>
          <w:p w14:paraId="4EB85FD4">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颜色数：</w:t>
            </w:r>
            <w:r>
              <w:rPr>
                <w:rFonts w:ascii="宋体" w:hAnsi="宋体" w:cs="宋体"/>
                <w:color w:val="auto"/>
                <w:kern w:val="0"/>
                <w:sz w:val="24"/>
                <w:szCs w:val="24"/>
                <w:highlight w:val="none"/>
                <w:lang w:bidi="ar"/>
              </w:rPr>
              <w:t>16.7M；</w:t>
            </w:r>
          </w:p>
          <w:p w14:paraId="5F653C34">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灯管寿命：超过</w:t>
            </w:r>
            <w:r>
              <w:rPr>
                <w:rFonts w:ascii="宋体" w:hAnsi="宋体" w:cs="宋体"/>
                <w:color w:val="auto"/>
                <w:kern w:val="0"/>
                <w:sz w:val="24"/>
                <w:szCs w:val="24"/>
                <w:highlight w:val="none"/>
                <w:lang w:bidi="ar"/>
              </w:rPr>
              <w:t>50000小时；</w:t>
            </w:r>
          </w:p>
          <w:p w14:paraId="74159128">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操作系统：</w:t>
            </w:r>
            <w:r>
              <w:rPr>
                <w:rFonts w:ascii="宋体" w:hAnsi="宋体" w:cs="宋体"/>
                <w:color w:val="auto"/>
                <w:kern w:val="0"/>
                <w:sz w:val="24"/>
                <w:szCs w:val="24"/>
                <w:highlight w:val="none"/>
                <w:lang w:bidi="ar"/>
              </w:rPr>
              <w:t>Android7.1.2；</w:t>
            </w:r>
          </w:p>
          <w:p w14:paraId="753F9113">
            <w:pPr>
              <w:widowControl/>
              <w:numPr>
                <w:ilvl w:val="0"/>
                <w:numId w:val="34"/>
              </w:numPr>
              <w:ind w:firstLine="0"/>
              <w:jc w:val="left"/>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CPU：RK3288，四核；</w:t>
            </w:r>
          </w:p>
          <w:p w14:paraId="5ADA39C2">
            <w:pPr>
              <w:widowControl/>
              <w:numPr>
                <w:ilvl w:val="0"/>
                <w:numId w:val="34"/>
              </w:numPr>
              <w:ind w:firstLine="0"/>
              <w:jc w:val="left"/>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CPU主频：1.8GHz；</w:t>
            </w:r>
          </w:p>
          <w:p w14:paraId="548EA343">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内存：</w:t>
            </w:r>
            <w:r>
              <w:rPr>
                <w:rFonts w:ascii="宋体" w:hAnsi="宋体" w:cs="宋体"/>
                <w:color w:val="auto"/>
                <w:kern w:val="0"/>
                <w:sz w:val="24"/>
                <w:szCs w:val="24"/>
                <w:highlight w:val="none"/>
                <w:lang w:bidi="ar"/>
              </w:rPr>
              <w:t>DDR32G；</w:t>
            </w:r>
          </w:p>
          <w:p w14:paraId="5AE6926E">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内置存储容量：</w:t>
            </w:r>
            <w:r>
              <w:rPr>
                <w:rFonts w:ascii="宋体" w:hAnsi="宋体" w:cs="宋体"/>
                <w:color w:val="auto"/>
                <w:kern w:val="0"/>
                <w:sz w:val="24"/>
                <w:szCs w:val="24"/>
                <w:highlight w:val="none"/>
                <w:lang w:bidi="ar"/>
              </w:rPr>
              <w:t>EMMC8G；</w:t>
            </w:r>
          </w:p>
          <w:p w14:paraId="0825DCAF">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喇叭：</w:t>
            </w:r>
            <w:r>
              <w:rPr>
                <w:rFonts w:ascii="宋体" w:hAnsi="宋体" w:cs="宋体"/>
                <w:color w:val="auto"/>
                <w:kern w:val="0"/>
                <w:sz w:val="24"/>
                <w:szCs w:val="24"/>
                <w:highlight w:val="none"/>
                <w:lang w:bidi="ar"/>
              </w:rPr>
              <w:t>8Ω2W；</w:t>
            </w:r>
          </w:p>
          <w:p w14:paraId="6E5A0477">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网络：支持</w:t>
            </w:r>
            <w:r>
              <w:rPr>
                <w:rFonts w:ascii="宋体" w:hAnsi="宋体" w:cs="宋体"/>
                <w:color w:val="auto"/>
                <w:kern w:val="0"/>
                <w:sz w:val="24"/>
                <w:szCs w:val="24"/>
                <w:highlight w:val="none"/>
                <w:lang w:bidi="ar"/>
              </w:rPr>
              <w:t>WiFi、BT；</w:t>
            </w:r>
          </w:p>
          <w:p w14:paraId="09306ED7">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接口：</w:t>
            </w:r>
            <w:r>
              <w:rPr>
                <w:rFonts w:ascii="宋体" w:hAnsi="宋体" w:cs="宋体"/>
                <w:color w:val="auto"/>
                <w:kern w:val="0"/>
                <w:sz w:val="24"/>
                <w:szCs w:val="24"/>
                <w:highlight w:val="none"/>
                <w:lang w:bidi="ar"/>
              </w:rPr>
              <w:t>I/O:2*USB，可扩展2*USB；</w:t>
            </w:r>
          </w:p>
          <w:p w14:paraId="2C8E79E9">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工作环境温度：</w:t>
            </w:r>
            <w:r>
              <w:rPr>
                <w:rFonts w:ascii="宋体" w:hAnsi="宋体" w:cs="宋体"/>
                <w:color w:val="auto"/>
                <w:kern w:val="0"/>
                <w:sz w:val="24"/>
                <w:szCs w:val="24"/>
                <w:highlight w:val="none"/>
                <w:lang w:bidi="ar"/>
              </w:rPr>
              <w:t>0～50摄氏度；</w:t>
            </w:r>
          </w:p>
          <w:p w14:paraId="192E43D7">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触摸精度：±</w:t>
            </w:r>
            <w:r>
              <w:rPr>
                <w:rFonts w:ascii="宋体" w:hAnsi="宋体" w:cs="宋体"/>
                <w:color w:val="auto"/>
                <w:kern w:val="0"/>
                <w:sz w:val="24"/>
                <w:szCs w:val="24"/>
                <w:highlight w:val="none"/>
                <w:lang w:bidi="ar"/>
              </w:rPr>
              <w:t>2mm；</w:t>
            </w:r>
          </w:p>
          <w:p w14:paraId="5F12DF64">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响应时间：</w:t>
            </w:r>
            <w:r>
              <w:rPr>
                <w:rFonts w:ascii="宋体" w:hAnsi="宋体" w:cs="宋体"/>
                <w:color w:val="auto"/>
                <w:kern w:val="0"/>
                <w:sz w:val="24"/>
                <w:szCs w:val="24"/>
                <w:highlight w:val="none"/>
                <w:lang w:bidi="ar"/>
              </w:rPr>
              <w:t>25ms~30ms；</w:t>
            </w:r>
          </w:p>
          <w:p w14:paraId="30AFE7D0">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可识别物体：手指或者专用触摸笔；</w:t>
            </w:r>
          </w:p>
          <w:p w14:paraId="19BCC7F1">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透明度：≥</w:t>
            </w:r>
            <w:r>
              <w:rPr>
                <w:rFonts w:ascii="宋体" w:hAnsi="宋体" w:cs="宋体"/>
                <w:color w:val="auto"/>
                <w:kern w:val="0"/>
                <w:sz w:val="24"/>
                <w:szCs w:val="24"/>
                <w:highlight w:val="none"/>
                <w:lang w:bidi="ar"/>
              </w:rPr>
              <w:t>85％±2％；</w:t>
            </w:r>
          </w:p>
          <w:p w14:paraId="5140E64F">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温度范围：工作温度：</w:t>
            </w:r>
            <w:r>
              <w:rPr>
                <w:rFonts w:ascii="宋体" w:hAnsi="宋体" w:cs="宋体"/>
                <w:color w:val="auto"/>
                <w:kern w:val="0"/>
                <w:sz w:val="24"/>
                <w:szCs w:val="24"/>
                <w:highlight w:val="none"/>
                <w:lang w:bidi="ar"/>
              </w:rPr>
              <w:t>-10℃~60℃；</w:t>
            </w:r>
          </w:p>
          <w:p w14:paraId="1C7C91C9">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供电方式：外置</w:t>
            </w:r>
            <w:r>
              <w:rPr>
                <w:rFonts w:ascii="宋体" w:hAnsi="宋体" w:cs="宋体"/>
                <w:color w:val="auto"/>
                <w:kern w:val="0"/>
                <w:sz w:val="24"/>
                <w:szCs w:val="24"/>
                <w:highlight w:val="none"/>
                <w:lang w:bidi="ar"/>
              </w:rPr>
              <w:t>12V/2A适配器；</w:t>
            </w:r>
          </w:p>
          <w:p w14:paraId="19F9DFA2">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整机功率：</w:t>
            </w:r>
            <w:r>
              <w:rPr>
                <w:rFonts w:ascii="宋体" w:hAnsi="宋体" w:cs="宋体"/>
                <w:color w:val="auto"/>
                <w:kern w:val="0"/>
                <w:sz w:val="24"/>
                <w:szCs w:val="24"/>
                <w:highlight w:val="none"/>
                <w:lang w:bidi="ar"/>
              </w:rPr>
              <w:t>15W；</w:t>
            </w:r>
          </w:p>
          <w:p w14:paraId="699E1EE0">
            <w:pPr>
              <w:widowControl/>
              <w:numPr>
                <w:ilvl w:val="0"/>
                <w:numId w:val="34"/>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安装方式：壁挂式；</w:t>
            </w:r>
          </w:p>
          <w:p w14:paraId="565B29CB">
            <w:pPr>
              <w:widowControl/>
              <w:numPr>
                <w:ilvl w:val="0"/>
                <w:numId w:val="31"/>
              </w:numPr>
              <w:ind w:left="0" w:firstLine="0"/>
              <w:jc w:val="left"/>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IO通讯模块设备参数：</w:t>
            </w:r>
          </w:p>
          <w:p w14:paraId="1F109CAC">
            <w:pPr>
              <w:pStyle w:val="22"/>
              <w:numPr>
                <w:ilvl w:val="0"/>
                <w:numId w:val="35"/>
              </w:numPr>
              <w:ind w:left="0" w:firstLine="0"/>
              <w:rPr>
                <w:color w:val="auto"/>
                <w:highlight w:val="none"/>
              </w:rPr>
            </w:pPr>
            <w:r>
              <w:rPr>
                <w:rFonts w:hint="eastAsia" w:ascii="宋体" w:hAnsi="宋体" w:eastAsia="宋体" w:cs="宋体"/>
                <w:color w:val="auto"/>
                <w:sz w:val="24"/>
                <w:szCs w:val="24"/>
                <w:highlight w:val="none"/>
              </w:rPr>
              <w:t>主要参数：</w:t>
            </w:r>
          </w:p>
          <w:p w14:paraId="15633741">
            <w:pPr>
              <w:widowControl/>
              <w:numPr>
                <w:ilvl w:val="0"/>
                <w:numId w:val="36"/>
              </w:numPr>
              <w:ind w:firstLine="0"/>
              <w:jc w:val="left"/>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4路继电器控制输出，触点容量250VAC10A/DC30V10A；</w:t>
            </w:r>
          </w:p>
          <w:p w14:paraId="660C95D1">
            <w:pPr>
              <w:widowControl/>
              <w:numPr>
                <w:ilvl w:val="0"/>
                <w:numId w:val="36"/>
              </w:numPr>
              <w:ind w:firstLine="0"/>
              <w:jc w:val="left"/>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4</w:t>
            </w:r>
            <w:r>
              <w:rPr>
                <w:rFonts w:hint="eastAsia" w:ascii="宋体" w:hAnsi="宋体" w:cs="宋体"/>
                <w:color w:val="auto"/>
                <w:kern w:val="0"/>
                <w:sz w:val="24"/>
                <w:szCs w:val="24"/>
                <w:highlight w:val="none"/>
                <w:lang w:bidi="ar"/>
              </w:rPr>
              <w:t>路数字量输入，隔离输入，抗浪涌等级</w:t>
            </w:r>
            <w:r>
              <w:rPr>
                <w:rFonts w:ascii="宋体" w:hAnsi="宋体" w:cs="宋体"/>
                <w:color w:val="auto"/>
                <w:kern w:val="0"/>
                <w:sz w:val="24"/>
                <w:szCs w:val="24"/>
                <w:highlight w:val="none"/>
                <w:lang w:bidi="ar"/>
              </w:rPr>
              <w:t>1500V，有源</w:t>
            </w:r>
            <w:r>
              <w:rPr>
                <w:rFonts w:hint="eastAsia" w:ascii="宋体" w:hAnsi="宋体" w:cs="宋体"/>
                <w:color w:val="auto"/>
                <w:kern w:val="0"/>
                <w:sz w:val="24"/>
                <w:szCs w:val="24"/>
                <w:highlight w:val="none"/>
                <w:lang w:bidi="ar"/>
              </w:rPr>
              <w:t>无源均支持；</w:t>
            </w:r>
          </w:p>
          <w:p w14:paraId="29CB473E">
            <w:pPr>
              <w:widowControl/>
              <w:numPr>
                <w:ilvl w:val="0"/>
                <w:numId w:val="36"/>
              </w:numPr>
              <w:ind w:firstLine="0"/>
              <w:jc w:val="left"/>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1路RS485接口，支持连接485接口Modbus协议仪表或传感器；</w:t>
            </w:r>
          </w:p>
          <w:p w14:paraId="65845B3F">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以太网通讯接口，</w:t>
            </w:r>
            <w:r>
              <w:rPr>
                <w:rFonts w:ascii="宋体" w:hAnsi="宋体" w:cs="宋体"/>
                <w:color w:val="auto"/>
                <w:kern w:val="0"/>
                <w:sz w:val="24"/>
                <w:szCs w:val="24"/>
                <w:highlight w:val="none"/>
                <w:lang w:bidi="ar"/>
              </w:rPr>
              <w:t>10/100M自适应；</w:t>
            </w:r>
          </w:p>
          <w:p w14:paraId="6779D1C0">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w:t>
            </w:r>
            <w:r>
              <w:rPr>
                <w:rFonts w:ascii="宋体" w:hAnsi="宋体" w:cs="宋体"/>
                <w:color w:val="auto"/>
                <w:kern w:val="0"/>
                <w:sz w:val="24"/>
                <w:szCs w:val="24"/>
                <w:highlight w:val="none"/>
                <w:lang w:bidi="ar"/>
              </w:rPr>
              <w:t>MQTT通讯，参数可配置；</w:t>
            </w:r>
          </w:p>
          <w:p w14:paraId="631ABE56">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通信波特率，</w:t>
            </w:r>
            <w:r>
              <w:rPr>
                <w:rFonts w:ascii="宋体" w:hAnsi="宋体" w:cs="宋体"/>
                <w:color w:val="auto"/>
                <w:kern w:val="0"/>
                <w:sz w:val="24"/>
                <w:szCs w:val="24"/>
                <w:highlight w:val="none"/>
                <w:lang w:bidi="ar"/>
              </w:rPr>
              <w:t>bps：1200～115200bps；</w:t>
            </w:r>
          </w:p>
          <w:p w14:paraId="6A85EF8A">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通信协议</w:t>
            </w:r>
            <w:r>
              <w:rPr>
                <w:rFonts w:ascii="宋体" w:hAnsi="宋体" w:cs="宋体"/>
                <w:color w:val="auto"/>
                <w:kern w:val="0"/>
                <w:sz w:val="24"/>
                <w:szCs w:val="24"/>
                <w:highlight w:val="none"/>
                <w:lang w:bidi="ar"/>
              </w:rPr>
              <w:t>ModbusTCP；</w:t>
            </w:r>
          </w:p>
          <w:p w14:paraId="09D95279">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工作电压范围</w:t>
            </w:r>
            <w:r>
              <w:rPr>
                <w:rFonts w:ascii="宋体" w:hAnsi="宋体" w:cs="宋体"/>
                <w:color w:val="auto"/>
                <w:kern w:val="0"/>
                <w:sz w:val="24"/>
                <w:szCs w:val="24"/>
                <w:highlight w:val="none"/>
                <w:lang w:bidi="ar"/>
              </w:rPr>
              <w:t>DC7-40V宽压；静态工作电流≤100ma；支持定点/星期/时段控制，可设置定时规则不少于100条；</w:t>
            </w:r>
          </w:p>
          <w:p w14:paraId="645B6DCC">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支持自定义设置四路继电器输出之间互锁联动；规则不少于</w:t>
            </w:r>
            <w:r>
              <w:rPr>
                <w:rFonts w:ascii="宋体" w:hAnsi="宋体" w:cs="宋体"/>
                <w:color w:val="auto"/>
                <w:kern w:val="0"/>
                <w:sz w:val="24"/>
                <w:szCs w:val="24"/>
                <w:highlight w:val="none"/>
                <w:lang w:bidi="ar"/>
              </w:rPr>
              <w:t>70条；</w:t>
            </w:r>
          </w:p>
          <w:p w14:paraId="616F0E1C">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支持数字量输入联动控制输出，可一路输入联动多路输出，也可多路输入联动一路输出；规则不少于</w:t>
            </w:r>
            <w:r>
              <w:rPr>
                <w:rFonts w:ascii="宋体" w:hAnsi="宋体" w:cs="宋体"/>
                <w:color w:val="auto"/>
                <w:kern w:val="0"/>
                <w:sz w:val="24"/>
                <w:szCs w:val="24"/>
                <w:highlight w:val="none"/>
                <w:lang w:bidi="ar"/>
              </w:rPr>
              <w:t>70条；</w:t>
            </w:r>
          </w:p>
          <w:p w14:paraId="25DD7E6E">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支持自定义传感器上下限，区间阈值联动控制一路或多路输出；规则不少于</w:t>
            </w:r>
            <w:r>
              <w:rPr>
                <w:rFonts w:ascii="宋体" w:hAnsi="宋体" w:cs="宋体"/>
                <w:color w:val="auto"/>
                <w:kern w:val="0"/>
                <w:sz w:val="24"/>
                <w:szCs w:val="24"/>
                <w:highlight w:val="none"/>
                <w:lang w:bidi="ar"/>
              </w:rPr>
              <w:t>70条；</w:t>
            </w:r>
          </w:p>
          <w:p w14:paraId="19CA4A82">
            <w:pPr>
              <w:widowControl/>
              <w:numPr>
                <w:ilvl w:val="0"/>
                <w:numId w:val="3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工作环境温度</w:t>
            </w:r>
            <w:r>
              <w:rPr>
                <w:rFonts w:ascii="宋体" w:hAnsi="宋体" w:cs="宋体"/>
                <w:color w:val="auto"/>
                <w:kern w:val="0"/>
                <w:sz w:val="24"/>
                <w:szCs w:val="24"/>
                <w:highlight w:val="none"/>
                <w:lang w:bidi="ar"/>
              </w:rPr>
              <w:t>-40～80℃，环境湿度为0～95%无凝露；</w:t>
            </w:r>
          </w:p>
          <w:p w14:paraId="4270D19C">
            <w:pPr>
              <w:widowControl/>
              <w:numPr>
                <w:ilvl w:val="0"/>
                <w:numId w:val="31"/>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温湿度探测器（</w:t>
            </w:r>
            <w:r>
              <w:rPr>
                <w:rFonts w:ascii="宋体" w:hAnsi="宋体" w:cs="宋体"/>
                <w:color w:val="auto"/>
                <w:kern w:val="0"/>
                <w:sz w:val="24"/>
                <w:szCs w:val="24"/>
                <w:highlight w:val="none"/>
                <w:lang w:bidi="ar"/>
              </w:rPr>
              <w:t>485版）设备参数：</w:t>
            </w:r>
          </w:p>
          <w:p w14:paraId="1115CD9D">
            <w:pPr>
              <w:pStyle w:val="22"/>
              <w:numPr>
                <w:ilvl w:val="0"/>
                <w:numId w:val="37"/>
              </w:numPr>
              <w:ind w:left="0" w:firstLine="0"/>
              <w:rPr>
                <w:color w:val="auto"/>
                <w:highlight w:val="none"/>
              </w:rPr>
            </w:pPr>
            <w:r>
              <w:rPr>
                <w:rFonts w:hint="eastAsia" w:ascii="宋体" w:hAnsi="宋体" w:eastAsia="宋体" w:cs="宋体"/>
                <w:color w:val="auto"/>
                <w:sz w:val="24"/>
                <w:szCs w:val="24"/>
                <w:highlight w:val="none"/>
              </w:rPr>
              <w:t>主要参数：</w:t>
            </w:r>
          </w:p>
          <w:p w14:paraId="47C723E4">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精度湿度：±</w:t>
            </w:r>
            <w:r>
              <w:rPr>
                <w:rFonts w:ascii="宋体" w:hAnsi="宋体" w:cs="宋体"/>
                <w:color w:val="auto"/>
                <w:kern w:val="0"/>
                <w:sz w:val="24"/>
                <w:szCs w:val="24"/>
                <w:highlight w:val="none"/>
                <w:lang w:bidi="ar"/>
              </w:rPr>
              <w:t>3%RH(60%RH，25℃)；</w:t>
            </w:r>
          </w:p>
          <w:p w14:paraId="3A9DB7D5">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温度：±</w:t>
            </w:r>
            <w:r>
              <w:rPr>
                <w:rFonts w:ascii="宋体" w:hAnsi="宋体" w:cs="宋体"/>
                <w:color w:val="auto"/>
                <w:kern w:val="0"/>
                <w:sz w:val="24"/>
                <w:szCs w:val="24"/>
                <w:highlight w:val="none"/>
                <w:lang w:bidi="ar"/>
              </w:rPr>
              <w:t>0.5℃（25℃）；</w:t>
            </w:r>
          </w:p>
          <w:p w14:paraId="3F74DC39">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探测器电路工作温度：</w:t>
            </w:r>
            <w:r>
              <w:rPr>
                <w:rFonts w:ascii="宋体" w:hAnsi="宋体" w:cs="宋体"/>
                <w:color w:val="auto"/>
                <w:kern w:val="0"/>
                <w:sz w:val="24"/>
                <w:szCs w:val="24"/>
                <w:highlight w:val="none"/>
                <w:lang w:bidi="ar"/>
              </w:rPr>
              <w:t>-40℃~+60℃，0%RH~80%RH；</w:t>
            </w:r>
          </w:p>
          <w:p w14:paraId="5FD8138E">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探头工作温度：</w:t>
            </w:r>
            <w:r>
              <w:rPr>
                <w:rFonts w:ascii="宋体" w:hAnsi="宋体" w:cs="宋体"/>
                <w:color w:val="auto"/>
                <w:kern w:val="0"/>
                <w:sz w:val="24"/>
                <w:szCs w:val="24"/>
                <w:highlight w:val="none"/>
                <w:lang w:bidi="ar"/>
              </w:rPr>
              <w:t>-40℃~+120℃，默认-40℃~+80℃；</w:t>
            </w:r>
          </w:p>
          <w:p w14:paraId="2F4B2C13">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探头工作湿度：</w:t>
            </w:r>
            <w:r>
              <w:rPr>
                <w:rFonts w:ascii="宋体" w:hAnsi="宋体" w:cs="宋体"/>
                <w:color w:val="auto"/>
                <w:kern w:val="0"/>
                <w:sz w:val="24"/>
                <w:szCs w:val="24"/>
                <w:highlight w:val="none"/>
                <w:lang w:bidi="ar"/>
              </w:rPr>
              <w:t>0%RH-100%RH；</w:t>
            </w:r>
          </w:p>
          <w:p w14:paraId="157733C9">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温度显示分辨率：</w:t>
            </w:r>
            <w:r>
              <w:rPr>
                <w:rFonts w:ascii="宋体" w:hAnsi="宋体" w:cs="宋体"/>
                <w:color w:val="auto"/>
                <w:kern w:val="0"/>
                <w:sz w:val="24"/>
                <w:szCs w:val="24"/>
                <w:highlight w:val="none"/>
                <w:lang w:bidi="ar"/>
              </w:rPr>
              <w:t>0.1℃；</w:t>
            </w:r>
          </w:p>
          <w:p w14:paraId="4E3497BE">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湿度显示分辨率：</w:t>
            </w:r>
            <w:r>
              <w:rPr>
                <w:rFonts w:ascii="宋体" w:hAnsi="宋体" w:cs="宋体"/>
                <w:color w:val="auto"/>
                <w:kern w:val="0"/>
                <w:sz w:val="24"/>
                <w:szCs w:val="24"/>
                <w:highlight w:val="none"/>
                <w:lang w:bidi="ar"/>
              </w:rPr>
              <w:t>0.1%RH；</w:t>
            </w:r>
          </w:p>
          <w:p w14:paraId="73E01087">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温湿度刷新时间：</w:t>
            </w:r>
            <w:r>
              <w:rPr>
                <w:rFonts w:ascii="宋体" w:hAnsi="宋体" w:cs="宋体"/>
                <w:color w:val="auto"/>
                <w:kern w:val="0"/>
                <w:sz w:val="24"/>
                <w:szCs w:val="24"/>
                <w:highlight w:val="none"/>
                <w:lang w:bidi="ar"/>
              </w:rPr>
              <w:t>1S；</w:t>
            </w:r>
          </w:p>
          <w:p w14:paraId="5D2D6F3F">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直流供电（默认）：</w:t>
            </w:r>
            <w:r>
              <w:rPr>
                <w:rFonts w:ascii="宋体" w:hAnsi="宋体" w:cs="宋体"/>
                <w:color w:val="auto"/>
                <w:kern w:val="0"/>
                <w:sz w:val="24"/>
                <w:szCs w:val="24"/>
                <w:highlight w:val="none"/>
                <w:lang w:bidi="ar"/>
              </w:rPr>
              <w:t>DC10-30V；</w:t>
            </w:r>
          </w:p>
          <w:p w14:paraId="2FF297A7">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最大功耗：</w:t>
            </w:r>
            <w:r>
              <w:rPr>
                <w:rFonts w:ascii="宋体" w:hAnsi="宋体" w:cs="宋体"/>
                <w:color w:val="auto"/>
                <w:kern w:val="0"/>
                <w:sz w:val="24"/>
                <w:szCs w:val="24"/>
                <w:highlight w:val="none"/>
                <w:lang w:bidi="ar"/>
              </w:rPr>
              <w:t>0.1W；</w:t>
            </w:r>
          </w:p>
          <w:p w14:paraId="1AA13F0B">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输出信号：</w:t>
            </w:r>
            <w:r>
              <w:rPr>
                <w:rFonts w:ascii="宋体" w:hAnsi="宋体" w:cs="宋体"/>
                <w:color w:val="auto"/>
                <w:kern w:val="0"/>
                <w:sz w:val="24"/>
                <w:szCs w:val="24"/>
                <w:highlight w:val="none"/>
                <w:lang w:bidi="ar"/>
              </w:rPr>
              <w:t>485(Modbus协议）；</w:t>
            </w:r>
          </w:p>
          <w:p w14:paraId="1B70606A">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安装方式：壁挂式；</w:t>
            </w:r>
          </w:p>
          <w:p w14:paraId="2BB62D90">
            <w:pPr>
              <w:widowControl/>
              <w:numPr>
                <w:ilvl w:val="0"/>
                <w:numId w:val="38"/>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尺寸：不低于</w:t>
            </w:r>
            <w:r>
              <w:rPr>
                <w:rFonts w:ascii="宋体" w:hAnsi="宋体" w:cs="宋体"/>
                <w:color w:val="auto"/>
                <w:kern w:val="0"/>
                <w:sz w:val="24"/>
                <w:szCs w:val="24"/>
                <w:highlight w:val="none"/>
                <w:lang w:bidi="ar"/>
              </w:rPr>
              <w:t>110×85×44mm；</w:t>
            </w:r>
          </w:p>
          <w:p w14:paraId="285BF2F0">
            <w:pPr>
              <w:widowControl/>
              <w:numPr>
                <w:ilvl w:val="0"/>
                <w:numId w:val="31"/>
              </w:numPr>
              <w:ind w:left="0"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挡鼠板门磁设备参数：</w:t>
            </w:r>
          </w:p>
          <w:p w14:paraId="7EF10444">
            <w:pPr>
              <w:pStyle w:val="22"/>
              <w:numPr>
                <w:ilvl w:val="0"/>
                <w:numId w:val="39"/>
              </w:numPr>
              <w:ind w:left="0" w:firstLine="0"/>
              <w:rPr>
                <w:color w:val="auto"/>
                <w:highlight w:val="none"/>
              </w:rPr>
            </w:pPr>
            <w:r>
              <w:rPr>
                <w:rFonts w:hint="eastAsia" w:ascii="宋体" w:hAnsi="宋体" w:eastAsia="宋体" w:cs="宋体"/>
                <w:color w:val="auto"/>
                <w:sz w:val="24"/>
                <w:szCs w:val="24"/>
                <w:highlight w:val="none"/>
              </w:rPr>
              <w:t>主要参数：</w:t>
            </w:r>
          </w:p>
          <w:p w14:paraId="5002D797">
            <w:pPr>
              <w:widowControl/>
              <w:numPr>
                <w:ilvl w:val="0"/>
                <w:numId w:val="4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感应距离：</w:t>
            </w:r>
            <w:r>
              <w:rPr>
                <w:rFonts w:ascii="宋体" w:hAnsi="宋体" w:cs="宋体"/>
                <w:color w:val="auto"/>
                <w:kern w:val="0"/>
                <w:sz w:val="24"/>
                <w:szCs w:val="24"/>
                <w:highlight w:val="none"/>
                <w:lang w:bidi="ar"/>
              </w:rPr>
              <w:t>25-35MM；</w:t>
            </w:r>
          </w:p>
          <w:p w14:paraId="4CAAAC68">
            <w:pPr>
              <w:widowControl/>
              <w:numPr>
                <w:ilvl w:val="0"/>
                <w:numId w:val="4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孔距离：</w:t>
            </w:r>
            <w:r>
              <w:rPr>
                <w:rFonts w:ascii="宋体" w:hAnsi="宋体" w:cs="宋体"/>
                <w:color w:val="auto"/>
                <w:kern w:val="0"/>
                <w:sz w:val="24"/>
                <w:szCs w:val="24"/>
                <w:highlight w:val="none"/>
                <w:lang w:bidi="ar"/>
              </w:rPr>
              <w:t>33MM；</w:t>
            </w:r>
          </w:p>
          <w:p w14:paraId="3AAE6839">
            <w:pPr>
              <w:widowControl/>
              <w:numPr>
                <w:ilvl w:val="0"/>
                <w:numId w:val="4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开关形式：常闭；</w:t>
            </w:r>
          </w:p>
          <w:p w14:paraId="3F5BB718">
            <w:pPr>
              <w:widowControl/>
              <w:numPr>
                <w:ilvl w:val="0"/>
                <w:numId w:val="4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参数：最大功率</w:t>
            </w:r>
            <w:r>
              <w:rPr>
                <w:rFonts w:ascii="宋体" w:hAnsi="宋体" w:cs="宋体"/>
                <w:color w:val="auto"/>
                <w:kern w:val="0"/>
                <w:sz w:val="24"/>
                <w:szCs w:val="24"/>
                <w:highlight w:val="none"/>
                <w:lang w:bidi="ar"/>
              </w:rPr>
              <w:t>10W，最高电压100V，最大电流0.5A；</w:t>
            </w:r>
          </w:p>
          <w:p w14:paraId="41B26725">
            <w:pPr>
              <w:widowControl/>
              <w:numPr>
                <w:ilvl w:val="0"/>
                <w:numId w:val="40"/>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外壳材质：锌合金，银灰电镀；</w:t>
            </w:r>
          </w:p>
          <w:p w14:paraId="1FCE4E3A">
            <w:pPr>
              <w:widowControl/>
              <w:numPr>
                <w:ilvl w:val="0"/>
                <w:numId w:val="31"/>
              </w:numPr>
              <w:ind w:left="0" w:firstLine="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智能防潮光栅（</w:t>
            </w:r>
            <w:r>
              <w:rPr>
                <w:rFonts w:ascii="宋体" w:hAnsi="宋体" w:cs="宋体"/>
                <w:color w:val="auto"/>
                <w:kern w:val="0"/>
                <w:sz w:val="24"/>
                <w:szCs w:val="24"/>
                <w:highlight w:val="none"/>
              </w:rPr>
              <w:t>1M）设备参数：</w:t>
            </w:r>
          </w:p>
          <w:p w14:paraId="0A4CEF06">
            <w:pPr>
              <w:pStyle w:val="22"/>
              <w:numPr>
                <w:ilvl w:val="0"/>
                <w:numId w:val="41"/>
              </w:numPr>
              <w:ind w:left="0" w:firstLine="0"/>
              <w:rPr>
                <w:color w:val="auto"/>
                <w:highlight w:val="none"/>
              </w:rPr>
            </w:pPr>
            <w:r>
              <w:rPr>
                <w:rFonts w:hint="eastAsia" w:ascii="宋体" w:hAnsi="宋体" w:eastAsia="宋体" w:cs="宋体"/>
                <w:color w:val="auto"/>
                <w:sz w:val="24"/>
                <w:szCs w:val="24"/>
                <w:highlight w:val="none"/>
              </w:rPr>
              <w:t>主要参数：</w:t>
            </w:r>
          </w:p>
          <w:p w14:paraId="5E48F0D7">
            <w:pPr>
              <w:widowControl/>
              <w:numPr>
                <w:ilvl w:val="0"/>
                <w:numId w:val="4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警戒距离：同步工作</w:t>
            </w:r>
            <w:r>
              <w:rPr>
                <w:rFonts w:ascii="宋体" w:hAnsi="宋体" w:cs="宋体"/>
                <w:color w:val="auto"/>
                <w:kern w:val="0"/>
                <w:sz w:val="24"/>
                <w:szCs w:val="24"/>
                <w:highlight w:val="none"/>
                <w:lang w:bidi="ar"/>
              </w:rPr>
              <w:t>0-100米，异步工作10-80米；</w:t>
            </w:r>
          </w:p>
          <w:p w14:paraId="2D9A0706">
            <w:pPr>
              <w:widowControl/>
              <w:numPr>
                <w:ilvl w:val="0"/>
                <w:numId w:val="4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光束：</w:t>
            </w:r>
            <w:r>
              <w:rPr>
                <w:rFonts w:ascii="宋体" w:hAnsi="宋体" w:cs="宋体"/>
                <w:color w:val="auto"/>
                <w:kern w:val="0"/>
                <w:sz w:val="24"/>
                <w:szCs w:val="24"/>
                <w:highlight w:val="none"/>
                <w:lang w:bidi="ar"/>
              </w:rPr>
              <w:t>2/4/6/8/10/12光束；</w:t>
            </w:r>
          </w:p>
          <w:p w14:paraId="1BEE6D76">
            <w:pPr>
              <w:widowControl/>
              <w:numPr>
                <w:ilvl w:val="0"/>
                <w:numId w:val="4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消耗电流：</w:t>
            </w:r>
            <w:r>
              <w:rPr>
                <w:rFonts w:ascii="宋体" w:hAnsi="宋体" w:cs="宋体"/>
                <w:color w:val="auto"/>
                <w:kern w:val="0"/>
                <w:sz w:val="24"/>
                <w:szCs w:val="24"/>
                <w:highlight w:val="none"/>
                <w:lang w:bidi="ar"/>
              </w:rPr>
              <w:t>50-120mA；</w:t>
            </w:r>
          </w:p>
          <w:p w14:paraId="6436AA74">
            <w:pPr>
              <w:widowControl/>
              <w:numPr>
                <w:ilvl w:val="0"/>
                <w:numId w:val="4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电源电压：</w:t>
            </w:r>
            <w:r>
              <w:rPr>
                <w:rFonts w:ascii="宋体" w:hAnsi="宋体" w:cs="宋体"/>
                <w:color w:val="auto"/>
                <w:kern w:val="0"/>
                <w:sz w:val="24"/>
                <w:szCs w:val="24"/>
                <w:highlight w:val="none"/>
                <w:lang w:bidi="ar"/>
              </w:rPr>
              <w:t>DC12</w:t>
            </w:r>
            <w:r>
              <w:rPr>
                <w:rFonts w:hint="eastAsia" w:ascii="宋体" w:hAnsi="宋体" w:cs="宋体"/>
                <w:color w:val="auto"/>
                <w:kern w:val="0"/>
                <w:sz w:val="24"/>
                <w:szCs w:val="24"/>
                <w:highlight w:val="none"/>
                <w:lang w:bidi="ar"/>
              </w:rPr>
              <w:t>一</w:t>
            </w:r>
            <w:r>
              <w:rPr>
                <w:rFonts w:ascii="宋体" w:hAnsi="宋体" w:cs="宋体"/>
                <w:color w:val="auto"/>
                <w:kern w:val="0"/>
                <w:sz w:val="24"/>
                <w:szCs w:val="24"/>
                <w:highlight w:val="none"/>
                <w:lang w:bidi="ar"/>
              </w:rPr>
              <w:t>18V；</w:t>
            </w:r>
          </w:p>
          <w:p w14:paraId="046BCFD6">
            <w:pPr>
              <w:widowControl/>
              <w:numPr>
                <w:ilvl w:val="0"/>
                <w:numId w:val="4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环境温度：</w:t>
            </w:r>
            <w:r>
              <w:rPr>
                <w:rFonts w:ascii="宋体" w:hAnsi="宋体" w:cs="宋体"/>
                <w:color w:val="auto"/>
                <w:kern w:val="0"/>
                <w:sz w:val="24"/>
                <w:szCs w:val="24"/>
                <w:highlight w:val="none"/>
                <w:lang w:bidi="ar"/>
              </w:rPr>
              <w:t>-30℃</w:t>
            </w:r>
            <w:r>
              <w:rPr>
                <w:rFonts w:hint="eastAsia" w:ascii="宋体" w:hAnsi="宋体" w:cs="宋体"/>
                <w:color w:val="auto"/>
                <w:kern w:val="0"/>
                <w:sz w:val="24"/>
                <w:szCs w:val="24"/>
                <w:highlight w:val="none"/>
                <w:lang w:bidi="ar"/>
              </w:rPr>
              <w:t>一</w:t>
            </w:r>
            <w:r>
              <w:rPr>
                <w:rFonts w:ascii="宋体" w:hAnsi="宋体" w:cs="宋体"/>
                <w:color w:val="auto"/>
                <w:kern w:val="0"/>
                <w:sz w:val="24"/>
                <w:szCs w:val="24"/>
                <w:highlight w:val="none"/>
                <w:lang w:bidi="ar"/>
              </w:rPr>
              <w:t>+70℃；</w:t>
            </w:r>
          </w:p>
          <w:p w14:paraId="0D0119C9">
            <w:pPr>
              <w:widowControl/>
              <w:numPr>
                <w:ilvl w:val="0"/>
                <w:numId w:val="4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报警输出：常开常闭可选（出厂默认常闭）；接点容盘：</w:t>
            </w:r>
            <w:r>
              <w:rPr>
                <w:rFonts w:ascii="宋体" w:hAnsi="宋体" w:cs="宋体"/>
                <w:color w:val="auto"/>
                <w:kern w:val="0"/>
                <w:sz w:val="24"/>
                <w:szCs w:val="24"/>
                <w:highlight w:val="none"/>
                <w:lang w:bidi="ar"/>
              </w:rPr>
              <w:t>30V2A；</w:t>
            </w:r>
          </w:p>
          <w:p w14:paraId="43817152">
            <w:pPr>
              <w:widowControl/>
              <w:numPr>
                <w:ilvl w:val="0"/>
                <w:numId w:val="42"/>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反应速度：≤</w:t>
            </w:r>
            <w:r>
              <w:rPr>
                <w:rFonts w:ascii="宋体" w:hAnsi="宋体" w:cs="宋体"/>
                <w:color w:val="auto"/>
                <w:kern w:val="0"/>
                <w:sz w:val="24"/>
                <w:szCs w:val="24"/>
                <w:highlight w:val="none"/>
                <w:lang w:bidi="ar"/>
              </w:rPr>
              <w:t>40ms；</w:t>
            </w:r>
          </w:p>
          <w:p w14:paraId="206E3841">
            <w:pPr>
              <w:widowControl/>
              <w:numPr>
                <w:ilvl w:val="0"/>
                <w:numId w:val="42"/>
              </w:numPr>
              <w:ind w:firstLine="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报警持续时间：≥</w:t>
            </w:r>
            <w:r>
              <w:rPr>
                <w:rFonts w:ascii="宋体" w:hAnsi="宋体" w:cs="宋体"/>
                <w:color w:val="auto"/>
                <w:kern w:val="0"/>
                <w:sz w:val="24"/>
                <w:szCs w:val="24"/>
                <w:highlight w:val="none"/>
                <w:lang w:bidi="ar"/>
              </w:rPr>
              <w:t>1S；</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48DE4E">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EA9088">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243D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4A605C">
            <w:pPr>
              <w:widowControl/>
              <w:jc w:val="center"/>
              <w:textAlignment w:val="center"/>
              <w:rPr>
                <w:rFonts w:ascii="宋体" w:hAnsi="宋体" w:cs="宋体"/>
                <w:color w:val="auto"/>
                <w:kern w:val="0"/>
                <w:sz w:val="24"/>
                <w:szCs w:val="24"/>
                <w:highlight w:val="none"/>
              </w:rPr>
            </w:pPr>
            <w:r>
              <w:rPr>
                <w:rFonts w:ascii="宋体" w:hAnsi="宋体" w:cs="宋体"/>
                <w:color w:val="auto"/>
                <w:kern w:val="0"/>
                <w:sz w:val="24"/>
                <w:szCs w:val="24"/>
                <w:highlight w:val="none"/>
                <w:lang w:bidi="ar"/>
              </w:rPr>
              <w:t xml:space="preserve"> 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0EBB0F1">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备餐间消毒网关套装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CDBE7B">
            <w:pPr>
              <w:widowControl/>
              <w:numPr>
                <w:ilvl w:val="0"/>
                <w:numId w:val="43"/>
              </w:numPr>
              <w:ind w:left="0"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功能描述：</w:t>
            </w:r>
          </w:p>
          <w:p w14:paraId="04BDD098">
            <w:pPr>
              <w:widowControl/>
              <w:numPr>
                <w:ilvl w:val="0"/>
                <w:numId w:val="44"/>
              </w:numPr>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支持设定多个规则实现定时开启、关闭紫外线灯，进行消毒操作；</w:t>
            </w:r>
          </w:p>
          <w:p w14:paraId="74C8E0FB">
            <w:pPr>
              <w:widowControl/>
              <w:numPr>
                <w:ilvl w:val="0"/>
                <w:numId w:val="44"/>
              </w:numPr>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支持远程控制，开启关闭紫外线灯；</w:t>
            </w:r>
          </w:p>
          <w:p w14:paraId="59180082">
            <w:pPr>
              <w:widowControl/>
              <w:numPr>
                <w:ilvl w:val="0"/>
                <w:numId w:val="44"/>
              </w:numPr>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支持实现自动感应人员进入并关闭紫外线灯，避免人员伤害；</w:t>
            </w:r>
          </w:p>
          <w:p w14:paraId="3B04D798">
            <w:pPr>
              <w:widowControl/>
              <w:numPr>
                <w:ilvl w:val="0"/>
                <w:numId w:val="44"/>
              </w:numPr>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自动生成消毒台账在手机</w:t>
            </w:r>
            <w:r>
              <w:rPr>
                <w:rFonts w:ascii="宋体" w:hAnsi="宋体" w:cs="宋体"/>
                <w:color w:val="auto"/>
                <w:kern w:val="0"/>
                <w:sz w:val="24"/>
                <w:szCs w:val="24"/>
                <w:highlight w:val="none"/>
                <w:lang w:bidi="ar"/>
              </w:rPr>
              <w:t>APP端、电脑后台端可导出记录生成表格打印纸质</w:t>
            </w:r>
            <w:r>
              <w:rPr>
                <w:rFonts w:hint="eastAsia" w:ascii="宋体" w:hAnsi="宋体" w:cs="宋体"/>
                <w:color w:val="auto"/>
                <w:kern w:val="0"/>
                <w:sz w:val="24"/>
                <w:szCs w:val="24"/>
                <w:highlight w:val="none"/>
                <w:lang w:bidi="ar"/>
              </w:rPr>
              <w:t>消毒台账并最少保存</w:t>
            </w:r>
            <w:r>
              <w:rPr>
                <w:rFonts w:ascii="宋体" w:hAnsi="宋体" w:cs="宋体"/>
                <w:color w:val="auto"/>
                <w:kern w:val="0"/>
                <w:sz w:val="24"/>
                <w:szCs w:val="24"/>
                <w:highlight w:val="none"/>
                <w:lang w:bidi="ar"/>
              </w:rPr>
              <w:t>2年数据；</w:t>
            </w:r>
          </w:p>
          <w:p w14:paraId="76969D04">
            <w:pPr>
              <w:widowControl/>
              <w:numPr>
                <w:ilvl w:val="0"/>
                <w:numId w:val="43"/>
              </w:numPr>
              <w:ind w:left="0"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物联中控屏设备参数：</w:t>
            </w:r>
          </w:p>
          <w:p w14:paraId="7CFD50FE">
            <w:pPr>
              <w:pStyle w:val="22"/>
              <w:numPr>
                <w:ilvl w:val="0"/>
                <w:numId w:val="45"/>
              </w:numPr>
              <w:ind w:left="0" w:firstLine="0"/>
              <w:rPr>
                <w:color w:val="auto"/>
                <w:highlight w:val="none"/>
              </w:rPr>
            </w:pPr>
            <w:r>
              <w:rPr>
                <w:rFonts w:hint="eastAsia" w:ascii="宋体" w:hAnsi="宋体" w:eastAsia="宋体" w:cs="宋体"/>
                <w:color w:val="auto"/>
                <w:sz w:val="24"/>
                <w:szCs w:val="24"/>
                <w:highlight w:val="none"/>
              </w:rPr>
              <w:t>主要参数：</w:t>
            </w:r>
          </w:p>
          <w:p w14:paraId="22B54074">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外壳：前置钢化玻璃</w:t>
            </w:r>
            <w:r>
              <w:rPr>
                <w:rFonts w:ascii="宋体" w:hAnsi="宋体" w:cs="宋体"/>
                <w:color w:val="auto"/>
                <w:kern w:val="0"/>
                <w:sz w:val="24"/>
                <w:szCs w:val="24"/>
                <w:highlight w:val="none"/>
                <w:lang w:bidi="ar"/>
              </w:rPr>
              <w:t>+塑胶外壳；</w:t>
            </w:r>
          </w:p>
          <w:p w14:paraId="2D829F98">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保护面板：钢化玻璃；</w:t>
            </w:r>
          </w:p>
          <w:p w14:paraId="0A016D54">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尺寸：不低于</w:t>
            </w:r>
            <w:r>
              <w:rPr>
                <w:rFonts w:ascii="宋体" w:hAnsi="宋体" w:cs="宋体"/>
                <w:color w:val="auto"/>
                <w:kern w:val="0"/>
                <w:sz w:val="24"/>
                <w:szCs w:val="24"/>
                <w:highlight w:val="none"/>
                <w:lang w:bidi="ar"/>
              </w:rPr>
              <w:t>10.1寸；</w:t>
            </w:r>
          </w:p>
          <w:p w14:paraId="4D8865BD">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屏幕比例：</w:t>
            </w:r>
            <w:r>
              <w:rPr>
                <w:rFonts w:ascii="宋体" w:hAnsi="宋体" w:cs="宋体"/>
                <w:color w:val="auto"/>
                <w:kern w:val="0"/>
                <w:sz w:val="24"/>
                <w:szCs w:val="24"/>
                <w:highlight w:val="none"/>
                <w:lang w:bidi="ar"/>
              </w:rPr>
              <w:t>16:9；</w:t>
            </w:r>
          </w:p>
          <w:p w14:paraId="480DCDDB">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摄像头像素：</w:t>
            </w:r>
            <w:r>
              <w:rPr>
                <w:rFonts w:ascii="宋体" w:hAnsi="宋体" w:cs="宋体"/>
                <w:color w:val="auto"/>
                <w:kern w:val="0"/>
                <w:sz w:val="24"/>
                <w:szCs w:val="24"/>
                <w:highlight w:val="none"/>
                <w:lang w:bidi="ar"/>
              </w:rPr>
              <w:t>100W；</w:t>
            </w:r>
          </w:p>
          <w:p w14:paraId="556E22DA">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像素间距：</w:t>
            </w:r>
            <w:r>
              <w:rPr>
                <w:rFonts w:ascii="宋体" w:hAnsi="宋体" w:cs="宋体"/>
                <w:color w:val="auto"/>
                <w:kern w:val="0"/>
                <w:sz w:val="24"/>
                <w:szCs w:val="24"/>
                <w:highlight w:val="none"/>
                <w:lang w:bidi="ar"/>
              </w:rPr>
              <w:t>0.17925×0.17925mm；</w:t>
            </w:r>
          </w:p>
          <w:p w14:paraId="5FB80502">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亮度：</w:t>
            </w:r>
            <w:r>
              <w:rPr>
                <w:rFonts w:ascii="宋体" w:hAnsi="宋体" w:cs="宋体"/>
                <w:color w:val="auto"/>
                <w:kern w:val="0"/>
                <w:sz w:val="24"/>
                <w:szCs w:val="24"/>
                <w:highlight w:val="none"/>
                <w:lang w:bidi="ar"/>
              </w:rPr>
              <w:t>350cd/m²可视角度85/85/85/85（左/右/上/下）；</w:t>
            </w:r>
          </w:p>
          <w:p w14:paraId="332D73AF">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对比度：</w:t>
            </w:r>
            <w:r>
              <w:rPr>
                <w:rFonts w:ascii="宋体" w:hAnsi="宋体" w:cs="宋体"/>
                <w:color w:val="auto"/>
                <w:kern w:val="0"/>
                <w:sz w:val="24"/>
                <w:szCs w:val="24"/>
                <w:highlight w:val="none"/>
                <w:lang w:bidi="ar"/>
              </w:rPr>
              <w:t>1000:1；</w:t>
            </w:r>
          </w:p>
          <w:p w14:paraId="7AE4F187">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颜色数：</w:t>
            </w:r>
            <w:r>
              <w:rPr>
                <w:rFonts w:ascii="宋体" w:hAnsi="宋体" w:cs="宋体"/>
                <w:color w:val="auto"/>
                <w:kern w:val="0"/>
                <w:sz w:val="24"/>
                <w:szCs w:val="24"/>
                <w:highlight w:val="none"/>
                <w:lang w:bidi="ar"/>
              </w:rPr>
              <w:t>16.7M；</w:t>
            </w:r>
          </w:p>
          <w:p w14:paraId="7E9C5793">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灯管寿命：超过</w:t>
            </w:r>
            <w:r>
              <w:rPr>
                <w:rFonts w:ascii="宋体" w:hAnsi="宋体" w:cs="宋体"/>
                <w:color w:val="auto"/>
                <w:kern w:val="0"/>
                <w:sz w:val="24"/>
                <w:szCs w:val="24"/>
                <w:highlight w:val="none"/>
                <w:lang w:bidi="ar"/>
              </w:rPr>
              <w:t>50000小时；</w:t>
            </w:r>
          </w:p>
          <w:p w14:paraId="4B0B35B7">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操作系统：</w:t>
            </w:r>
            <w:r>
              <w:rPr>
                <w:rFonts w:ascii="宋体" w:hAnsi="宋体" w:cs="宋体"/>
                <w:color w:val="auto"/>
                <w:kern w:val="0"/>
                <w:sz w:val="24"/>
                <w:szCs w:val="24"/>
                <w:highlight w:val="none"/>
                <w:lang w:bidi="ar"/>
              </w:rPr>
              <w:t>Android7.1.2；</w:t>
            </w:r>
          </w:p>
          <w:p w14:paraId="3695121B">
            <w:pPr>
              <w:widowControl/>
              <w:numPr>
                <w:ilvl w:val="0"/>
                <w:numId w:val="46"/>
              </w:numPr>
              <w:ind w:firstLine="0"/>
              <w:jc w:val="left"/>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CPU：RK3288，四核；</w:t>
            </w:r>
          </w:p>
          <w:p w14:paraId="21F1019F">
            <w:pPr>
              <w:widowControl/>
              <w:numPr>
                <w:ilvl w:val="0"/>
                <w:numId w:val="46"/>
              </w:numPr>
              <w:ind w:firstLine="0"/>
              <w:jc w:val="left"/>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CPU主频：1.8GHz；</w:t>
            </w:r>
          </w:p>
          <w:p w14:paraId="38C42082">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内存：</w:t>
            </w:r>
            <w:r>
              <w:rPr>
                <w:rFonts w:ascii="宋体" w:hAnsi="宋体" w:cs="宋体"/>
                <w:color w:val="auto"/>
                <w:kern w:val="0"/>
                <w:sz w:val="24"/>
                <w:szCs w:val="24"/>
                <w:highlight w:val="none"/>
                <w:lang w:bidi="ar"/>
              </w:rPr>
              <w:t>DDR32G；</w:t>
            </w:r>
          </w:p>
          <w:p w14:paraId="315CFEE9">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内置存储容量：</w:t>
            </w:r>
            <w:r>
              <w:rPr>
                <w:rFonts w:ascii="宋体" w:hAnsi="宋体" w:cs="宋体"/>
                <w:color w:val="auto"/>
                <w:kern w:val="0"/>
                <w:sz w:val="24"/>
                <w:szCs w:val="24"/>
                <w:highlight w:val="none"/>
                <w:lang w:bidi="ar"/>
              </w:rPr>
              <w:t>EMMC8G；</w:t>
            </w:r>
          </w:p>
          <w:p w14:paraId="745BC003">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喇叭：</w:t>
            </w:r>
            <w:r>
              <w:rPr>
                <w:rFonts w:ascii="宋体" w:hAnsi="宋体" w:cs="宋体"/>
                <w:color w:val="auto"/>
                <w:kern w:val="0"/>
                <w:sz w:val="24"/>
                <w:szCs w:val="24"/>
                <w:highlight w:val="none"/>
                <w:lang w:bidi="ar"/>
              </w:rPr>
              <w:t>8Ω2W；</w:t>
            </w:r>
          </w:p>
          <w:p w14:paraId="5D9CA3BF">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网络：支持</w:t>
            </w:r>
            <w:r>
              <w:rPr>
                <w:rFonts w:ascii="宋体" w:hAnsi="宋体" w:cs="宋体"/>
                <w:color w:val="auto"/>
                <w:kern w:val="0"/>
                <w:sz w:val="24"/>
                <w:szCs w:val="24"/>
                <w:highlight w:val="none"/>
                <w:lang w:bidi="ar"/>
              </w:rPr>
              <w:t>WiFi、BT；</w:t>
            </w:r>
          </w:p>
          <w:p w14:paraId="659025E5">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接口：</w:t>
            </w:r>
            <w:r>
              <w:rPr>
                <w:rFonts w:ascii="宋体" w:hAnsi="宋体" w:cs="宋体"/>
                <w:color w:val="auto"/>
                <w:kern w:val="0"/>
                <w:sz w:val="24"/>
                <w:szCs w:val="24"/>
                <w:highlight w:val="none"/>
                <w:lang w:bidi="ar"/>
              </w:rPr>
              <w:t>I/O:2*USB，可扩展2*USB；</w:t>
            </w:r>
          </w:p>
          <w:p w14:paraId="37E3BA94">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工作环境温度：</w:t>
            </w:r>
            <w:r>
              <w:rPr>
                <w:rFonts w:ascii="宋体" w:hAnsi="宋体" w:cs="宋体"/>
                <w:color w:val="auto"/>
                <w:kern w:val="0"/>
                <w:sz w:val="24"/>
                <w:szCs w:val="24"/>
                <w:highlight w:val="none"/>
                <w:lang w:bidi="ar"/>
              </w:rPr>
              <w:t>0～50摄氏度；</w:t>
            </w:r>
          </w:p>
          <w:p w14:paraId="447A3FE3">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触摸精度：±</w:t>
            </w:r>
            <w:r>
              <w:rPr>
                <w:rFonts w:ascii="宋体" w:hAnsi="宋体" w:cs="宋体"/>
                <w:color w:val="auto"/>
                <w:kern w:val="0"/>
                <w:sz w:val="24"/>
                <w:szCs w:val="24"/>
                <w:highlight w:val="none"/>
                <w:lang w:bidi="ar"/>
              </w:rPr>
              <w:t>2mm；</w:t>
            </w:r>
          </w:p>
          <w:p w14:paraId="6F078E0C">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响应时间：</w:t>
            </w:r>
            <w:r>
              <w:rPr>
                <w:rFonts w:ascii="宋体" w:hAnsi="宋体" w:cs="宋体"/>
                <w:color w:val="auto"/>
                <w:kern w:val="0"/>
                <w:sz w:val="24"/>
                <w:szCs w:val="24"/>
                <w:highlight w:val="none"/>
                <w:lang w:bidi="ar"/>
              </w:rPr>
              <w:t>25ms~30ms；</w:t>
            </w:r>
          </w:p>
          <w:p w14:paraId="57DE03E1">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可识别物体：手指或者专用触摸笔；</w:t>
            </w:r>
          </w:p>
          <w:p w14:paraId="7622D82A">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透明度：≥</w:t>
            </w:r>
            <w:r>
              <w:rPr>
                <w:rFonts w:ascii="宋体" w:hAnsi="宋体" w:cs="宋体"/>
                <w:color w:val="auto"/>
                <w:kern w:val="0"/>
                <w:sz w:val="24"/>
                <w:szCs w:val="24"/>
                <w:highlight w:val="none"/>
                <w:lang w:bidi="ar"/>
              </w:rPr>
              <w:t>85％±2％；</w:t>
            </w:r>
          </w:p>
          <w:p w14:paraId="4C6F273E">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温度范围：工作温度：</w:t>
            </w:r>
            <w:r>
              <w:rPr>
                <w:rFonts w:ascii="宋体" w:hAnsi="宋体" w:cs="宋体"/>
                <w:color w:val="auto"/>
                <w:kern w:val="0"/>
                <w:sz w:val="24"/>
                <w:szCs w:val="24"/>
                <w:highlight w:val="none"/>
                <w:lang w:bidi="ar"/>
              </w:rPr>
              <w:t>-10℃~60℃；</w:t>
            </w:r>
          </w:p>
          <w:p w14:paraId="27B3F31C">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供电方式：外置</w:t>
            </w:r>
            <w:r>
              <w:rPr>
                <w:rFonts w:ascii="宋体" w:hAnsi="宋体" w:cs="宋体"/>
                <w:color w:val="auto"/>
                <w:kern w:val="0"/>
                <w:sz w:val="24"/>
                <w:szCs w:val="24"/>
                <w:highlight w:val="none"/>
                <w:lang w:bidi="ar"/>
              </w:rPr>
              <w:t>12V/2A适配器；</w:t>
            </w:r>
          </w:p>
          <w:p w14:paraId="6CFCCE4F">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整机功率：</w:t>
            </w:r>
            <w:r>
              <w:rPr>
                <w:rFonts w:ascii="宋体" w:hAnsi="宋体" w:cs="宋体"/>
                <w:color w:val="auto"/>
                <w:kern w:val="0"/>
                <w:sz w:val="24"/>
                <w:szCs w:val="24"/>
                <w:highlight w:val="none"/>
                <w:lang w:bidi="ar"/>
              </w:rPr>
              <w:t>15W；</w:t>
            </w:r>
          </w:p>
          <w:p w14:paraId="588EF2AC">
            <w:pPr>
              <w:widowControl/>
              <w:numPr>
                <w:ilvl w:val="0"/>
                <w:numId w:val="4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安装方式：壁挂式；</w:t>
            </w:r>
          </w:p>
          <w:p w14:paraId="69609D65">
            <w:pPr>
              <w:widowControl/>
              <w:numPr>
                <w:ilvl w:val="0"/>
                <w:numId w:val="43"/>
              </w:numPr>
              <w:ind w:left="0" w:firstLine="0"/>
              <w:jc w:val="left"/>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IO通讯模块设备参数：</w:t>
            </w:r>
          </w:p>
          <w:p w14:paraId="4AEE39B6">
            <w:pPr>
              <w:pStyle w:val="22"/>
              <w:numPr>
                <w:ilvl w:val="0"/>
                <w:numId w:val="47"/>
              </w:numPr>
              <w:ind w:left="0" w:firstLine="0"/>
              <w:rPr>
                <w:color w:val="auto"/>
                <w:highlight w:val="none"/>
              </w:rPr>
            </w:pPr>
            <w:r>
              <w:rPr>
                <w:rFonts w:hint="eastAsia" w:ascii="宋体" w:hAnsi="宋体" w:eastAsia="宋体" w:cs="宋体"/>
                <w:color w:val="auto"/>
                <w:sz w:val="24"/>
                <w:szCs w:val="24"/>
                <w:highlight w:val="none"/>
              </w:rPr>
              <w:t>主要参数：</w:t>
            </w:r>
          </w:p>
          <w:p w14:paraId="10F3604A">
            <w:pPr>
              <w:widowControl/>
              <w:numPr>
                <w:ilvl w:val="0"/>
                <w:numId w:val="48"/>
              </w:numPr>
              <w:ind w:firstLine="0"/>
              <w:jc w:val="left"/>
              <w:rPr>
                <w:rFonts w:ascii="宋体" w:hAnsi="宋体" w:cs="宋体"/>
                <w:color w:val="auto"/>
                <w:kern w:val="0"/>
                <w:sz w:val="24"/>
                <w:szCs w:val="24"/>
                <w:highlight w:val="none"/>
              </w:rPr>
            </w:pPr>
            <w:r>
              <w:rPr>
                <w:rFonts w:ascii="宋体" w:hAnsi="宋体" w:cs="宋体"/>
                <w:color w:val="auto"/>
                <w:kern w:val="0"/>
                <w:sz w:val="24"/>
                <w:szCs w:val="24"/>
                <w:highlight w:val="none"/>
              </w:rPr>
              <w:t>2路继电器控制输出，触点容250VAC10A/DC30V10A；</w:t>
            </w:r>
          </w:p>
          <w:p w14:paraId="6F4AF567">
            <w:pPr>
              <w:widowControl/>
              <w:numPr>
                <w:ilvl w:val="0"/>
                <w:numId w:val="48"/>
              </w:numPr>
              <w:ind w:firstLine="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路数字量输入，隔离输入，抗浪涌等级</w:t>
            </w:r>
            <w:r>
              <w:rPr>
                <w:rFonts w:ascii="宋体" w:hAnsi="宋体" w:cs="宋体"/>
                <w:color w:val="auto"/>
                <w:kern w:val="0"/>
                <w:sz w:val="24"/>
                <w:szCs w:val="24"/>
                <w:highlight w:val="none"/>
              </w:rPr>
              <w:t>1500V，有源</w:t>
            </w:r>
            <w:r>
              <w:rPr>
                <w:rFonts w:hint="eastAsia" w:ascii="宋体" w:hAnsi="宋体" w:cs="宋体"/>
                <w:color w:val="auto"/>
                <w:kern w:val="0"/>
                <w:sz w:val="24"/>
                <w:szCs w:val="24"/>
                <w:highlight w:val="none"/>
              </w:rPr>
              <w:t>无源均支持；</w:t>
            </w:r>
          </w:p>
          <w:p w14:paraId="3A9A8BC3">
            <w:pPr>
              <w:widowControl/>
              <w:numPr>
                <w:ilvl w:val="0"/>
                <w:numId w:val="48"/>
              </w:numPr>
              <w:ind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以太网通讯接口，</w:t>
            </w:r>
            <w:r>
              <w:rPr>
                <w:rFonts w:ascii="宋体" w:hAnsi="宋体" w:cs="宋体"/>
                <w:color w:val="auto"/>
                <w:kern w:val="0"/>
                <w:sz w:val="24"/>
                <w:szCs w:val="24"/>
                <w:highlight w:val="none"/>
              </w:rPr>
              <w:t>10/100M自适应；</w:t>
            </w:r>
          </w:p>
          <w:p w14:paraId="1CB1F305">
            <w:pPr>
              <w:widowControl/>
              <w:numPr>
                <w:ilvl w:val="0"/>
                <w:numId w:val="48"/>
              </w:numPr>
              <w:ind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支持</w:t>
            </w:r>
            <w:r>
              <w:rPr>
                <w:rFonts w:ascii="宋体" w:hAnsi="宋体" w:cs="宋体"/>
                <w:color w:val="auto"/>
                <w:kern w:val="0"/>
                <w:sz w:val="24"/>
                <w:szCs w:val="24"/>
                <w:highlight w:val="none"/>
              </w:rPr>
              <w:t>MQTT通讯，参数可配置；</w:t>
            </w:r>
          </w:p>
          <w:p w14:paraId="52DDA826">
            <w:pPr>
              <w:widowControl/>
              <w:numPr>
                <w:ilvl w:val="0"/>
                <w:numId w:val="48"/>
              </w:numPr>
              <w:ind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通信波特率，</w:t>
            </w:r>
            <w:r>
              <w:rPr>
                <w:rFonts w:ascii="宋体" w:hAnsi="宋体" w:cs="宋体"/>
                <w:color w:val="auto"/>
                <w:kern w:val="0"/>
                <w:sz w:val="24"/>
                <w:szCs w:val="24"/>
                <w:highlight w:val="none"/>
              </w:rPr>
              <w:t>bps：1200～115200bps；</w:t>
            </w:r>
          </w:p>
          <w:p w14:paraId="112C5B4D">
            <w:pPr>
              <w:widowControl/>
              <w:numPr>
                <w:ilvl w:val="0"/>
                <w:numId w:val="48"/>
              </w:numPr>
              <w:ind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通信协议</w:t>
            </w:r>
            <w:r>
              <w:rPr>
                <w:rFonts w:ascii="宋体" w:hAnsi="宋体" w:cs="宋体"/>
                <w:color w:val="auto"/>
                <w:kern w:val="0"/>
                <w:sz w:val="24"/>
                <w:szCs w:val="24"/>
                <w:highlight w:val="none"/>
              </w:rPr>
              <w:t>ModbusTCP；</w:t>
            </w:r>
          </w:p>
          <w:p w14:paraId="5256B733">
            <w:pPr>
              <w:widowControl/>
              <w:numPr>
                <w:ilvl w:val="0"/>
                <w:numId w:val="48"/>
              </w:numPr>
              <w:ind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工作电压范围</w:t>
            </w:r>
            <w:r>
              <w:rPr>
                <w:rFonts w:ascii="宋体" w:hAnsi="宋体" w:cs="宋体"/>
                <w:color w:val="auto"/>
                <w:kern w:val="0"/>
                <w:sz w:val="24"/>
                <w:szCs w:val="24"/>
                <w:highlight w:val="none"/>
              </w:rPr>
              <w:t>DC7-40V宽压；静态工作电流≤100ma；</w:t>
            </w:r>
          </w:p>
          <w:p w14:paraId="6FA57C92">
            <w:pPr>
              <w:widowControl/>
              <w:numPr>
                <w:ilvl w:val="0"/>
                <w:numId w:val="4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中间继电器（</w:t>
            </w:r>
            <w:r>
              <w:rPr>
                <w:rFonts w:ascii="宋体" w:hAnsi="宋体" w:cs="宋体"/>
                <w:color w:val="auto"/>
                <w:sz w:val="24"/>
                <w:szCs w:val="24"/>
                <w:highlight w:val="none"/>
              </w:rPr>
              <w:t>220V）设备参数：</w:t>
            </w:r>
          </w:p>
          <w:p w14:paraId="11B9E277">
            <w:pPr>
              <w:pStyle w:val="22"/>
              <w:numPr>
                <w:ilvl w:val="0"/>
                <w:numId w:val="49"/>
              </w:numPr>
              <w:ind w:left="0" w:firstLine="0"/>
              <w:rPr>
                <w:color w:val="auto"/>
                <w:highlight w:val="none"/>
              </w:rPr>
            </w:pPr>
            <w:r>
              <w:rPr>
                <w:rFonts w:hint="eastAsia" w:ascii="宋体" w:hAnsi="宋体" w:eastAsia="宋体" w:cs="宋体"/>
                <w:color w:val="auto"/>
                <w:sz w:val="24"/>
                <w:szCs w:val="24"/>
                <w:highlight w:val="none"/>
              </w:rPr>
              <w:t>主要参数：</w:t>
            </w:r>
          </w:p>
          <w:p w14:paraId="0327984F">
            <w:pPr>
              <w:numPr>
                <w:ilvl w:val="0"/>
                <w:numId w:val="5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额定电流：</w:t>
            </w:r>
            <w:r>
              <w:rPr>
                <w:rFonts w:ascii="宋体" w:hAnsi="宋体" w:cs="宋体"/>
                <w:color w:val="auto"/>
                <w:sz w:val="24"/>
                <w:szCs w:val="24"/>
                <w:highlight w:val="none"/>
              </w:rPr>
              <w:t>5A/10A；</w:t>
            </w:r>
          </w:p>
          <w:p w14:paraId="3C3EEE88">
            <w:pPr>
              <w:numPr>
                <w:ilvl w:val="0"/>
                <w:numId w:val="5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额定频率：</w:t>
            </w:r>
            <w:r>
              <w:rPr>
                <w:rFonts w:ascii="宋体" w:hAnsi="宋体" w:cs="宋体"/>
                <w:color w:val="auto"/>
                <w:sz w:val="24"/>
                <w:szCs w:val="24"/>
                <w:highlight w:val="none"/>
              </w:rPr>
              <w:t>50Hz/60Hz；</w:t>
            </w:r>
          </w:p>
          <w:p w14:paraId="0E7AD17F">
            <w:pPr>
              <w:numPr>
                <w:ilvl w:val="0"/>
                <w:numId w:val="5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引脚：细脚、宽脚；</w:t>
            </w:r>
          </w:p>
          <w:p w14:paraId="559D7B2C">
            <w:pPr>
              <w:numPr>
                <w:ilvl w:val="0"/>
                <w:numId w:val="5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触点形式：二开二闭；</w:t>
            </w:r>
          </w:p>
          <w:p w14:paraId="7C3F7182">
            <w:pPr>
              <w:widowControl/>
              <w:numPr>
                <w:ilvl w:val="0"/>
                <w:numId w:val="5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电压规格：交流</w:t>
            </w:r>
            <w:r>
              <w:rPr>
                <w:rFonts w:ascii="宋体" w:hAnsi="宋体" w:cs="宋体"/>
                <w:color w:val="auto"/>
                <w:sz w:val="24"/>
                <w:szCs w:val="24"/>
                <w:highlight w:val="none"/>
              </w:rPr>
              <w:t>AC:12、24、36、48、110、220；</w:t>
            </w:r>
          </w:p>
          <w:p w14:paraId="50E30EC5">
            <w:pPr>
              <w:widowControl/>
              <w:numPr>
                <w:ilvl w:val="0"/>
                <w:numId w:val="4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人体感应器设备参数：</w:t>
            </w:r>
          </w:p>
          <w:p w14:paraId="283BBA86">
            <w:pPr>
              <w:pStyle w:val="22"/>
              <w:numPr>
                <w:ilvl w:val="0"/>
                <w:numId w:val="51"/>
              </w:numPr>
              <w:ind w:left="0" w:firstLine="0"/>
              <w:rPr>
                <w:color w:val="auto"/>
                <w:highlight w:val="none"/>
              </w:rPr>
            </w:pPr>
            <w:r>
              <w:rPr>
                <w:rFonts w:hint="eastAsia" w:ascii="宋体" w:hAnsi="宋体" w:eastAsia="宋体" w:cs="宋体"/>
                <w:color w:val="auto"/>
                <w:sz w:val="24"/>
                <w:szCs w:val="24"/>
                <w:highlight w:val="none"/>
              </w:rPr>
              <w:t>主要参数：</w:t>
            </w:r>
          </w:p>
          <w:p w14:paraId="23D61D8D">
            <w:pPr>
              <w:numPr>
                <w:ilvl w:val="0"/>
                <w:numId w:val="5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感应原理：红外线感应；</w:t>
            </w:r>
          </w:p>
          <w:p w14:paraId="1513501B">
            <w:pPr>
              <w:numPr>
                <w:ilvl w:val="0"/>
                <w:numId w:val="5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感应范围：</w:t>
            </w:r>
            <w:r>
              <w:rPr>
                <w:rFonts w:ascii="宋体" w:hAnsi="宋体" w:cs="宋体"/>
                <w:color w:val="auto"/>
                <w:sz w:val="24"/>
                <w:szCs w:val="24"/>
                <w:highlight w:val="none"/>
              </w:rPr>
              <w:t>3—5m；</w:t>
            </w:r>
          </w:p>
          <w:p w14:paraId="269E8A9D">
            <w:pPr>
              <w:numPr>
                <w:ilvl w:val="0"/>
                <w:numId w:val="5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负载功率：</w:t>
            </w:r>
            <w:r>
              <w:rPr>
                <w:rFonts w:ascii="宋体" w:hAnsi="宋体" w:cs="宋体"/>
                <w:color w:val="auto"/>
                <w:sz w:val="24"/>
                <w:szCs w:val="24"/>
                <w:highlight w:val="none"/>
              </w:rPr>
              <w:t>10W；</w:t>
            </w:r>
          </w:p>
          <w:p w14:paraId="1E317DCE">
            <w:pPr>
              <w:numPr>
                <w:ilvl w:val="0"/>
                <w:numId w:val="5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延时关闭时间：</w:t>
            </w:r>
            <w:r>
              <w:rPr>
                <w:rFonts w:ascii="宋体" w:hAnsi="宋体" w:cs="宋体"/>
                <w:color w:val="auto"/>
                <w:sz w:val="24"/>
                <w:szCs w:val="24"/>
                <w:highlight w:val="none"/>
              </w:rPr>
              <w:t>50±10s；</w:t>
            </w:r>
          </w:p>
          <w:p w14:paraId="1C1843A4">
            <w:pPr>
              <w:numPr>
                <w:ilvl w:val="0"/>
                <w:numId w:val="5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颜色：雅白色；</w:t>
            </w:r>
          </w:p>
          <w:p w14:paraId="71D86ED2">
            <w:pPr>
              <w:numPr>
                <w:ilvl w:val="0"/>
                <w:numId w:val="5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工作电压：</w:t>
            </w:r>
            <w:r>
              <w:rPr>
                <w:rFonts w:ascii="宋体" w:hAnsi="宋体" w:cs="宋体"/>
                <w:color w:val="auto"/>
                <w:sz w:val="24"/>
                <w:szCs w:val="24"/>
                <w:highlight w:val="none"/>
              </w:rPr>
              <w:t>220（V）；</w:t>
            </w:r>
          </w:p>
          <w:p w14:paraId="320884EA">
            <w:pPr>
              <w:numPr>
                <w:ilvl w:val="0"/>
                <w:numId w:val="52"/>
              </w:numPr>
              <w:ind w:firstLine="0"/>
              <w:jc w:val="left"/>
              <w:rPr>
                <w:rFonts w:ascii="宋体" w:hAnsi="宋体" w:cs="宋体"/>
                <w:color w:val="auto"/>
                <w:sz w:val="24"/>
                <w:szCs w:val="24"/>
                <w:highlight w:val="none"/>
              </w:rPr>
            </w:pPr>
            <w:r>
              <w:rPr>
                <w:rFonts w:ascii="宋体" w:hAnsi="宋体" w:cs="宋体"/>
                <w:color w:val="auto"/>
                <w:sz w:val="24"/>
                <w:szCs w:val="24"/>
                <w:highlight w:val="none"/>
              </w:rPr>
              <w:t>3C额定电压范围：440V以上；</w:t>
            </w:r>
          </w:p>
          <w:p w14:paraId="417A7A00">
            <w:pPr>
              <w:widowControl/>
              <w:numPr>
                <w:ilvl w:val="0"/>
                <w:numId w:val="5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可联动继电器检测人员经过关闭紫外线消毒灯；</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3CC7B1">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029259">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4C1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D38017">
            <w:pPr>
              <w:widowControl/>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6</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29CE7F9">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AI行为识别摄像机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9C9161">
            <w:pPr>
              <w:numPr>
                <w:ilvl w:val="0"/>
                <w:numId w:val="5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0E3843C4">
            <w:pPr>
              <w:numPr>
                <w:ilvl w:val="0"/>
                <w:numId w:val="54"/>
              </w:numPr>
              <w:jc w:val="left"/>
              <w:rPr>
                <w:rFonts w:ascii="宋体" w:hAnsi="宋体" w:cs="宋体"/>
                <w:color w:val="auto"/>
                <w:sz w:val="24"/>
                <w:szCs w:val="24"/>
                <w:highlight w:val="none"/>
              </w:rPr>
            </w:pPr>
            <w:r>
              <w:rPr>
                <w:rFonts w:hint="eastAsia" w:ascii="宋体" w:hAnsi="宋体" w:cs="宋体"/>
                <w:color w:val="auto"/>
                <w:sz w:val="24"/>
                <w:szCs w:val="24"/>
                <w:highlight w:val="none"/>
              </w:rPr>
              <w:t>支持口罩、工服、工帽三白预警抓拍并现场定制语音实施报警；</w:t>
            </w:r>
          </w:p>
          <w:p w14:paraId="175239E7">
            <w:pPr>
              <w:numPr>
                <w:ilvl w:val="0"/>
                <w:numId w:val="54"/>
              </w:numPr>
              <w:jc w:val="left"/>
              <w:rPr>
                <w:rFonts w:ascii="宋体" w:hAnsi="宋体" w:cs="宋体"/>
                <w:color w:val="auto"/>
                <w:sz w:val="24"/>
                <w:szCs w:val="24"/>
                <w:highlight w:val="none"/>
              </w:rPr>
            </w:pPr>
            <w:r>
              <w:rPr>
                <w:rFonts w:hint="eastAsia" w:ascii="宋体" w:hAnsi="宋体" w:cs="宋体"/>
                <w:color w:val="auto"/>
                <w:sz w:val="24"/>
                <w:szCs w:val="24"/>
                <w:highlight w:val="none"/>
              </w:rPr>
              <w:t>支持特定颜色工服、工帽识别预警；</w:t>
            </w:r>
          </w:p>
          <w:p w14:paraId="08D7B7A2">
            <w:pPr>
              <w:numPr>
                <w:ilvl w:val="0"/>
                <w:numId w:val="53"/>
              </w:numPr>
              <w:ind w:left="0" w:firstLine="0"/>
              <w:jc w:val="left"/>
              <w:rPr>
                <w:rFonts w:ascii="宋体" w:hAnsi="宋体" w:cs="宋体"/>
                <w:color w:val="auto"/>
                <w:sz w:val="24"/>
                <w:szCs w:val="24"/>
                <w:highlight w:val="none"/>
              </w:rPr>
            </w:pPr>
            <w:r>
              <w:rPr>
                <w:rFonts w:ascii="宋体" w:hAnsi="宋体" w:cs="宋体"/>
                <w:color w:val="auto"/>
                <w:kern w:val="0"/>
                <w:sz w:val="24"/>
                <w:szCs w:val="24"/>
                <w:highlight w:val="none"/>
                <w:lang w:bidi="ar"/>
              </w:rPr>
              <w:t>AI行为识别摄像机设备</w:t>
            </w:r>
            <w:r>
              <w:rPr>
                <w:rFonts w:hint="eastAsia" w:ascii="宋体" w:hAnsi="宋体" w:cs="宋体"/>
                <w:color w:val="auto"/>
                <w:sz w:val="24"/>
                <w:szCs w:val="24"/>
                <w:highlight w:val="none"/>
              </w:rPr>
              <w:t>参数：</w:t>
            </w:r>
          </w:p>
          <w:p w14:paraId="27BA3DFC">
            <w:pPr>
              <w:pStyle w:val="22"/>
              <w:numPr>
                <w:ilvl w:val="0"/>
                <w:numId w:val="55"/>
              </w:numPr>
              <w:ind w:left="0" w:firstLine="0"/>
              <w:rPr>
                <w:color w:val="auto"/>
                <w:highlight w:val="none"/>
              </w:rPr>
            </w:pPr>
            <w:r>
              <w:rPr>
                <w:rFonts w:hint="eastAsia" w:ascii="宋体" w:hAnsi="宋体" w:eastAsia="宋体" w:cs="宋体"/>
                <w:color w:val="auto"/>
                <w:sz w:val="24"/>
                <w:szCs w:val="24"/>
                <w:highlight w:val="none"/>
              </w:rPr>
              <w:t>主要参数：</w:t>
            </w:r>
          </w:p>
          <w:p w14:paraId="0BE7A415">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主板性能：算力</w:t>
            </w:r>
            <w:r>
              <w:rPr>
                <w:rFonts w:ascii="宋体" w:hAnsi="宋体" w:cs="宋体"/>
                <w:color w:val="auto"/>
                <w:sz w:val="24"/>
                <w:szCs w:val="24"/>
                <w:highlight w:val="none"/>
              </w:rPr>
              <w:t>2.0Tops,内存：8Gbit,闪存：8GBEMMC；</w:t>
            </w:r>
          </w:p>
          <w:p w14:paraId="25EAE873">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传感器类型：</w:t>
            </w:r>
            <w:r>
              <w:rPr>
                <w:rFonts w:ascii="宋体" w:hAnsi="宋体" w:cs="宋体"/>
                <w:color w:val="auto"/>
                <w:sz w:val="24"/>
                <w:szCs w:val="24"/>
                <w:highlight w:val="none"/>
              </w:rPr>
              <w:t>1/3"CMOS；</w:t>
            </w:r>
          </w:p>
          <w:p w14:paraId="4EFF1DEB">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镜头类型：定焦；</w:t>
            </w:r>
          </w:p>
          <w:p w14:paraId="65FC42C4">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视场角：（</w:t>
            </w:r>
            <w:r>
              <w:rPr>
                <w:rFonts w:ascii="宋体" w:hAnsi="宋体" w:cs="宋体"/>
                <w:color w:val="auto"/>
                <w:sz w:val="24"/>
                <w:szCs w:val="24"/>
                <w:highlight w:val="none"/>
              </w:rPr>
              <w:t>H）47.6°(D)59.4°；</w:t>
            </w:r>
          </w:p>
          <w:p w14:paraId="31FB5C29">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光圈：</w:t>
            </w:r>
            <w:r>
              <w:rPr>
                <w:rFonts w:ascii="宋体" w:hAnsi="宋体" w:cs="宋体"/>
                <w:color w:val="auto"/>
                <w:sz w:val="24"/>
                <w:szCs w:val="24"/>
                <w:highlight w:val="none"/>
              </w:rPr>
              <w:t>F1.6；</w:t>
            </w:r>
          </w:p>
          <w:p w14:paraId="2C553306">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焦距：</w:t>
            </w:r>
            <w:r>
              <w:rPr>
                <w:rFonts w:ascii="宋体" w:hAnsi="宋体" w:cs="宋体"/>
                <w:color w:val="auto"/>
                <w:sz w:val="24"/>
                <w:szCs w:val="24"/>
                <w:highlight w:val="none"/>
              </w:rPr>
              <w:t>6mm；</w:t>
            </w:r>
          </w:p>
          <w:p w14:paraId="3AEA7231">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红外灯：最大补光距离</w:t>
            </w:r>
            <w:r>
              <w:rPr>
                <w:rFonts w:ascii="宋体" w:hAnsi="宋体" w:cs="宋体"/>
                <w:color w:val="auto"/>
                <w:sz w:val="24"/>
                <w:szCs w:val="24"/>
                <w:highlight w:val="none"/>
              </w:rPr>
              <w:t>40米；</w:t>
            </w:r>
          </w:p>
          <w:p w14:paraId="25A63968">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白光灯：最大补光距离</w:t>
            </w:r>
            <w:r>
              <w:rPr>
                <w:rFonts w:ascii="宋体" w:hAnsi="宋体" w:cs="宋体"/>
                <w:color w:val="auto"/>
                <w:sz w:val="24"/>
                <w:szCs w:val="24"/>
                <w:highlight w:val="none"/>
              </w:rPr>
              <w:t>10米；</w:t>
            </w:r>
          </w:p>
          <w:p w14:paraId="29FD86FF">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灯光控制：自动</w:t>
            </w:r>
            <w:r>
              <w:rPr>
                <w:rFonts w:ascii="宋体" w:hAnsi="宋体" w:cs="宋体"/>
                <w:color w:val="auto"/>
                <w:sz w:val="24"/>
                <w:szCs w:val="24"/>
                <w:highlight w:val="none"/>
              </w:rPr>
              <w:t>/手动，亮度可调；</w:t>
            </w:r>
          </w:p>
          <w:p w14:paraId="4986753A">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图像设置：亮度、对比度、饱和度、锐度；</w:t>
            </w:r>
          </w:p>
          <w:p w14:paraId="20A74DDE">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最低照度：</w:t>
            </w:r>
            <w:r>
              <w:rPr>
                <w:rFonts w:ascii="宋体" w:hAnsi="宋体" w:cs="宋体"/>
                <w:color w:val="auto"/>
                <w:sz w:val="24"/>
                <w:szCs w:val="24"/>
                <w:highlight w:val="none"/>
              </w:rPr>
              <w:t>0.001Lux（彩色模式）,0.001Lux（黑白模式）,0Lux（补光灯开启）；</w:t>
            </w:r>
          </w:p>
          <w:p w14:paraId="241131DF">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白平衡：自动</w:t>
            </w:r>
            <w:r>
              <w:rPr>
                <w:rFonts w:ascii="宋体" w:hAnsi="宋体" w:cs="宋体"/>
                <w:color w:val="auto"/>
                <w:sz w:val="24"/>
                <w:szCs w:val="24"/>
                <w:highlight w:val="none"/>
              </w:rPr>
              <w:t>/手动；</w:t>
            </w:r>
          </w:p>
          <w:p w14:paraId="68A361CD">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强光抑制：支持；</w:t>
            </w:r>
          </w:p>
          <w:p w14:paraId="3F74126E">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背光补偿；支持；</w:t>
            </w:r>
          </w:p>
          <w:p w14:paraId="4E6C5468">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降噪：支持</w:t>
            </w:r>
            <w:r>
              <w:rPr>
                <w:rFonts w:ascii="宋体" w:hAnsi="宋体" w:cs="宋体"/>
                <w:color w:val="auto"/>
                <w:sz w:val="24"/>
                <w:szCs w:val="24"/>
                <w:highlight w:val="none"/>
              </w:rPr>
              <w:t>2D/3D数字降噪；</w:t>
            </w:r>
          </w:p>
          <w:p w14:paraId="77BE96C2">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宽动态：支持；</w:t>
            </w:r>
          </w:p>
          <w:p w14:paraId="0140792F">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信噪比：≥</w:t>
            </w:r>
            <w:r>
              <w:rPr>
                <w:rFonts w:ascii="宋体" w:hAnsi="宋体" w:cs="宋体"/>
                <w:color w:val="auto"/>
                <w:sz w:val="24"/>
                <w:szCs w:val="24"/>
                <w:highlight w:val="none"/>
              </w:rPr>
              <w:t>56db；</w:t>
            </w:r>
          </w:p>
          <w:p w14:paraId="2472D888">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增益控制：自动</w:t>
            </w:r>
            <w:r>
              <w:rPr>
                <w:rFonts w:ascii="宋体" w:hAnsi="宋体" w:cs="宋体"/>
                <w:color w:val="auto"/>
                <w:sz w:val="24"/>
                <w:szCs w:val="24"/>
                <w:highlight w:val="none"/>
              </w:rPr>
              <w:t>/快门优先/增益优先/手动；</w:t>
            </w:r>
          </w:p>
          <w:p w14:paraId="00BE7BFF">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视频压缩标准：</w:t>
            </w:r>
            <w:r>
              <w:rPr>
                <w:rFonts w:ascii="宋体" w:hAnsi="宋体" w:cs="宋体"/>
                <w:color w:val="auto"/>
                <w:sz w:val="24"/>
                <w:szCs w:val="24"/>
                <w:highlight w:val="none"/>
              </w:rPr>
              <w:t>H.265、H.264、H.264H、H.264B、MJPEG；</w:t>
            </w:r>
          </w:p>
          <w:p w14:paraId="416354E5">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分辨率：码流一：</w:t>
            </w:r>
            <w:r>
              <w:rPr>
                <w:rFonts w:ascii="宋体" w:hAnsi="宋体" w:cs="宋体"/>
                <w:color w:val="auto"/>
                <w:sz w:val="24"/>
                <w:szCs w:val="24"/>
                <w:highlight w:val="none"/>
              </w:rPr>
              <w:t>2560x14401920x10801280*720；码流二：1960*544704x576640*360；</w:t>
            </w:r>
          </w:p>
          <w:p w14:paraId="575BA76B">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视频制式</w:t>
            </w:r>
            <w:r>
              <w:rPr>
                <w:rFonts w:ascii="宋体" w:hAnsi="宋体" w:cs="宋体"/>
                <w:color w:val="auto"/>
                <w:sz w:val="24"/>
                <w:szCs w:val="24"/>
                <w:highlight w:val="none"/>
              </w:rPr>
              <w:t>PAL(25fps)/NTSC(30fps)；</w:t>
            </w:r>
          </w:p>
          <w:p w14:paraId="3A79176E">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码率控制：</w:t>
            </w:r>
            <w:r>
              <w:rPr>
                <w:rFonts w:ascii="宋体" w:hAnsi="宋体" w:cs="宋体"/>
                <w:color w:val="auto"/>
                <w:sz w:val="24"/>
                <w:szCs w:val="24"/>
                <w:highlight w:val="none"/>
              </w:rPr>
              <w:t>CBR/VBR；</w:t>
            </w:r>
          </w:p>
          <w:p w14:paraId="4B89DCB1">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默认码流：</w:t>
            </w:r>
            <w:r>
              <w:rPr>
                <w:rFonts w:ascii="宋体" w:hAnsi="宋体" w:cs="宋体"/>
                <w:color w:val="auto"/>
                <w:sz w:val="24"/>
                <w:szCs w:val="24"/>
                <w:highlight w:val="none"/>
              </w:rPr>
              <w:t>4096kbps(2560×1440)；</w:t>
            </w:r>
          </w:p>
          <w:p w14:paraId="41B298E6">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码率调节范围：主、辅</w:t>
            </w:r>
            <w:r>
              <w:rPr>
                <w:rFonts w:ascii="宋体" w:hAnsi="宋体" w:cs="宋体"/>
                <w:color w:val="auto"/>
                <w:sz w:val="24"/>
                <w:szCs w:val="24"/>
                <w:highlight w:val="none"/>
              </w:rPr>
              <w:t>30Kbps~16Mbps连续可调；</w:t>
            </w:r>
          </w:p>
          <w:p w14:paraId="6CCE62E3">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音频压缩标准：</w:t>
            </w:r>
            <w:r>
              <w:rPr>
                <w:rFonts w:ascii="宋体" w:hAnsi="宋体" w:cs="宋体"/>
                <w:color w:val="auto"/>
                <w:sz w:val="24"/>
                <w:szCs w:val="24"/>
                <w:highlight w:val="none"/>
              </w:rPr>
              <w:t>G.711A,G.711U,G.726,AAC；</w:t>
            </w:r>
          </w:p>
          <w:p w14:paraId="1B64198F">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网络协议：</w:t>
            </w:r>
            <w:r>
              <w:rPr>
                <w:rFonts w:ascii="宋体" w:hAnsi="宋体" w:cs="宋体"/>
                <w:color w:val="auto"/>
                <w:sz w:val="24"/>
                <w:szCs w:val="24"/>
                <w:highlight w:val="none"/>
              </w:rPr>
              <w:t>HTTP,TCP,RTSP,RTP,UDP,RTCP,SMTP,FTP,DHCP,DNS,DDNS,PPPoE,IPv4/v6,UPnP,NTP；</w:t>
            </w:r>
          </w:p>
          <w:p w14:paraId="1D569625">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协议：支持</w:t>
            </w:r>
            <w:r>
              <w:rPr>
                <w:rFonts w:ascii="宋体" w:hAnsi="宋体" w:cs="宋体"/>
                <w:color w:val="auto"/>
                <w:sz w:val="24"/>
                <w:szCs w:val="24"/>
                <w:highlight w:val="none"/>
              </w:rPr>
              <w:t>Onvif,GB28181,GA/T1400,MQTT；</w:t>
            </w:r>
          </w:p>
          <w:p w14:paraId="11FB9ACA">
            <w:pPr>
              <w:numPr>
                <w:ilvl w:val="0"/>
                <w:numId w:val="56"/>
              </w:numPr>
              <w:ind w:firstLine="0"/>
              <w:jc w:val="left"/>
              <w:rPr>
                <w:rFonts w:ascii="宋体" w:hAnsi="宋体" w:cs="宋体"/>
                <w:color w:val="auto"/>
                <w:sz w:val="24"/>
                <w:szCs w:val="24"/>
                <w:highlight w:val="none"/>
              </w:rPr>
            </w:pPr>
            <w:r>
              <w:rPr>
                <w:rFonts w:ascii="宋体" w:hAnsi="宋体" w:cs="宋体"/>
                <w:color w:val="auto"/>
                <w:sz w:val="24"/>
                <w:szCs w:val="24"/>
                <w:highlight w:val="none"/>
              </w:rPr>
              <w:t>5.功能特性参数：</w:t>
            </w:r>
          </w:p>
          <w:p w14:paraId="6BAD29B5">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通用行为分析：区域入侵</w:t>
            </w:r>
            <w:r>
              <w:rPr>
                <w:rFonts w:ascii="宋体" w:hAnsi="宋体" w:cs="宋体"/>
                <w:color w:val="auto"/>
                <w:sz w:val="24"/>
                <w:szCs w:val="24"/>
                <w:highlight w:val="none"/>
              </w:rPr>
              <w:t>,绊线入侵；</w:t>
            </w:r>
          </w:p>
          <w:p w14:paraId="0B1D0145">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报警功能：声光报警</w:t>
            </w:r>
            <w:r>
              <w:rPr>
                <w:rFonts w:ascii="宋体" w:hAnsi="宋体" w:cs="宋体"/>
                <w:color w:val="auto"/>
                <w:sz w:val="24"/>
                <w:szCs w:val="24"/>
                <w:highlight w:val="none"/>
              </w:rPr>
              <w:t>,隐私遮挡报警,移动侦测报警,网络故障报警,语音播报；</w:t>
            </w:r>
          </w:p>
          <w:p w14:paraId="3EA776F7">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录像模式：手动录像</w:t>
            </w:r>
            <w:r>
              <w:rPr>
                <w:rFonts w:ascii="宋体" w:hAnsi="宋体" w:cs="宋体"/>
                <w:color w:val="auto"/>
                <w:sz w:val="24"/>
                <w:szCs w:val="24"/>
                <w:highlight w:val="none"/>
              </w:rPr>
              <w:t>,视频事件检测录像,定时录像,报警录像；</w:t>
            </w:r>
          </w:p>
          <w:p w14:paraId="5A961D65">
            <w:pPr>
              <w:numPr>
                <w:ilvl w:val="0"/>
                <w:numId w:val="56"/>
              </w:numPr>
              <w:ind w:firstLine="0"/>
              <w:jc w:val="left"/>
              <w:rPr>
                <w:rFonts w:ascii="宋体" w:hAnsi="宋体" w:cs="宋体"/>
                <w:color w:val="auto"/>
                <w:sz w:val="24"/>
                <w:szCs w:val="24"/>
                <w:highlight w:val="none"/>
              </w:rPr>
            </w:pPr>
            <w:r>
              <w:rPr>
                <w:rFonts w:ascii="宋体" w:hAnsi="宋体" w:cs="宋体"/>
                <w:color w:val="auto"/>
                <w:sz w:val="24"/>
                <w:szCs w:val="24"/>
                <w:highlight w:val="none"/>
              </w:rPr>
              <w:t>OSD信息叠加时间,通道标题,设备名称,支持自定义；</w:t>
            </w:r>
          </w:p>
          <w:p w14:paraId="17C95E61">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日夜模式：白天、夜晚</w:t>
            </w:r>
            <w:r>
              <w:rPr>
                <w:rFonts w:ascii="宋体" w:hAnsi="宋体" w:cs="宋体"/>
                <w:color w:val="auto"/>
                <w:sz w:val="24"/>
                <w:szCs w:val="24"/>
                <w:highlight w:val="none"/>
              </w:rPr>
              <w:t>,支持定时转换,手动转换,自动转换；</w:t>
            </w:r>
          </w:p>
          <w:p w14:paraId="5AE51596">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隐私遮蔽：支持</w:t>
            </w:r>
            <w:r>
              <w:rPr>
                <w:rFonts w:ascii="宋体" w:hAnsi="宋体" w:cs="宋体"/>
                <w:color w:val="auto"/>
                <w:sz w:val="24"/>
                <w:szCs w:val="24"/>
                <w:highlight w:val="none"/>
              </w:rPr>
              <w:t>4个区域设置；</w:t>
            </w:r>
          </w:p>
          <w:p w14:paraId="79C9171C">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镜像：支持</w:t>
            </w:r>
            <w:r>
              <w:rPr>
                <w:rFonts w:ascii="宋体" w:hAnsi="宋体" w:cs="宋体"/>
                <w:color w:val="auto"/>
                <w:sz w:val="24"/>
                <w:szCs w:val="24"/>
                <w:highlight w:val="none"/>
              </w:rPr>
              <w:t>90°/180°图像翻转；</w:t>
            </w:r>
          </w:p>
          <w:p w14:paraId="2CA6E8FF">
            <w:pPr>
              <w:numPr>
                <w:ilvl w:val="0"/>
                <w:numId w:val="56"/>
              </w:numPr>
              <w:ind w:firstLine="0"/>
              <w:jc w:val="left"/>
              <w:rPr>
                <w:rFonts w:ascii="宋体" w:hAnsi="宋体" w:cs="宋体"/>
                <w:color w:val="auto"/>
                <w:sz w:val="24"/>
                <w:szCs w:val="24"/>
                <w:highlight w:val="none"/>
              </w:rPr>
            </w:pPr>
            <w:r>
              <w:rPr>
                <w:rFonts w:ascii="宋体" w:hAnsi="宋体" w:cs="宋体"/>
                <w:color w:val="auto"/>
                <w:sz w:val="24"/>
                <w:szCs w:val="24"/>
                <w:highlight w:val="none"/>
              </w:rPr>
              <w:t>ROI：支持；</w:t>
            </w:r>
          </w:p>
          <w:p w14:paraId="284F32A7">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检测类型：厨师帽，厨师服，猫、狗，鼠，抽烟，打电话，口罩检测；</w:t>
            </w:r>
          </w:p>
          <w:p w14:paraId="54448005">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检测区域：支持自定义；</w:t>
            </w:r>
          </w:p>
          <w:p w14:paraId="1AFDA00C">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抓拍模式：支持离开后抓拍、实时抓拍、间隔抓拍、实时抓拍</w:t>
            </w:r>
            <w:r>
              <w:rPr>
                <w:rFonts w:ascii="宋体" w:hAnsi="宋体" w:cs="宋体"/>
                <w:color w:val="auto"/>
                <w:sz w:val="24"/>
                <w:szCs w:val="24"/>
                <w:highlight w:val="none"/>
              </w:rPr>
              <w:t>+离开后抓拍、实时抓拍+间隔抓拍；</w:t>
            </w:r>
          </w:p>
          <w:p w14:paraId="656EE530">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检测范围：支持最小</w:t>
            </w:r>
            <w:r>
              <w:rPr>
                <w:rFonts w:ascii="宋体" w:hAnsi="宋体" w:cs="宋体"/>
                <w:color w:val="auto"/>
                <w:sz w:val="24"/>
                <w:szCs w:val="24"/>
                <w:highlight w:val="none"/>
              </w:rPr>
              <w:t>/最大检测目标可调；</w:t>
            </w:r>
          </w:p>
          <w:p w14:paraId="7092E60D">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图片类型：目标图</w:t>
            </w:r>
            <w:r>
              <w:rPr>
                <w:rFonts w:ascii="宋体" w:hAnsi="宋体" w:cs="宋体"/>
                <w:color w:val="auto"/>
                <w:sz w:val="24"/>
                <w:szCs w:val="24"/>
                <w:highlight w:val="none"/>
              </w:rPr>
              <w:t>,全景图；</w:t>
            </w:r>
          </w:p>
          <w:p w14:paraId="175E6BD4">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图片格式：</w:t>
            </w:r>
            <w:r>
              <w:rPr>
                <w:rFonts w:ascii="宋体" w:hAnsi="宋体" w:cs="宋体"/>
                <w:color w:val="auto"/>
                <w:sz w:val="24"/>
                <w:szCs w:val="24"/>
                <w:highlight w:val="none"/>
              </w:rPr>
              <w:t>JPG；</w:t>
            </w:r>
          </w:p>
          <w:p w14:paraId="029A2A78">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网络接口：</w:t>
            </w:r>
            <w:r>
              <w:rPr>
                <w:rFonts w:ascii="宋体" w:hAnsi="宋体" w:cs="宋体"/>
                <w:color w:val="auto"/>
                <w:sz w:val="24"/>
                <w:szCs w:val="24"/>
                <w:highlight w:val="none"/>
              </w:rPr>
              <w:t>1个RJ45，10/100M自适应以太网口，支持PoE供电；</w:t>
            </w:r>
          </w:p>
          <w:p w14:paraId="746A3D06">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电源接口：</w:t>
            </w:r>
            <w:r>
              <w:rPr>
                <w:rFonts w:ascii="宋体" w:hAnsi="宋体" w:cs="宋体"/>
                <w:color w:val="auto"/>
                <w:sz w:val="24"/>
                <w:szCs w:val="24"/>
                <w:highlight w:val="none"/>
              </w:rPr>
              <w:t>DC12V(-15%~+10%)；</w:t>
            </w:r>
          </w:p>
          <w:p w14:paraId="7FC7F812">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报警接口：</w:t>
            </w:r>
            <w:r>
              <w:rPr>
                <w:rFonts w:ascii="宋体" w:hAnsi="宋体" w:cs="宋体"/>
                <w:color w:val="auto"/>
                <w:sz w:val="24"/>
                <w:szCs w:val="24"/>
                <w:highlight w:val="none"/>
              </w:rPr>
              <w:t>1进1出；</w:t>
            </w:r>
          </w:p>
          <w:p w14:paraId="29E459C3">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音频接口；</w:t>
            </w:r>
            <w:r>
              <w:rPr>
                <w:rFonts w:ascii="宋体" w:hAnsi="宋体" w:cs="宋体"/>
                <w:color w:val="auto"/>
                <w:sz w:val="24"/>
                <w:szCs w:val="24"/>
                <w:highlight w:val="none"/>
              </w:rPr>
              <w:t>1路音频输入/1路音频输出（RCA头），内置MIC/扬声器；</w:t>
            </w:r>
          </w:p>
          <w:p w14:paraId="18D7761C">
            <w:pPr>
              <w:numPr>
                <w:ilvl w:val="0"/>
                <w:numId w:val="56"/>
              </w:numPr>
              <w:ind w:firstLine="0"/>
              <w:jc w:val="left"/>
              <w:rPr>
                <w:rFonts w:ascii="宋体" w:hAnsi="宋体" w:cs="宋体"/>
                <w:color w:val="auto"/>
                <w:sz w:val="24"/>
                <w:szCs w:val="24"/>
                <w:highlight w:val="none"/>
              </w:rPr>
            </w:pPr>
            <w:r>
              <w:rPr>
                <w:rFonts w:ascii="宋体" w:hAnsi="宋体" w:cs="宋体"/>
                <w:color w:val="auto"/>
                <w:sz w:val="24"/>
                <w:szCs w:val="24"/>
                <w:highlight w:val="none"/>
              </w:rPr>
              <w:t>SD卡接口：最大容量256GB；</w:t>
            </w:r>
          </w:p>
          <w:p w14:paraId="5F39B28B">
            <w:pPr>
              <w:numPr>
                <w:ilvl w:val="0"/>
                <w:numId w:val="56"/>
              </w:numPr>
              <w:ind w:firstLine="0"/>
              <w:jc w:val="left"/>
              <w:rPr>
                <w:rFonts w:ascii="宋体" w:hAnsi="宋体" w:cs="宋体"/>
                <w:color w:val="auto"/>
                <w:sz w:val="24"/>
                <w:szCs w:val="24"/>
                <w:highlight w:val="none"/>
              </w:rPr>
            </w:pPr>
            <w:r>
              <w:rPr>
                <w:rFonts w:ascii="宋体" w:hAnsi="宋体" w:cs="宋体"/>
                <w:color w:val="auto"/>
                <w:sz w:val="24"/>
                <w:szCs w:val="24"/>
                <w:highlight w:val="none"/>
              </w:rPr>
              <w:t>RS485：预留；</w:t>
            </w:r>
          </w:p>
          <w:p w14:paraId="0B1D8AD5">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复位：软件复位，硬件复位；</w:t>
            </w:r>
          </w:p>
          <w:p w14:paraId="7B5BE490">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安装方式：壁装，吊装；</w:t>
            </w:r>
          </w:p>
          <w:p w14:paraId="26557606">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工作电压：</w:t>
            </w:r>
            <w:r>
              <w:rPr>
                <w:rFonts w:ascii="宋体" w:hAnsi="宋体" w:cs="宋体"/>
                <w:color w:val="auto"/>
                <w:sz w:val="24"/>
                <w:szCs w:val="24"/>
                <w:highlight w:val="none"/>
              </w:rPr>
              <w:t>DC12V(-15%~+10%)/PoE(802.3af选配）；</w:t>
            </w:r>
          </w:p>
          <w:p w14:paraId="1E61B6D9">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功耗</w:t>
            </w:r>
            <w:r>
              <w:rPr>
                <w:rFonts w:ascii="宋体" w:hAnsi="宋体" w:cs="宋体"/>
                <w:color w:val="auto"/>
                <w:sz w:val="24"/>
                <w:szCs w:val="24"/>
                <w:highlight w:val="none"/>
              </w:rPr>
              <w:t>&lt;8W；</w:t>
            </w:r>
          </w:p>
          <w:p w14:paraId="6919BEC6">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工作温度：</w:t>
            </w:r>
            <w:r>
              <w:rPr>
                <w:rFonts w:ascii="宋体" w:hAnsi="宋体" w:cs="宋体"/>
                <w:color w:val="auto"/>
                <w:sz w:val="24"/>
                <w:szCs w:val="24"/>
                <w:highlight w:val="none"/>
              </w:rPr>
              <w:t>-30℃-+60℃；</w:t>
            </w:r>
          </w:p>
          <w:p w14:paraId="0E9CC0A8">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工作湿度：</w:t>
            </w:r>
            <w:r>
              <w:rPr>
                <w:rFonts w:ascii="宋体" w:hAnsi="宋体" w:cs="宋体"/>
                <w:color w:val="auto"/>
                <w:sz w:val="24"/>
                <w:szCs w:val="24"/>
                <w:highlight w:val="none"/>
              </w:rPr>
              <w:t>0%~95%RH（无凝结）；</w:t>
            </w:r>
          </w:p>
          <w:p w14:paraId="6C1FD8D7">
            <w:pPr>
              <w:numPr>
                <w:ilvl w:val="0"/>
                <w:numId w:val="5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防护等级：</w:t>
            </w:r>
            <w:r>
              <w:rPr>
                <w:rFonts w:ascii="宋体" w:hAnsi="宋体" w:cs="宋体"/>
                <w:color w:val="auto"/>
                <w:sz w:val="24"/>
                <w:szCs w:val="24"/>
                <w:highlight w:val="none"/>
              </w:rPr>
              <w:t>IP66；</w:t>
            </w:r>
          </w:p>
          <w:p w14:paraId="79F42E45">
            <w:pPr>
              <w:numPr>
                <w:ilvl w:val="0"/>
                <w:numId w:val="5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音柱设备设备参数：</w:t>
            </w:r>
          </w:p>
          <w:p w14:paraId="6DCB0C14">
            <w:pPr>
              <w:numPr>
                <w:ilvl w:val="0"/>
                <w:numId w:val="57"/>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主要参数：</w:t>
            </w:r>
          </w:p>
          <w:p w14:paraId="39E27050">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机身采用纯铝合金打造，防水性能强，可以直接在户外使用</w:t>
            </w:r>
            <w:r>
              <w:rPr>
                <w:rFonts w:hint="eastAsia" w:ascii="宋体" w:hAnsi="宋体" w:cs="宋体"/>
                <w:color w:val="auto"/>
                <w:sz w:val="24"/>
                <w:szCs w:val="24"/>
                <w:highlight w:val="none"/>
              </w:rPr>
              <w:t>；</w:t>
            </w:r>
          </w:p>
          <w:p w14:paraId="7FCC6038">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内置高效率全频带单元、高灵敏度、声音清晰明亮；</w:t>
            </w:r>
          </w:p>
          <w:p w14:paraId="545E2003">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采用进口功放电路、性能高效、低失真、低损耗；</w:t>
            </w:r>
          </w:p>
          <w:p w14:paraId="071F1CA7">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具有1路非平衡信号输入、插拔式端子；</w:t>
            </w:r>
          </w:p>
          <w:p w14:paraId="5A2C9121">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具有1组短路控制线，控制内存6首歌曲，内置16M音频存储空间，可以通过外置USB接口擦除拷贝6首音乐，通过拨码开关选择预设音乐信号，通过触发播放预设语音节目</w:t>
            </w:r>
            <w:r>
              <w:rPr>
                <w:rFonts w:hint="eastAsia" w:ascii="宋体" w:hAnsi="宋体" w:cs="宋体"/>
                <w:color w:val="auto"/>
                <w:sz w:val="24"/>
                <w:szCs w:val="24"/>
                <w:highlight w:val="none"/>
              </w:rPr>
              <w:t>；</w:t>
            </w:r>
          </w:p>
          <w:p w14:paraId="4A9FBFF0">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适合于室外背景音乐场所、壁挂式安装；</w:t>
            </w:r>
          </w:p>
          <w:p w14:paraId="0AA53624">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额定功率：20W；</w:t>
            </w:r>
          </w:p>
          <w:p w14:paraId="170D5700">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线路输入：10kohms(Ω)300Mv非平衡信号；</w:t>
            </w:r>
          </w:p>
          <w:p w14:paraId="3A980B88">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频响：100Hz-18KHz（±3dB）；</w:t>
            </w:r>
          </w:p>
          <w:p w14:paraId="01535D16">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非线性失真THD：&lt;1%at1kHz，1/3额定输出功率；</w:t>
            </w:r>
          </w:p>
          <w:p w14:paraId="5B69319D">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信噪比S/N：&gt;70dB；</w:t>
            </w:r>
          </w:p>
          <w:p w14:paraId="447306E3">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喇叭单元：4"防水全频单元*1；2"高音*1保护：内置贴片保险丝；</w:t>
            </w:r>
          </w:p>
          <w:p w14:paraId="75EA8C8A">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安装形式：支架式安装；</w:t>
            </w:r>
          </w:p>
          <w:p w14:paraId="4F3DB38A">
            <w:pPr>
              <w:numPr>
                <w:ilvl w:val="0"/>
                <w:numId w:val="58"/>
              </w:numPr>
              <w:ind w:firstLine="0"/>
              <w:jc w:val="left"/>
              <w:rPr>
                <w:rFonts w:ascii="宋体" w:hAnsi="宋体" w:cs="宋体"/>
                <w:color w:val="auto"/>
                <w:sz w:val="24"/>
                <w:szCs w:val="24"/>
                <w:highlight w:val="none"/>
              </w:rPr>
            </w:pPr>
            <w:r>
              <w:rPr>
                <w:rFonts w:ascii="宋体" w:hAnsi="宋体" w:cs="宋体"/>
                <w:color w:val="auto"/>
                <w:sz w:val="24"/>
                <w:szCs w:val="24"/>
                <w:highlight w:val="none"/>
              </w:rPr>
              <w:t>供电电压：AC220V/50Hz；</w:t>
            </w:r>
          </w:p>
          <w:p w14:paraId="5E8BB161">
            <w:pPr>
              <w:numPr>
                <w:ilvl w:val="0"/>
                <w:numId w:val="58"/>
              </w:numPr>
              <w:ind w:firstLine="0"/>
              <w:jc w:val="left"/>
              <w:rPr>
                <w:color w:val="auto"/>
                <w:highlight w:val="none"/>
              </w:rPr>
            </w:pPr>
            <w:r>
              <w:rPr>
                <w:rFonts w:ascii="宋体" w:hAnsi="宋体" w:cs="宋体"/>
                <w:color w:val="auto"/>
                <w:sz w:val="24"/>
                <w:szCs w:val="24"/>
                <w:highlight w:val="none"/>
              </w:rPr>
              <w:t>外壳尺寸：</w:t>
            </w:r>
            <w:r>
              <w:rPr>
                <w:rFonts w:hint="eastAsia" w:ascii="宋体" w:hAnsi="宋体" w:cs="宋体"/>
                <w:color w:val="auto"/>
                <w:kern w:val="0"/>
                <w:sz w:val="24"/>
                <w:szCs w:val="24"/>
                <w:highlight w:val="none"/>
                <w:lang w:bidi="ar"/>
              </w:rPr>
              <w:t>不低于</w:t>
            </w:r>
            <w:r>
              <w:rPr>
                <w:rFonts w:hint="eastAsia" w:ascii="宋体" w:hAnsi="宋体" w:cs="宋体"/>
                <w:color w:val="auto"/>
                <w:sz w:val="24"/>
                <w:szCs w:val="24"/>
                <w:highlight w:val="none"/>
              </w:rPr>
              <w:t>小于</w:t>
            </w:r>
            <w:r>
              <w:rPr>
                <w:rFonts w:ascii="宋体" w:hAnsi="宋体" w:cs="宋体"/>
                <w:color w:val="auto"/>
                <w:sz w:val="24"/>
                <w:szCs w:val="24"/>
                <w:highlight w:val="none"/>
              </w:rPr>
              <w:t>150×96×336mm</w:t>
            </w:r>
            <w:r>
              <w:rPr>
                <w:rFonts w:hint="eastAsia" w:ascii="宋体" w:hAnsi="宋体" w:cs="宋体"/>
                <w:color w:val="auto"/>
                <w:sz w:val="24"/>
                <w:szCs w:val="24"/>
                <w:highlight w:val="none"/>
              </w:rPr>
              <w:t>；</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8DD349">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3D037D">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4109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4FCA0B">
            <w:pPr>
              <w:widowControl/>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7</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E4CB59C">
            <w:pPr>
              <w:jc w:val="center"/>
              <w:rPr>
                <w:rFonts w:ascii="宋体" w:hAnsi="宋体" w:cs="宋体"/>
                <w:color w:val="auto"/>
                <w:sz w:val="24"/>
                <w:szCs w:val="24"/>
                <w:highlight w:val="none"/>
              </w:rPr>
            </w:pPr>
            <w:r>
              <w:rPr>
                <w:rFonts w:ascii="宋体" w:hAnsi="宋体" w:cs="宋体"/>
                <w:color w:val="auto"/>
                <w:sz w:val="24"/>
                <w:szCs w:val="24"/>
                <w:highlight w:val="none"/>
              </w:rPr>
              <w:t>AI盒子</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B0F391">
            <w:pPr>
              <w:numPr>
                <w:ilvl w:val="0"/>
                <w:numId w:val="59"/>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7633D2F1">
            <w:pPr>
              <w:widowControl/>
              <w:numPr>
                <w:ilvl w:val="0"/>
                <w:numId w:val="60"/>
              </w:numPr>
              <w:ind w:left="0"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实现有害生物抓拍并上传系统预警；</w:t>
            </w:r>
          </w:p>
          <w:p w14:paraId="6A39F78A">
            <w:pPr>
              <w:widowControl/>
              <w:numPr>
                <w:ilvl w:val="0"/>
                <w:numId w:val="60"/>
              </w:numPr>
              <w:ind w:left="0"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支持利旧普通摄像头做识别分析；</w:t>
            </w:r>
          </w:p>
          <w:p w14:paraId="008CAB04">
            <w:pPr>
              <w:widowControl/>
              <w:numPr>
                <w:ilvl w:val="0"/>
                <w:numId w:val="60"/>
              </w:numPr>
              <w:ind w:left="0"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支持口罩、工服、工帽三白预警抓拍；</w:t>
            </w:r>
          </w:p>
          <w:p w14:paraId="6D37F6CD">
            <w:pPr>
              <w:numPr>
                <w:ilvl w:val="0"/>
                <w:numId w:val="59"/>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设备参数：</w:t>
            </w:r>
          </w:p>
          <w:p w14:paraId="13262294">
            <w:pPr>
              <w:numPr>
                <w:ilvl w:val="0"/>
                <w:numId w:val="6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基本参数：</w:t>
            </w:r>
          </w:p>
          <w:p w14:paraId="596D0114">
            <w:pPr>
              <w:widowControl/>
              <w:numPr>
                <w:ilvl w:val="0"/>
                <w:numId w:val="62"/>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处理器：六核处理器，双</w:t>
            </w:r>
            <w:r>
              <w:rPr>
                <w:rFonts w:ascii="宋体" w:hAnsi="宋体" w:cs="宋体"/>
                <w:color w:val="auto"/>
                <w:sz w:val="24"/>
                <w:szCs w:val="24"/>
                <w:highlight w:val="none"/>
              </w:rPr>
              <w:t>Cortex-A72+四Cortex-A53大小核CPU结构，频率不低于1.8GHz；</w:t>
            </w:r>
          </w:p>
          <w:p w14:paraId="7429D154">
            <w:pPr>
              <w:widowControl/>
              <w:numPr>
                <w:ilvl w:val="0"/>
                <w:numId w:val="62"/>
              </w:numPr>
              <w:ind w:firstLine="0"/>
              <w:jc w:val="left"/>
              <w:textAlignment w:val="center"/>
              <w:rPr>
                <w:rFonts w:ascii="宋体" w:hAnsi="宋体" w:cs="宋体"/>
                <w:color w:val="auto"/>
                <w:sz w:val="24"/>
                <w:szCs w:val="24"/>
                <w:highlight w:val="none"/>
              </w:rPr>
            </w:pPr>
            <w:r>
              <w:rPr>
                <w:rFonts w:ascii="宋体" w:hAnsi="宋体" w:cs="宋体"/>
                <w:color w:val="auto"/>
                <w:sz w:val="24"/>
                <w:szCs w:val="24"/>
                <w:highlight w:val="none"/>
              </w:rPr>
              <w:t>GPU：</w:t>
            </w:r>
            <w:r>
              <w:rPr>
                <w:rFonts w:hint="eastAsia" w:ascii="宋体" w:hAnsi="宋体" w:cs="宋体"/>
                <w:color w:val="auto"/>
                <w:sz w:val="24"/>
                <w:szCs w:val="24"/>
                <w:highlight w:val="none"/>
              </w:rPr>
              <w:t>四核</w:t>
            </w:r>
            <w:r>
              <w:rPr>
                <w:rFonts w:ascii="宋体" w:hAnsi="宋体" w:cs="宋体"/>
                <w:color w:val="auto"/>
                <w:sz w:val="24"/>
                <w:szCs w:val="24"/>
                <w:highlight w:val="none"/>
              </w:rPr>
              <w:t>GPU，支持OpenGLES1.1/2.0/3.0/3.1，OpenVG1.1，OpenCL；</w:t>
            </w:r>
          </w:p>
          <w:p w14:paraId="6D505B7B">
            <w:pPr>
              <w:numPr>
                <w:ilvl w:val="0"/>
                <w:numId w:val="6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接口参数：</w:t>
            </w:r>
          </w:p>
          <w:p w14:paraId="69A8373C">
            <w:pPr>
              <w:widowControl/>
              <w:numPr>
                <w:ilvl w:val="0"/>
                <w:numId w:val="63"/>
              </w:numPr>
              <w:ind w:firstLine="0"/>
              <w:jc w:val="left"/>
              <w:textAlignment w:val="center"/>
              <w:rPr>
                <w:rFonts w:ascii="宋体" w:hAnsi="宋体" w:cs="宋体"/>
                <w:color w:val="auto"/>
                <w:sz w:val="24"/>
                <w:szCs w:val="24"/>
                <w:highlight w:val="none"/>
              </w:rPr>
            </w:pPr>
            <w:r>
              <w:rPr>
                <w:rFonts w:ascii="宋体" w:hAnsi="宋体" w:cs="宋体"/>
                <w:color w:val="auto"/>
                <w:sz w:val="24"/>
                <w:szCs w:val="24"/>
                <w:highlight w:val="none"/>
              </w:rPr>
              <w:t>USB接口：USBx2；</w:t>
            </w:r>
          </w:p>
          <w:p w14:paraId="6636581F">
            <w:pPr>
              <w:widowControl/>
              <w:numPr>
                <w:ilvl w:val="0"/>
                <w:numId w:val="63"/>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物联网接口：支持</w:t>
            </w:r>
            <w:r>
              <w:rPr>
                <w:rFonts w:ascii="宋体" w:hAnsi="宋体" w:cs="宋体"/>
                <w:color w:val="auto"/>
                <w:sz w:val="24"/>
                <w:szCs w:val="24"/>
                <w:highlight w:val="none"/>
              </w:rPr>
              <w:t>1个RS485；</w:t>
            </w:r>
          </w:p>
          <w:p w14:paraId="5AF436EC">
            <w:pPr>
              <w:numPr>
                <w:ilvl w:val="0"/>
                <w:numId w:val="6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其他参数：</w:t>
            </w:r>
          </w:p>
          <w:p w14:paraId="64C64A40">
            <w:pPr>
              <w:widowControl/>
              <w:numPr>
                <w:ilvl w:val="0"/>
                <w:numId w:val="64"/>
              </w:numPr>
              <w:ind w:firstLine="0"/>
              <w:jc w:val="left"/>
              <w:textAlignment w:val="center"/>
              <w:rPr>
                <w:rFonts w:ascii="宋体" w:hAnsi="宋体" w:cs="宋体"/>
                <w:color w:val="auto"/>
                <w:sz w:val="24"/>
                <w:szCs w:val="24"/>
                <w:highlight w:val="none"/>
              </w:rPr>
            </w:pPr>
            <w:r>
              <w:rPr>
                <w:rFonts w:ascii="宋体" w:hAnsi="宋体" w:cs="宋体"/>
                <w:color w:val="auto"/>
                <w:sz w:val="24"/>
                <w:szCs w:val="24"/>
                <w:highlight w:val="none"/>
              </w:rPr>
              <w:t>DX11，支持AFBC（帧缓冲压缩）；</w:t>
            </w:r>
          </w:p>
          <w:p w14:paraId="63D03227">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内存与</w:t>
            </w:r>
            <w:r>
              <w:rPr>
                <w:rFonts w:ascii="宋体" w:hAnsi="宋体" w:cs="宋体"/>
                <w:color w:val="auto"/>
                <w:sz w:val="24"/>
                <w:szCs w:val="24"/>
                <w:highlight w:val="none"/>
              </w:rPr>
              <w:t>flash：4G内存、64G芯片存储；</w:t>
            </w:r>
          </w:p>
          <w:p w14:paraId="283C6E17">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存储：内置监控级硬盘，最大支持</w:t>
            </w:r>
            <w:r>
              <w:rPr>
                <w:rFonts w:ascii="宋体" w:hAnsi="宋体" w:cs="宋体"/>
                <w:color w:val="auto"/>
                <w:sz w:val="24"/>
                <w:szCs w:val="24"/>
                <w:highlight w:val="none"/>
              </w:rPr>
              <w:t>16TB；</w:t>
            </w:r>
          </w:p>
          <w:p w14:paraId="2057A2E5">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报警输入输出：</w:t>
            </w:r>
            <w:r>
              <w:rPr>
                <w:rFonts w:ascii="宋体" w:hAnsi="宋体" w:cs="宋体"/>
                <w:color w:val="auto"/>
                <w:sz w:val="24"/>
                <w:szCs w:val="24"/>
                <w:highlight w:val="none"/>
              </w:rPr>
              <w:t>GPIO口：2进1出，可接开关量报警探头和联动输出电路控制设备；</w:t>
            </w:r>
          </w:p>
          <w:p w14:paraId="030EBC78">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音频输入输出：</w:t>
            </w:r>
            <w:r>
              <w:rPr>
                <w:rFonts w:ascii="宋体" w:hAnsi="宋体" w:cs="宋体"/>
                <w:color w:val="auto"/>
                <w:sz w:val="24"/>
                <w:szCs w:val="24"/>
                <w:highlight w:val="none"/>
              </w:rPr>
              <w:t>RCA接口1进1出，外部MIC插孔（3.5MM）1个；</w:t>
            </w:r>
          </w:p>
          <w:p w14:paraId="69F12EBF">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视频输出：</w:t>
            </w:r>
            <w:r>
              <w:rPr>
                <w:rFonts w:ascii="宋体" w:hAnsi="宋体" w:cs="宋体"/>
                <w:color w:val="auto"/>
                <w:sz w:val="24"/>
                <w:szCs w:val="24"/>
                <w:highlight w:val="none"/>
              </w:rPr>
              <w:t>HDMIx1；</w:t>
            </w:r>
          </w:p>
          <w:p w14:paraId="0645815E">
            <w:pPr>
              <w:widowControl/>
              <w:numPr>
                <w:ilvl w:val="0"/>
                <w:numId w:val="64"/>
              </w:numPr>
              <w:ind w:firstLine="0"/>
              <w:jc w:val="left"/>
              <w:textAlignment w:val="center"/>
              <w:rPr>
                <w:rFonts w:ascii="宋体" w:hAnsi="宋体" w:cs="宋体"/>
                <w:color w:val="auto"/>
                <w:sz w:val="24"/>
                <w:szCs w:val="24"/>
                <w:highlight w:val="none"/>
              </w:rPr>
            </w:pPr>
            <w:r>
              <w:rPr>
                <w:rFonts w:ascii="宋体" w:hAnsi="宋体" w:cs="宋体"/>
                <w:color w:val="auto"/>
                <w:sz w:val="24"/>
                <w:szCs w:val="24"/>
                <w:highlight w:val="none"/>
              </w:rPr>
              <w:t>WiFi/4G/5G:WiFi/4G/5G；</w:t>
            </w:r>
          </w:p>
          <w:p w14:paraId="65E9E85B">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工作湿度：≤</w:t>
            </w:r>
            <w:r>
              <w:rPr>
                <w:rFonts w:ascii="宋体" w:hAnsi="宋体" w:cs="宋体"/>
                <w:color w:val="auto"/>
                <w:sz w:val="24"/>
                <w:szCs w:val="24"/>
                <w:highlight w:val="none"/>
              </w:rPr>
              <w:t>90%；</w:t>
            </w:r>
          </w:p>
          <w:p w14:paraId="728DFF39">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工作温度：</w:t>
            </w:r>
            <w:r>
              <w:rPr>
                <w:rFonts w:ascii="宋体" w:hAnsi="宋体" w:cs="宋体"/>
                <w:color w:val="auto"/>
                <w:sz w:val="24"/>
                <w:szCs w:val="24"/>
                <w:highlight w:val="none"/>
              </w:rPr>
              <w:t>-10℃~+50℃；</w:t>
            </w:r>
          </w:p>
          <w:p w14:paraId="0CF2CB55">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电源：</w:t>
            </w:r>
            <w:r>
              <w:rPr>
                <w:rFonts w:ascii="宋体" w:hAnsi="宋体" w:cs="宋体"/>
                <w:color w:val="auto"/>
                <w:sz w:val="24"/>
                <w:szCs w:val="24"/>
                <w:highlight w:val="none"/>
              </w:rPr>
              <w:t>DC12V5A；</w:t>
            </w:r>
          </w:p>
          <w:p w14:paraId="2934B16D">
            <w:pPr>
              <w:widowControl/>
              <w:numPr>
                <w:ilvl w:val="0"/>
                <w:numId w:val="64"/>
              </w:numPr>
              <w:ind w:firstLine="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尺寸：</w:t>
            </w:r>
            <w:r>
              <w:rPr>
                <w:rFonts w:hint="eastAsia" w:ascii="宋体" w:hAnsi="宋体" w:cs="宋体"/>
                <w:color w:val="auto"/>
                <w:kern w:val="0"/>
                <w:sz w:val="24"/>
                <w:szCs w:val="24"/>
                <w:highlight w:val="none"/>
                <w:lang w:bidi="ar"/>
              </w:rPr>
              <w:t>不低于</w:t>
            </w:r>
            <w:r>
              <w:rPr>
                <w:rFonts w:ascii="宋体" w:hAnsi="宋体" w:cs="宋体"/>
                <w:color w:val="auto"/>
                <w:sz w:val="24"/>
                <w:szCs w:val="24"/>
                <w:highlight w:val="none"/>
              </w:rPr>
              <w:t>320mm×214mm×40mm（长宽高）；</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3B74A6">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EA8EE3">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2ADD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6E009717">
            <w:pPr>
              <w:widowControl/>
              <w:jc w:val="center"/>
              <w:textAlignment w:val="center"/>
              <w:rPr>
                <w:rFonts w:ascii="宋体" w:hAnsi="宋体" w:cs="宋体"/>
                <w:color w:val="auto"/>
                <w:sz w:val="24"/>
                <w:szCs w:val="24"/>
                <w:highlight w:val="none"/>
              </w:rPr>
            </w:pPr>
            <w:r>
              <w:rPr>
                <w:rFonts w:ascii="宋体" w:hAnsi="宋体" w:cs="宋体"/>
                <w:color w:val="auto"/>
                <w:kern w:val="0"/>
                <w:sz w:val="24"/>
                <w:szCs w:val="24"/>
                <w:highlight w:val="none"/>
                <w:lang w:bidi="ar"/>
              </w:rPr>
              <w:t>8</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5AD2D0C">
            <w:pPr>
              <w:jc w:val="center"/>
              <w:rPr>
                <w:rFonts w:ascii="宋体" w:hAnsi="宋体" w:cs="宋体"/>
                <w:color w:val="auto"/>
                <w:sz w:val="24"/>
                <w:szCs w:val="24"/>
                <w:highlight w:val="none"/>
              </w:rPr>
            </w:pPr>
            <w:r>
              <w:rPr>
                <w:rFonts w:hint="eastAsia" w:ascii="宋体" w:hAnsi="宋体" w:cs="宋体"/>
                <w:color w:val="auto"/>
                <w:sz w:val="24"/>
                <w:szCs w:val="24"/>
                <w:highlight w:val="none"/>
              </w:rPr>
              <w:t>数据驾驶舱</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34FFAB80">
            <w:pPr>
              <w:numPr>
                <w:ilvl w:val="0"/>
                <w:numId w:val="65"/>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2642AB63">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食堂信息公示：食堂证件、经营范围；</w:t>
            </w:r>
          </w:p>
          <w:p w14:paraId="4B47C1BD">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人员健康安全：食堂人员安全：食堂基础信息、出勤晨检、着装行为监管、人员健康安全、烹饪行为监管、意见与反馈等六个维护公示；</w:t>
            </w:r>
          </w:p>
          <w:p w14:paraId="4125FFDA">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菜品、存储环境、添加剂、供货商、农残、留样等六个维度公示；</w:t>
            </w:r>
          </w:p>
          <w:p w14:paraId="33C31996">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智能监管状态公示：设备状态公示；</w:t>
            </w:r>
          </w:p>
          <w:p w14:paraId="37AC3901">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食堂日管控执行进度公示；</w:t>
            </w:r>
          </w:p>
          <w:p w14:paraId="0F785211">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食堂留样公示：留样记录、图片、冰箱状态；</w:t>
            </w:r>
          </w:p>
          <w:p w14:paraId="01A28453">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后厨食安监管：数智场景数据公示；</w:t>
            </w:r>
          </w:p>
          <w:p w14:paraId="22074CA3">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消毒台账公示：环境消毒、餐饮具消毒台账公示；</w:t>
            </w:r>
          </w:p>
          <w:p w14:paraId="026EAFE5">
            <w:pPr>
              <w:numPr>
                <w:ilvl w:val="0"/>
                <w:numId w:val="66"/>
              </w:numPr>
              <w:jc w:val="left"/>
              <w:rPr>
                <w:rFonts w:ascii="宋体" w:hAnsi="宋体" w:cs="宋体"/>
                <w:color w:val="auto"/>
                <w:sz w:val="24"/>
                <w:szCs w:val="24"/>
                <w:highlight w:val="none"/>
              </w:rPr>
            </w:pPr>
            <w:r>
              <w:rPr>
                <w:rFonts w:hint="eastAsia" w:ascii="宋体" w:hAnsi="宋体" w:cs="宋体"/>
                <w:color w:val="auto"/>
                <w:sz w:val="24"/>
                <w:szCs w:val="24"/>
                <w:highlight w:val="none"/>
              </w:rPr>
              <w:t>意见与反馈公示：负责人联系方式公示</w:t>
            </w:r>
          </w:p>
          <w:p w14:paraId="08B6CF5B">
            <w:pPr>
              <w:numPr>
                <w:ilvl w:val="0"/>
                <w:numId w:val="65"/>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数据驾驶舱方案：</w:t>
            </w:r>
          </w:p>
          <w:p w14:paraId="4ACFAFEF">
            <w:pPr>
              <w:numPr>
                <w:ilvl w:val="0"/>
                <w:numId w:val="67"/>
              </w:numPr>
              <w:jc w:val="left"/>
              <w:rPr>
                <w:rFonts w:ascii="宋体" w:hAnsi="宋体" w:cs="宋体"/>
                <w:color w:val="auto"/>
                <w:sz w:val="24"/>
                <w:szCs w:val="24"/>
                <w:highlight w:val="none"/>
              </w:rPr>
            </w:pPr>
            <w:r>
              <w:rPr>
                <w:rFonts w:hint="eastAsia" w:ascii="宋体" w:hAnsi="宋体" w:cs="宋体"/>
                <w:color w:val="auto"/>
                <w:sz w:val="24"/>
                <w:szCs w:val="24"/>
                <w:highlight w:val="none"/>
              </w:rPr>
              <w:t>支持显示出勤信息公示：出勤统计，测温统计，出勤明细，测温明细；</w:t>
            </w:r>
          </w:p>
          <w:p w14:paraId="64502EB5">
            <w:pPr>
              <w:numPr>
                <w:ilvl w:val="0"/>
                <w:numId w:val="67"/>
              </w:numPr>
              <w:jc w:val="left"/>
              <w:rPr>
                <w:rFonts w:ascii="宋体" w:hAnsi="宋体" w:cs="宋体"/>
                <w:color w:val="auto"/>
                <w:sz w:val="24"/>
                <w:szCs w:val="24"/>
                <w:highlight w:val="none"/>
              </w:rPr>
            </w:pPr>
            <w:r>
              <w:rPr>
                <w:rFonts w:hint="eastAsia" w:ascii="宋体" w:hAnsi="宋体" w:cs="宋体"/>
                <w:color w:val="auto"/>
                <w:sz w:val="24"/>
                <w:szCs w:val="24"/>
                <w:highlight w:val="none"/>
              </w:rPr>
              <w:t>支持显示食堂证照信息公示：食堂评分，服务许可证，员工健康证；</w:t>
            </w:r>
          </w:p>
          <w:p w14:paraId="38CE56A6">
            <w:pPr>
              <w:numPr>
                <w:ilvl w:val="0"/>
                <w:numId w:val="67"/>
              </w:numPr>
              <w:jc w:val="left"/>
              <w:rPr>
                <w:rFonts w:ascii="宋体" w:hAnsi="宋体" w:cs="宋体"/>
                <w:color w:val="auto"/>
                <w:sz w:val="24"/>
                <w:szCs w:val="24"/>
                <w:highlight w:val="none"/>
              </w:rPr>
            </w:pPr>
            <w:r>
              <w:rPr>
                <w:rFonts w:hint="eastAsia" w:ascii="宋体" w:hAnsi="宋体" w:cs="宋体"/>
                <w:color w:val="auto"/>
                <w:sz w:val="24"/>
                <w:szCs w:val="24"/>
                <w:highlight w:val="none"/>
              </w:rPr>
              <w:t>支持显示数智管控公示：备餐间空气紫外线消毒状态，餐饮具消毒状态，刀具砧板消毒状态，仓库挡鼠板、红外光栅工作状态，自动灭火工作状态，后厨人员行为管控状态；</w:t>
            </w:r>
          </w:p>
          <w:p w14:paraId="55EBAB29">
            <w:pPr>
              <w:numPr>
                <w:ilvl w:val="0"/>
                <w:numId w:val="67"/>
              </w:numPr>
              <w:jc w:val="left"/>
              <w:rPr>
                <w:rFonts w:ascii="宋体" w:hAnsi="宋体" w:cs="宋体"/>
                <w:color w:val="auto"/>
                <w:sz w:val="24"/>
                <w:szCs w:val="24"/>
                <w:highlight w:val="none"/>
              </w:rPr>
            </w:pPr>
            <w:r>
              <w:rPr>
                <w:rFonts w:hint="eastAsia" w:ascii="宋体" w:hAnsi="宋体" w:cs="宋体"/>
                <w:color w:val="auto"/>
                <w:sz w:val="24"/>
                <w:szCs w:val="24"/>
                <w:highlight w:val="none"/>
              </w:rPr>
              <w:t>支持显示食堂留样公示：食堂留样信息；</w:t>
            </w:r>
          </w:p>
          <w:p w14:paraId="1CCCD148">
            <w:pPr>
              <w:numPr>
                <w:ilvl w:val="0"/>
                <w:numId w:val="67"/>
              </w:numPr>
              <w:jc w:val="left"/>
              <w:rPr>
                <w:rFonts w:ascii="宋体" w:hAnsi="宋体" w:cs="宋体"/>
                <w:color w:val="auto"/>
                <w:sz w:val="24"/>
                <w:szCs w:val="24"/>
                <w:highlight w:val="none"/>
              </w:rPr>
            </w:pPr>
            <w:r>
              <w:rPr>
                <w:rFonts w:hint="eastAsia" w:ascii="宋体" w:hAnsi="宋体" w:cs="宋体"/>
                <w:color w:val="auto"/>
                <w:sz w:val="24"/>
                <w:szCs w:val="24"/>
                <w:highlight w:val="none"/>
              </w:rPr>
              <w:t>支持显示食堂交流公示：食客建议信息，食堂服务提升回复信息，营业时间，食堂负责人信息；</w:t>
            </w:r>
          </w:p>
          <w:p w14:paraId="30E7A817">
            <w:pPr>
              <w:numPr>
                <w:ilvl w:val="0"/>
                <w:numId w:val="67"/>
              </w:numPr>
              <w:jc w:val="left"/>
              <w:rPr>
                <w:rFonts w:ascii="宋体" w:hAnsi="宋体" w:cs="宋体"/>
                <w:color w:val="auto"/>
                <w:sz w:val="24"/>
                <w:szCs w:val="24"/>
                <w:highlight w:val="none"/>
              </w:rPr>
            </w:pPr>
            <w:r>
              <w:rPr>
                <w:rFonts w:hint="eastAsia" w:ascii="宋体" w:hAnsi="宋体" w:cs="宋体"/>
                <w:color w:val="auto"/>
                <w:sz w:val="24"/>
                <w:szCs w:val="24"/>
                <w:highlight w:val="none"/>
              </w:rPr>
              <w:t>支持显示食堂检测公示：农药残留检测信息，添加剂使用检测信息；</w:t>
            </w:r>
          </w:p>
          <w:p w14:paraId="51EF05CB">
            <w:pPr>
              <w:numPr>
                <w:ilvl w:val="0"/>
                <w:numId w:val="67"/>
              </w:numPr>
              <w:jc w:val="left"/>
              <w:rPr>
                <w:rFonts w:ascii="宋体" w:hAnsi="宋体" w:cs="宋体"/>
                <w:color w:val="auto"/>
                <w:sz w:val="24"/>
                <w:szCs w:val="24"/>
                <w:highlight w:val="none"/>
              </w:rPr>
            </w:pPr>
            <w:r>
              <w:rPr>
                <w:rFonts w:hint="eastAsia" w:ascii="宋体" w:hAnsi="宋体" w:cs="宋体"/>
                <w:color w:val="auto"/>
                <w:sz w:val="24"/>
                <w:szCs w:val="24"/>
                <w:highlight w:val="none"/>
              </w:rPr>
              <w:t>支持显示环境公示：用餐大厅温湿度，主食</w:t>
            </w:r>
            <w:r>
              <w:rPr>
                <w:rFonts w:ascii="宋体" w:hAnsi="宋体" w:cs="宋体"/>
                <w:color w:val="auto"/>
                <w:sz w:val="24"/>
                <w:szCs w:val="24"/>
                <w:highlight w:val="none"/>
              </w:rPr>
              <w:t>/副食仓库温湿度，备餐间温湿度，食堂主要区域视频播放（明厨亮灶）；</w:t>
            </w:r>
          </w:p>
          <w:p w14:paraId="7894042E">
            <w:pPr>
              <w:numPr>
                <w:ilvl w:val="0"/>
                <w:numId w:val="65"/>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75寸屏幕设备参数：</w:t>
            </w:r>
          </w:p>
          <w:p w14:paraId="3E98F768">
            <w:pPr>
              <w:pStyle w:val="22"/>
              <w:numPr>
                <w:ilvl w:val="0"/>
                <w:numId w:val="55"/>
              </w:numPr>
              <w:ind w:left="0" w:firstLine="0"/>
              <w:rPr>
                <w:color w:val="auto"/>
                <w:highlight w:val="none"/>
              </w:rPr>
            </w:pPr>
            <w:r>
              <w:rPr>
                <w:rFonts w:hint="eastAsia" w:ascii="宋体" w:hAnsi="宋体" w:eastAsia="宋体" w:cs="宋体"/>
                <w:color w:val="auto"/>
                <w:sz w:val="24"/>
                <w:szCs w:val="24"/>
                <w:highlight w:val="none"/>
              </w:rPr>
              <w:t>主要参数：</w:t>
            </w:r>
          </w:p>
          <w:p w14:paraId="349FC436">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背光类型：</w:t>
            </w:r>
            <w:r>
              <w:rPr>
                <w:rFonts w:ascii="宋体" w:hAnsi="宋体" w:cs="宋体"/>
                <w:color w:val="auto"/>
                <w:sz w:val="24"/>
                <w:szCs w:val="24"/>
                <w:highlight w:val="none"/>
              </w:rPr>
              <w:t>LED；</w:t>
            </w:r>
          </w:p>
          <w:p w14:paraId="00C37891">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屏幕分辨率：</w:t>
            </w:r>
            <w:r>
              <w:rPr>
                <w:rFonts w:ascii="宋体" w:hAnsi="宋体" w:cs="宋体"/>
                <w:color w:val="auto"/>
                <w:sz w:val="24"/>
                <w:szCs w:val="24"/>
                <w:highlight w:val="none"/>
              </w:rPr>
              <w:t>3840（H）*2160（V）；</w:t>
            </w:r>
          </w:p>
          <w:p w14:paraId="64D9B6A0">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视角：</w:t>
            </w:r>
            <w:r>
              <w:rPr>
                <w:rFonts w:ascii="宋体" w:hAnsi="宋体" w:cs="宋体"/>
                <w:color w:val="auto"/>
                <w:sz w:val="24"/>
                <w:szCs w:val="24"/>
                <w:highlight w:val="none"/>
              </w:rPr>
              <w:t>178°；</w:t>
            </w:r>
          </w:p>
          <w:p w14:paraId="66313012">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颜色：</w:t>
            </w:r>
            <w:r>
              <w:rPr>
                <w:rFonts w:ascii="宋体" w:hAnsi="宋体" w:cs="宋体"/>
                <w:color w:val="auto"/>
                <w:sz w:val="24"/>
                <w:szCs w:val="24"/>
                <w:highlight w:val="none"/>
              </w:rPr>
              <w:t>66.8m；</w:t>
            </w:r>
          </w:p>
          <w:p w14:paraId="72BE6959">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亮度：</w:t>
            </w:r>
            <w:r>
              <w:rPr>
                <w:rFonts w:ascii="宋体" w:hAnsi="宋体" w:cs="宋体"/>
                <w:color w:val="auto"/>
                <w:sz w:val="24"/>
                <w:szCs w:val="24"/>
                <w:highlight w:val="none"/>
              </w:rPr>
              <w:t>350（cd/m2）10±；</w:t>
            </w:r>
          </w:p>
          <w:p w14:paraId="235B044D">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对比度：</w:t>
            </w:r>
            <w:r>
              <w:rPr>
                <w:rFonts w:ascii="宋体" w:hAnsi="宋体" w:cs="宋体"/>
                <w:color w:val="auto"/>
                <w:sz w:val="24"/>
                <w:szCs w:val="24"/>
                <w:highlight w:val="none"/>
              </w:rPr>
              <w:t>4000:1；</w:t>
            </w:r>
          </w:p>
          <w:p w14:paraId="1C98A216">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响应时间：</w:t>
            </w:r>
            <w:r>
              <w:rPr>
                <w:rFonts w:ascii="宋体" w:hAnsi="宋体" w:cs="宋体"/>
                <w:color w:val="auto"/>
                <w:sz w:val="24"/>
                <w:szCs w:val="24"/>
                <w:highlight w:val="none"/>
              </w:rPr>
              <w:t>6ms；</w:t>
            </w:r>
          </w:p>
          <w:p w14:paraId="733BCB41">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高清视频输入（</w:t>
            </w:r>
            <w:r>
              <w:rPr>
                <w:rFonts w:ascii="宋体" w:hAnsi="宋体" w:cs="宋体"/>
                <w:color w:val="auto"/>
                <w:sz w:val="24"/>
                <w:szCs w:val="24"/>
                <w:highlight w:val="none"/>
              </w:rPr>
              <w:t>HDMI）端口：二组；</w:t>
            </w:r>
          </w:p>
          <w:p w14:paraId="76AA1650">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模拟信号输入（</w:t>
            </w:r>
            <w:r>
              <w:rPr>
                <w:rFonts w:ascii="宋体" w:hAnsi="宋体" w:cs="宋体"/>
                <w:color w:val="auto"/>
                <w:sz w:val="24"/>
                <w:szCs w:val="24"/>
                <w:highlight w:val="none"/>
              </w:rPr>
              <w:t>RF）端口：一组；</w:t>
            </w:r>
          </w:p>
          <w:p w14:paraId="2D1E856B">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标准视频输入（</w:t>
            </w:r>
            <w:r>
              <w:rPr>
                <w:rFonts w:ascii="宋体" w:hAnsi="宋体" w:cs="宋体"/>
                <w:color w:val="auto"/>
                <w:sz w:val="24"/>
                <w:szCs w:val="24"/>
                <w:highlight w:val="none"/>
              </w:rPr>
              <w:t>AV）端口：二组；</w:t>
            </w:r>
          </w:p>
          <w:p w14:paraId="26B62B85">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音频输出（</w:t>
            </w:r>
            <w:r>
              <w:rPr>
                <w:rFonts w:ascii="宋体" w:hAnsi="宋体" w:cs="宋体"/>
                <w:color w:val="auto"/>
                <w:sz w:val="24"/>
                <w:szCs w:val="24"/>
                <w:highlight w:val="none"/>
              </w:rPr>
              <w:t>EARPHONE　OUT）端口：一组；</w:t>
            </w:r>
          </w:p>
          <w:p w14:paraId="4CCD3592">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运行内存：</w:t>
            </w:r>
            <w:r>
              <w:rPr>
                <w:rFonts w:ascii="宋体" w:hAnsi="宋体" w:cs="宋体"/>
                <w:color w:val="auto"/>
                <w:sz w:val="24"/>
                <w:szCs w:val="24"/>
                <w:highlight w:val="none"/>
              </w:rPr>
              <w:t>1G，机身内存8G；</w:t>
            </w:r>
          </w:p>
          <w:p w14:paraId="4906ACC7">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多媒体（</w:t>
            </w:r>
            <w:r>
              <w:rPr>
                <w:rFonts w:ascii="宋体" w:hAnsi="宋体" w:cs="宋体"/>
                <w:color w:val="auto"/>
                <w:sz w:val="24"/>
                <w:szCs w:val="24"/>
                <w:highlight w:val="none"/>
              </w:rPr>
              <w:t>USB3.0）端口：一组；</w:t>
            </w:r>
          </w:p>
          <w:p w14:paraId="1F137133">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电视系统：安卓系统</w:t>
            </w:r>
            <w:r>
              <w:rPr>
                <w:rFonts w:ascii="宋体" w:hAnsi="宋体" w:cs="宋体"/>
                <w:color w:val="auto"/>
                <w:sz w:val="24"/>
                <w:szCs w:val="24"/>
                <w:highlight w:val="none"/>
              </w:rPr>
              <w:tab/>
            </w:r>
            <w:r>
              <w:rPr>
                <w:rFonts w:ascii="宋体" w:hAnsi="宋体" w:cs="宋体"/>
                <w:color w:val="auto"/>
                <w:sz w:val="24"/>
                <w:szCs w:val="24"/>
                <w:highlight w:val="none"/>
              </w:rPr>
              <w:t>9；</w:t>
            </w:r>
          </w:p>
          <w:p w14:paraId="6AFC11FF">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图像制式：</w:t>
            </w:r>
            <w:r>
              <w:rPr>
                <w:rFonts w:ascii="宋体" w:hAnsi="宋体" w:cs="宋体"/>
                <w:color w:val="auto"/>
                <w:sz w:val="24"/>
                <w:szCs w:val="24"/>
                <w:highlight w:val="none"/>
              </w:rPr>
              <w:t>PAL/NTSC/SECAM；</w:t>
            </w:r>
          </w:p>
          <w:p w14:paraId="1A1FC2CF">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声音制式：</w:t>
            </w:r>
            <w:r>
              <w:rPr>
                <w:rFonts w:ascii="宋体" w:hAnsi="宋体" w:cs="宋体"/>
                <w:color w:val="auto"/>
                <w:sz w:val="24"/>
                <w:szCs w:val="24"/>
                <w:highlight w:val="none"/>
              </w:rPr>
              <w:t>DK/I/BG；</w:t>
            </w:r>
          </w:p>
          <w:p w14:paraId="152E53D5">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喇叭类型：内置喇叭高低音；</w:t>
            </w:r>
          </w:p>
          <w:p w14:paraId="1D2BA67E">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喇叭功率：</w:t>
            </w:r>
            <w:r>
              <w:rPr>
                <w:rFonts w:ascii="宋体" w:hAnsi="宋体" w:cs="宋体"/>
                <w:color w:val="auto"/>
                <w:sz w:val="24"/>
                <w:szCs w:val="24"/>
                <w:highlight w:val="none"/>
              </w:rPr>
              <w:t>8Ω10W；</w:t>
            </w:r>
          </w:p>
          <w:p w14:paraId="67D098C5">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相对湿度：≤</w:t>
            </w:r>
            <w:r>
              <w:rPr>
                <w:rFonts w:ascii="宋体" w:hAnsi="宋体" w:cs="宋体"/>
                <w:color w:val="auto"/>
                <w:sz w:val="24"/>
                <w:szCs w:val="24"/>
                <w:highlight w:val="none"/>
              </w:rPr>
              <w:t>80%；</w:t>
            </w:r>
          </w:p>
          <w:p w14:paraId="23A7AEE3">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存储湿度：</w:t>
            </w:r>
            <w:r>
              <w:rPr>
                <w:rFonts w:ascii="宋体" w:hAnsi="宋体" w:cs="宋体"/>
                <w:color w:val="auto"/>
                <w:sz w:val="24"/>
                <w:szCs w:val="24"/>
                <w:highlight w:val="none"/>
              </w:rPr>
              <w:t>-10～60℃；</w:t>
            </w:r>
          </w:p>
          <w:p w14:paraId="09609038">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使用湿度：</w:t>
            </w:r>
            <w:r>
              <w:rPr>
                <w:rFonts w:ascii="宋体" w:hAnsi="宋体" w:cs="宋体"/>
                <w:color w:val="auto"/>
                <w:sz w:val="24"/>
                <w:szCs w:val="24"/>
                <w:highlight w:val="none"/>
              </w:rPr>
              <w:t>0～40℃；</w:t>
            </w:r>
          </w:p>
          <w:p w14:paraId="612481E7">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输入电压：交流电</w:t>
            </w:r>
            <w:r>
              <w:rPr>
                <w:rFonts w:ascii="宋体" w:hAnsi="宋体" w:cs="宋体"/>
                <w:color w:val="auto"/>
                <w:sz w:val="24"/>
                <w:szCs w:val="24"/>
                <w:highlight w:val="none"/>
              </w:rPr>
              <w:t>110～240V50/60Hz；</w:t>
            </w:r>
          </w:p>
          <w:p w14:paraId="363B86B9">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功耗：</w:t>
            </w:r>
            <w:r>
              <w:rPr>
                <w:rFonts w:ascii="宋体" w:hAnsi="宋体" w:cs="宋体"/>
                <w:color w:val="auto"/>
                <w:sz w:val="24"/>
                <w:szCs w:val="24"/>
                <w:highlight w:val="none"/>
              </w:rPr>
              <w:t>280W；</w:t>
            </w:r>
          </w:p>
          <w:p w14:paraId="1E8A9863">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中国能效标识等级：</w:t>
            </w:r>
            <w:r>
              <w:rPr>
                <w:rFonts w:ascii="宋体" w:hAnsi="宋体" w:cs="宋体"/>
                <w:color w:val="auto"/>
                <w:sz w:val="24"/>
                <w:szCs w:val="24"/>
                <w:highlight w:val="none"/>
              </w:rPr>
              <w:t>3级；</w:t>
            </w:r>
          </w:p>
          <w:p w14:paraId="0C803A35">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电源规格：三合一电源（主板</w:t>
            </w:r>
            <w:r>
              <w:rPr>
                <w:rFonts w:ascii="宋体" w:hAnsi="宋体" w:cs="宋体"/>
                <w:color w:val="auto"/>
                <w:sz w:val="24"/>
                <w:szCs w:val="24"/>
                <w:highlight w:val="none"/>
              </w:rPr>
              <w:t>+背光+电源）；</w:t>
            </w:r>
          </w:p>
          <w:p w14:paraId="519CD18D">
            <w:pPr>
              <w:numPr>
                <w:ilvl w:val="0"/>
                <w:numId w:val="6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待机功率：＜</w:t>
            </w:r>
            <w:r>
              <w:rPr>
                <w:rFonts w:ascii="宋体" w:hAnsi="宋体" w:cs="宋体"/>
                <w:color w:val="auto"/>
                <w:sz w:val="24"/>
                <w:szCs w:val="24"/>
                <w:highlight w:val="none"/>
              </w:rPr>
              <w:t>0.5W；</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F938355">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725FBD32">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25B5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3176394">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9</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C2EB214">
            <w:pPr>
              <w:jc w:val="center"/>
              <w:rPr>
                <w:rFonts w:ascii="宋体" w:hAnsi="宋体" w:cs="宋体"/>
                <w:color w:val="auto"/>
                <w:sz w:val="24"/>
                <w:szCs w:val="24"/>
                <w:highlight w:val="none"/>
              </w:rPr>
            </w:pPr>
            <w:r>
              <w:rPr>
                <w:rFonts w:hint="eastAsia" w:ascii="宋体" w:hAnsi="宋体" w:cs="宋体"/>
                <w:color w:val="auto"/>
                <w:sz w:val="24"/>
                <w:szCs w:val="24"/>
                <w:highlight w:val="none"/>
              </w:rPr>
              <w:t>食安服务终端</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771C448A">
            <w:pPr>
              <w:numPr>
                <w:ilvl w:val="0"/>
                <w:numId w:val="69"/>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5AE66A96">
            <w:pPr>
              <w:numPr>
                <w:ilvl w:val="0"/>
                <w:numId w:val="70"/>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可进行食堂菜品宣传、电子台账、明厨亮灶视频展示，可进行评价点评；</w:t>
            </w:r>
          </w:p>
          <w:p w14:paraId="0E63662F">
            <w:pPr>
              <w:numPr>
                <w:ilvl w:val="0"/>
                <w:numId w:val="70"/>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用餐人员用餐反馈意见收集，统一渠道收集</w:t>
            </w:r>
            <w:r>
              <w:rPr>
                <w:rFonts w:ascii="宋体" w:hAnsi="宋体" w:cs="宋体"/>
                <w:color w:val="auto"/>
                <w:sz w:val="24"/>
                <w:szCs w:val="24"/>
                <w:highlight w:val="none"/>
              </w:rPr>
              <w:t>/答复食堂信息；</w:t>
            </w:r>
          </w:p>
          <w:p w14:paraId="3DECE875">
            <w:pPr>
              <w:numPr>
                <w:ilvl w:val="0"/>
                <w:numId w:val="69"/>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设备参数</w:t>
            </w:r>
          </w:p>
          <w:p w14:paraId="37232777">
            <w:pPr>
              <w:pStyle w:val="22"/>
              <w:numPr>
                <w:ilvl w:val="0"/>
                <w:numId w:val="71"/>
              </w:numPr>
              <w:ind w:left="0" w:firstLine="0"/>
              <w:rPr>
                <w:rFonts w:ascii="宋体" w:hAnsi="宋体" w:cs="宋体"/>
                <w:color w:val="auto"/>
                <w:sz w:val="24"/>
                <w:szCs w:val="24"/>
                <w:highlight w:val="none"/>
              </w:rPr>
            </w:pPr>
            <w:r>
              <w:rPr>
                <w:rFonts w:hint="eastAsia" w:ascii="宋体" w:hAnsi="宋体" w:eastAsia="宋体" w:cs="宋体"/>
                <w:color w:val="auto"/>
                <w:sz w:val="24"/>
                <w:szCs w:val="24"/>
                <w:highlight w:val="none"/>
              </w:rPr>
              <w:t>显示</w:t>
            </w:r>
            <w:r>
              <w:rPr>
                <w:rFonts w:ascii="宋体" w:hAnsi="宋体" w:eastAsia="宋体" w:cs="宋体"/>
                <w:color w:val="auto"/>
                <w:sz w:val="24"/>
                <w:szCs w:val="24"/>
                <w:highlight w:val="none"/>
              </w:rPr>
              <w:t>/触摸参数：</w:t>
            </w:r>
          </w:p>
          <w:p w14:paraId="2A3F4E23">
            <w:pPr>
              <w:numPr>
                <w:ilvl w:val="0"/>
                <w:numId w:val="7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液晶等级：全新</w:t>
            </w:r>
            <w:r>
              <w:rPr>
                <w:rFonts w:ascii="宋体" w:hAnsi="宋体" w:cs="宋体"/>
                <w:color w:val="auto"/>
                <w:sz w:val="24"/>
                <w:szCs w:val="24"/>
                <w:highlight w:val="none"/>
              </w:rPr>
              <w:t>A+品牌液晶面板</w:t>
            </w:r>
          </w:p>
          <w:p w14:paraId="242EBCF7">
            <w:pPr>
              <w:numPr>
                <w:ilvl w:val="0"/>
                <w:numId w:val="7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液晶尺寸：不小于</w:t>
            </w:r>
            <w:r>
              <w:rPr>
                <w:rFonts w:ascii="宋体" w:hAnsi="宋体" w:cs="宋体"/>
                <w:color w:val="auto"/>
                <w:sz w:val="24"/>
                <w:szCs w:val="24"/>
                <w:highlight w:val="none"/>
              </w:rPr>
              <w:t>43英寸；</w:t>
            </w:r>
          </w:p>
          <w:p w14:paraId="1654E7A0">
            <w:pPr>
              <w:numPr>
                <w:ilvl w:val="0"/>
                <w:numId w:val="7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背光类型：</w:t>
            </w:r>
            <w:r>
              <w:rPr>
                <w:rFonts w:ascii="宋体" w:hAnsi="宋体" w:cs="宋体"/>
                <w:color w:val="auto"/>
                <w:sz w:val="24"/>
                <w:szCs w:val="24"/>
                <w:highlight w:val="none"/>
              </w:rPr>
              <w:t>E-LED；</w:t>
            </w:r>
          </w:p>
          <w:p w14:paraId="732DE6E6">
            <w:pPr>
              <w:numPr>
                <w:ilvl w:val="0"/>
                <w:numId w:val="7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分辨率：</w:t>
            </w:r>
            <w:r>
              <w:rPr>
                <w:rFonts w:ascii="宋体" w:hAnsi="宋体" w:cs="宋体"/>
                <w:color w:val="auto"/>
                <w:sz w:val="24"/>
                <w:szCs w:val="24"/>
                <w:highlight w:val="none"/>
              </w:rPr>
              <w:t>1920*1080；</w:t>
            </w:r>
          </w:p>
          <w:p w14:paraId="6591824A">
            <w:pPr>
              <w:numPr>
                <w:ilvl w:val="0"/>
                <w:numId w:val="7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显示亮度：≥</w:t>
            </w:r>
            <w:r>
              <w:rPr>
                <w:rFonts w:ascii="宋体" w:hAnsi="宋体" w:cs="宋体"/>
                <w:color w:val="auto"/>
                <w:sz w:val="24"/>
                <w:szCs w:val="24"/>
                <w:highlight w:val="none"/>
              </w:rPr>
              <w:t>350cd；</w:t>
            </w:r>
          </w:p>
          <w:p w14:paraId="19075CAC">
            <w:pPr>
              <w:numPr>
                <w:ilvl w:val="0"/>
                <w:numId w:val="72"/>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触摸方案：电容</w:t>
            </w:r>
            <w:r>
              <w:rPr>
                <w:rFonts w:ascii="宋体" w:hAnsi="宋体" w:cs="宋体"/>
                <w:color w:val="auto"/>
                <w:sz w:val="24"/>
                <w:szCs w:val="24"/>
                <w:highlight w:val="none"/>
              </w:rPr>
              <w:t>G+G；</w:t>
            </w:r>
          </w:p>
          <w:p w14:paraId="7D76F197">
            <w:pPr>
              <w:pStyle w:val="22"/>
              <w:numPr>
                <w:ilvl w:val="0"/>
                <w:numId w:val="71"/>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系统参数：</w:t>
            </w:r>
          </w:p>
          <w:p w14:paraId="29F6C591">
            <w:pPr>
              <w:numPr>
                <w:ilvl w:val="0"/>
                <w:numId w:val="73"/>
              </w:numPr>
              <w:ind w:firstLine="0"/>
              <w:jc w:val="left"/>
              <w:rPr>
                <w:rFonts w:ascii="宋体" w:hAnsi="宋体" w:cs="宋体"/>
                <w:color w:val="auto"/>
                <w:sz w:val="24"/>
                <w:szCs w:val="24"/>
                <w:highlight w:val="none"/>
              </w:rPr>
            </w:pPr>
            <w:r>
              <w:rPr>
                <w:rFonts w:ascii="宋体" w:hAnsi="宋体" w:cs="宋体"/>
                <w:color w:val="auto"/>
                <w:sz w:val="24"/>
                <w:szCs w:val="24"/>
                <w:highlight w:val="none"/>
              </w:rPr>
              <w:t>CPU：四核，主频不低于2.0GHz；</w:t>
            </w:r>
          </w:p>
          <w:p w14:paraId="1F07FC75">
            <w:pPr>
              <w:numPr>
                <w:ilvl w:val="0"/>
                <w:numId w:val="73"/>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内存：</w:t>
            </w:r>
            <w:r>
              <w:rPr>
                <w:rFonts w:ascii="宋体" w:hAnsi="宋体" w:cs="宋体"/>
                <w:color w:val="auto"/>
                <w:sz w:val="24"/>
                <w:szCs w:val="24"/>
                <w:highlight w:val="none"/>
              </w:rPr>
              <w:t>2+16GB；</w:t>
            </w:r>
          </w:p>
          <w:p w14:paraId="26E0D8FD">
            <w:pPr>
              <w:numPr>
                <w:ilvl w:val="0"/>
                <w:numId w:val="73"/>
              </w:numPr>
              <w:ind w:firstLine="0"/>
              <w:jc w:val="left"/>
              <w:rPr>
                <w:rFonts w:ascii="宋体" w:hAnsi="宋体" w:cs="宋体"/>
                <w:color w:val="auto"/>
                <w:sz w:val="24"/>
                <w:szCs w:val="24"/>
                <w:highlight w:val="none"/>
              </w:rPr>
            </w:pPr>
            <w:r>
              <w:rPr>
                <w:rFonts w:ascii="宋体" w:hAnsi="宋体" w:cs="宋体"/>
                <w:color w:val="auto"/>
                <w:sz w:val="24"/>
                <w:szCs w:val="24"/>
                <w:highlight w:val="none"/>
              </w:rPr>
              <w:t>NPU：支持1Tops算力；</w:t>
            </w:r>
          </w:p>
          <w:p w14:paraId="3AD44891">
            <w:pPr>
              <w:numPr>
                <w:ilvl w:val="0"/>
                <w:numId w:val="73"/>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操作系统：安卓</w:t>
            </w:r>
            <w:r>
              <w:rPr>
                <w:rFonts w:ascii="宋体" w:hAnsi="宋体" w:cs="宋体"/>
                <w:color w:val="auto"/>
                <w:sz w:val="24"/>
                <w:szCs w:val="24"/>
                <w:highlight w:val="none"/>
              </w:rPr>
              <w:t>11；</w:t>
            </w:r>
          </w:p>
          <w:p w14:paraId="31C048E9">
            <w:pPr>
              <w:numPr>
                <w:ilvl w:val="0"/>
                <w:numId w:val="73"/>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网络通讯：以太网</w:t>
            </w:r>
            <w:r>
              <w:rPr>
                <w:rFonts w:ascii="宋体" w:hAnsi="宋体" w:cs="宋体"/>
                <w:color w:val="auto"/>
                <w:sz w:val="24"/>
                <w:szCs w:val="24"/>
                <w:highlight w:val="none"/>
              </w:rPr>
              <w:t>+WiFi；</w:t>
            </w:r>
          </w:p>
          <w:p w14:paraId="67B53BB1">
            <w:pPr>
              <w:numPr>
                <w:ilvl w:val="0"/>
                <w:numId w:val="73"/>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音频功放：内置</w:t>
            </w:r>
            <w:r>
              <w:rPr>
                <w:rFonts w:ascii="宋体" w:hAnsi="宋体" w:cs="宋体"/>
                <w:color w:val="auto"/>
                <w:sz w:val="24"/>
                <w:szCs w:val="24"/>
                <w:highlight w:val="none"/>
              </w:rPr>
              <w:t>2路8欧5瓦优质喇叭；</w:t>
            </w:r>
          </w:p>
          <w:p w14:paraId="7D66D7D6">
            <w:pPr>
              <w:numPr>
                <w:ilvl w:val="0"/>
                <w:numId w:val="73"/>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开关设备：支持定时开关、遥控开关、通电自启等方式开关机；</w:t>
            </w:r>
          </w:p>
          <w:p w14:paraId="52DFAC56">
            <w:pPr>
              <w:pStyle w:val="22"/>
              <w:numPr>
                <w:ilvl w:val="0"/>
                <w:numId w:val="71"/>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机身参数：</w:t>
            </w:r>
          </w:p>
          <w:p w14:paraId="60657AC8">
            <w:pPr>
              <w:numPr>
                <w:ilvl w:val="0"/>
                <w:numId w:val="7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边框材质：铝型材（氧化拉丝工艺）；</w:t>
            </w:r>
          </w:p>
          <w:p w14:paraId="59900F64">
            <w:pPr>
              <w:numPr>
                <w:ilvl w:val="0"/>
                <w:numId w:val="7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机身材质：镀锌板（金属喷涂工艺）；</w:t>
            </w:r>
          </w:p>
          <w:p w14:paraId="5B80E9D4">
            <w:pPr>
              <w:numPr>
                <w:ilvl w:val="0"/>
                <w:numId w:val="7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表面材质：钢化玻璃（物理钢化工艺）；</w:t>
            </w:r>
          </w:p>
          <w:p w14:paraId="79B53034">
            <w:pPr>
              <w:numPr>
                <w:ilvl w:val="0"/>
                <w:numId w:val="7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机身尺寸：不大于</w:t>
            </w:r>
            <w:r>
              <w:rPr>
                <w:rFonts w:ascii="宋体" w:hAnsi="宋体" w:cs="宋体"/>
                <w:color w:val="auto"/>
                <w:sz w:val="24"/>
                <w:szCs w:val="24"/>
                <w:highlight w:val="none"/>
              </w:rPr>
              <w:t>981.6*569.6*64mm；</w:t>
            </w:r>
          </w:p>
          <w:p w14:paraId="4D1A5C69">
            <w:pPr>
              <w:pStyle w:val="22"/>
              <w:numPr>
                <w:ilvl w:val="0"/>
                <w:numId w:val="71"/>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底座参数：</w:t>
            </w:r>
          </w:p>
          <w:p w14:paraId="08F2964B">
            <w:pPr>
              <w:numPr>
                <w:ilvl w:val="0"/>
                <w:numId w:val="75"/>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材质：镀锌板；</w:t>
            </w:r>
          </w:p>
          <w:p w14:paraId="70BE3933">
            <w:pPr>
              <w:numPr>
                <w:ilvl w:val="0"/>
                <w:numId w:val="75"/>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安装孔位：</w:t>
            </w:r>
            <w:r>
              <w:rPr>
                <w:rFonts w:ascii="宋体" w:hAnsi="宋体" w:cs="宋体"/>
                <w:color w:val="auto"/>
                <w:sz w:val="24"/>
                <w:szCs w:val="24"/>
                <w:highlight w:val="none"/>
              </w:rPr>
              <w:t>400*200mm；</w:t>
            </w:r>
          </w:p>
          <w:p w14:paraId="293D81A0">
            <w:pPr>
              <w:numPr>
                <w:ilvl w:val="0"/>
                <w:numId w:val="75"/>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底座重量：</w:t>
            </w:r>
            <w:r>
              <w:rPr>
                <w:rFonts w:ascii="宋体" w:hAnsi="宋体" w:cs="宋体"/>
                <w:color w:val="auto"/>
                <w:sz w:val="24"/>
                <w:szCs w:val="24"/>
                <w:highlight w:val="none"/>
              </w:rPr>
              <w:t>8KG；</w:t>
            </w:r>
          </w:p>
          <w:p w14:paraId="6C36659A">
            <w:pPr>
              <w:numPr>
                <w:ilvl w:val="0"/>
                <w:numId w:val="75"/>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配件：调节脚杯</w:t>
            </w:r>
            <w:r>
              <w:rPr>
                <w:rFonts w:ascii="宋体" w:hAnsi="宋体" w:cs="宋体"/>
                <w:color w:val="auto"/>
                <w:sz w:val="24"/>
                <w:szCs w:val="24"/>
                <w:highlight w:val="none"/>
              </w:rPr>
              <w:t>*4个；</w:t>
            </w:r>
          </w:p>
          <w:p w14:paraId="7421F9FD">
            <w:pPr>
              <w:numPr>
                <w:ilvl w:val="0"/>
                <w:numId w:val="75"/>
              </w:numPr>
              <w:ind w:firstLine="0"/>
              <w:jc w:val="left"/>
              <w:rPr>
                <w:rFonts w:ascii="宋体" w:hAnsi="宋体" w:cs="宋体"/>
                <w:color w:val="auto"/>
                <w:sz w:val="24"/>
                <w:szCs w:val="24"/>
                <w:highlight w:val="none"/>
              </w:rPr>
            </w:pPr>
            <w:r>
              <w:rPr>
                <w:rFonts w:ascii="宋体" w:hAnsi="宋体" w:cs="宋体"/>
                <w:color w:val="auto"/>
                <w:sz w:val="24"/>
                <w:szCs w:val="24"/>
                <w:highlight w:val="none"/>
              </w:rPr>
              <w:t>M8螺丝*4颗；</w:t>
            </w:r>
          </w:p>
          <w:p w14:paraId="159FC71D">
            <w:pPr>
              <w:pStyle w:val="22"/>
              <w:numPr>
                <w:ilvl w:val="0"/>
                <w:numId w:val="71"/>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电气性能：</w:t>
            </w:r>
          </w:p>
          <w:p w14:paraId="40935C44">
            <w:pPr>
              <w:numPr>
                <w:ilvl w:val="0"/>
                <w:numId w:val="7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输入电压：</w:t>
            </w:r>
            <w:r>
              <w:rPr>
                <w:rFonts w:ascii="宋体" w:hAnsi="宋体" w:cs="宋体"/>
                <w:color w:val="auto"/>
                <w:sz w:val="24"/>
                <w:szCs w:val="24"/>
                <w:highlight w:val="none"/>
              </w:rPr>
              <w:t>AC110-220V；</w:t>
            </w:r>
          </w:p>
          <w:p w14:paraId="017E5F6F">
            <w:pPr>
              <w:numPr>
                <w:ilvl w:val="0"/>
                <w:numId w:val="7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待机功率：≦</w:t>
            </w:r>
            <w:r>
              <w:rPr>
                <w:rFonts w:ascii="宋体" w:hAnsi="宋体" w:cs="宋体"/>
                <w:color w:val="auto"/>
                <w:sz w:val="24"/>
                <w:szCs w:val="24"/>
                <w:highlight w:val="none"/>
              </w:rPr>
              <w:t>1W；</w:t>
            </w:r>
          </w:p>
          <w:p w14:paraId="758DC1C8">
            <w:pPr>
              <w:numPr>
                <w:ilvl w:val="0"/>
                <w:numId w:val="7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额定功率：≦</w:t>
            </w:r>
            <w:r>
              <w:rPr>
                <w:rFonts w:ascii="宋体" w:hAnsi="宋体" w:cs="宋体"/>
                <w:color w:val="auto"/>
                <w:sz w:val="24"/>
                <w:szCs w:val="24"/>
                <w:highlight w:val="none"/>
              </w:rPr>
              <w:t>55W；</w:t>
            </w:r>
          </w:p>
          <w:p w14:paraId="6FF95239">
            <w:pPr>
              <w:numPr>
                <w:ilvl w:val="0"/>
                <w:numId w:val="7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存储环境：温度‐</w:t>
            </w:r>
            <w:r>
              <w:rPr>
                <w:rFonts w:ascii="宋体" w:hAnsi="宋体" w:cs="宋体"/>
                <w:color w:val="auto"/>
                <w:sz w:val="24"/>
                <w:szCs w:val="24"/>
                <w:highlight w:val="none"/>
              </w:rPr>
              <w:t>5℃~60℃/湿度10%RH~90%RH；</w:t>
            </w:r>
          </w:p>
          <w:p w14:paraId="1259366E">
            <w:pPr>
              <w:numPr>
                <w:ilvl w:val="0"/>
                <w:numId w:val="7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工作环境：温度‐</w:t>
            </w:r>
            <w:r>
              <w:rPr>
                <w:rFonts w:ascii="宋体" w:hAnsi="宋体" w:cs="宋体"/>
                <w:color w:val="auto"/>
                <w:sz w:val="24"/>
                <w:szCs w:val="24"/>
                <w:highlight w:val="none"/>
              </w:rPr>
              <w:t>0℃~55℃/湿度10%RH~90%RH；</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9EA2705">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A6E0133">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5E48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51D9A771">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10</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18056F9">
            <w:pPr>
              <w:jc w:val="center"/>
              <w:rPr>
                <w:rFonts w:ascii="宋体" w:hAnsi="宋体" w:cs="宋体"/>
                <w:color w:val="auto"/>
                <w:sz w:val="24"/>
                <w:szCs w:val="24"/>
                <w:highlight w:val="none"/>
              </w:rPr>
            </w:pPr>
            <w:r>
              <w:rPr>
                <w:rFonts w:hint="eastAsia" w:ascii="宋体" w:hAnsi="宋体" w:cs="宋体"/>
                <w:color w:val="auto"/>
                <w:sz w:val="24"/>
                <w:szCs w:val="24"/>
                <w:highlight w:val="none"/>
              </w:rPr>
              <w:t>智能溯源收货秤</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189D33BD">
            <w:pPr>
              <w:numPr>
                <w:ilvl w:val="0"/>
                <w:numId w:val="77"/>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691B1CD1">
            <w:pPr>
              <w:numPr>
                <w:ilvl w:val="0"/>
                <w:numId w:val="78"/>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快速验货登记、票证拍照、快捷验收，生成台账</w:t>
            </w:r>
            <w:r>
              <w:rPr>
                <w:rFonts w:hint="eastAsia" w:ascii="宋体" w:hAnsi="宋体" w:cs="宋体"/>
                <w:color w:val="auto"/>
                <w:sz w:val="24"/>
                <w:szCs w:val="24"/>
                <w:highlight w:val="none"/>
              </w:rPr>
              <w:t>；</w:t>
            </w:r>
          </w:p>
          <w:p w14:paraId="059C4DCE">
            <w:pPr>
              <w:numPr>
                <w:ilvl w:val="0"/>
                <w:numId w:val="78"/>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快速出库登记、领料，并自动生成台账</w:t>
            </w:r>
            <w:r>
              <w:rPr>
                <w:rFonts w:hint="eastAsia" w:ascii="宋体" w:hAnsi="宋体" w:cs="宋体"/>
                <w:color w:val="auto"/>
                <w:sz w:val="24"/>
                <w:szCs w:val="24"/>
                <w:highlight w:val="none"/>
              </w:rPr>
              <w:t>；</w:t>
            </w:r>
          </w:p>
          <w:p w14:paraId="695C639F">
            <w:pPr>
              <w:numPr>
                <w:ilvl w:val="0"/>
                <w:numId w:val="78"/>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进行现有库存明细查询</w:t>
            </w:r>
            <w:r>
              <w:rPr>
                <w:rFonts w:hint="eastAsia" w:ascii="宋体" w:hAnsi="宋体" w:cs="宋体"/>
                <w:color w:val="auto"/>
                <w:sz w:val="24"/>
                <w:szCs w:val="24"/>
                <w:highlight w:val="none"/>
              </w:rPr>
              <w:t>；</w:t>
            </w:r>
          </w:p>
          <w:p w14:paraId="3CFAD210">
            <w:pPr>
              <w:numPr>
                <w:ilvl w:val="0"/>
                <w:numId w:val="77"/>
              </w:numPr>
              <w:ind w:left="0" w:firstLine="0"/>
              <w:jc w:val="left"/>
              <w:rPr>
                <w:color w:val="auto"/>
                <w:highlight w:val="none"/>
              </w:rPr>
            </w:pPr>
            <w:r>
              <w:rPr>
                <w:rFonts w:hint="eastAsia" w:ascii="宋体" w:hAnsi="宋体" w:cs="宋体"/>
                <w:color w:val="auto"/>
                <w:sz w:val="24"/>
                <w:szCs w:val="24"/>
                <w:highlight w:val="none"/>
              </w:rPr>
              <w:t>设备参数：</w:t>
            </w:r>
          </w:p>
          <w:p w14:paraId="7CA9FEB7">
            <w:pPr>
              <w:pStyle w:val="22"/>
              <w:numPr>
                <w:ilvl w:val="0"/>
                <w:numId w:val="79"/>
              </w:numPr>
              <w:ind w:left="0" w:firstLine="0"/>
              <w:rPr>
                <w:color w:val="auto"/>
                <w:highlight w:val="none"/>
              </w:rPr>
            </w:pPr>
            <w:r>
              <w:rPr>
                <w:rFonts w:hint="eastAsia" w:ascii="宋体" w:hAnsi="宋体" w:eastAsia="宋体" w:cs="宋体"/>
                <w:color w:val="auto"/>
                <w:sz w:val="24"/>
                <w:szCs w:val="24"/>
                <w:highlight w:val="none"/>
              </w:rPr>
              <w:t>主要参数</w:t>
            </w:r>
          </w:p>
          <w:p w14:paraId="3440EA79">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主板：不低于</w:t>
            </w:r>
            <w:r>
              <w:rPr>
                <w:rFonts w:ascii="宋体" w:hAnsi="宋体" w:cs="宋体"/>
                <w:color w:val="auto"/>
                <w:sz w:val="24"/>
                <w:szCs w:val="24"/>
                <w:highlight w:val="none"/>
              </w:rPr>
              <w:t>armrk3568的性能；</w:t>
            </w:r>
          </w:p>
          <w:p w14:paraId="7BDF822B">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操作系统：安卓；</w:t>
            </w:r>
          </w:p>
          <w:p w14:paraId="7B0892EF">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内存：</w:t>
            </w:r>
            <w:r>
              <w:rPr>
                <w:rFonts w:ascii="宋体" w:hAnsi="宋体" w:cs="宋体"/>
                <w:color w:val="auto"/>
                <w:sz w:val="24"/>
                <w:szCs w:val="24"/>
                <w:highlight w:val="none"/>
              </w:rPr>
              <w:t>4G+32G；</w:t>
            </w:r>
          </w:p>
          <w:p w14:paraId="7C6DF90E">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网络：以太网</w:t>
            </w:r>
            <w:r>
              <w:rPr>
                <w:rFonts w:ascii="宋体" w:hAnsi="宋体" w:cs="宋体"/>
                <w:color w:val="auto"/>
                <w:sz w:val="24"/>
                <w:szCs w:val="24"/>
                <w:highlight w:val="none"/>
              </w:rPr>
              <w:t>wifi；</w:t>
            </w:r>
          </w:p>
          <w:p w14:paraId="5A2519CC">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屏幕：</w:t>
            </w:r>
            <w:r>
              <w:rPr>
                <w:rFonts w:ascii="宋体" w:hAnsi="宋体" w:cs="宋体"/>
                <w:color w:val="auto"/>
                <w:sz w:val="24"/>
                <w:szCs w:val="24"/>
                <w:highlight w:val="none"/>
              </w:rPr>
              <w:t>14.1寸电容屏；1280*800；</w:t>
            </w:r>
          </w:p>
          <w:p w14:paraId="529F4111">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最大量程：</w:t>
            </w:r>
            <w:r>
              <w:rPr>
                <w:rFonts w:ascii="宋体" w:hAnsi="宋体" w:cs="宋体"/>
                <w:color w:val="auto"/>
                <w:sz w:val="24"/>
                <w:szCs w:val="24"/>
                <w:highlight w:val="none"/>
              </w:rPr>
              <w:t>150KG；</w:t>
            </w:r>
          </w:p>
          <w:p w14:paraId="175E557C">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分度数：</w:t>
            </w:r>
            <w:r>
              <w:rPr>
                <w:rFonts w:ascii="宋体" w:hAnsi="宋体" w:cs="宋体"/>
                <w:color w:val="auto"/>
                <w:sz w:val="24"/>
                <w:szCs w:val="24"/>
                <w:highlight w:val="none"/>
              </w:rPr>
              <w:t>3000；</w:t>
            </w:r>
          </w:p>
          <w:p w14:paraId="2A2AF591">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分度值：</w:t>
            </w:r>
            <w:r>
              <w:rPr>
                <w:rFonts w:ascii="宋体" w:hAnsi="宋体" w:cs="宋体"/>
                <w:color w:val="auto"/>
                <w:sz w:val="24"/>
                <w:szCs w:val="24"/>
                <w:highlight w:val="none"/>
              </w:rPr>
              <w:t>50g；</w:t>
            </w:r>
          </w:p>
          <w:p w14:paraId="45608528">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最小量程：</w:t>
            </w:r>
            <w:r>
              <w:rPr>
                <w:rFonts w:ascii="宋体" w:hAnsi="宋体" w:cs="宋体"/>
                <w:color w:val="auto"/>
                <w:sz w:val="24"/>
                <w:szCs w:val="24"/>
                <w:highlight w:val="none"/>
              </w:rPr>
              <w:t>1000g；</w:t>
            </w:r>
          </w:p>
          <w:p w14:paraId="2DB86282">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秤台尺寸：不低于</w:t>
            </w:r>
            <w:r>
              <w:rPr>
                <w:rFonts w:ascii="宋体" w:hAnsi="宋体" w:cs="宋体"/>
                <w:color w:val="auto"/>
                <w:sz w:val="24"/>
                <w:szCs w:val="24"/>
                <w:highlight w:val="none"/>
              </w:rPr>
              <w:t>400mm*500mm；</w:t>
            </w:r>
          </w:p>
          <w:p w14:paraId="74EBEC5F">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电源充电器</w:t>
            </w:r>
            <w:r>
              <w:rPr>
                <w:rFonts w:ascii="宋体" w:hAnsi="宋体" w:cs="宋体"/>
                <w:color w:val="auto"/>
                <w:sz w:val="24"/>
                <w:szCs w:val="24"/>
                <w:highlight w:val="none"/>
              </w:rPr>
              <w:tab/>
            </w:r>
            <w:r>
              <w:rPr>
                <w:rFonts w:hint="eastAsia" w:ascii="宋体" w:hAnsi="宋体" w:cs="宋体"/>
                <w:color w:val="auto"/>
                <w:sz w:val="24"/>
                <w:szCs w:val="24"/>
                <w:highlight w:val="none"/>
              </w:rPr>
              <w:t>输入</w:t>
            </w:r>
            <w:r>
              <w:rPr>
                <w:rFonts w:ascii="宋体" w:hAnsi="宋体" w:cs="宋体"/>
                <w:color w:val="auto"/>
                <w:sz w:val="24"/>
                <w:szCs w:val="24"/>
                <w:highlight w:val="none"/>
              </w:rPr>
              <w:t>AC220V,输出DC12.6V/5A；</w:t>
            </w:r>
          </w:p>
          <w:p w14:paraId="2F8EF01B">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环境湿度：</w:t>
            </w:r>
            <w:r>
              <w:rPr>
                <w:rFonts w:ascii="宋体" w:hAnsi="宋体" w:cs="宋体"/>
                <w:color w:val="auto"/>
                <w:sz w:val="24"/>
                <w:szCs w:val="24"/>
                <w:highlight w:val="none"/>
              </w:rPr>
              <w:t>0～90%空气湿度，无冷凝；</w:t>
            </w:r>
          </w:p>
          <w:p w14:paraId="346AC68C">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电池：</w:t>
            </w:r>
            <w:r>
              <w:rPr>
                <w:rFonts w:ascii="宋体" w:hAnsi="宋体" w:cs="宋体"/>
                <w:color w:val="auto"/>
                <w:sz w:val="24"/>
                <w:szCs w:val="24"/>
                <w:highlight w:val="none"/>
              </w:rPr>
              <w:t>12V10000mAh锂电池组，常温非打印状态下，</w:t>
            </w:r>
            <w:r>
              <w:rPr>
                <w:rFonts w:hint="eastAsia" w:ascii="宋体" w:hAnsi="宋体" w:cs="宋体"/>
                <w:color w:val="auto"/>
                <w:sz w:val="24"/>
                <w:szCs w:val="24"/>
                <w:highlight w:val="none"/>
              </w:rPr>
              <w:t>可正常工作约</w:t>
            </w:r>
            <w:r>
              <w:rPr>
                <w:rFonts w:ascii="宋体" w:hAnsi="宋体" w:cs="宋体"/>
                <w:color w:val="auto"/>
                <w:sz w:val="24"/>
                <w:szCs w:val="24"/>
                <w:highlight w:val="none"/>
              </w:rPr>
              <w:t>10—12小时；</w:t>
            </w:r>
          </w:p>
          <w:p w14:paraId="29EB0FB1">
            <w:pPr>
              <w:numPr>
                <w:ilvl w:val="0"/>
                <w:numId w:val="8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摄像头：</w:t>
            </w:r>
            <w:r>
              <w:rPr>
                <w:rFonts w:ascii="宋体" w:hAnsi="宋体" w:cs="宋体"/>
                <w:color w:val="auto"/>
                <w:sz w:val="24"/>
                <w:szCs w:val="24"/>
                <w:highlight w:val="none"/>
              </w:rPr>
              <w:t>800</w:t>
            </w:r>
            <w:r>
              <w:rPr>
                <w:rFonts w:hint="eastAsia" w:ascii="宋体" w:hAnsi="宋体" w:cs="宋体"/>
                <w:color w:val="auto"/>
                <w:sz w:val="24"/>
                <w:szCs w:val="24"/>
                <w:highlight w:val="none"/>
              </w:rPr>
              <w:t>万像素；</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0E9EC86">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4033151">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59C6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DA9D953">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F7706D4">
            <w:pPr>
              <w:jc w:val="center"/>
              <w:rPr>
                <w:rFonts w:ascii="宋体" w:hAnsi="宋体" w:cs="宋体"/>
                <w:color w:val="auto"/>
                <w:sz w:val="24"/>
                <w:szCs w:val="24"/>
                <w:highlight w:val="none"/>
              </w:rPr>
            </w:pPr>
            <w:r>
              <w:rPr>
                <w:rFonts w:hint="eastAsia" w:ascii="宋体" w:hAnsi="宋体" w:cs="宋体"/>
                <w:color w:val="auto"/>
                <w:sz w:val="24"/>
                <w:szCs w:val="24"/>
                <w:highlight w:val="none"/>
              </w:rPr>
              <w:t>餐饮具消毒监管</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75F02736">
            <w:pPr>
              <w:numPr>
                <w:ilvl w:val="0"/>
                <w:numId w:val="8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功能描述：</w:t>
            </w:r>
          </w:p>
          <w:p w14:paraId="09022504">
            <w:pPr>
              <w:pStyle w:val="22"/>
              <w:numPr>
                <w:ilvl w:val="0"/>
                <w:numId w:val="82"/>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w:t>
            </w:r>
            <w:r>
              <w:rPr>
                <w:rFonts w:ascii="宋体" w:hAnsi="宋体" w:eastAsia="宋体" w:cs="宋体"/>
                <w:color w:val="auto"/>
                <w:sz w:val="24"/>
                <w:szCs w:val="24"/>
                <w:highlight w:val="none"/>
              </w:rPr>
              <w:t>现场实时监测</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数据实时统计</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系统远程预警</w:t>
            </w:r>
            <w:r>
              <w:rPr>
                <w:rFonts w:hint="eastAsia" w:ascii="宋体" w:hAnsi="宋体" w:eastAsia="宋体" w:cs="宋体"/>
                <w:color w:val="auto"/>
                <w:sz w:val="24"/>
                <w:szCs w:val="24"/>
                <w:highlight w:val="none"/>
              </w:rPr>
              <w:t>；</w:t>
            </w:r>
          </w:p>
          <w:p w14:paraId="2446FEC0">
            <w:pPr>
              <w:numPr>
                <w:ilvl w:val="0"/>
                <w:numId w:val="8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智能空开设备参数：</w:t>
            </w:r>
          </w:p>
          <w:p w14:paraId="3697402C">
            <w:pPr>
              <w:pStyle w:val="22"/>
              <w:numPr>
                <w:ilvl w:val="0"/>
                <w:numId w:val="83"/>
              </w:numPr>
              <w:ind w:left="0" w:firstLine="0"/>
              <w:rPr>
                <w:color w:val="auto"/>
                <w:highlight w:val="none"/>
              </w:rPr>
            </w:pPr>
            <w:r>
              <w:rPr>
                <w:rFonts w:hint="eastAsia" w:ascii="宋体" w:hAnsi="宋体" w:eastAsia="宋体" w:cs="宋体"/>
                <w:color w:val="auto"/>
                <w:sz w:val="24"/>
                <w:szCs w:val="24"/>
                <w:highlight w:val="none"/>
              </w:rPr>
              <w:t>主要参数：</w:t>
            </w:r>
          </w:p>
          <w:p w14:paraId="420A0E0C">
            <w:pPr>
              <w:numPr>
                <w:ilvl w:val="0"/>
                <w:numId w:val="8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环境温度：</w:t>
            </w:r>
            <w:r>
              <w:rPr>
                <w:rFonts w:ascii="宋体" w:hAnsi="宋体" w:cs="宋体"/>
                <w:color w:val="auto"/>
                <w:sz w:val="24"/>
                <w:szCs w:val="24"/>
                <w:highlight w:val="none"/>
              </w:rPr>
              <w:t>-15℃～40℃;空气相对湿度：≤95%（</w:t>
            </w:r>
            <w:r>
              <w:rPr>
                <w:rFonts w:hint="eastAsia" w:ascii="宋体" w:hAnsi="宋体" w:cs="宋体"/>
                <w:color w:val="auto"/>
                <w:sz w:val="24"/>
                <w:szCs w:val="24"/>
                <w:highlight w:val="none"/>
              </w:rPr>
              <w:t>不凝露）</w:t>
            </w:r>
          </w:p>
          <w:p w14:paraId="74C5EA6B">
            <w:pPr>
              <w:numPr>
                <w:ilvl w:val="0"/>
                <w:numId w:val="8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海拔≤</w:t>
            </w:r>
            <w:r>
              <w:rPr>
                <w:rFonts w:ascii="宋体" w:hAnsi="宋体" w:cs="宋体"/>
                <w:color w:val="auto"/>
                <w:sz w:val="24"/>
                <w:szCs w:val="24"/>
                <w:highlight w:val="none"/>
              </w:rPr>
              <w:t>2000m;污染等级：2级;无显著振动和冲击的地方</w:t>
            </w:r>
          </w:p>
          <w:p w14:paraId="4AEC3187">
            <w:pPr>
              <w:numPr>
                <w:ilvl w:val="0"/>
                <w:numId w:val="8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输入电压：</w:t>
            </w:r>
            <w:r>
              <w:rPr>
                <w:rFonts w:ascii="宋体" w:hAnsi="宋体" w:cs="宋体"/>
                <w:color w:val="auto"/>
                <w:sz w:val="24"/>
                <w:szCs w:val="24"/>
                <w:highlight w:val="none"/>
              </w:rPr>
              <w:t>AC100V～250V。额定输出电压：DC12V。额定输出电流MAXDC2A。</w:t>
            </w:r>
          </w:p>
          <w:p w14:paraId="2A7A792B">
            <w:pPr>
              <w:numPr>
                <w:ilvl w:val="0"/>
                <w:numId w:val="84"/>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防雷击浪涌保护，最大泄放电流：</w:t>
            </w:r>
            <w:r>
              <w:rPr>
                <w:rFonts w:ascii="宋体" w:hAnsi="宋体" w:cs="宋体"/>
                <w:color w:val="auto"/>
                <w:sz w:val="24"/>
                <w:szCs w:val="24"/>
                <w:highlight w:val="none"/>
              </w:rPr>
              <w:t>20kA。安装方式：导轨卡口。</w:t>
            </w:r>
          </w:p>
          <w:p w14:paraId="34CDF809">
            <w:pPr>
              <w:numPr>
                <w:ilvl w:val="0"/>
                <w:numId w:val="8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电源模组设备参数：、</w:t>
            </w:r>
          </w:p>
          <w:p w14:paraId="22A78DAE">
            <w:pPr>
              <w:pStyle w:val="22"/>
              <w:numPr>
                <w:ilvl w:val="0"/>
                <w:numId w:val="85"/>
              </w:numPr>
              <w:ind w:left="0" w:firstLine="0"/>
              <w:rPr>
                <w:color w:val="auto"/>
                <w:highlight w:val="none"/>
              </w:rPr>
            </w:pPr>
            <w:r>
              <w:rPr>
                <w:rFonts w:hint="eastAsia" w:ascii="宋体" w:hAnsi="宋体" w:eastAsia="宋体" w:cs="宋体"/>
                <w:color w:val="auto"/>
                <w:sz w:val="24"/>
                <w:szCs w:val="24"/>
                <w:highlight w:val="none"/>
              </w:rPr>
              <w:t>主要参数：</w:t>
            </w:r>
          </w:p>
          <w:p w14:paraId="09C77198">
            <w:pPr>
              <w:numPr>
                <w:ilvl w:val="0"/>
                <w:numId w:val="8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外形尺寸不高于</w:t>
            </w:r>
            <w:r>
              <w:rPr>
                <w:rFonts w:ascii="宋体" w:hAnsi="宋体" w:cs="宋体"/>
                <w:color w:val="auto"/>
                <w:sz w:val="24"/>
                <w:szCs w:val="24"/>
                <w:highlight w:val="none"/>
              </w:rPr>
              <w:t>94*35*70mm（尺寸公差：±1mm）;</w:t>
            </w:r>
            <w:r>
              <w:rPr>
                <w:rFonts w:hint="eastAsia" w:ascii="宋体" w:hAnsi="宋体" w:cs="宋体"/>
                <w:color w:val="auto"/>
                <w:sz w:val="24"/>
                <w:szCs w:val="24"/>
                <w:highlight w:val="none"/>
              </w:rPr>
              <w:t>安装占位</w:t>
            </w:r>
            <w:r>
              <w:rPr>
                <w:rFonts w:ascii="宋体" w:hAnsi="宋体" w:cs="宋体"/>
                <w:color w:val="auto"/>
                <w:sz w:val="24"/>
                <w:szCs w:val="24"/>
                <w:highlight w:val="none"/>
              </w:rPr>
              <w:t>2P;安装方式导轨卡扣安装</w:t>
            </w:r>
          </w:p>
          <w:p w14:paraId="785F6D4D">
            <w:pPr>
              <w:numPr>
                <w:ilvl w:val="0"/>
                <w:numId w:val="8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重量≈</w:t>
            </w:r>
            <w:r>
              <w:rPr>
                <w:rFonts w:ascii="宋体" w:hAnsi="宋体" w:cs="宋体"/>
                <w:color w:val="auto"/>
                <w:sz w:val="24"/>
                <w:szCs w:val="24"/>
                <w:highlight w:val="none"/>
              </w:rPr>
              <w:t>220g;允许线径MAX25mm;AC输入2*25mm;2接地端子25mm</w:t>
            </w:r>
          </w:p>
          <w:p w14:paraId="6137BBE1">
            <w:pPr>
              <w:numPr>
                <w:ilvl w:val="0"/>
                <w:numId w:val="86"/>
              </w:numPr>
              <w:ind w:firstLine="0"/>
              <w:jc w:val="left"/>
              <w:rPr>
                <w:rFonts w:ascii="宋体" w:hAnsi="宋体" w:cs="宋体"/>
                <w:color w:val="auto"/>
                <w:sz w:val="24"/>
                <w:szCs w:val="24"/>
                <w:highlight w:val="none"/>
              </w:rPr>
            </w:pPr>
            <w:r>
              <w:rPr>
                <w:rFonts w:ascii="宋体" w:hAnsi="宋体" w:cs="宋体"/>
                <w:color w:val="auto"/>
                <w:sz w:val="24"/>
                <w:szCs w:val="24"/>
                <w:highlight w:val="none"/>
              </w:rPr>
              <w:t>2DC输出6PIN针端子;电源指示灯红色+绿色;工作电压AC100VtoAC250V，输出电压DC12V;输出电流MAX2000mA</w:t>
            </w:r>
          </w:p>
          <w:p w14:paraId="70AFA1E3">
            <w:pPr>
              <w:numPr>
                <w:ilvl w:val="0"/>
                <w:numId w:val="86"/>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静态功耗</w:t>
            </w:r>
            <w:r>
              <w:rPr>
                <w:rFonts w:ascii="宋体" w:hAnsi="宋体" w:cs="宋体"/>
                <w:color w:val="auto"/>
                <w:sz w:val="24"/>
                <w:szCs w:val="24"/>
                <w:highlight w:val="none"/>
              </w:rPr>
              <w:t>0.5W;工作温度-5to+45℃;额定泄放电流10kA;最大泄放电流20KA</w:t>
            </w:r>
          </w:p>
          <w:p w14:paraId="38C19EFB">
            <w:pPr>
              <w:numPr>
                <w:ilvl w:val="0"/>
                <w:numId w:val="8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通讯模组设备参数：</w:t>
            </w:r>
          </w:p>
          <w:p w14:paraId="129695BA">
            <w:pPr>
              <w:pStyle w:val="22"/>
              <w:numPr>
                <w:ilvl w:val="0"/>
                <w:numId w:val="87"/>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75E3AC60">
            <w:pPr>
              <w:numPr>
                <w:ilvl w:val="0"/>
                <w:numId w:val="8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工作电压</w:t>
            </w:r>
            <w:r>
              <w:rPr>
                <w:rFonts w:ascii="宋体" w:hAnsi="宋体" w:cs="宋体"/>
                <w:color w:val="auto"/>
                <w:sz w:val="24"/>
                <w:szCs w:val="24"/>
                <w:highlight w:val="none"/>
              </w:rPr>
              <w:t>DC12V;功率消耗&lt;2W;工作温度-20~70℃存储温度-40~75℃;相对湿度5%~95%（无冷凝）</w:t>
            </w:r>
          </w:p>
          <w:p w14:paraId="4D1D0374">
            <w:pPr>
              <w:numPr>
                <w:ilvl w:val="0"/>
                <w:numId w:val="8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外形尺寸不高于</w:t>
            </w:r>
            <w:r>
              <w:rPr>
                <w:rFonts w:ascii="宋体" w:hAnsi="宋体" w:cs="宋体"/>
                <w:color w:val="auto"/>
                <w:sz w:val="24"/>
                <w:szCs w:val="24"/>
                <w:highlight w:val="none"/>
              </w:rPr>
              <w:t>109*72*18mm;</w:t>
            </w:r>
            <w:r>
              <w:rPr>
                <w:rFonts w:hint="eastAsia" w:ascii="宋体" w:hAnsi="宋体" w:cs="宋体"/>
                <w:color w:val="auto"/>
                <w:sz w:val="24"/>
                <w:szCs w:val="24"/>
                <w:highlight w:val="none"/>
              </w:rPr>
              <w:t>安装占位</w:t>
            </w:r>
            <w:r>
              <w:rPr>
                <w:rFonts w:ascii="宋体" w:hAnsi="宋体" w:cs="宋体"/>
                <w:color w:val="auto"/>
                <w:sz w:val="24"/>
                <w:szCs w:val="24"/>
                <w:highlight w:val="none"/>
              </w:rPr>
              <w:t>1P;安装方式35mm导轨安装;重量≈85g</w:t>
            </w:r>
          </w:p>
          <w:p w14:paraId="023AB763">
            <w:pPr>
              <w:numPr>
                <w:ilvl w:val="0"/>
                <w:numId w:val="88"/>
              </w:numPr>
              <w:ind w:firstLine="0"/>
              <w:jc w:val="left"/>
              <w:rPr>
                <w:rFonts w:ascii="宋体" w:hAnsi="宋体" w:cs="宋体"/>
                <w:color w:val="auto"/>
                <w:sz w:val="24"/>
                <w:szCs w:val="24"/>
                <w:highlight w:val="none"/>
              </w:rPr>
            </w:pPr>
            <w:r>
              <w:rPr>
                <w:rFonts w:ascii="宋体" w:hAnsi="宋体" w:cs="宋体"/>
                <w:color w:val="auto"/>
                <w:sz w:val="24"/>
                <w:szCs w:val="24"/>
                <w:highlight w:val="none"/>
              </w:rPr>
              <w:t>6PIN</w:t>
            </w:r>
            <w:r>
              <w:rPr>
                <w:rFonts w:hint="eastAsia" w:ascii="宋体" w:hAnsi="宋体" w:cs="宋体"/>
                <w:color w:val="auto"/>
                <w:sz w:val="24"/>
                <w:szCs w:val="24"/>
                <w:highlight w:val="none"/>
              </w:rPr>
              <w:t>数据口模组互联通讯接口，采用</w:t>
            </w:r>
            <w:r>
              <w:rPr>
                <w:rFonts w:ascii="宋体" w:hAnsi="宋体" w:cs="宋体"/>
                <w:color w:val="auto"/>
                <w:sz w:val="24"/>
                <w:szCs w:val="24"/>
                <w:highlight w:val="none"/>
              </w:rPr>
              <w:t>6PIN针连接;天线接口SMA;BUS蓝色;NET蓝色;SYS红色</w:t>
            </w:r>
          </w:p>
          <w:p w14:paraId="7729F7DA">
            <w:pPr>
              <w:numPr>
                <w:ilvl w:val="0"/>
                <w:numId w:val="8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联动模块设备参数：</w:t>
            </w:r>
          </w:p>
          <w:p w14:paraId="352FC94B">
            <w:pPr>
              <w:pStyle w:val="22"/>
              <w:numPr>
                <w:ilvl w:val="0"/>
                <w:numId w:val="89"/>
              </w:numPr>
              <w:ind w:left="0" w:firstLine="0"/>
              <w:rPr>
                <w:color w:val="auto"/>
                <w:highlight w:val="none"/>
              </w:rPr>
            </w:pPr>
            <w:r>
              <w:rPr>
                <w:rFonts w:hint="eastAsia" w:ascii="宋体" w:hAnsi="宋体" w:eastAsia="宋体" w:cs="宋体"/>
                <w:color w:val="auto"/>
                <w:sz w:val="24"/>
                <w:szCs w:val="24"/>
                <w:highlight w:val="none"/>
              </w:rPr>
              <w:t>主要参数：</w:t>
            </w:r>
          </w:p>
          <w:p w14:paraId="3150FBBA">
            <w:pPr>
              <w:numPr>
                <w:ilvl w:val="0"/>
                <w:numId w:val="9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工作电压</w:t>
            </w:r>
            <w:r>
              <w:rPr>
                <w:rFonts w:ascii="宋体" w:hAnsi="宋体" w:cs="宋体"/>
                <w:color w:val="auto"/>
                <w:sz w:val="24"/>
                <w:szCs w:val="24"/>
                <w:highlight w:val="none"/>
              </w:rPr>
              <w:t>DC12V;功率消耗1.5W;输出数;4个开关量继电器输出端子;4个数字量OC输出端子（光</w:t>
            </w:r>
            <w:r>
              <w:rPr>
                <w:rFonts w:hint="eastAsia" w:ascii="宋体" w:hAnsi="宋体" w:cs="宋体"/>
                <w:color w:val="auto"/>
                <w:sz w:val="24"/>
                <w:szCs w:val="24"/>
                <w:highlight w:val="none"/>
              </w:rPr>
              <w:t>耦的输入输出只能</w:t>
            </w:r>
            <w:r>
              <w:rPr>
                <w:rFonts w:ascii="宋体" w:hAnsi="宋体" w:cs="宋体"/>
                <w:color w:val="auto"/>
                <w:sz w:val="24"/>
                <w:szCs w:val="24"/>
                <w:highlight w:val="none"/>
              </w:rPr>
              <w:t>2选1）</w:t>
            </w:r>
          </w:p>
          <w:p w14:paraId="5C3796CC">
            <w:pPr>
              <w:numPr>
                <w:ilvl w:val="0"/>
                <w:numId w:val="9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输出类型</w:t>
            </w:r>
            <w:r>
              <w:rPr>
                <w:rFonts w:ascii="宋体" w:hAnsi="宋体" w:cs="宋体"/>
                <w:color w:val="auto"/>
                <w:sz w:val="24"/>
                <w:szCs w:val="24"/>
                <w:highlight w:val="none"/>
              </w:rPr>
              <w:t>;开关量继电器输出：支持最大负载能力：125VAC/0.5A，</w:t>
            </w:r>
            <w:r>
              <w:rPr>
                <w:rFonts w:hint="eastAsia" w:ascii="宋体" w:hAnsi="宋体" w:cs="宋体"/>
                <w:color w:val="auto"/>
                <w:sz w:val="24"/>
                <w:szCs w:val="24"/>
                <w:highlight w:val="none"/>
              </w:rPr>
              <w:t>持最大承受电压</w:t>
            </w:r>
            <w:r>
              <w:rPr>
                <w:rFonts w:ascii="宋体" w:hAnsi="宋体" w:cs="宋体"/>
                <w:color w:val="auto"/>
                <w:sz w:val="24"/>
                <w:szCs w:val="24"/>
                <w:highlight w:val="none"/>
              </w:rPr>
              <w:t>250VAC。各自独立，默认常开状态</w:t>
            </w:r>
          </w:p>
          <w:p w14:paraId="5307C921">
            <w:pPr>
              <w:numPr>
                <w:ilvl w:val="0"/>
                <w:numId w:val="9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报警输出时闭合</w:t>
            </w:r>
            <w:r>
              <w:rPr>
                <w:rFonts w:ascii="宋体" w:hAnsi="宋体" w:cs="宋体"/>
                <w:color w:val="auto"/>
                <w:sz w:val="24"/>
                <w:szCs w:val="24"/>
                <w:highlight w:val="none"/>
              </w:rPr>
              <w:t>;数字量OC输出：支持最大24V电压接入;输入数4个开关量输入端子（光</w:t>
            </w:r>
            <w:r>
              <w:rPr>
                <w:rFonts w:hint="eastAsia" w:ascii="宋体" w:hAnsi="宋体" w:cs="宋体"/>
                <w:color w:val="auto"/>
                <w:sz w:val="24"/>
                <w:szCs w:val="24"/>
                <w:highlight w:val="none"/>
              </w:rPr>
              <w:t>耦的输入输出只能</w:t>
            </w:r>
            <w:r>
              <w:rPr>
                <w:rFonts w:ascii="宋体" w:hAnsi="宋体" w:cs="宋体"/>
                <w:color w:val="auto"/>
                <w:sz w:val="24"/>
                <w:szCs w:val="24"/>
                <w:highlight w:val="none"/>
              </w:rPr>
              <w:t>2选1）;输入类型开关量（内置电源，干接点输入）</w:t>
            </w:r>
          </w:p>
          <w:p w14:paraId="1CF405EE">
            <w:pPr>
              <w:numPr>
                <w:ilvl w:val="0"/>
                <w:numId w:val="90"/>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尺寸不高于</w:t>
            </w:r>
            <w:r>
              <w:rPr>
                <w:rFonts w:ascii="宋体" w:hAnsi="宋体" w:cs="宋体"/>
                <w:color w:val="auto"/>
                <w:sz w:val="24"/>
                <w:szCs w:val="24"/>
                <w:highlight w:val="none"/>
              </w:rPr>
              <w:t>94*70*18mm（尺寸公差：±1mm）;</w:t>
            </w:r>
            <w:r>
              <w:rPr>
                <w:rFonts w:hint="eastAsia" w:ascii="宋体" w:hAnsi="宋体" w:cs="宋体"/>
                <w:color w:val="auto"/>
                <w:sz w:val="24"/>
                <w:szCs w:val="24"/>
                <w:highlight w:val="none"/>
              </w:rPr>
              <w:t>安装占位</w:t>
            </w:r>
            <w:r>
              <w:rPr>
                <w:rFonts w:ascii="宋体" w:hAnsi="宋体" w:cs="宋体"/>
                <w:color w:val="auto"/>
                <w:sz w:val="24"/>
                <w:szCs w:val="24"/>
                <w:highlight w:val="none"/>
              </w:rPr>
              <w:t>1P;安装方式导轨安装;工作温度-15to+60℃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6DE7D72">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29BCD12C">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138B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8D4975F">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22CB34D">
            <w:pPr>
              <w:jc w:val="center"/>
              <w:rPr>
                <w:rFonts w:ascii="宋体" w:hAnsi="宋体" w:cs="宋体"/>
                <w:color w:val="auto"/>
                <w:sz w:val="24"/>
                <w:szCs w:val="24"/>
                <w:highlight w:val="none"/>
              </w:rPr>
            </w:pPr>
            <w:r>
              <w:rPr>
                <w:rFonts w:hint="eastAsia" w:ascii="宋体" w:hAnsi="宋体" w:cs="宋体"/>
                <w:color w:val="auto"/>
                <w:sz w:val="24"/>
                <w:szCs w:val="24"/>
                <w:highlight w:val="none"/>
              </w:rPr>
              <w:t>智能人脸留样冰箱</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72BA8675">
            <w:pPr>
              <w:numPr>
                <w:ilvl w:val="0"/>
                <w:numId w:val="9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43F42FF1">
            <w:pPr>
              <w:numPr>
                <w:ilvl w:val="0"/>
                <w:numId w:val="92"/>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专人专用（人脸识别开门）、自动除霜</w:t>
            </w:r>
            <w:r>
              <w:rPr>
                <w:rFonts w:hint="eastAsia" w:ascii="宋体" w:hAnsi="宋体" w:cs="宋体"/>
                <w:color w:val="auto"/>
                <w:sz w:val="24"/>
                <w:szCs w:val="24"/>
                <w:highlight w:val="none"/>
              </w:rPr>
              <w:t>；</w:t>
            </w:r>
          </w:p>
          <w:p w14:paraId="12ECD273">
            <w:pPr>
              <w:numPr>
                <w:ilvl w:val="0"/>
                <w:numId w:val="92"/>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自动存档，记录人员、时间，方便回</w:t>
            </w:r>
            <w:r>
              <w:rPr>
                <w:rFonts w:hint="eastAsia" w:ascii="宋体" w:hAnsi="宋体" w:cs="宋体"/>
                <w:color w:val="auto"/>
                <w:sz w:val="24"/>
                <w:szCs w:val="24"/>
                <w:highlight w:val="none"/>
              </w:rPr>
              <w:t>溯；</w:t>
            </w:r>
          </w:p>
          <w:p w14:paraId="67D7CA0C">
            <w:pPr>
              <w:numPr>
                <w:ilvl w:val="0"/>
                <w:numId w:val="91"/>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设备参数：</w:t>
            </w:r>
          </w:p>
          <w:p w14:paraId="73904AE3">
            <w:pPr>
              <w:numPr>
                <w:ilvl w:val="0"/>
                <w:numId w:val="9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主要</w:t>
            </w:r>
            <w:r>
              <w:rPr>
                <w:rFonts w:ascii="宋体" w:hAnsi="宋体" w:cs="宋体"/>
                <w:color w:val="auto"/>
                <w:sz w:val="24"/>
                <w:szCs w:val="24"/>
                <w:highlight w:val="none"/>
              </w:rPr>
              <w:t>参数：</w:t>
            </w:r>
          </w:p>
          <w:p w14:paraId="5774BB26">
            <w:pPr>
              <w:numPr>
                <w:ilvl w:val="0"/>
                <w:numId w:val="94"/>
              </w:numPr>
              <w:ind w:firstLine="0"/>
              <w:jc w:val="left"/>
              <w:rPr>
                <w:rFonts w:ascii="宋体" w:hAnsi="宋体" w:cs="宋体"/>
                <w:color w:val="auto"/>
                <w:sz w:val="24"/>
                <w:szCs w:val="24"/>
                <w:highlight w:val="none"/>
              </w:rPr>
            </w:pPr>
            <w:r>
              <w:rPr>
                <w:rFonts w:ascii="宋体" w:hAnsi="宋体" w:cs="宋体"/>
                <w:color w:val="auto"/>
                <w:sz w:val="24"/>
                <w:szCs w:val="24"/>
                <w:highlight w:val="none"/>
              </w:rPr>
              <w:t>外观尺寸：</w:t>
            </w:r>
            <w:r>
              <w:rPr>
                <w:rFonts w:hint="eastAsia" w:ascii="宋体" w:hAnsi="宋体" w:cs="宋体"/>
                <w:color w:val="auto"/>
                <w:sz w:val="24"/>
                <w:szCs w:val="24"/>
                <w:highlight w:val="none"/>
              </w:rPr>
              <w:t>不低于</w:t>
            </w:r>
            <w:r>
              <w:rPr>
                <w:rFonts w:ascii="宋体" w:hAnsi="宋体" w:cs="宋体"/>
                <w:color w:val="auto"/>
                <w:sz w:val="24"/>
                <w:szCs w:val="24"/>
                <w:highlight w:val="none"/>
              </w:rPr>
              <w:t>高X宽X厚=1980X1100X630mm</w:t>
            </w:r>
            <w:r>
              <w:rPr>
                <w:rFonts w:hint="eastAsia" w:ascii="宋体" w:hAnsi="宋体" w:cs="宋体"/>
                <w:color w:val="auto"/>
                <w:sz w:val="24"/>
                <w:szCs w:val="24"/>
                <w:highlight w:val="none"/>
              </w:rPr>
              <w:t>；</w:t>
            </w:r>
          </w:p>
          <w:p w14:paraId="53392B7C">
            <w:pPr>
              <w:numPr>
                <w:ilvl w:val="0"/>
                <w:numId w:val="94"/>
              </w:numPr>
              <w:ind w:firstLine="0"/>
              <w:jc w:val="left"/>
              <w:rPr>
                <w:rFonts w:ascii="宋体" w:hAnsi="宋体" w:cs="宋体"/>
                <w:color w:val="auto"/>
                <w:sz w:val="24"/>
                <w:szCs w:val="24"/>
                <w:highlight w:val="none"/>
              </w:rPr>
            </w:pPr>
            <w:r>
              <w:rPr>
                <w:rFonts w:ascii="宋体" w:hAnsi="宋体" w:cs="宋体"/>
                <w:color w:val="auto"/>
                <w:sz w:val="24"/>
                <w:szCs w:val="24"/>
                <w:highlight w:val="none"/>
              </w:rPr>
              <w:t>制冷温度范围：0到18度</w:t>
            </w:r>
            <w:r>
              <w:rPr>
                <w:rFonts w:hint="eastAsia" w:ascii="宋体" w:hAnsi="宋体" w:cs="宋体"/>
                <w:color w:val="auto"/>
                <w:sz w:val="24"/>
                <w:szCs w:val="24"/>
                <w:highlight w:val="none"/>
              </w:rPr>
              <w:t>；</w:t>
            </w:r>
          </w:p>
          <w:p w14:paraId="4B93903F">
            <w:pPr>
              <w:numPr>
                <w:ilvl w:val="0"/>
                <w:numId w:val="94"/>
              </w:numPr>
              <w:ind w:firstLine="0"/>
              <w:jc w:val="left"/>
              <w:rPr>
                <w:rFonts w:ascii="宋体" w:hAnsi="宋体" w:cs="宋体"/>
                <w:color w:val="auto"/>
                <w:sz w:val="24"/>
                <w:szCs w:val="24"/>
                <w:highlight w:val="none"/>
              </w:rPr>
            </w:pPr>
            <w:r>
              <w:rPr>
                <w:rFonts w:ascii="宋体" w:hAnsi="宋体" w:cs="宋体"/>
                <w:color w:val="auto"/>
                <w:sz w:val="24"/>
                <w:szCs w:val="24"/>
                <w:highlight w:val="none"/>
              </w:rPr>
              <w:t>自动除霜：具有自动除霜功能，确保蒸发器不结冰</w:t>
            </w:r>
            <w:r>
              <w:rPr>
                <w:rFonts w:hint="eastAsia" w:ascii="宋体" w:hAnsi="宋体" w:cs="宋体"/>
                <w:color w:val="auto"/>
                <w:sz w:val="24"/>
                <w:szCs w:val="24"/>
                <w:highlight w:val="none"/>
              </w:rPr>
              <w:t>；</w:t>
            </w:r>
          </w:p>
          <w:p w14:paraId="284F9ED7">
            <w:pPr>
              <w:numPr>
                <w:ilvl w:val="0"/>
                <w:numId w:val="94"/>
              </w:numPr>
              <w:ind w:firstLine="0"/>
              <w:jc w:val="left"/>
              <w:rPr>
                <w:rFonts w:ascii="宋体" w:hAnsi="宋体" w:cs="宋体"/>
                <w:color w:val="auto"/>
                <w:sz w:val="24"/>
                <w:szCs w:val="24"/>
                <w:highlight w:val="none"/>
              </w:rPr>
            </w:pPr>
            <w:r>
              <w:rPr>
                <w:rFonts w:ascii="宋体" w:hAnsi="宋体" w:cs="宋体"/>
                <w:color w:val="auto"/>
                <w:sz w:val="24"/>
                <w:szCs w:val="24"/>
                <w:highlight w:val="none"/>
              </w:rPr>
              <w:t>灯光控制：内部两壁具有照明LED灯管。顶部广告牌有灯光照明</w:t>
            </w:r>
            <w:r>
              <w:rPr>
                <w:rFonts w:hint="eastAsia" w:ascii="宋体" w:hAnsi="宋体" w:cs="宋体"/>
                <w:color w:val="auto"/>
                <w:sz w:val="24"/>
                <w:szCs w:val="24"/>
                <w:highlight w:val="none"/>
              </w:rPr>
              <w:t>；</w:t>
            </w:r>
          </w:p>
          <w:p w14:paraId="7F0A1465">
            <w:pPr>
              <w:numPr>
                <w:ilvl w:val="0"/>
                <w:numId w:val="93"/>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门禁系统</w:t>
            </w:r>
            <w:r>
              <w:rPr>
                <w:rFonts w:hint="eastAsia" w:ascii="宋体" w:hAnsi="宋体" w:cs="宋体"/>
                <w:color w:val="auto"/>
                <w:sz w:val="24"/>
                <w:szCs w:val="24"/>
                <w:highlight w:val="none"/>
              </w:rPr>
              <w:t>：</w:t>
            </w:r>
          </w:p>
          <w:p w14:paraId="5E9CFD51">
            <w:pPr>
              <w:pStyle w:val="22"/>
              <w:numPr>
                <w:ilvl w:val="0"/>
                <w:numId w:val="95"/>
              </w:numPr>
              <w:ind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摄像头安装高度</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摄像头安装位置离地面在140cm到150cm之间</w:t>
            </w:r>
            <w:r>
              <w:rPr>
                <w:rFonts w:hint="eastAsia" w:ascii="宋体" w:hAnsi="宋体" w:eastAsia="宋体" w:cs="宋体"/>
                <w:color w:val="auto"/>
                <w:sz w:val="24"/>
                <w:szCs w:val="24"/>
                <w:highlight w:val="none"/>
              </w:rPr>
              <w:t>；</w:t>
            </w:r>
          </w:p>
          <w:p w14:paraId="28BBC804">
            <w:pPr>
              <w:pStyle w:val="22"/>
              <w:numPr>
                <w:ilvl w:val="0"/>
                <w:numId w:val="95"/>
              </w:numPr>
              <w:ind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人脸识别要求</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具有双目立体人脸识别功能，具有较强的安全性</w:t>
            </w:r>
            <w:r>
              <w:rPr>
                <w:rFonts w:hint="eastAsia" w:ascii="宋体" w:hAnsi="宋体" w:eastAsia="宋体" w:cs="宋体"/>
                <w:color w:val="auto"/>
                <w:sz w:val="24"/>
                <w:szCs w:val="24"/>
                <w:highlight w:val="none"/>
              </w:rPr>
              <w:t>；</w:t>
            </w:r>
          </w:p>
          <w:p w14:paraId="3ACB74F8">
            <w:pPr>
              <w:pStyle w:val="22"/>
              <w:numPr>
                <w:ilvl w:val="0"/>
                <w:numId w:val="95"/>
              </w:numPr>
              <w:ind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人脸数据设定</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可以设定不少于100张预置人脸</w:t>
            </w:r>
            <w:r>
              <w:rPr>
                <w:rFonts w:hint="eastAsia" w:ascii="宋体" w:hAnsi="宋体" w:eastAsia="宋体" w:cs="宋体"/>
                <w:color w:val="auto"/>
                <w:sz w:val="24"/>
                <w:szCs w:val="24"/>
                <w:highlight w:val="none"/>
              </w:rPr>
              <w:t>；</w:t>
            </w:r>
          </w:p>
          <w:p w14:paraId="4B3FF7D7">
            <w:pPr>
              <w:pStyle w:val="22"/>
              <w:numPr>
                <w:ilvl w:val="0"/>
                <w:numId w:val="95"/>
              </w:numPr>
              <w:ind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玻璃门锁</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每个柜门都有独立门锁，并可通过门禁系统控制，刷脸开门。6秒落锁</w:t>
            </w:r>
            <w:r>
              <w:rPr>
                <w:rFonts w:hint="eastAsia" w:ascii="宋体" w:hAnsi="宋体" w:eastAsia="宋体" w:cs="宋体"/>
                <w:color w:val="auto"/>
                <w:sz w:val="24"/>
                <w:szCs w:val="24"/>
                <w:highlight w:val="none"/>
              </w:rPr>
              <w:t>；</w:t>
            </w:r>
          </w:p>
          <w:p w14:paraId="028609C7">
            <w:pPr>
              <w:pStyle w:val="22"/>
              <w:numPr>
                <w:ilvl w:val="0"/>
                <w:numId w:val="95"/>
              </w:numPr>
              <w:ind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开门数据</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门禁系统具有数据接口，可以把人员数据和开关门记录数据上传到远程服务器</w:t>
            </w:r>
            <w:r>
              <w:rPr>
                <w:rFonts w:hint="eastAsia" w:ascii="宋体" w:hAnsi="宋体" w:eastAsia="宋体" w:cs="宋体"/>
                <w:color w:val="auto"/>
                <w:sz w:val="24"/>
                <w:szCs w:val="24"/>
                <w:highlight w:val="none"/>
              </w:rPr>
              <w:t>；</w:t>
            </w:r>
          </w:p>
          <w:p w14:paraId="5C365981">
            <w:pPr>
              <w:numPr>
                <w:ilvl w:val="0"/>
                <w:numId w:val="93"/>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性能指标</w:t>
            </w:r>
            <w:r>
              <w:rPr>
                <w:rFonts w:hint="eastAsia" w:ascii="宋体" w:hAnsi="宋体" w:cs="宋体"/>
                <w:color w:val="auto"/>
                <w:sz w:val="24"/>
                <w:szCs w:val="24"/>
                <w:highlight w:val="none"/>
              </w:rPr>
              <w:t>：</w:t>
            </w:r>
          </w:p>
          <w:p w14:paraId="5D7F4EA9">
            <w:pPr>
              <w:numPr>
                <w:ilvl w:val="0"/>
                <w:numId w:val="96"/>
              </w:numPr>
              <w:ind w:firstLine="0"/>
              <w:rPr>
                <w:rFonts w:ascii="宋体" w:hAnsi="宋体" w:cs="宋体"/>
                <w:color w:val="auto"/>
                <w:sz w:val="24"/>
                <w:szCs w:val="24"/>
                <w:highlight w:val="none"/>
              </w:rPr>
            </w:pPr>
            <w:r>
              <w:rPr>
                <w:rFonts w:ascii="宋体" w:hAnsi="宋体" w:cs="宋体"/>
                <w:color w:val="auto"/>
                <w:sz w:val="24"/>
                <w:szCs w:val="24"/>
                <w:highlight w:val="none"/>
              </w:rPr>
              <w:t>降温速度</w:t>
            </w:r>
            <w:r>
              <w:rPr>
                <w:rFonts w:hint="eastAsia" w:ascii="宋体" w:hAnsi="宋体" w:cs="宋体"/>
                <w:color w:val="auto"/>
                <w:sz w:val="24"/>
                <w:szCs w:val="24"/>
                <w:highlight w:val="none"/>
              </w:rPr>
              <w:t>：</w:t>
            </w:r>
            <w:r>
              <w:rPr>
                <w:rFonts w:ascii="宋体" w:hAnsi="宋体" w:cs="宋体"/>
                <w:color w:val="auto"/>
                <w:sz w:val="24"/>
                <w:szCs w:val="24"/>
                <w:highlight w:val="none"/>
              </w:rPr>
              <w:t>环境温度30度时，制冷启动后，内部从环境温度降温到5度，不多于20分钟</w:t>
            </w:r>
            <w:r>
              <w:rPr>
                <w:rFonts w:hint="eastAsia" w:ascii="宋体" w:hAnsi="宋体" w:cs="宋体"/>
                <w:color w:val="auto"/>
                <w:sz w:val="24"/>
                <w:szCs w:val="24"/>
                <w:highlight w:val="none"/>
              </w:rPr>
              <w:t>；</w:t>
            </w:r>
          </w:p>
          <w:p w14:paraId="01148009">
            <w:pPr>
              <w:numPr>
                <w:ilvl w:val="0"/>
                <w:numId w:val="96"/>
              </w:numPr>
              <w:ind w:firstLine="0"/>
              <w:rPr>
                <w:rFonts w:ascii="宋体" w:hAnsi="宋体" w:cs="宋体"/>
                <w:color w:val="auto"/>
                <w:sz w:val="24"/>
                <w:szCs w:val="24"/>
                <w:highlight w:val="none"/>
              </w:rPr>
            </w:pPr>
            <w:r>
              <w:rPr>
                <w:rFonts w:ascii="宋体" w:hAnsi="宋体" w:cs="宋体"/>
                <w:color w:val="auto"/>
                <w:sz w:val="24"/>
                <w:szCs w:val="24"/>
                <w:highlight w:val="none"/>
              </w:rPr>
              <w:t>人脸识别准确率</w:t>
            </w:r>
            <w:r>
              <w:rPr>
                <w:rFonts w:hint="eastAsia" w:ascii="宋体" w:hAnsi="宋体" w:cs="宋体"/>
                <w:color w:val="auto"/>
                <w:sz w:val="24"/>
                <w:szCs w:val="24"/>
                <w:highlight w:val="none"/>
              </w:rPr>
              <w:t>：</w:t>
            </w:r>
            <w:r>
              <w:rPr>
                <w:rFonts w:ascii="宋体" w:hAnsi="宋体" w:cs="宋体"/>
                <w:color w:val="auto"/>
                <w:sz w:val="24"/>
                <w:szCs w:val="24"/>
                <w:highlight w:val="none"/>
              </w:rPr>
              <w:t>识别率高于95%，误识别率低于万分之一</w:t>
            </w:r>
            <w:r>
              <w:rPr>
                <w:rFonts w:hint="eastAsia" w:ascii="宋体" w:hAnsi="宋体" w:cs="宋体"/>
                <w:color w:val="auto"/>
                <w:sz w:val="24"/>
                <w:szCs w:val="24"/>
                <w:highlight w:val="none"/>
              </w:rPr>
              <w:t>；</w:t>
            </w:r>
          </w:p>
          <w:p w14:paraId="4E4B70EB">
            <w:pPr>
              <w:numPr>
                <w:ilvl w:val="0"/>
                <w:numId w:val="96"/>
              </w:numPr>
              <w:ind w:firstLine="0"/>
              <w:rPr>
                <w:rFonts w:ascii="宋体" w:hAnsi="宋体" w:cs="宋体"/>
                <w:color w:val="auto"/>
                <w:sz w:val="24"/>
                <w:szCs w:val="24"/>
                <w:highlight w:val="none"/>
              </w:rPr>
            </w:pPr>
            <w:r>
              <w:rPr>
                <w:rFonts w:ascii="宋体" w:hAnsi="宋体" w:cs="宋体"/>
                <w:color w:val="auto"/>
                <w:sz w:val="24"/>
                <w:szCs w:val="24"/>
                <w:highlight w:val="none"/>
              </w:rPr>
              <w:t>落锁要求</w:t>
            </w:r>
            <w:r>
              <w:rPr>
                <w:rFonts w:hint="eastAsia" w:ascii="宋体" w:hAnsi="宋体" w:cs="宋体"/>
                <w:color w:val="auto"/>
                <w:sz w:val="24"/>
                <w:szCs w:val="24"/>
                <w:highlight w:val="none"/>
              </w:rPr>
              <w:t>：</w:t>
            </w:r>
            <w:r>
              <w:rPr>
                <w:rFonts w:ascii="宋体" w:hAnsi="宋体" w:cs="宋体"/>
                <w:color w:val="auto"/>
                <w:sz w:val="24"/>
                <w:szCs w:val="24"/>
                <w:highlight w:val="none"/>
              </w:rPr>
              <w:t>人脸识别成功，开锁。开锁后6秒内柜门没有打开即重新上锁</w:t>
            </w:r>
            <w:r>
              <w:rPr>
                <w:rFonts w:hint="eastAsia" w:ascii="宋体" w:hAnsi="宋体" w:cs="宋体"/>
                <w:color w:val="auto"/>
                <w:sz w:val="24"/>
                <w:szCs w:val="24"/>
                <w:highlight w:val="none"/>
              </w:rPr>
              <w:t>；</w:t>
            </w:r>
          </w:p>
          <w:p w14:paraId="580D0295">
            <w:pPr>
              <w:numPr>
                <w:ilvl w:val="0"/>
                <w:numId w:val="96"/>
              </w:numPr>
              <w:ind w:firstLine="0"/>
              <w:rPr>
                <w:rFonts w:ascii="宋体" w:hAnsi="宋体" w:cs="宋体"/>
                <w:color w:val="auto"/>
                <w:sz w:val="24"/>
                <w:szCs w:val="24"/>
                <w:highlight w:val="none"/>
              </w:rPr>
            </w:pPr>
            <w:r>
              <w:rPr>
                <w:rFonts w:ascii="宋体" w:hAnsi="宋体" w:cs="宋体"/>
                <w:color w:val="auto"/>
                <w:sz w:val="24"/>
                <w:szCs w:val="24"/>
                <w:highlight w:val="none"/>
              </w:rPr>
              <w:t>门禁抗干扰能力</w:t>
            </w:r>
            <w:r>
              <w:rPr>
                <w:rFonts w:hint="eastAsia" w:ascii="宋体" w:hAnsi="宋体" w:cs="宋体"/>
                <w:color w:val="auto"/>
                <w:sz w:val="24"/>
                <w:szCs w:val="24"/>
                <w:highlight w:val="none"/>
              </w:rPr>
              <w:t>：</w:t>
            </w:r>
            <w:r>
              <w:rPr>
                <w:rFonts w:ascii="宋体" w:hAnsi="宋体" w:cs="宋体"/>
                <w:color w:val="auto"/>
                <w:sz w:val="24"/>
                <w:szCs w:val="24"/>
                <w:highlight w:val="none"/>
              </w:rPr>
              <w:t>门禁在接地良好情况下，不出现触控不灵情况</w:t>
            </w:r>
            <w:r>
              <w:rPr>
                <w:rFonts w:hint="eastAsia" w:ascii="宋体" w:hAnsi="宋体" w:cs="宋体"/>
                <w:color w:val="auto"/>
                <w:sz w:val="24"/>
                <w:szCs w:val="24"/>
                <w:highlight w:val="none"/>
              </w:rPr>
              <w:t>；</w:t>
            </w:r>
          </w:p>
          <w:p w14:paraId="7454DA3A">
            <w:pPr>
              <w:numPr>
                <w:ilvl w:val="0"/>
                <w:numId w:val="96"/>
              </w:numPr>
              <w:ind w:firstLine="0"/>
              <w:rPr>
                <w:rFonts w:ascii="宋体" w:hAnsi="宋体" w:cs="宋体"/>
                <w:color w:val="auto"/>
                <w:sz w:val="24"/>
                <w:szCs w:val="24"/>
                <w:highlight w:val="none"/>
              </w:rPr>
            </w:pPr>
            <w:r>
              <w:rPr>
                <w:rFonts w:ascii="宋体" w:hAnsi="宋体" w:cs="宋体"/>
                <w:color w:val="auto"/>
                <w:sz w:val="24"/>
                <w:szCs w:val="24"/>
                <w:highlight w:val="none"/>
              </w:rPr>
              <w:t>耗电量</w:t>
            </w:r>
            <w:r>
              <w:rPr>
                <w:rFonts w:hint="eastAsia" w:ascii="宋体" w:hAnsi="宋体" w:cs="宋体"/>
                <w:color w:val="auto"/>
                <w:sz w:val="24"/>
                <w:szCs w:val="24"/>
                <w:highlight w:val="none"/>
              </w:rPr>
              <w:t>：</w:t>
            </w:r>
            <w:r>
              <w:rPr>
                <w:rFonts w:ascii="宋体" w:hAnsi="宋体" w:cs="宋体"/>
                <w:color w:val="auto"/>
                <w:sz w:val="24"/>
                <w:szCs w:val="24"/>
                <w:highlight w:val="none"/>
              </w:rPr>
              <w:t>环境温度30度时，设定温度为5度，24小时耗电量小于4.5KWH</w:t>
            </w:r>
            <w:r>
              <w:rPr>
                <w:rFonts w:hint="eastAsia" w:ascii="宋体" w:hAnsi="宋体" w:cs="宋体"/>
                <w:color w:val="auto"/>
                <w:sz w:val="24"/>
                <w:szCs w:val="24"/>
                <w:highlight w:val="none"/>
              </w:rPr>
              <w:t>；</w:t>
            </w:r>
          </w:p>
          <w:p w14:paraId="2A1DFEE2">
            <w:pPr>
              <w:numPr>
                <w:ilvl w:val="0"/>
                <w:numId w:val="93"/>
              </w:numPr>
              <w:ind w:left="0" w:firstLine="0"/>
              <w:jc w:val="left"/>
              <w:rPr>
                <w:color w:val="auto"/>
                <w:highlight w:val="none"/>
              </w:rPr>
            </w:pPr>
            <w:r>
              <w:rPr>
                <w:rFonts w:hint="eastAsia" w:ascii="宋体" w:hAnsi="宋体" w:cs="宋体"/>
                <w:color w:val="auto"/>
                <w:sz w:val="24"/>
                <w:szCs w:val="24"/>
                <w:highlight w:val="none"/>
              </w:rPr>
              <w:t>运行环境</w:t>
            </w:r>
          </w:p>
          <w:p w14:paraId="10F25116">
            <w:pPr>
              <w:numPr>
                <w:ilvl w:val="0"/>
                <w:numId w:val="97"/>
              </w:numPr>
              <w:ind w:firstLine="0"/>
              <w:jc w:val="left"/>
              <w:rPr>
                <w:rFonts w:ascii="宋体" w:hAnsi="宋体" w:cs="宋体"/>
                <w:color w:val="auto"/>
                <w:sz w:val="24"/>
                <w:szCs w:val="24"/>
                <w:highlight w:val="none"/>
              </w:rPr>
            </w:pPr>
            <w:r>
              <w:rPr>
                <w:rFonts w:ascii="宋体" w:hAnsi="宋体" w:cs="宋体"/>
                <w:color w:val="auto"/>
                <w:sz w:val="24"/>
                <w:szCs w:val="24"/>
                <w:highlight w:val="none"/>
              </w:rPr>
              <w:t>环境温度：0到40度</w:t>
            </w:r>
            <w:r>
              <w:rPr>
                <w:rFonts w:hint="eastAsia" w:ascii="宋体" w:hAnsi="宋体" w:cs="宋体"/>
                <w:color w:val="auto"/>
                <w:sz w:val="24"/>
                <w:szCs w:val="24"/>
                <w:highlight w:val="none"/>
              </w:rPr>
              <w:t>；</w:t>
            </w:r>
          </w:p>
          <w:p w14:paraId="73E9831A">
            <w:pPr>
              <w:numPr>
                <w:ilvl w:val="0"/>
                <w:numId w:val="97"/>
              </w:numPr>
              <w:ind w:firstLine="0"/>
              <w:jc w:val="left"/>
              <w:rPr>
                <w:rFonts w:ascii="宋体" w:hAnsi="宋体" w:cs="宋体"/>
                <w:color w:val="auto"/>
                <w:sz w:val="24"/>
                <w:szCs w:val="24"/>
                <w:highlight w:val="none"/>
              </w:rPr>
            </w:pPr>
            <w:r>
              <w:rPr>
                <w:rFonts w:ascii="宋体" w:hAnsi="宋体" w:cs="宋体"/>
                <w:color w:val="auto"/>
                <w:sz w:val="24"/>
                <w:szCs w:val="24"/>
                <w:highlight w:val="none"/>
              </w:rPr>
              <w:t>环境湿度：20%到95%</w:t>
            </w:r>
            <w:r>
              <w:rPr>
                <w:rFonts w:hint="eastAsia" w:ascii="宋体" w:hAnsi="宋体" w:cs="宋体"/>
                <w:color w:val="auto"/>
                <w:sz w:val="24"/>
                <w:szCs w:val="24"/>
                <w:highlight w:val="none"/>
              </w:rPr>
              <w:t>；</w:t>
            </w:r>
          </w:p>
          <w:p w14:paraId="6D2BDE4C">
            <w:pPr>
              <w:numPr>
                <w:ilvl w:val="0"/>
                <w:numId w:val="97"/>
              </w:numPr>
              <w:ind w:firstLine="0"/>
              <w:jc w:val="left"/>
              <w:rPr>
                <w:rFonts w:ascii="宋体" w:hAnsi="宋体" w:cs="宋体"/>
                <w:color w:val="auto"/>
                <w:sz w:val="24"/>
                <w:szCs w:val="24"/>
                <w:highlight w:val="none"/>
              </w:rPr>
            </w:pPr>
            <w:r>
              <w:rPr>
                <w:rFonts w:ascii="宋体" w:hAnsi="宋体" w:cs="宋体"/>
                <w:color w:val="auto"/>
                <w:sz w:val="24"/>
                <w:szCs w:val="24"/>
                <w:highlight w:val="none"/>
              </w:rPr>
              <w:t>海拔高度：&lt;2000米</w:t>
            </w:r>
            <w:r>
              <w:rPr>
                <w:rFonts w:hint="eastAsia" w:ascii="宋体" w:hAnsi="宋体" w:cs="宋体"/>
                <w:color w:val="auto"/>
                <w:sz w:val="24"/>
                <w:szCs w:val="24"/>
                <w:highlight w:val="none"/>
              </w:rPr>
              <w:t>；</w:t>
            </w:r>
          </w:p>
          <w:p w14:paraId="05FDD202">
            <w:pPr>
              <w:numPr>
                <w:ilvl w:val="0"/>
                <w:numId w:val="97"/>
              </w:numPr>
              <w:ind w:firstLine="0"/>
              <w:jc w:val="left"/>
              <w:rPr>
                <w:rFonts w:ascii="宋体" w:hAnsi="宋体" w:cs="宋体"/>
                <w:color w:val="auto"/>
                <w:sz w:val="24"/>
                <w:szCs w:val="24"/>
                <w:highlight w:val="none"/>
              </w:rPr>
            </w:pPr>
            <w:r>
              <w:rPr>
                <w:rFonts w:ascii="宋体" w:hAnsi="宋体" w:cs="宋体"/>
                <w:color w:val="auto"/>
                <w:sz w:val="24"/>
                <w:szCs w:val="24"/>
                <w:highlight w:val="none"/>
              </w:rPr>
              <w:t>供电系统：电压220V，频率50Hz</w:t>
            </w:r>
            <w:r>
              <w:rPr>
                <w:rFonts w:hint="eastAsia" w:ascii="宋体" w:hAnsi="宋体" w:cs="宋体"/>
                <w:color w:val="auto"/>
                <w:sz w:val="24"/>
                <w:szCs w:val="24"/>
                <w:highlight w:val="none"/>
              </w:rPr>
              <w:t>；</w:t>
            </w:r>
          </w:p>
          <w:p w14:paraId="5CB82B7B">
            <w:pPr>
              <w:pStyle w:val="22"/>
              <w:numPr>
                <w:ilvl w:val="0"/>
                <w:numId w:val="97"/>
              </w:numPr>
              <w:ind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支持查询开门留样事件，留样事件支持自动生成，且保持5年以上</w:t>
            </w:r>
            <w:r>
              <w:rPr>
                <w:rFonts w:hint="eastAsia" w:ascii="宋体" w:hAnsi="宋体" w:eastAsia="宋体" w:cs="宋体"/>
                <w:color w:val="auto"/>
                <w:sz w:val="24"/>
                <w:szCs w:val="24"/>
                <w:highlight w:val="none"/>
              </w:rPr>
              <w:t>；</w:t>
            </w:r>
          </w:p>
          <w:p w14:paraId="4D53A9ED">
            <w:pPr>
              <w:pStyle w:val="22"/>
              <w:numPr>
                <w:ilvl w:val="0"/>
                <w:numId w:val="97"/>
              </w:numPr>
              <w:ind w:firstLine="0"/>
              <w:rPr>
                <w:color w:val="auto"/>
                <w:highlight w:val="none"/>
              </w:rPr>
            </w:pPr>
            <w:r>
              <w:rPr>
                <w:rFonts w:ascii="宋体" w:hAnsi="宋体" w:eastAsia="宋体" w:cs="宋体"/>
                <w:color w:val="auto"/>
                <w:sz w:val="24"/>
                <w:szCs w:val="24"/>
                <w:highlight w:val="none"/>
              </w:rPr>
              <w:t>支持留样区域及权限设定，可限定留样冰箱用于档口留样还是大餐留样</w:t>
            </w:r>
            <w:r>
              <w:rPr>
                <w:rFonts w:hint="eastAsia" w:ascii="宋体" w:hAnsi="宋体" w:eastAsia="宋体" w:cs="宋体"/>
                <w:color w:val="auto"/>
                <w:sz w:val="24"/>
                <w:szCs w:val="24"/>
                <w:highlight w:val="none"/>
              </w:rPr>
              <w:t>；</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5DD31F9">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758A3681">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754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3810FE6">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13</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6231F93">
            <w:pPr>
              <w:jc w:val="center"/>
              <w:rPr>
                <w:rFonts w:ascii="宋体" w:hAnsi="宋体" w:cs="宋体"/>
                <w:color w:val="auto"/>
                <w:sz w:val="24"/>
                <w:szCs w:val="24"/>
                <w:highlight w:val="none"/>
              </w:rPr>
            </w:pPr>
            <w:r>
              <w:rPr>
                <w:rFonts w:hint="eastAsia" w:ascii="宋体" w:hAnsi="宋体" w:cs="宋体"/>
                <w:color w:val="auto"/>
                <w:sz w:val="24"/>
                <w:szCs w:val="24"/>
                <w:highlight w:val="none"/>
              </w:rPr>
              <w:t>多功能食品安全检测仪</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527AB115">
            <w:pPr>
              <w:numPr>
                <w:ilvl w:val="0"/>
                <w:numId w:val="98"/>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55D92AD5">
            <w:pPr>
              <w:numPr>
                <w:ilvl w:val="0"/>
                <w:numId w:val="99"/>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对多种食材进行定性定量检测，输出检测报告</w:t>
            </w:r>
            <w:r>
              <w:rPr>
                <w:rFonts w:hint="eastAsia" w:ascii="宋体" w:hAnsi="宋体" w:cs="宋体"/>
                <w:color w:val="auto"/>
                <w:sz w:val="24"/>
                <w:szCs w:val="24"/>
                <w:highlight w:val="none"/>
              </w:rPr>
              <w:t>；</w:t>
            </w:r>
          </w:p>
          <w:p w14:paraId="73B8A1C1">
            <w:pPr>
              <w:numPr>
                <w:ilvl w:val="0"/>
                <w:numId w:val="98"/>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设备参数：</w:t>
            </w:r>
          </w:p>
          <w:p w14:paraId="2A3F7A09">
            <w:pPr>
              <w:numPr>
                <w:ilvl w:val="0"/>
                <w:numId w:val="100"/>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主要参数</w:t>
            </w:r>
            <w:r>
              <w:rPr>
                <w:rFonts w:ascii="宋体" w:hAnsi="宋体" w:cs="宋体"/>
                <w:color w:val="auto"/>
                <w:sz w:val="24"/>
                <w:szCs w:val="24"/>
                <w:highlight w:val="none"/>
              </w:rPr>
              <w:t>:</w:t>
            </w:r>
          </w:p>
          <w:p w14:paraId="74D1934B">
            <w:pPr>
              <w:numPr>
                <w:ilvl w:val="0"/>
                <w:numId w:val="101"/>
              </w:numPr>
              <w:ind w:firstLine="0"/>
              <w:jc w:val="left"/>
              <w:rPr>
                <w:rFonts w:ascii="宋体" w:hAnsi="宋体" w:cs="宋体"/>
                <w:color w:val="auto"/>
                <w:sz w:val="24"/>
                <w:szCs w:val="24"/>
                <w:highlight w:val="none"/>
              </w:rPr>
            </w:pPr>
            <w:r>
              <w:rPr>
                <w:rFonts w:ascii="宋体" w:hAnsi="宋体" w:cs="宋体"/>
                <w:color w:val="auto"/>
                <w:sz w:val="24"/>
                <w:szCs w:val="24"/>
                <w:highlight w:val="none"/>
              </w:rPr>
              <w:t>显示方式：支持不低于7英寸液晶触摸屏显示</w:t>
            </w:r>
            <w:r>
              <w:rPr>
                <w:rFonts w:hint="eastAsia" w:ascii="宋体" w:hAnsi="宋体" w:cs="宋体"/>
                <w:color w:val="auto"/>
                <w:sz w:val="24"/>
                <w:szCs w:val="24"/>
                <w:highlight w:val="none"/>
              </w:rPr>
              <w:t>；</w:t>
            </w:r>
          </w:p>
          <w:p w14:paraId="3B933861">
            <w:pPr>
              <w:numPr>
                <w:ilvl w:val="0"/>
                <w:numId w:val="101"/>
              </w:numPr>
              <w:ind w:firstLine="0"/>
              <w:jc w:val="left"/>
              <w:rPr>
                <w:rFonts w:ascii="宋体" w:hAnsi="宋体" w:cs="宋体"/>
                <w:color w:val="auto"/>
                <w:sz w:val="24"/>
                <w:szCs w:val="24"/>
                <w:highlight w:val="none"/>
              </w:rPr>
            </w:pPr>
            <w:r>
              <w:rPr>
                <w:rFonts w:ascii="宋体" w:hAnsi="宋体" w:cs="宋体"/>
                <w:color w:val="auto"/>
                <w:sz w:val="24"/>
                <w:szCs w:val="24"/>
                <w:highlight w:val="none"/>
              </w:rPr>
              <w:t>供电方式：交直流两用，直流12V供电</w:t>
            </w:r>
            <w:r>
              <w:rPr>
                <w:rFonts w:hint="eastAsia" w:ascii="宋体" w:hAnsi="宋体" w:cs="宋体"/>
                <w:color w:val="auto"/>
                <w:sz w:val="24"/>
                <w:szCs w:val="24"/>
                <w:highlight w:val="none"/>
              </w:rPr>
              <w:t>；</w:t>
            </w:r>
          </w:p>
          <w:p w14:paraId="26F79AFD">
            <w:pPr>
              <w:numPr>
                <w:ilvl w:val="0"/>
                <w:numId w:val="101"/>
              </w:numPr>
              <w:ind w:firstLine="0"/>
              <w:jc w:val="left"/>
              <w:rPr>
                <w:rFonts w:ascii="宋体" w:hAnsi="宋体" w:cs="宋体"/>
                <w:color w:val="auto"/>
                <w:sz w:val="24"/>
                <w:szCs w:val="24"/>
                <w:highlight w:val="none"/>
              </w:rPr>
            </w:pPr>
            <w:r>
              <w:rPr>
                <w:rFonts w:ascii="宋体" w:hAnsi="宋体" w:cs="宋体"/>
                <w:color w:val="auto"/>
                <w:sz w:val="24"/>
                <w:szCs w:val="24"/>
                <w:highlight w:val="none"/>
              </w:rPr>
              <w:t>采样方式：不间断进样，连续检测</w:t>
            </w:r>
            <w:r>
              <w:rPr>
                <w:rFonts w:hint="eastAsia" w:ascii="宋体" w:hAnsi="宋体" w:cs="宋体"/>
                <w:color w:val="auto"/>
                <w:sz w:val="24"/>
                <w:szCs w:val="24"/>
                <w:highlight w:val="none"/>
              </w:rPr>
              <w:t>；</w:t>
            </w:r>
          </w:p>
          <w:p w14:paraId="7B4232CB">
            <w:pPr>
              <w:numPr>
                <w:ilvl w:val="0"/>
                <w:numId w:val="101"/>
              </w:numPr>
              <w:ind w:firstLine="0"/>
              <w:jc w:val="left"/>
              <w:rPr>
                <w:rFonts w:ascii="宋体" w:hAnsi="宋体" w:cs="宋体"/>
                <w:color w:val="auto"/>
                <w:sz w:val="24"/>
                <w:szCs w:val="24"/>
                <w:highlight w:val="none"/>
              </w:rPr>
            </w:pPr>
            <w:r>
              <w:rPr>
                <w:rFonts w:ascii="宋体" w:hAnsi="宋体" w:cs="宋体"/>
                <w:color w:val="auto"/>
                <w:sz w:val="24"/>
                <w:szCs w:val="24"/>
                <w:highlight w:val="none"/>
              </w:rPr>
              <w:t>检测内容：非食用化学物质、滥用食品添加剂、农药残留、兽药残留、重金属、病害肉、营养强化剂、抗生素类残留、激素类残留、真菌毒素类残留、化学类残留</w:t>
            </w:r>
            <w:r>
              <w:rPr>
                <w:rFonts w:hint="eastAsia" w:ascii="宋体" w:hAnsi="宋体" w:cs="宋体"/>
                <w:color w:val="auto"/>
                <w:sz w:val="24"/>
                <w:szCs w:val="24"/>
                <w:highlight w:val="none"/>
              </w:rPr>
              <w:t>；</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09394A7">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A041692">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218B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8E69717">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1536019">
            <w:pPr>
              <w:jc w:val="center"/>
              <w:rPr>
                <w:rFonts w:ascii="宋体" w:hAnsi="宋体" w:cs="宋体"/>
                <w:color w:val="auto"/>
                <w:sz w:val="24"/>
                <w:szCs w:val="24"/>
                <w:highlight w:val="none"/>
              </w:rPr>
            </w:pPr>
            <w:r>
              <w:rPr>
                <w:rFonts w:hint="eastAsia" w:ascii="宋体" w:hAnsi="宋体" w:cs="宋体"/>
                <w:color w:val="auto"/>
                <w:sz w:val="24"/>
                <w:szCs w:val="24"/>
                <w:highlight w:val="none"/>
              </w:rPr>
              <w:t>客流量智能人员统计摄像头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26E067CA">
            <w:pPr>
              <w:numPr>
                <w:ilvl w:val="0"/>
                <w:numId w:val="102"/>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1A32F36F">
            <w:pPr>
              <w:numPr>
                <w:ilvl w:val="0"/>
                <w:numId w:val="10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支持进行每日食堂客流统计：人员留存、今日客流量、昨日客流、新增、近七天客流量趋势、日客流时间对比、档口热度；</w:t>
            </w:r>
          </w:p>
          <w:p w14:paraId="10E92D75">
            <w:pPr>
              <w:numPr>
                <w:ilvl w:val="0"/>
                <w:numId w:val="10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支持食堂档口候餐热度监管：档口候餐人员统计、日候餐人数趋势、档口抓拍、热门档口排行；</w:t>
            </w:r>
          </w:p>
          <w:p w14:paraId="278E8A38">
            <w:pPr>
              <w:numPr>
                <w:ilvl w:val="0"/>
                <w:numId w:val="102"/>
              </w:numPr>
              <w:ind w:left="0" w:firstLine="0"/>
              <w:jc w:val="left"/>
              <w:rPr>
                <w:color w:val="auto"/>
                <w:highlight w:val="none"/>
              </w:rPr>
            </w:pPr>
            <w:r>
              <w:rPr>
                <w:rFonts w:hint="eastAsia" w:ascii="宋体" w:hAnsi="宋体" w:cs="宋体"/>
                <w:color w:val="auto"/>
                <w:sz w:val="24"/>
                <w:szCs w:val="24"/>
                <w:highlight w:val="none"/>
              </w:rPr>
              <w:t>设备参数：</w:t>
            </w:r>
          </w:p>
          <w:p w14:paraId="0723CBA1">
            <w:pPr>
              <w:pStyle w:val="22"/>
              <w:numPr>
                <w:ilvl w:val="0"/>
                <w:numId w:val="104"/>
              </w:numPr>
              <w:ind w:left="0" w:firstLine="0"/>
              <w:rPr>
                <w:color w:val="auto"/>
                <w:highlight w:val="none"/>
              </w:rPr>
            </w:pPr>
            <w:r>
              <w:rPr>
                <w:rFonts w:hint="eastAsia" w:ascii="宋体" w:hAnsi="宋体" w:eastAsia="宋体" w:cs="宋体"/>
                <w:color w:val="auto"/>
                <w:sz w:val="24"/>
                <w:szCs w:val="24"/>
                <w:highlight w:val="none"/>
              </w:rPr>
              <w:t>主要参数：</w:t>
            </w:r>
          </w:p>
          <w:p w14:paraId="71C13551">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同时预览路数</w:t>
            </w:r>
            <w:r>
              <w:rPr>
                <w:rFonts w:hint="eastAsia" w:ascii="宋体" w:hAnsi="宋体" w:cs="宋体"/>
                <w:color w:val="auto"/>
                <w:sz w:val="24"/>
                <w:szCs w:val="24"/>
                <w:highlight w:val="none"/>
              </w:rPr>
              <w:t>：</w:t>
            </w:r>
            <w:r>
              <w:rPr>
                <w:rFonts w:ascii="宋体" w:hAnsi="宋体" w:cs="宋体"/>
                <w:color w:val="auto"/>
                <w:sz w:val="24"/>
                <w:szCs w:val="24"/>
                <w:highlight w:val="none"/>
              </w:rPr>
              <w:t>最多20路</w:t>
            </w:r>
            <w:r>
              <w:rPr>
                <w:rFonts w:hint="eastAsia" w:ascii="宋体" w:hAnsi="宋体" w:cs="宋体"/>
                <w:color w:val="auto"/>
                <w:sz w:val="24"/>
                <w:szCs w:val="24"/>
                <w:highlight w:val="none"/>
              </w:rPr>
              <w:t>；</w:t>
            </w:r>
          </w:p>
          <w:p w14:paraId="4535FD30">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网络存储</w:t>
            </w:r>
            <w:r>
              <w:rPr>
                <w:rFonts w:hint="eastAsia" w:ascii="宋体" w:hAnsi="宋体" w:cs="宋体"/>
                <w:color w:val="auto"/>
                <w:sz w:val="24"/>
                <w:szCs w:val="24"/>
                <w:highlight w:val="none"/>
              </w:rPr>
              <w:t>：</w:t>
            </w:r>
            <w:r>
              <w:rPr>
                <w:rFonts w:ascii="宋体" w:hAnsi="宋体" w:cs="宋体"/>
                <w:color w:val="auto"/>
                <w:sz w:val="24"/>
                <w:szCs w:val="24"/>
                <w:highlight w:val="none"/>
              </w:rPr>
              <w:t>支持MicrQSR/MicrQSRHC/MicrQSDXC卡</w:t>
            </w:r>
            <w:r>
              <w:rPr>
                <w:rFonts w:hint="eastAsia" w:ascii="宋体" w:hAnsi="宋体" w:cs="宋体"/>
                <w:color w:val="auto"/>
                <w:sz w:val="24"/>
                <w:szCs w:val="24"/>
                <w:highlight w:val="none"/>
              </w:rPr>
              <w:t>（</w:t>
            </w:r>
            <w:r>
              <w:rPr>
                <w:rFonts w:ascii="宋体" w:hAnsi="宋体" w:cs="宋体"/>
                <w:color w:val="auto"/>
                <w:sz w:val="24"/>
                <w:szCs w:val="24"/>
                <w:highlight w:val="none"/>
              </w:rPr>
              <w:t>最大256GB</w:t>
            </w:r>
            <w:r>
              <w:rPr>
                <w:rFonts w:hint="eastAsia" w:ascii="宋体" w:hAnsi="宋体" w:cs="宋体"/>
                <w:color w:val="auto"/>
                <w:sz w:val="24"/>
                <w:szCs w:val="24"/>
                <w:highlight w:val="none"/>
              </w:rPr>
              <w:t>）</w:t>
            </w:r>
            <w:r>
              <w:rPr>
                <w:rFonts w:ascii="宋体" w:hAnsi="宋体" w:cs="宋体"/>
                <w:color w:val="auto"/>
                <w:sz w:val="24"/>
                <w:szCs w:val="24"/>
                <w:highlight w:val="none"/>
              </w:rPr>
              <w:t>断网本地存储及断网续传，NAS(NFS,SMB/CIFS均支持</w:t>
            </w:r>
            <w:r>
              <w:rPr>
                <w:rFonts w:hint="eastAsia" w:ascii="宋体" w:hAnsi="宋体" w:cs="宋体"/>
                <w:color w:val="auto"/>
                <w:sz w:val="24"/>
                <w:szCs w:val="24"/>
                <w:highlight w:val="none"/>
              </w:rPr>
              <w:t>）</w:t>
            </w:r>
            <w:r>
              <w:rPr>
                <w:rFonts w:ascii="宋体" w:hAnsi="宋体" w:cs="宋体"/>
                <w:color w:val="auto"/>
                <w:sz w:val="24"/>
                <w:szCs w:val="24"/>
                <w:highlight w:val="none"/>
              </w:rPr>
              <w:t>，配合海康黑卡支持SD卡加密及SD卡状态检测</w:t>
            </w:r>
            <w:r>
              <w:rPr>
                <w:rFonts w:hint="eastAsia" w:ascii="宋体" w:hAnsi="宋体" w:cs="宋体"/>
                <w:color w:val="auto"/>
                <w:sz w:val="24"/>
                <w:szCs w:val="24"/>
                <w:highlight w:val="none"/>
              </w:rPr>
              <w:t>；</w:t>
            </w:r>
          </w:p>
          <w:p w14:paraId="4098F50C">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用户管理</w:t>
            </w:r>
            <w:r>
              <w:rPr>
                <w:rFonts w:hint="eastAsia" w:ascii="宋体" w:hAnsi="宋体" w:cs="宋体"/>
                <w:color w:val="auto"/>
                <w:sz w:val="24"/>
                <w:szCs w:val="24"/>
                <w:highlight w:val="none"/>
              </w:rPr>
              <w:t>：</w:t>
            </w:r>
            <w:r>
              <w:rPr>
                <w:rFonts w:ascii="宋体" w:hAnsi="宋体" w:cs="宋体"/>
                <w:color w:val="auto"/>
                <w:sz w:val="24"/>
                <w:szCs w:val="24"/>
                <w:highlight w:val="none"/>
              </w:rPr>
              <w:t>最多32个用户，可分3级用户权限管理：管理员，操作员，普通用户</w:t>
            </w:r>
            <w:r>
              <w:rPr>
                <w:rFonts w:hint="eastAsia" w:ascii="宋体" w:hAnsi="宋体" w:cs="宋体"/>
                <w:color w:val="auto"/>
                <w:sz w:val="24"/>
                <w:szCs w:val="24"/>
                <w:highlight w:val="none"/>
              </w:rPr>
              <w:t>；</w:t>
            </w:r>
          </w:p>
          <w:p w14:paraId="19CC4B6A">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网络协议</w:t>
            </w:r>
            <w:r>
              <w:rPr>
                <w:rFonts w:hint="eastAsia" w:ascii="宋体" w:hAnsi="宋体" w:cs="宋体"/>
                <w:color w:val="auto"/>
                <w:sz w:val="24"/>
                <w:szCs w:val="24"/>
                <w:highlight w:val="none"/>
              </w:rPr>
              <w:t>：</w:t>
            </w:r>
            <w:r>
              <w:rPr>
                <w:rFonts w:ascii="宋体" w:hAnsi="宋体" w:cs="宋体"/>
                <w:color w:val="auto"/>
                <w:sz w:val="24"/>
                <w:szCs w:val="24"/>
                <w:highlight w:val="none"/>
              </w:rPr>
              <w:t>TCP/IP，ICMP，HTTP，HTTPS，FTP，DHCP，DNS，DDNS，RTP，RTSP，RTCP，PPPoE，NTP，UPnP，SMTP，SNMP，IGMP，802.1X，QoS，IPv6，UDP，Bonjour，WebSocket，WebSockets</w:t>
            </w:r>
            <w:r>
              <w:rPr>
                <w:rFonts w:hint="eastAsia" w:ascii="宋体" w:hAnsi="宋体" w:cs="宋体"/>
                <w:color w:val="auto"/>
                <w:sz w:val="24"/>
                <w:szCs w:val="24"/>
                <w:highlight w:val="none"/>
              </w:rPr>
              <w:t>；</w:t>
            </w:r>
          </w:p>
          <w:p w14:paraId="08D6380E">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接口协议</w:t>
            </w:r>
            <w:r>
              <w:rPr>
                <w:rFonts w:hint="eastAsia" w:ascii="宋体" w:hAnsi="宋体" w:cs="宋体"/>
                <w:color w:val="auto"/>
                <w:sz w:val="24"/>
                <w:szCs w:val="24"/>
                <w:highlight w:val="none"/>
              </w:rPr>
              <w:t>（</w:t>
            </w:r>
            <w:r>
              <w:rPr>
                <w:rFonts w:ascii="宋体" w:hAnsi="宋体" w:cs="宋体"/>
                <w:color w:val="auto"/>
                <w:sz w:val="24"/>
                <w:szCs w:val="24"/>
                <w:highlight w:val="none"/>
              </w:rPr>
              <w:t>API</w:t>
            </w:r>
            <w:r>
              <w:rPr>
                <w:rFonts w:hint="eastAsia" w:ascii="宋体" w:hAnsi="宋体" w:cs="宋体"/>
                <w:color w:val="auto"/>
                <w:sz w:val="24"/>
                <w:szCs w:val="24"/>
                <w:highlight w:val="none"/>
              </w:rPr>
              <w:t>）：</w:t>
            </w:r>
            <w:r>
              <w:rPr>
                <w:rFonts w:ascii="宋体" w:hAnsi="宋体" w:cs="宋体"/>
                <w:color w:val="auto"/>
                <w:sz w:val="24"/>
                <w:szCs w:val="24"/>
                <w:highlight w:val="none"/>
              </w:rPr>
              <w:t>开放型网络视频接口，ISAPI，GB28181，SDK，ISUP5.0</w:t>
            </w:r>
            <w:r>
              <w:rPr>
                <w:rFonts w:hint="eastAsia" w:ascii="宋体" w:hAnsi="宋体" w:cs="宋体"/>
                <w:color w:val="auto"/>
                <w:sz w:val="24"/>
                <w:szCs w:val="24"/>
                <w:highlight w:val="none"/>
              </w:rPr>
              <w:t>；</w:t>
            </w:r>
          </w:p>
          <w:p w14:paraId="2111123C">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浏览器</w:t>
            </w:r>
            <w:r>
              <w:rPr>
                <w:rFonts w:hint="eastAsia" w:ascii="宋体" w:hAnsi="宋体" w:cs="宋体"/>
                <w:color w:val="auto"/>
                <w:sz w:val="24"/>
                <w:szCs w:val="24"/>
                <w:highlight w:val="none"/>
              </w:rPr>
              <w:t>：</w:t>
            </w:r>
            <w:r>
              <w:rPr>
                <w:rFonts w:ascii="宋体" w:hAnsi="宋体" w:cs="宋体"/>
                <w:color w:val="auto"/>
                <w:sz w:val="24"/>
                <w:szCs w:val="24"/>
                <w:highlight w:val="none"/>
              </w:rPr>
              <w:t>使用插件预览：IE11</w:t>
            </w:r>
            <w:r>
              <w:rPr>
                <w:rFonts w:hint="eastAsia" w:ascii="宋体" w:hAnsi="宋体" w:cs="宋体"/>
                <w:color w:val="auto"/>
                <w:sz w:val="24"/>
                <w:szCs w:val="24"/>
                <w:highlight w:val="none"/>
              </w:rPr>
              <w:t>；</w:t>
            </w:r>
          </w:p>
          <w:p w14:paraId="139AF144">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无插件预览：Safari12+</w:t>
            </w:r>
            <w:r>
              <w:rPr>
                <w:rFonts w:hint="eastAsia" w:ascii="宋体" w:hAnsi="宋体" w:cs="宋体"/>
                <w:color w:val="auto"/>
                <w:sz w:val="24"/>
                <w:szCs w:val="24"/>
                <w:highlight w:val="none"/>
              </w:rPr>
              <w:t>；</w:t>
            </w:r>
          </w:p>
          <w:p w14:paraId="5AF9444D">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使用本地服务预览：Chrome57.0+，Firefox52.0+</w:t>
            </w:r>
            <w:r>
              <w:rPr>
                <w:rFonts w:hint="eastAsia" w:ascii="宋体" w:hAnsi="宋体" w:cs="宋体"/>
                <w:color w:val="auto"/>
                <w:sz w:val="24"/>
                <w:szCs w:val="24"/>
                <w:highlight w:val="none"/>
              </w:rPr>
              <w:t>；</w:t>
            </w:r>
          </w:p>
          <w:p w14:paraId="14EAE997">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不建议使用：Safari11+，edge</w:t>
            </w:r>
            <w:r>
              <w:rPr>
                <w:rFonts w:hint="eastAsia" w:ascii="宋体" w:hAnsi="宋体" w:cs="宋体"/>
                <w:color w:val="auto"/>
                <w:sz w:val="24"/>
                <w:szCs w:val="24"/>
                <w:highlight w:val="none"/>
              </w:rPr>
              <w:t>；</w:t>
            </w:r>
          </w:p>
          <w:p w14:paraId="31D7454B">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网络</w:t>
            </w:r>
            <w:r>
              <w:rPr>
                <w:rFonts w:hint="eastAsia" w:ascii="宋体" w:hAnsi="宋体" w:cs="宋体"/>
                <w:color w:val="auto"/>
                <w:sz w:val="24"/>
                <w:szCs w:val="24"/>
                <w:highlight w:val="none"/>
              </w:rPr>
              <w:t>：</w:t>
            </w:r>
            <w:r>
              <w:rPr>
                <w:rFonts w:ascii="宋体" w:hAnsi="宋体" w:cs="宋体"/>
                <w:color w:val="auto"/>
                <w:sz w:val="24"/>
                <w:szCs w:val="24"/>
                <w:highlight w:val="none"/>
              </w:rPr>
              <w:t>1个RJ4510M/100M自适应以太网口</w:t>
            </w:r>
            <w:r>
              <w:rPr>
                <w:rFonts w:hint="eastAsia" w:ascii="宋体" w:hAnsi="宋体" w:cs="宋体"/>
                <w:color w:val="auto"/>
                <w:sz w:val="24"/>
                <w:szCs w:val="24"/>
                <w:highlight w:val="none"/>
              </w:rPr>
              <w:t>；</w:t>
            </w:r>
          </w:p>
          <w:p w14:paraId="5A3EB30B">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SD卡扩展</w:t>
            </w:r>
            <w:r>
              <w:rPr>
                <w:rFonts w:hint="eastAsia" w:ascii="宋体" w:hAnsi="宋体" w:cs="宋体"/>
                <w:color w:val="auto"/>
                <w:sz w:val="24"/>
                <w:szCs w:val="24"/>
                <w:highlight w:val="none"/>
              </w:rPr>
              <w:t>：</w:t>
            </w:r>
            <w:r>
              <w:rPr>
                <w:rFonts w:ascii="宋体" w:hAnsi="宋体" w:cs="宋体"/>
                <w:color w:val="auto"/>
                <w:sz w:val="24"/>
                <w:szCs w:val="24"/>
                <w:highlight w:val="none"/>
              </w:rPr>
              <w:t>内置</w:t>
            </w:r>
            <w:r>
              <w:rPr>
                <w:rFonts w:hint="eastAsia" w:ascii="宋体" w:hAnsi="宋体" w:cs="宋体"/>
                <w:color w:val="auto"/>
                <w:sz w:val="24"/>
                <w:szCs w:val="24"/>
                <w:highlight w:val="none"/>
              </w:rPr>
              <w:t>；</w:t>
            </w:r>
            <w:r>
              <w:rPr>
                <w:rFonts w:ascii="宋体" w:hAnsi="宋体" w:cs="宋体"/>
                <w:color w:val="auto"/>
                <w:sz w:val="24"/>
                <w:szCs w:val="24"/>
                <w:highlight w:val="none"/>
              </w:rPr>
              <w:t>MicroSD/MicroSDHC/MicroSDXC插槽，最大支持256GB</w:t>
            </w:r>
            <w:r>
              <w:rPr>
                <w:rFonts w:hint="eastAsia" w:ascii="宋体" w:hAnsi="宋体" w:cs="宋体"/>
                <w:color w:val="auto"/>
                <w:sz w:val="24"/>
                <w:szCs w:val="24"/>
                <w:highlight w:val="none"/>
              </w:rPr>
              <w:t>；</w:t>
            </w:r>
          </w:p>
          <w:p w14:paraId="10953D75">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音频</w:t>
            </w:r>
            <w:r>
              <w:rPr>
                <w:rFonts w:hint="eastAsia" w:ascii="宋体" w:hAnsi="宋体" w:cs="宋体"/>
                <w:color w:val="auto"/>
                <w:sz w:val="24"/>
                <w:szCs w:val="24"/>
                <w:highlight w:val="none"/>
              </w:rPr>
              <w:t>：</w:t>
            </w:r>
            <w:r>
              <w:rPr>
                <w:rFonts w:ascii="宋体" w:hAnsi="宋体" w:cs="宋体"/>
                <w:color w:val="auto"/>
                <w:sz w:val="24"/>
                <w:szCs w:val="24"/>
                <w:highlight w:val="none"/>
              </w:rPr>
              <w:t>1路输入（Linein），1路输出（Lineout），接口类型open裸线，2个内置麦克风，1个内置喇叭</w:t>
            </w:r>
            <w:r>
              <w:rPr>
                <w:rFonts w:hint="eastAsia" w:ascii="宋体" w:hAnsi="宋体" w:cs="宋体"/>
                <w:color w:val="auto"/>
                <w:sz w:val="24"/>
                <w:szCs w:val="24"/>
                <w:highlight w:val="none"/>
              </w:rPr>
              <w:t>；</w:t>
            </w:r>
          </w:p>
          <w:p w14:paraId="364CC177">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报警</w:t>
            </w:r>
            <w:r>
              <w:rPr>
                <w:rFonts w:hint="eastAsia" w:ascii="宋体" w:hAnsi="宋体" w:cs="宋体"/>
                <w:color w:val="auto"/>
                <w:sz w:val="24"/>
                <w:szCs w:val="24"/>
                <w:highlight w:val="none"/>
              </w:rPr>
              <w:t>：</w:t>
            </w:r>
            <w:r>
              <w:rPr>
                <w:rFonts w:ascii="宋体" w:hAnsi="宋体" w:cs="宋体"/>
                <w:color w:val="auto"/>
                <w:sz w:val="24"/>
                <w:szCs w:val="24"/>
                <w:highlight w:val="none"/>
              </w:rPr>
              <w:t>1路输入，1路输出（报警输入支持开关量，报警输出最大支持DC12V，30mA），接口类型open裸线</w:t>
            </w:r>
            <w:r>
              <w:rPr>
                <w:rFonts w:hint="eastAsia" w:ascii="宋体" w:hAnsi="宋体" w:cs="宋体"/>
                <w:color w:val="auto"/>
                <w:sz w:val="24"/>
                <w:szCs w:val="24"/>
                <w:highlight w:val="none"/>
              </w:rPr>
              <w:t>；</w:t>
            </w:r>
          </w:p>
          <w:p w14:paraId="57C08012">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RS-485:1个RS-485接口，半双工模式，支持自适应HIKVISION，PELCO-P和PELCO-D协议，接口类型open裸线</w:t>
            </w:r>
            <w:r>
              <w:rPr>
                <w:rFonts w:hint="eastAsia" w:ascii="宋体" w:hAnsi="宋体" w:cs="宋体"/>
                <w:color w:val="auto"/>
                <w:sz w:val="24"/>
                <w:szCs w:val="24"/>
                <w:highlight w:val="none"/>
              </w:rPr>
              <w:t>；</w:t>
            </w:r>
          </w:p>
          <w:p w14:paraId="2561A89A">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复位</w:t>
            </w:r>
            <w:r>
              <w:rPr>
                <w:rFonts w:hint="eastAsia" w:ascii="宋体" w:hAnsi="宋体" w:cs="宋体"/>
                <w:color w:val="auto"/>
                <w:sz w:val="24"/>
                <w:szCs w:val="24"/>
                <w:highlight w:val="none"/>
              </w:rPr>
              <w:t>：</w:t>
            </w:r>
            <w:r>
              <w:rPr>
                <w:rFonts w:ascii="宋体" w:hAnsi="宋体" w:cs="宋体"/>
                <w:color w:val="auto"/>
                <w:sz w:val="24"/>
                <w:szCs w:val="24"/>
                <w:highlight w:val="none"/>
              </w:rPr>
              <w:t>支持</w:t>
            </w:r>
            <w:r>
              <w:rPr>
                <w:rFonts w:hint="eastAsia" w:ascii="宋体" w:hAnsi="宋体" w:cs="宋体"/>
                <w:color w:val="auto"/>
                <w:sz w:val="24"/>
                <w:szCs w:val="24"/>
                <w:highlight w:val="none"/>
              </w:rPr>
              <w:t>；</w:t>
            </w:r>
          </w:p>
          <w:p w14:paraId="71DEE966">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电源输出</w:t>
            </w:r>
            <w:r>
              <w:rPr>
                <w:rFonts w:hint="eastAsia" w:ascii="宋体" w:hAnsi="宋体" w:cs="宋体"/>
                <w:color w:val="auto"/>
                <w:sz w:val="24"/>
                <w:szCs w:val="24"/>
                <w:highlight w:val="none"/>
              </w:rPr>
              <w:t>：</w:t>
            </w:r>
            <w:r>
              <w:rPr>
                <w:rFonts w:ascii="宋体" w:hAnsi="宋体" w:cs="宋体"/>
                <w:color w:val="auto"/>
                <w:sz w:val="24"/>
                <w:szCs w:val="24"/>
                <w:highlight w:val="none"/>
              </w:rPr>
              <w:t>DC12V，100mA，接口类型端子座</w:t>
            </w:r>
            <w:r>
              <w:rPr>
                <w:rFonts w:hint="eastAsia" w:ascii="宋体" w:hAnsi="宋体" w:cs="宋体"/>
                <w:color w:val="auto"/>
                <w:sz w:val="24"/>
                <w:szCs w:val="24"/>
                <w:highlight w:val="none"/>
              </w:rPr>
              <w:t>；</w:t>
            </w:r>
          </w:p>
          <w:p w14:paraId="342F8F9B">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接口类型</w:t>
            </w:r>
            <w:r>
              <w:rPr>
                <w:rFonts w:hint="eastAsia" w:ascii="宋体" w:hAnsi="宋体" w:cs="宋体"/>
                <w:color w:val="auto"/>
                <w:sz w:val="24"/>
                <w:szCs w:val="24"/>
                <w:highlight w:val="none"/>
              </w:rPr>
              <w:t>：</w:t>
            </w:r>
            <w:r>
              <w:rPr>
                <w:rFonts w:ascii="宋体" w:hAnsi="宋体" w:cs="宋体"/>
                <w:color w:val="auto"/>
                <w:sz w:val="24"/>
                <w:szCs w:val="24"/>
                <w:highlight w:val="none"/>
              </w:rPr>
              <w:t>外甩线</w:t>
            </w:r>
            <w:r>
              <w:rPr>
                <w:rFonts w:hint="eastAsia" w:ascii="宋体" w:hAnsi="宋体" w:cs="宋体"/>
                <w:color w:val="auto"/>
                <w:sz w:val="24"/>
                <w:szCs w:val="24"/>
                <w:highlight w:val="none"/>
              </w:rPr>
              <w:t>；</w:t>
            </w:r>
          </w:p>
          <w:p w14:paraId="3D706134">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存储温湿度</w:t>
            </w:r>
            <w:r>
              <w:rPr>
                <w:rFonts w:ascii="宋体" w:hAnsi="宋体" w:cs="宋体"/>
                <w:color w:val="auto"/>
                <w:sz w:val="24"/>
                <w:szCs w:val="24"/>
                <w:highlight w:val="none"/>
              </w:rPr>
              <w:tab/>
            </w:r>
            <w:r>
              <w:rPr>
                <w:rFonts w:ascii="宋体" w:hAnsi="宋体" w:cs="宋体"/>
                <w:color w:val="auto"/>
                <w:sz w:val="24"/>
                <w:szCs w:val="24"/>
                <w:highlight w:val="none"/>
              </w:rPr>
              <w:t>-30℃~60℃，湿度小于95%（无凝结）</w:t>
            </w:r>
            <w:r>
              <w:rPr>
                <w:rFonts w:hint="eastAsia" w:ascii="宋体" w:hAnsi="宋体" w:cs="宋体"/>
                <w:color w:val="auto"/>
                <w:sz w:val="24"/>
                <w:szCs w:val="24"/>
                <w:highlight w:val="none"/>
              </w:rPr>
              <w:t>；</w:t>
            </w:r>
          </w:p>
          <w:p w14:paraId="7D451C9A">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启动和工作温湿度</w:t>
            </w:r>
            <w:r>
              <w:rPr>
                <w:rFonts w:hint="eastAsia" w:ascii="宋体" w:hAnsi="宋体" w:cs="宋体"/>
                <w:color w:val="auto"/>
                <w:sz w:val="24"/>
                <w:szCs w:val="24"/>
                <w:highlight w:val="none"/>
              </w:rPr>
              <w:t>：</w:t>
            </w:r>
            <w:r>
              <w:rPr>
                <w:rFonts w:ascii="宋体" w:hAnsi="宋体" w:cs="宋体"/>
                <w:color w:val="auto"/>
                <w:sz w:val="24"/>
                <w:szCs w:val="24"/>
                <w:highlight w:val="none"/>
              </w:rPr>
              <w:t>-30℃~60℃，湿度小于95%（无凝结）</w:t>
            </w:r>
            <w:r>
              <w:rPr>
                <w:rFonts w:hint="eastAsia" w:ascii="宋体" w:hAnsi="宋体" w:cs="宋体"/>
                <w:color w:val="auto"/>
                <w:sz w:val="24"/>
                <w:szCs w:val="24"/>
                <w:highlight w:val="none"/>
              </w:rPr>
              <w:t>；</w:t>
            </w:r>
          </w:p>
          <w:p w14:paraId="61E126F6">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电流及功耗</w:t>
            </w:r>
            <w:r>
              <w:rPr>
                <w:rFonts w:hint="eastAsia" w:ascii="宋体" w:hAnsi="宋体" w:cs="宋体"/>
                <w:color w:val="auto"/>
                <w:sz w:val="24"/>
                <w:szCs w:val="24"/>
                <w:highlight w:val="none"/>
              </w:rPr>
              <w:t>：</w:t>
            </w:r>
            <w:r>
              <w:rPr>
                <w:rFonts w:ascii="宋体" w:hAnsi="宋体" w:cs="宋体"/>
                <w:color w:val="auto"/>
                <w:sz w:val="24"/>
                <w:szCs w:val="24"/>
                <w:highlight w:val="none"/>
              </w:rPr>
              <w:t>DC：12V，0.9A，最大功耗：10.8W</w:t>
            </w:r>
            <w:r>
              <w:rPr>
                <w:rFonts w:hint="eastAsia" w:ascii="宋体" w:hAnsi="宋体" w:cs="宋体"/>
                <w:color w:val="auto"/>
                <w:sz w:val="24"/>
                <w:szCs w:val="24"/>
                <w:highlight w:val="none"/>
              </w:rPr>
              <w:t>；</w:t>
            </w:r>
          </w:p>
          <w:p w14:paraId="15BA99A4">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PoE：802.3at，42.5V</w:t>
            </w:r>
            <w:r>
              <w:rPr>
                <w:rFonts w:hint="eastAsia" w:ascii="宋体" w:hAnsi="宋体" w:cs="宋体"/>
                <w:color w:val="auto"/>
                <w:sz w:val="24"/>
                <w:szCs w:val="24"/>
                <w:highlight w:val="none"/>
              </w:rPr>
              <w:t>～</w:t>
            </w:r>
            <w:r>
              <w:rPr>
                <w:rFonts w:ascii="宋体" w:hAnsi="宋体" w:cs="宋体"/>
                <w:color w:val="auto"/>
                <w:sz w:val="24"/>
                <w:szCs w:val="24"/>
                <w:highlight w:val="none"/>
              </w:rPr>
              <w:t>57V，0.32A</w:t>
            </w:r>
            <w:r>
              <w:rPr>
                <w:rFonts w:hint="eastAsia" w:ascii="宋体" w:hAnsi="宋体" w:cs="宋体"/>
                <w:color w:val="auto"/>
                <w:sz w:val="24"/>
                <w:szCs w:val="24"/>
                <w:highlight w:val="none"/>
              </w:rPr>
              <w:t>～</w:t>
            </w:r>
            <w:r>
              <w:rPr>
                <w:rFonts w:ascii="宋体" w:hAnsi="宋体" w:cs="宋体"/>
                <w:color w:val="auto"/>
                <w:sz w:val="24"/>
                <w:szCs w:val="24"/>
                <w:highlight w:val="none"/>
              </w:rPr>
              <w:t>0.24A，最大功耗：13.5W</w:t>
            </w:r>
            <w:r>
              <w:rPr>
                <w:rFonts w:hint="eastAsia" w:ascii="宋体" w:hAnsi="宋体" w:cs="宋体"/>
                <w:color w:val="auto"/>
                <w:sz w:val="24"/>
                <w:szCs w:val="24"/>
                <w:highlight w:val="none"/>
              </w:rPr>
              <w:t>；</w:t>
            </w:r>
          </w:p>
          <w:p w14:paraId="4E57E430">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供电方式</w:t>
            </w:r>
            <w:r>
              <w:rPr>
                <w:rFonts w:hint="eastAsia" w:ascii="宋体" w:hAnsi="宋体" w:cs="宋体"/>
                <w:color w:val="auto"/>
                <w:sz w:val="24"/>
                <w:szCs w:val="24"/>
                <w:highlight w:val="none"/>
              </w:rPr>
              <w:t>：</w:t>
            </w:r>
            <w:r>
              <w:rPr>
                <w:rFonts w:ascii="宋体" w:hAnsi="宋体" w:cs="宋体"/>
                <w:color w:val="auto"/>
                <w:sz w:val="24"/>
                <w:szCs w:val="24"/>
                <w:highlight w:val="none"/>
              </w:rPr>
              <w:t>DC：12V±20%，支持防反接保护</w:t>
            </w:r>
            <w:r>
              <w:rPr>
                <w:rFonts w:hint="eastAsia" w:ascii="宋体" w:hAnsi="宋体" w:cs="宋体"/>
                <w:color w:val="auto"/>
                <w:sz w:val="24"/>
                <w:szCs w:val="24"/>
                <w:highlight w:val="none"/>
              </w:rPr>
              <w:t>；</w:t>
            </w:r>
          </w:p>
          <w:p w14:paraId="55C0CDBF">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PoE:802.3at，Type2，Class4</w:t>
            </w:r>
            <w:r>
              <w:rPr>
                <w:rFonts w:hint="eastAsia" w:ascii="宋体" w:hAnsi="宋体" w:cs="宋体"/>
                <w:color w:val="auto"/>
                <w:sz w:val="24"/>
                <w:szCs w:val="24"/>
                <w:highlight w:val="none"/>
              </w:rPr>
              <w:t>；</w:t>
            </w:r>
          </w:p>
          <w:p w14:paraId="384AB752">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电源接口类型</w:t>
            </w:r>
            <w:r>
              <w:rPr>
                <w:rFonts w:hint="eastAsia" w:ascii="宋体" w:hAnsi="宋体" w:cs="宋体"/>
                <w:color w:val="auto"/>
                <w:sz w:val="24"/>
                <w:szCs w:val="24"/>
                <w:highlight w:val="none"/>
              </w:rPr>
              <w:t>：</w:t>
            </w:r>
            <w:r>
              <w:rPr>
                <w:rFonts w:ascii="宋体" w:hAnsi="宋体" w:cs="宋体"/>
                <w:color w:val="auto"/>
                <w:sz w:val="24"/>
                <w:szCs w:val="24"/>
                <w:highlight w:val="none"/>
              </w:rPr>
              <w:t>3芯接口</w:t>
            </w:r>
            <w:r>
              <w:rPr>
                <w:rFonts w:hint="eastAsia" w:ascii="宋体" w:hAnsi="宋体" w:cs="宋体"/>
                <w:color w:val="auto"/>
                <w:sz w:val="24"/>
                <w:szCs w:val="24"/>
                <w:highlight w:val="none"/>
              </w:rPr>
              <w:t>；</w:t>
            </w:r>
          </w:p>
          <w:p w14:paraId="18C6C092">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线缆长度</w:t>
            </w:r>
            <w:r>
              <w:rPr>
                <w:rFonts w:hint="eastAsia" w:ascii="宋体" w:hAnsi="宋体" w:cs="宋体"/>
                <w:color w:val="auto"/>
                <w:sz w:val="24"/>
                <w:szCs w:val="24"/>
                <w:highlight w:val="none"/>
              </w:rPr>
              <w:t>：</w:t>
            </w:r>
            <w:r>
              <w:rPr>
                <w:rFonts w:ascii="宋体" w:hAnsi="宋体" w:cs="宋体"/>
                <w:color w:val="auto"/>
                <w:sz w:val="24"/>
                <w:szCs w:val="24"/>
                <w:highlight w:val="none"/>
              </w:rPr>
              <w:t>35cm</w:t>
            </w:r>
            <w:r>
              <w:rPr>
                <w:rFonts w:hint="eastAsia" w:ascii="宋体" w:hAnsi="宋体" w:cs="宋体"/>
                <w:color w:val="auto"/>
                <w:sz w:val="24"/>
                <w:szCs w:val="24"/>
                <w:highlight w:val="none"/>
              </w:rPr>
              <w:t>；</w:t>
            </w:r>
          </w:p>
          <w:p w14:paraId="7F43CC90">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通用功能</w:t>
            </w:r>
            <w:r>
              <w:rPr>
                <w:rFonts w:hint="eastAsia" w:ascii="宋体" w:hAnsi="宋体" w:cs="宋体"/>
                <w:color w:val="auto"/>
                <w:sz w:val="24"/>
                <w:szCs w:val="24"/>
                <w:highlight w:val="none"/>
              </w:rPr>
              <w:t>：</w:t>
            </w:r>
            <w:r>
              <w:rPr>
                <w:rFonts w:ascii="宋体" w:hAnsi="宋体" w:cs="宋体"/>
                <w:color w:val="auto"/>
                <w:sz w:val="24"/>
                <w:szCs w:val="24"/>
                <w:highlight w:val="none"/>
              </w:rPr>
              <w:t>一键恢复，心跳，镜像，密码保护，视频遮盖，水印技术，IP地址过滤</w:t>
            </w:r>
            <w:r>
              <w:rPr>
                <w:rFonts w:hint="eastAsia" w:ascii="宋体" w:hAnsi="宋体" w:cs="宋体"/>
                <w:color w:val="auto"/>
                <w:sz w:val="24"/>
                <w:szCs w:val="24"/>
                <w:highlight w:val="none"/>
              </w:rPr>
              <w:t>；</w:t>
            </w:r>
          </w:p>
          <w:p w14:paraId="6B25EB88">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恢复出厂设置</w:t>
            </w:r>
            <w:r>
              <w:rPr>
                <w:rFonts w:hint="eastAsia" w:ascii="宋体" w:hAnsi="宋体" w:cs="宋体"/>
                <w:color w:val="auto"/>
                <w:sz w:val="24"/>
                <w:szCs w:val="24"/>
                <w:highlight w:val="none"/>
              </w:rPr>
              <w:t>：</w:t>
            </w:r>
            <w:r>
              <w:rPr>
                <w:rFonts w:ascii="宋体" w:hAnsi="宋体" w:cs="宋体"/>
                <w:color w:val="auto"/>
                <w:sz w:val="24"/>
                <w:szCs w:val="24"/>
                <w:highlight w:val="none"/>
              </w:rPr>
              <w:t>支持RESET按键，客户端或浏览器恢复</w:t>
            </w:r>
            <w:r>
              <w:rPr>
                <w:rFonts w:hint="eastAsia" w:ascii="宋体" w:hAnsi="宋体" w:cs="宋体"/>
                <w:color w:val="auto"/>
                <w:sz w:val="24"/>
                <w:szCs w:val="24"/>
                <w:highlight w:val="none"/>
              </w:rPr>
              <w:t>；</w:t>
            </w:r>
          </w:p>
          <w:p w14:paraId="3640D05A">
            <w:pPr>
              <w:numPr>
                <w:ilvl w:val="0"/>
                <w:numId w:val="105"/>
              </w:numPr>
              <w:ind w:firstLine="0"/>
              <w:jc w:val="left"/>
              <w:rPr>
                <w:rFonts w:ascii="宋体" w:hAnsi="宋体" w:cs="宋体"/>
                <w:color w:val="auto"/>
                <w:sz w:val="24"/>
                <w:szCs w:val="24"/>
                <w:highlight w:val="none"/>
              </w:rPr>
            </w:pPr>
            <w:r>
              <w:rPr>
                <w:rFonts w:ascii="宋体" w:hAnsi="宋体" w:cs="宋体"/>
                <w:color w:val="auto"/>
                <w:sz w:val="24"/>
                <w:szCs w:val="24"/>
                <w:highlight w:val="none"/>
              </w:rPr>
              <w:t>在线升级</w:t>
            </w:r>
            <w:r>
              <w:rPr>
                <w:rFonts w:hint="eastAsia" w:ascii="宋体" w:hAnsi="宋体" w:cs="宋体"/>
                <w:color w:val="auto"/>
                <w:sz w:val="24"/>
                <w:szCs w:val="24"/>
                <w:highlight w:val="none"/>
              </w:rPr>
              <w:t>：</w:t>
            </w:r>
            <w:r>
              <w:rPr>
                <w:rFonts w:ascii="宋体" w:hAnsi="宋体" w:cs="宋体"/>
                <w:color w:val="auto"/>
                <w:sz w:val="24"/>
                <w:szCs w:val="24"/>
                <w:highlight w:val="none"/>
              </w:rPr>
              <w:t>支持</w:t>
            </w:r>
            <w:r>
              <w:rPr>
                <w:rFonts w:hint="eastAsia" w:ascii="宋体" w:hAnsi="宋体" w:cs="宋体"/>
                <w:color w:val="auto"/>
                <w:sz w:val="24"/>
                <w:szCs w:val="24"/>
                <w:highlight w:val="none"/>
              </w:rPr>
              <w:t>；</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A17B7BE">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4C5FF47F">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5741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2AD80228">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D3A973D">
            <w:pPr>
              <w:jc w:val="center"/>
              <w:rPr>
                <w:rFonts w:ascii="宋体" w:hAnsi="宋体" w:cs="宋体"/>
                <w:color w:val="auto"/>
                <w:sz w:val="24"/>
                <w:szCs w:val="24"/>
                <w:highlight w:val="none"/>
              </w:rPr>
            </w:pPr>
            <w:r>
              <w:rPr>
                <w:rFonts w:hint="eastAsia" w:ascii="宋体" w:hAnsi="宋体" w:cs="宋体"/>
                <w:color w:val="auto"/>
                <w:sz w:val="24"/>
                <w:szCs w:val="24"/>
                <w:highlight w:val="none"/>
              </w:rPr>
              <w:t>陌生人识别摄像机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5EB8D680">
            <w:pPr>
              <w:numPr>
                <w:ilvl w:val="0"/>
                <w:numId w:val="106"/>
              </w:numPr>
              <w:wordWrap w:val="0"/>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2213CDB6">
            <w:pPr>
              <w:numPr>
                <w:ilvl w:val="0"/>
                <w:numId w:val="107"/>
              </w:numPr>
              <w:wordWrap w:val="0"/>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支持识别非食堂人员，进行风险上报，本地提醒；</w:t>
            </w:r>
          </w:p>
          <w:p w14:paraId="79B8248A">
            <w:pPr>
              <w:numPr>
                <w:ilvl w:val="0"/>
                <w:numId w:val="106"/>
              </w:numPr>
              <w:wordWrap w:val="0"/>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陌生人识别摄像机设备参数</w:t>
            </w:r>
            <w:r>
              <w:rPr>
                <w:rFonts w:ascii="宋体" w:hAnsi="宋体" w:cs="宋体"/>
                <w:color w:val="auto"/>
                <w:sz w:val="24"/>
                <w:szCs w:val="24"/>
                <w:highlight w:val="none"/>
              </w:rPr>
              <w:t>:</w:t>
            </w:r>
          </w:p>
          <w:p w14:paraId="466818F8">
            <w:pPr>
              <w:pStyle w:val="22"/>
              <w:numPr>
                <w:ilvl w:val="0"/>
                <w:numId w:val="108"/>
              </w:numPr>
              <w:wordWrap w:val="0"/>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3525F875">
            <w:pPr>
              <w:numPr>
                <w:ilvl w:val="0"/>
                <w:numId w:val="109"/>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主板性能：不低于算力</w:t>
            </w:r>
            <w:r>
              <w:rPr>
                <w:rFonts w:ascii="宋体" w:hAnsi="宋体" w:cs="宋体"/>
                <w:color w:val="auto"/>
                <w:sz w:val="24"/>
                <w:szCs w:val="24"/>
                <w:highlight w:val="none"/>
              </w:rPr>
              <w:t xml:space="preserve"> 1.0Tops、内存:8Gbit、闪存8GBEMMC的性能；</w:t>
            </w:r>
          </w:p>
          <w:p w14:paraId="1CCD77D6">
            <w:pPr>
              <w:numPr>
                <w:ilvl w:val="0"/>
                <w:numId w:val="109"/>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传感器类型：</w:t>
            </w:r>
            <w:r>
              <w:rPr>
                <w:rFonts w:ascii="宋体" w:hAnsi="宋体" w:cs="宋体"/>
                <w:color w:val="auto"/>
                <w:sz w:val="24"/>
                <w:szCs w:val="24"/>
                <w:highlight w:val="none"/>
              </w:rPr>
              <w:t>1/3"CMOS；</w:t>
            </w:r>
          </w:p>
          <w:p w14:paraId="1FF31947">
            <w:pPr>
              <w:numPr>
                <w:ilvl w:val="0"/>
                <w:numId w:val="109"/>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镜头类型：电动变焦；</w:t>
            </w:r>
          </w:p>
          <w:p w14:paraId="336D3B3E">
            <w:pPr>
              <w:numPr>
                <w:ilvl w:val="0"/>
                <w:numId w:val="109"/>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视场角：</w:t>
            </w:r>
            <w:r>
              <w:rPr>
                <w:rFonts w:ascii="宋体" w:hAnsi="宋体" w:cs="宋体"/>
                <w:color w:val="auto"/>
                <w:sz w:val="24"/>
                <w:szCs w:val="24"/>
                <w:highlight w:val="none"/>
              </w:rPr>
              <w:t>(H)103.4°- 29.3°；(V)54.3°- 16.5°；(D)124.2°- 33.6°；</w:t>
            </w:r>
          </w:p>
          <w:p w14:paraId="514465A2">
            <w:pPr>
              <w:numPr>
                <w:ilvl w:val="0"/>
                <w:numId w:val="109"/>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光圈：</w:t>
            </w:r>
            <w:r>
              <w:rPr>
                <w:rFonts w:ascii="宋体" w:hAnsi="宋体" w:cs="宋体"/>
                <w:color w:val="auto"/>
                <w:sz w:val="24"/>
                <w:szCs w:val="24"/>
                <w:highlight w:val="none"/>
              </w:rPr>
              <w:t>1.6-3.3士10%；</w:t>
            </w:r>
          </w:p>
          <w:p w14:paraId="7F237558">
            <w:pPr>
              <w:numPr>
                <w:ilvl w:val="0"/>
                <w:numId w:val="109"/>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焦距：</w:t>
            </w:r>
            <w:r>
              <w:rPr>
                <w:rFonts w:ascii="宋体" w:hAnsi="宋体" w:cs="宋体"/>
                <w:color w:val="auto"/>
                <w:sz w:val="24"/>
                <w:szCs w:val="24"/>
                <w:highlight w:val="none"/>
              </w:rPr>
              <w:t>2.8-12mm；</w:t>
            </w:r>
          </w:p>
          <w:p w14:paraId="368320D7">
            <w:pPr>
              <w:numPr>
                <w:ilvl w:val="0"/>
                <w:numId w:val="109"/>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自动聚焦：支持；</w:t>
            </w:r>
          </w:p>
          <w:p w14:paraId="24E59CB7">
            <w:pPr>
              <w:pStyle w:val="22"/>
              <w:numPr>
                <w:ilvl w:val="0"/>
                <w:numId w:val="108"/>
              </w:numPr>
              <w:wordWrap w:val="0"/>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网络特性：</w:t>
            </w:r>
          </w:p>
          <w:p w14:paraId="37F872EE">
            <w:pPr>
              <w:numPr>
                <w:ilvl w:val="0"/>
                <w:numId w:val="110"/>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网络协议：</w:t>
            </w:r>
            <w:r>
              <w:rPr>
                <w:rFonts w:ascii="宋体" w:hAnsi="宋体" w:cs="宋体"/>
                <w:color w:val="auto"/>
                <w:sz w:val="24"/>
                <w:szCs w:val="24"/>
                <w:highlight w:val="none"/>
              </w:rPr>
              <w:t>HTTP, TCP, RTSP, RTP, UDP, RTCP, SMTP, FTP, DHCP, DNS, DDNSPPPoE, IPv4/v6, UPnP, NTP；</w:t>
            </w:r>
          </w:p>
          <w:p w14:paraId="303D1A5B">
            <w:pPr>
              <w:numPr>
                <w:ilvl w:val="0"/>
                <w:numId w:val="110"/>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协议：</w:t>
            </w:r>
            <w:r>
              <w:rPr>
                <w:rFonts w:ascii="宋体" w:hAnsi="宋体" w:cs="宋体"/>
                <w:color w:val="auto"/>
                <w:sz w:val="24"/>
                <w:szCs w:val="24"/>
                <w:highlight w:val="none"/>
              </w:rPr>
              <w:t>Onvif,GB28181,GA/T1400,MQTT, HTTP；</w:t>
            </w:r>
          </w:p>
          <w:p w14:paraId="319637C8">
            <w:pPr>
              <w:pStyle w:val="22"/>
              <w:numPr>
                <w:ilvl w:val="0"/>
                <w:numId w:val="108"/>
              </w:numPr>
              <w:wordWrap w:val="0"/>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功能参数：</w:t>
            </w:r>
          </w:p>
          <w:p w14:paraId="712F9DD0">
            <w:pPr>
              <w:numPr>
                <w:ilvl w:val="0"/>
                <w:numId w:val="11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通用行为分析：区域入侵</w:t>
            </w:r>
            <w:r>
              <w:rPr>
                <w:rFonts w:ascii="宋体" w:hAnsi="宋体" w:cs="宋体"/>
                <w:color w:val="auto"/>
                <w:sz w:val="24"/>
                <w:szCs w:val="24"/>
                <w:highlight w:val="none"/>
              </w:rPr>
              <w:t>,绊线入侵，人数统计；</w:t>
            </w:r>
          </w:p>
          <w:p w14:paraId="1043B547">
            <w:pPr>
              <w:numPr>
                <w:ilvl w:val="0"/>
                <w:numId w:val="11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报警功能：声光报警</w:t>
            </w:r>
            <w:r>
              <w:rPr>
                <w:rFonts w:ascii="宋体" w:hAnsi="宋体" w:cs="宋体"/>
                <w:color w:val="auto"/>
                <w:sz w:val="24"/>
                <w:szCs w:val="24"/>
                <w:highlight w:val="none"/>
              </w:rPr>
              <w:t>,隐私遮挡报警,移动侦测报警,网络故障报警,语音播报；</w:t>
            </w:r>
          </w:p>
          <w:p w14:paraId="7C9BB8CD">
            <w:pPr>
              <w:numPr>
                <w:ilvl w:val="0"/>
                <w:numId w:val="11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录像模式：手动录像</w:t>
            </w:r>
            <w:r>
              <w:rPr>
                <w:rFonts w:ascii="宋体" w:hAnsi="宋体" w:cs="宋体"/>
                <w:color w:val="auto"/>
                <w:sz w:val="24"/>
                <w:szCs w:val="24"/>
                <w:highlight w:val="none"/>
              </w:rPr>
              <w:t>,视频事件检测录像，定时录像,报警录像；</w:t>
            </w:r>
          </w:p>
          <w:p w14:paraId="73F6FD82">
            <w:pPr>
              <w:numPr>
                <w:ilvl w:val="0"/>
                <w:numId w:val="111"/>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OSD信息叠加：时间,通道标题，设备名称，支持自定义；</w:t>
            </w:r>
          </w:p>
          <w:p w14:paraId="0BA6C57C">
            <w:pPr>
              <w:numPr>
                <w:ilvl w:val="0"/>
                <w:numId w:val="11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日夜模式：白天、夜晚</w:t>
            </w:r>
            <w:r>
              <w:rPr>
                <w:rFonts w:ascii="宋体" w:hAnsi="宋体" w:cs="宋体"/>
                <w:color w:val="auto"/>
                <w:sz w:val="24"/>
                <w:szCs w:val="24"/>
                <w:highlight w:val="none"/>
              </w:rPr>
              <w:t>,支持定时转换,手动转换，自动转换；</w:t>
            </w:r>
          </w:p>
          <w:p w14:paraId="1078FDD6">
            <w:pPr>
              <w:numPr>
                <w:ilvl w:val="0"/>
                <w:numId w:val="11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隐</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私</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遮</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蔽：支持</w:t>
            </w:r>
            <w:r>
              <w:rPr>
                <w:rFonts w:ascii="宋体" w:hAnsi="宋体" w:cs="宋体"/>
                <w:color w:val="auto"/>
                <w:sz w:val="24"/>
                <w:szCs w:val="24"/>
                <w:highlight w:val="none"/>
              </w:rPr>
              <w:t>4个区域设置；</w:t>
            </w:r>
          </w:p>
          <w:p w14:paraId="2A2E22E2">
            <w:pPr>
              <w:numPr>
                <w:ilvl w:val="0"/>
                <w:numId w:val="11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镜像：支持</w:t>
            </w:r>
            <w:r>
              <w:rPr>
                <w:rFonts w:ascii="宋体" w:hAnsi="宋体" w:cs="宋体"/>
                <w:color w:val="auto"/>
                <w:sz w:val="24"/>
                <w:szCs w:val="24"/>
                <w:highlight w:val="none"/>
              </w:rPr>
              <w:t xml:space="preserve"> 90°/180°图像翻转；</w:t>
            </w:r>
          </w:p>
          <w:p w14:paraId="57F4C542">
            <w:pPr>
              <w:numPr>
                <w:ilvl w:val="0"/>
                <w:numId w:val="111"/>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ROI：支持；</w:t>
            </w:r>
          </w:p>
          <w:p w14:paraId="39070CED">
            <w:pPr>
              <w:pStyle w:val="22"/>
              <w:numPr>
                <w:ilvl w:val="0"/>
                <w:numId w:val="108"/>
              </w:numPr>
              <w:wordWrap w:val="0"/>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接口参数：</w:t>
            </w:r>
          </w:p>
          <w:p w14:paraId="14335D62">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网络接口：</w:t>
            </w:r>
            <w:r>
              <w:rPr>
                <w:rFonts w:ascii="宋体" w:hAnsi="宋体" w:cs="宋体"/>
                <w:color w:val="auto"/>
                <w:sz w:val="24"/>
                <w:szCs w:val="24"/>
                <w:highlight w:val="none"/>
              </w:rPr>
              <w:t xml:space="preserve">1个RJ45，10/100M </w:t>
            </w:r>
            <w:r>
              <w:rPr>
                <w:rFonts w:hint="eastAsia" w:ascii="宋体" w:hAnsi="宋体" w:cs="宋体"/>
                <w:color w:val="auto"/>
                <w:sz w:val="24"/>
                <w:szCs w:val="24"/>
                <w:highlight w:val="none"/>
              </w:rPr>
              <w:t>自适应以太网口；</w:t>
            </w:r>
          </w:p>
          <w:p w14:paraId="3C2A266B">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电源接口：</w:t>
            </w:r>
            <w:r>
              <w:rPr>
                <w:rFonts w:ascii="宋体" w:hAnsi="宋体" w:cs="宋体"/>
                <w:color w:val="auto"/>
                <w:sz w:val="24"/>
                <w:szCs w:val="24"/>
                <w:highlight w:val="none"/>
              </w:rPr>
              <w:t>DC12V /2A(-15%~+10%)；</w:t>
            </w:r>
          </w:p>
          <w:p w14:paraId="2388CBDB">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报警接口：</w:t>
            </w:r>
            <w:r>
              <w:rPr>
                <w:rFonts w:ascii="宋体" w:hAnsi="宋体" w:cs="宋体"/>
                <w:color w:val="auto"/>
                <w:sz w:val="24"/>
                <w:szCs w:val="24"/>
                <w:highlight w:val="none"/>
              </w:rPr>
              <w:t>1进1出；</w:t>
            </w:r>
          </w:p>
          <w:p w14:paraId="25E03F9E">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音频接口：路音频输入</w:t>
            </w:r>
            <w:r>
              <w:rPr>
                <w:rFonts w:ascii="宋体" w:hAnsi="宋体" w:cs="宋体"/>
                <w:color w:val="auto"/>
                <w:sz w:val="24"/>
                <w:szCs w:val="24"/>
                <w:highlight w:val="none"/>
              </w:rPr>
              <w:t xml:space="preserve">/1路音频输出(RCA </w:t>
            </w:r>
            <w:r>
              <w:rPr>
                <w:rFonts w:hint="eastAsia" w:ascii="宋体" w:hAnsi="宋体" w:cs="宋体"/>
                <w:color w:val="auto"/>
                <w:sz w:val="24"/>
                <w:szCs w:val="24"/>
                <w:highlight w:val="none"/>
              </w:rPr>
              <w:t>头</w:t>
            </w:r>
            <w:r>
              <w:rPr>
                <w:rFonts w:ascii="宋体" w:hAnsi="宋体" w:cs="宋体"/>
                <w:color w:val="auto"/>
                <w:sz w:val="24"/>
                <w:szCs w:val="24"/>
                <w:highlight w:val="none"/>
              </w:rPr>
              <w:t>)，内置 MIC/扬声器；</w:t>
            </w:r>
          </w:p>
          <w:p w14:paraId="124A4373">
            <w:pPr>
              <w:numPr>
                <w:ilvl w:val="0"/>
                <w:numId w:val="112"/>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 xml:space="preserve">SD </w:t>
            </w:r>
            <w:r>
              <w:rPr>
                <w:rFonts w:hint="eastAsia" w:ascii="宋体" w:hAnsi="宋体" w:cs="宋体"/>
                <w:color w:val="auto"/>
                <w:sz w:val="24"/>
                <w:szCs w:val="24"/>
                <w:highlight w:val="none"/>
              </w:rPr>
              <w:t>卡接口：最大容量</w:t>
            </w:r>
            <w:r>
              <w:rPr>
                <w:rFonts w:ascii="宋体" w:hAnsi="宋体" w:cs="宋体"/>
                <w:color w:val="auto"/>
                <w:sz w:val="24"/>
                <w:szCs w:val="24"/>
                <w:highlight w:val="none"/>
              </w:rPr>
              <w:t xml:space="preserve"> 256GB；</w:t>
            </w:r>
          </w:p>
          <w:p w14:paraId="1EF9A91D">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工作电压：</w:t>
            </w:r>
            <w:r>
              <w:rPr>
                <w:rFonts w:ascii="宋体" w:hAnsi="宋体" w:cs="宋体"/>
                <w:color w:val="auto"/>
                <w:sz w:val="24"/>
                <w:szCs w:val="24"/>
                <w:highlight w:val="none"/>
              </w:rPr>
              <w:t>DC12V /2A(-15%~+10%)；</w:t>
            </w:r>
          </w:p>
          <w:p w14:paraId="014467C2">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功耗：</w:t>
            </w:r>
            <w:r>
              <w:rPr>
                <w:rFonts w:ascii="宋体" w:hAnsi="宋体" w:cs="宋体"/>
                <w:color w:val="auto"/>
                <w:sz w:val="24"/>
                <w:szCs w:val="24"/>
                <w:highlight w:val="none"/>
              </w:rPr>
              <w:t>&lt;8W；</w:t>
            </w:r>
          </w:p>
          <w:p w14:paraId="359EFAD6">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工作温度：</w:t>
            </w:r>
            <w:r>
              <w:rPr>
                <w:rFonts w:ascii="宋体" w:hAnsi="宋体" w:cs="宋体"/>
                <w:color w:val="auto"/>
                <w:sz w:val="24"/>
                <w:szCs w:val="24"/>
                <w:highlight w:val="none"/>
              </w:rPr>
              <w:t>-30℃-+60℃；</w:t>
            </w:r>
          </w:p>
          <w:p w14:paraId="4149580C">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工作湿度：</w:t>
            </w:r>
            <w:r>
              <w:rPr>
                <w:rFonts w:ascii="宋体" w:hAnsi="宋体" w:cs="宋体"/>
                <w:color w:val="auto"/>
                <w:sz w:val="24"/>
                <w:szCs w:val="24"/>
                <w:highlight w:val="none"/>
              </w:rPr>
              <w:t>0%~95% RH(无凝结)；</w:t>
            </w:r>
          </w:p>
          <w:p w14:paraId="79CF2E76">
            <w:pPr>
              <w:numPr>
                <w:ilvl w:val="0"/>
                <w:numId w:val="112"/>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防护等级：</w:t>
            </w:r>
            <w:r>
              <w:rPr>
                <w:rFonts w:ascii="宋体" w:hAnsi="宋体" w:cs="宋体"/>
                <w:color w:val="auto"/>
                <w:sz w:val="24"/>
                <w:szCs w:val="24"/>
                <w:highlight w:val="none"/>
              </w:rPr>
              <w:t>IP66；</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4ADF9CE">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A8336DF">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28C7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148FF5AD">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16</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1C53D9B">
            <w:pPr>
              <w:jc w:val="center"/>
              <w:rPr>
                <w:rFonts w:ascii="宋体" w:hAnsi="宋体" w:cs="宋体"/>
                <w:color w:val="auto"/>
                <w:sz w:val="24"/>
                <w:szCs w:val="24"/>
                <w:highlight w:val="none"/>
              </w:rPr>
            </w:pPr>
            <w:r>
              <w:rPr>
                <w:rFonts w:hint="eastAsia" w:ascii="宋体" w:hAnsi="宋体" w:cs="宋体"/>
                <w:color w:val="auto"/>
                <w:sz w:val="24"/>
                <w:szCs w:val="24"/>
                <w:highlight w:val="none"/>
              </w:rPr>
              <w:t>冷库摄像头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43D2A9EA">
            <w:pPr>
              <w:numPr>
                <w:ilvl w:val="0"/>
                <w:numId w:val="11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6C30C934">
            <w:pPr>
              <w:numPr>
                <w:ilvl w:val="0"/>
                <w:numId w:val="114"/>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支持本地场景展示、冷库内部画面、语音预警提醒</w:t>
            </w:r>
            <w:r>
              <w:rPr>
                <w:rFonts w:ascii="宋体" w:hAnsi="宋体" w:cs="宋体"/>
                <w:color w:val="auto"/>
                <w:sz w:val="24"/>
                <w:szCs w:val="24"/>
                <w:highlight w:val="none"/>
              </w:rPr>
              <w:t>(温度状态、冷库门状态、人员选留)；</w:t>
            </w:r>
          </w:p>
          <w:p w14:paraId="21E94124">
            <w:pPr>
              <w:numPr>
                <w:ilvl w:val="0"/>
                <w:numId w:val="114"/>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支持设置预警提醒时间</w:t>
            </w:r>
            <w:r>
              <w:rPr>
                <w:rFonts w:ascii="宋体" w:hAnsi="宋体" w:cs="宋体"/>
                <w:color w:val="auto"/>
                <w:sz w:val="24"/>
                <w:szCs w:val="24"/>
                <w:highlight w:val="none"/>
              </w:rPr>
              <w:t>(例:冷库</w:t>
            </w:r>
            <w:r>
              <w:rPr>
                <w:rFonts w:hint="eastAsia" w:ascii="宋体" w:hAnsi="宋体" w:cs="宋体"/>
                <w:color w:val="auto"/>
                <w:sz w:val="24"/>
                <w:szCs w:val="24"/>
                <w:highlight w:val="none"/>
              </w:rPr>
              <w:t>门持续未关预警事件</w:t>
            </w:r>
            <w:r>
              <w:rPr>
                <w:rFonts w:ascii="宋体" w:hAnsi="宋体" w:cs="宋体"/>
                <w:color w:val="auto"/>
                <w:sz w:val="24"/>
                <w:szCs w:val="24"/>
                <w:highlight w:val="none"/>
              </w:rPr>
              <w:t>)；</w:t>
            </w:r>
          </w:p>
          <w:p w14:paraId="19D24BCD">
            <w:pPr>
              <w:numPr>
                <w:ilvl w:val="0"/>
                <w:numId w:val="114"/>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支持后台查看冷库状态数据、物联预警事件数据；</w:t>
            </w:r>
          </w:p>
          <w:p w14:paraId="11707E51">
            <w:pPr>
              <w:numPr>
                <w:ilvl w:val="0"/>
                <w:numId w:val="11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物联中控屏设备参数：</w:t>
            </w:r>
          </w:p>
          <w:p w14:paraId="0E79327E">
            <w:pPr>
              <w:pStyle w:val="22"/>
              <w:numPr>
                <w:ilvl w:val="0"/>
                <w:numId w:val="115"/>
              </w:numPr>
              <w:wordWrap w:val="0"/>
              <w:ind w:left="0" w:firstLine="0"/>
              <w:rPr>
                <w:color w:val="auto"/>
                <w:highlight w:val="none"/>
              </w:rPr>
            </w:pPr>
            <w:r>
              <w:rPr>
                <w:rFonts w:hint="eastAsia" w:ascii="宋体" w:hAnsi="宋体" w:eastAsia="宋体" w:cs="宋体"/>
                <w:color w:val="auto"/>
                <w:sz w:val="24"/>
                <w:szCs w:val="24"/>
                <w:highlight w:val="none"/>
              </w:rPr>
              <w:t>主要参数：</w:t>
            </w:r>
          </w:p>
          <w:p w14:paraId="64F514BD">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外壳：前置钢化玻璃</w:t>
            </w:r>
            <w:r>
              <w:rPr>
                <w:rFonts w:ascii="宋体" w:hAnsi="宋体" w:cs="宋体"/>
                <w:color w:val="auto"/>
                <w:kern w:val="0"/>
                <w:sz w:val="24"/>
                <w:szCs w:val="24"/>
                <w:highlight w:val="none"/>
                <w:lang w:bidi="ar"/>
              </w:rPr>
              <w:t>+塑胶外壳；</w:t>
            </w:r>
          </w:p>
          <w:p w14:paraId="76A68633">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保护面板：钢化玻璃；</w:t>
            </w:r>
          </w:p>
          <w:p w14:paraId="4F3FBA07">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尺寸：不低于</w:t>
            </w:r>
            <w:r>
              <w:rPr>
                <w:rFonts w:ascii="宋体" w:hAnsi="宋体" w:cs="宋体"/>
                <w:color w:val="auto"/>
                <w:kern w:val="0"/>
                <w:sz w:val="24"/>
                <w:szCs w:val="24"/>
                <w:highlight w:val="none"/>
                <w:lang w:bidi="ar"/>
              </w:rPr>
              <w:t>10.1寸；</w:t>
            </w:r>
          </w:p>
          <w:p w14:paraId="37A88B10">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屏幕比例：</w:t>
            </w:r>
            <w:r>
              <w:rPr>
                <w:rFonts w:ascii="宋体" w:hAnsi="宋体" w:cs="宋体"/>
                <w:color w:val="auto"/>
                <w:kern w:val="0"/>
                <w:sz w:val="24"/>
                <w:szCs w:val="24"/>
                <w:highlight w:val="none"/>
                <w:lang w:bidi="ar"/>
              </w:rPr>
              <w:t>16:9；</w:t>
            </w:r>
          </w:p>
          <w:p w14:paraId="2220DDF9">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摄像头像素：</w:t>
            </w:r>
            <w:r>
              <w:rPr>
                <w:rFonts w:ascii="宋体" w:hAnsi="宋体" w:cs="宋体"/>
                <w:color w:val="auto"/>
                <w:kern w:val="0"/>
                <w:sz w:val="24"/>
                <w:szCs w:val="24"/>
                <w:highlight w:val="none"/>
                <w:lang w:bidi="ar"/>
              </w:rPr>
              <w:t>100W；</w:t>
            </w:r>
          </w:p>
          <w:p w14:paraId="77FACDD2">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像素间距：</w:t>
            </w:r>
            <w:r>
              <w:rPr>
                <w:rFonts w:ascii="宋体" w:hAnsi="宋体" w:cs="宋体"/>
                <w:color w:val="auto"/>
                <w:kern w:val="0"/>
                <w:sz w:val="24"/>
                <w:szCs w:val="24"/>
                <w:highlight w:val="none"/>
                <w:lang w:bidi="ar"/>
              </w:rPr>
              <w:t>0.17925×0.17925mm；</w:t>
            </w:r>
          </w:p>
          <w:p w14:paraId="7EC2FDA1">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亮度：</w:t>
            </w:r>
            <w:r>
              <w:rPr>
                <w:rFonts w:ascii="宋体" w:hAnsi="宋体" w:cs="宋体"/>
                <w:color w:val="auto"/>
                <w:kern w:val="0"/>
                <w:sz w:val="24"/>
                <w:szCs w:val="24"/>
                <w:highlight w:val="none"/>
                <w:lang w:bidi="ar"/>
              </w:rPr>
              <w:t>350cd/m²可视角度85/85/85/85（左/右/上/下）；</w:t>
            </w:r>
          </w:p>
          <w:p w14:paraId="17C1D776">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对比度：</w:t>
            </w:r>
            <w:r>
              <w:rPr>
                <w:rFonts w:ascii="宋体" w:hAnsi="宋体" w:cs="宋体"/>
                <w:color w:val="auto"/>
                <w:kern w:val="0"/>
                <w:sz w:val="24"/>
                <w:szCs w:val="24"/>
                <w:highlight w:val="none"/>
                <w:lang w:bidi="ar"/>
              </w:rPr>
              <w:t>1000:1；</w:t>
            </w:r>
          </w:p>
          <w:p w14:paraId="2FDD2130">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颜色数：</w:t>
            </w:r>
            <w:r>
              <w:rPr>
                <w:rFonts w:ascii="宋体" w:hAnsi="宋体" w:cs="宋体"/>
                <w:color w:val="auto"/>
                <w:kern w:val="0"/>
                <w:sz w:val="24"/>
                <w:szCs w:val="24"/>
                <w:highlight w:val="none"/>
                <w:lang w:bidi="ar"/>
              </w:rPr>
              <w:t>16.7M；</w:t>
            </w:r>
          </w:p>
          <w:p w14:paraId="55061A42">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灯管寿命：超过</w:t>
            </w:r>
            <w:r>
              <w:rPr>
                <w:rFonts w:ascii="宋体" w:hAnsi="宋体" w:cs="宋体"/>
                <w:color w:val="auto"/>
                <w:kern w:val="0"/>
                <w:sz w:val="24"/>
                <w:szCs w:val="24"/>
                <w:highlight w:val="none"/>
                <w:lang w:bidi="ar"/>
              </w:rPr>
              <w:t>50000小时；</w:t>
            </w:r>
          </w:p>
          <w:p w14:paraId="19C4CD31">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操作系统：</w:t>
            </w:r>
            <w:r>
              <w:rPr>
                <w:rFonts w:ascii="宋体" w:hAnsi="宋体" w:cs="宋体"/>
                <w:color w:val="auto"/>
                <w:kern w:val="0"/>
                <w:sz w:val="24"/>
                <w:szCs w:val="24"/>
                <w:highlight w:val="none"/>
                <w:lang w:bidi="ar"/>
              </w:rPr>
              <w:t>Android7.1.2；</w:t>
            </w:r>
          </w:p>
          <w:p w14:paraId="7EC2228D">
            <w:pPr>
              <w:widowControl/>
              <w:numPr>
                <w:ilvl w:val="0"/>
                <w:numId w:val="116"/>
              </w:numPr>
              <w:ind w:firstLine="0"/>
              <w:jc w:val="left"/>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CPU：四核；</w:t>
            </w:r>
          </w:p>
          <w:p w14:paraId="28D05219">
            <w:pPr>
              <w:widowControl/>
              <w:numPr>
                <w:ilvl w:val="0"/>
                <w:numId w:val="116"/>
              </w:numPr>
              <w:ind w:firstLine="0"/>
              <w:jc w:val="left"/>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CPU主频：1.8GHz；</w:t>
            </w:r>
          </w:p>
          <w:p w14:paraId="5FE410FB">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内存：</w:t>
            </w:r>
            <w:r>
              <w:rPr>
                <w:rFonts w:ascii="宋体" w:hAnsi="宋体" w:cs="宋体"/>
                <w:color w:val="auto"/>
                <w:kern w:val="0"/>
                <w:sz w:val="24"/>
                <w:szCs w:val="24"/>
                <w:highlight w:val="none"/>
                <w:lang w:bidi="ar"/>
              </w:rPr>
              <w:t>DDR32G；</w:t>
            </w:r>
          </w:p>
          <w:p w14:paraId="2BEC49E6">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内置存储容量：</w:t>
            </w:r>
            <w:r>
              <w:rPr>
                <w:rFonts w:ascii="宋体" w:hAnsi="宋体" w:cs="宋体"/>
                <w:color w:val="auto"/>
                <w:kern w:val="0"/>
                <w:sz w:val="24"/>
                <w:szCs w:val="24"/>
                <w:highlight w:val="none"/>
                <w:lang w:bidi="ar"/>
              </w:rPr>
              <w:t>EMMC8G；</w:t>
            </w:r>
          </w:p>
          <w:p w14:paraId="4C6461C0">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喇叭：</w:t>
            </w:r>
            <w:r>
              <w:rPr>
                <w:rFonts w:ascii="宋体" w:hAnsi="宋体" w:cs="宋体"/>
                <w:color w:val="auto"/>
                <w:kern w:val="0"/>
                <w:sz w:val="24"/>
                <w:szCs w:val="24"/>
                <w:highlight w:val="none"/>
                <w:lang w:bidi="ar"/>
              </w:rPr>
              <w:t>8Ω2W；</w:t>
            </w:r>
          </w:p>
          <w:p w14:paraId="25F0BF60">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网络：支持</w:t>
            </w:r>
            <w:r>
              <w:rPr>
                <w:rFonts w:ascii="宋体" w:hAnsi="宋体" w:cs="宋体"/>
                <w:color w:val="auto"/>
                <w:kern w:val="0"/>
                <w:sz w:val="24"/>
                <w:szCs w:val="24"/>
                <w:highlight w:val="none"/>
                <w:lang w:bidi="ar"/>
              </w:rPr>
              <w:t>WiFi、BT；</w:t>
            </w:r>
          </w:p>
          <w:p w14:paraId="29A4594E">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接口：</w:t>
            </w:r>
            <w:r>
              <w:rPr>
                <w:rFonts w:ascii="宋体" w:hAnsi="宋体" w:cs="宋体"/>
                <w:color w:val="auto"/>
                <w:kern w:val="0"/>
                <w:sz w:val="24"/>
                <w:szCs w:val="24"/>
                <w:highlight w:val="none"/>
                <w:lang w:bidi="ar"/>
              </w:rPr>
              <w:t>I/O:2*USB，可扩展2*USB；</w:t>
            </w:r>
          </w:p>
          <w:p w14:paraId="6AA5624E">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工作环境温度：</w:t>
            </w:r>
            <w:r>
              <w:rPr>
                <w:rFonts w:ascii="宋体" w:hAnsi="宋体" w:cs="宋体"/>
                <w:color w:val="auto"/>
                <w:kern w:val="0"/>
                <w:sz w:val="24"/>
                <w:szCs w:val="24"/>
                <w:highlight w:val="none"/>
                <w:lang w:bidi="ar"/>
              </w:rPr>
              <w:t>0～50摄氏度；</w:t>
            </w:r>
          </w:p>
          <w:p w14:paraId="051D92A3">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触摸精度：±</w:t>
            </w:r>
            <w:r>
              <w:rPr>
                <w:rFonts w:ascii="宋体" w:hAnsi="宋体" w:cs="宋体"/>
                <w:color w:val="auto"/>
                <w:kern w:val="0"/>
                <w:sz w:val="24"/>
                <w:szCs w:val="24"/>
                <w:highlight w:val="none"/>
                <w:lang w:bidi="ar"/>
              </w:rPr>
              <w:t>2mm；</w:t>
            </w:r>
          </w:p>
          <w:p w14:paraId="6ACDCCDB">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响应时间：</w:t>
            </w:r>
            <w:r>
              <w:rPr>
                <w:rFonts w:ascii="宋体" w:hAnsi="宋体" w:cs="宋体"/>
                <w:color w:val="auto"/>
                <w:kern w:val="0"/>
                <w:sz w:val="24"/>
                <w:szCs w:val="24"/>
                <w:highlight w:val="none"/>
                <w:lang w:bidi="ar"/>
              </w:rPr>
              <w:t>25ms~30ms；</w:t>
            </w:r>
          </w:p>
          <w:p w14:paraId="02CDD405">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可识别物体：手指或者专用触摸笔；</w:t>
            </w:r>
          </w:p>
          <w:p w14:paraId="3C9F2AB3">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透明度：≥</w:t>
            </w:r>
            <w:r>
              <w:rPr>
                <w:rFonts w:ascii="宋体" w:hAnsi="宋体" w:cs="宋体"/>
                <w:color w:val="auto"/>
                <w:kern w:val="0"/>
                <w:sz w:val="24"/>
                <w:szCs w:val="24"/>
                <w:highlight w:val="none"/>
                <w:lang w:bidi="ar"/>
              </w:rPr>
              <w:t>85％±2％；</w:t>
            </w:r>
          </w:p>
          <w:p w14:paraId="4C016A6D">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温度范围：工作温度：</w:t>
            </w:r>
            <w:r>
              <w:rPr>
                <w:rFonts w:ascii="宋体" w:hAnsi="宋体" w:cs="宋体"/>
                <w:color w:val="auto"/>
                <w:kern w:val="0"/>
                <w:sz w:val="24"/>
                <w:szCs w:val="24"/>
                <w:highlight w:val="none"/>
                <w:lang w:bidi="ar"/>
              </w:rPr>
              <w:t>-10℃~60℃；</w:t>
            </w:r>
          </w:p>
          <w:p w14:paraId="0CABE048">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供电方式：外置</w:t>
            </w:r>
            <w:r>
              <w:rPr>
                <w:rFonts w:ascii="宋体" w:hAnsi="宋体" w:cs="宋体"/>
                <w:color w:val="auto"/>
                <w:kern w:val="0"/>
                <w:sz w:val="24"/>
                <w:szCs w:val="24"/>
                <w:highlight w:val="none"/>
                <w:lang w:bidi="ar"/>
              </w:rPr>
              <w:t>12V/2A适配器；</w:t>
            </w:r>
          </w:p>
          <w:p w14:paraId="0FE59FB3">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整机功率：</w:t>
            </w:r>
            <w:r>
              <w:rPr>
                <w:rFonts w:ascii="宋体" w:hAnsi="宋体" w:cs="宋体"/>
                <w:color w:val="auto"/>
                <w:kern w:val="0"/>
                <w:sz w:val="24"/>
                <w:szCs w:val="24"/>
                <w:highlight w:val="none"/>
                <w:lang w:bidi="ar"/>
              </w:rPr>
              <w:t>15W；</w:t>
            </w:r>
          </w:p>
          <w:p w14:paraId="10929D57">
            <w:pPr>
              <w:widowControl/>
              <w:numPr>
                <w:ilvl w:val="0"/>
                <w:numId w:val="116"/>
              </w:numPr>
              <w:ind w:firstLine="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安装方式：壁挂式；</w:t>
            </w:r>
          </w:p>
          <w:p w14:paraId="2707EB87">
            <w:pPr>
              <w:numPr>
                <w:ilvl w:val="0"/>
                <w:numId w:val="11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冷库摄像头设备参数：</w:t>
            </w:r>
          </w:p>
          <w:p w14:paraId="383696C4">
            <w:pPr>
              <w:pStyle w:val="22"/>
              <w:numPr>
                <w:ilvl w:val="0"/>
                <w:numId w:val="117"/>
              </w:numPr>
              <w:wordWrap w:val="0"/>
              <w:ind w:left="0" w:firstLine="0"/>
              <w:rPr>
                <w:color w:val="auto"/>
                <w:highlight w:val="none"/>
              </w:rPr>
            </w:pPr>
            <w:r>
              <w:rPr>
                <w:rFonts w:hint="eastAsia" w:ascii="宋体" w:hAnsi="宋体" w:eastAsia="宋体" w:cs="宋体"/>
                <w:color w:val="auto"/>
                <w:sz w:val="24"/>
                <w:szCs w:val="24"/>
                <w:highlight w:val="none"/>
              </w:rPr>
              <w:t>主要参数：</w:t>
            </w:r>
          </w:p>
          <w:p w14:paraId="62EAEA32">
            <w:pPr>
              <w:numPr>
                <w:ilvl w:val="0"/>
                <w:numId w:val="11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焦距</w:t>
            </w:r>
            <w:r>
              <w:rPr>
                <w:rFonts w:ascii="宋体" w:hAnsi="宋体" w:cs="宋体"/>
                <w:color w:val="auto"/>
                <w:sz w:val="24"/>
                <w:szCs w:val="24"/>
                <w:highlight w:val="none"/>
              </w:rPr>
              <w:t>&amp;</w:t>
            </w:r>
            <w:r>
              <w:rPr>
                <w:rFonts w:hint="eastAsia" w:ascii="宋体" w:hAnsi="宋体" w:cs="宋体"/>
                <w:color w:val="auto"/>
                <w:sz w:val="24"/>
                <w:szCs w:val="24"/>
                <w:highlight w:val="none"/>
              </w:rPr>
              <w:t>视场角：</w:t>
            </w:r>
            <w:r>
              <w:rPr>
                <w:rFonts w:ascii="宋体" w:hAnsi="宋体" w:cs="宋体"/>
                <w:color w:val="auto"/>
                <w:sz w:val="24"/>
                <w:szCs w:val="24"/>
                <w:highlight w:val="none"/>
              </w:rPr>
              <w:t>2.8mm，水平视场角:98.2，垂直视场角:54.2°，对角视场角:114.6°；</w:t>
            </w:r>
          </w:p>
          <w:p w14:paraId="588D624F">
            <w:pPr>
              <w:numPr>
                <w:ilvl w:val="0"/>
                <w:numId w:val="118"/>
              </w:numPr>
              <w:ind w:firstLine="0"/>
              <w:jc w:val="left"/>
              <w:rPr>
                <w:rFonts w:ascii="宋体" w:hAnsi="宋体" w:cs="宋体"/>
                <w:color w:val="auto"/>
                <w:sz w:val="24"/>
                <w:szCs w:val="24"/>
                <w:highlight w:val="none"/>
              </w:rPr>
            </w:pPr>
            <w:r>
              <w:rPr>
                <w:rFonts w:ascii="宋体" w:hAnsi="宋体" w:cs="宋体"/>
                <w:color w:val="auto"/>
                <w:sz w:val="24"/>
                <w:szCs w:val="24"/>
                <w:highlight w:val="none"/>
              </w:rPr>
              <w:t>6mm，水平视场角：49.1°，垂直视场角:26.3，对角视场角:57.2；</w:t>
            </w:r>
          </w:p>
          <w:p w14:paraId="15DF1498">
            <w:pPr>
              <w:numPr>
                <w:ilvl w:val="0"/>
                <w:numId w:val="118"/>
              </w:numPr>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光圈类型：固定光圈；</w:t>
            </w:r>
          </w:p>
          <w:p w14:paraId="0E0CBE40">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最大光圈数：</w:t>
            </w:r>
            <w:r>
              <w:rPr>
                <w:rFonts w:ascii="宋体" w:hAnsi="宋体" w:cs="宋体"/>
                <w:color w:val="auto"/>
                <w:sz w:val="24"/>
                <w:szCs w:val="24"/>
                <w:highlight w:val="none"/>
              </w:rPr>
              <w:t>F1.6；</w:t>
            </w:r>
          </w:p>
          <w:p w14:paraId="53409E40">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用户管理：最多</w:t>
            </w:r>
            <w:r>
              <w:rPr>
                <w:rFonts w:ascii="宋体" w:hAnsi="宋体" w:cs="宋体"/>
                <w:color w:val="auto"/>
                <w:sz w:val="24"/>
                <w:szCs w:val="24"/>
                <w:highlight w:val="none"/>
              </w:rPr>
              <w:t>32个用户，可分3级用户权限管理:管理员，操作员，普通用户；</w:t>
            </w:r>
          </w:p>
          <w:p w14:paraId="5F1FB06D">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接口协议</w:t>
            </w:r>
            <w:r>
              <w:rPr>
                <w:rFonts w:ascii="宋体" w:hAnsi="宋体" w:cs="宋体"/>
                <w:color w:val="auto"/>
                <w:sz w:val="24"/>
                <w:szCs w:val="24"/>
                <w:highlight w:val="none"/>
              </w:rPr>
              <w:t>(API)：开放型网络视频接口，ISAPI，GB28181-2016，ISUP(5.0)，视图库；</w:t>
            </w:r>
          </w:p>
          <w:p w14:paraId="7931EE63">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网络存储：支持</w:t>
            </w:r>
            <w:r>
              <w:rPr>
                <w:rFonts w:ascii="宋体" w:hAnsi="宋体" w:cs="宋体"/>
                <w:color w:val="auto"/>
                <w:sz w:val="24"/>
                <w:szCs w:val="24"/>
                <w:highlight w:val="none"/>
              </w:rPr>
              <w:t>MicrosD/MicroSDHc/MicrosDXC卡(最大256 GB)断网本地存储</w:t>
            </w:r>
            <w:r>
              <w:rPr>
                <w:rFonts w:hint="eastAsia" w:ascii="宋体" w:hAnsi="宋体" w:cs="宋体"/>
                <w:color w:val="auto"/>
                <w:sz w:val="24"/>
                <w:szCs w:val="24"/>
                <w:highlight w:val="none"/>
              </w:rPr>
              <w:t>及断网续传，</w:t>
            </w:r>
            <w:r>
              <w:rPr>
                <w:rFonts w:ascii="宋体" w:hAnsi="宋体" w:cs="宋体"/>
                <w:color w:val="auto"/>
                <w:sz w:val="24"/>
                <w:szCs w:val="24"/>
                <w:highlight w:val="none"/>
              </w:rPr>
              <w:t>NAS(NFS,SMB/CIFS均支持)，配合海康黑卡支持SD卡加密及SD卡状态检测</w:t>
            </w:r>
          </w:p>
          <w:p w14:paraId="04D56355">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网络协议：</w:t>
            </w:r>
            <w:r>
              <w:rPr>
                <w:rFonts w:ascii="宋体" w:hAnsi="宋体" w:cs="宋体"/>
                <w:color w:val="auto"/>
                <w:sz w:val="24"/>
                <w:szCs w:val="24"/>
                <w:highlight w:val="none"/>
              </w:rPr>
              <w:t>TCP/IP, ICMP, HTTP, HTTPS, FTP, DHCP, DNS, DDNS, RTP, RTSP, RTCP, PPPOE, NTPWPNP,SMTP,SNMP,IGMP,802.1X,QOS,IP6,UDP,Bonjour, sSL/TLs, Websocket.Websockets(-GL机型不支持PPPOE)；</w:t>
            </w:r>
          </w:p>
          <w:p w14:paraId="274EC5DA">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浏览器</w:t>
            </w:r>
            <w:r>
              <w:rPr>
                <w:rFonts w:ascii="宋体" w:hAnsi="宋体" w:cs="宋体"/>
                <w:color w:val="auto"/>
                <w:sz w:val="24"/>
                <w:szCs w:val="24"/>
                <w:highlight w:val="none"/>
              </w:rPr>
              <w:tab/>
            </w:r>
            <w:r>
              <w:rPr>
                <w:rFonts w:hint="eastAsia" w:ascii="宋体" w:hAnsi="宋体" w:cs="宋体"/>
                <w:color w:val="auto"/>
                <w:sz w:val="24"/>
                <w:szCs w:val="24"/>
                <w:highlight w:val="none"/>
              </w:rPr>
              <w:t>使用插件预览</w:t>
            </w:r>
            <w:r>
              <w:rPr>
                <w:rFonts w:ascii="宋体" w:hAnsi="宋体" w:cs="宋体"/>
                <w:color w:val="auto"/>
                <w:sz w:val="24"/>
                <w:szCs w:val="24"/>
                <w:highlight w:val="none"/>
              </w:rPr>
              <w:t>:IE10，IE11使用本地服务预览:Chrome57.0+，Firefox52.0+无插件预览:Chrome57.0+，Firefox52.0+，Safari12+；</w:t>
            </w:r>
          </w:p>
          <w:p w14:paraId="74FBCAC8">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客户端：</w:t>
            </w:r>
            <w:r>
              <w:rPr>
                <w:rFonts w:ascii="宋体" w:hAnsi="宋体" w:cs="宋体"/>
                <w:color w:val="auto"/>
                <w:sz w:val="24"/>
                <w:szCs w:val="24"/>
                <w:highlight w:val="none"/>
              </w:rPr>
              <w:t>iVMS-4200，</w:t>
            </w:r>
            <w:r>
              <w:rPr>
                <w:rFonts w:hint="eastAsia" w:ascii="宋体" w:hAnsi="宋体" w:cs="宋体"/>
                <w:color w:val="auto"/>
                <w:sz w:val="24"/>
                <w:szCs w:val="24"/>
                <w:highlight w:val="none"/>
              </w:rPr>
              <w:t>董石云；</w:t>
            </w:r>
          </w:p>
          <w:p w14:paraId="2258ECF0">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同时预览路数：</w:t>
            </w:r>
            <w:r>
              <w:rPr>
                <w:rFonts w:ascii="宋体" w:hAnsi="宋体" w:cs="宋体"/>
                <w:color w:val="auto"/>
                <w:sz w:val="24"/>
                <w:szCs w:val="24"/>
                <w:highlight w:val="none"/>
              </w:rPr>
              <w:t>20.0；</w:t>
            </w:r>
          </w:p>
          <w:p w14:paraId="5BC37FA7">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网络：</w:t>
            </w:r>
            <w:r>
              <w:rPr>
                <w:rFonts w:ascii="宋体" w:hAnsi="宋体" w:cs="宋体"/>
                <w:color w:val="auto"/>
                <w:sz w:val="24"/>
                <w:szCs w:val="24"/>
                <w:highlight w:val="none"/>
              </w:rPr>
              <w:t>1个RJ45 10 M/100 M自适应以太网口；</w:t>
            </w:r>
          </w:p>
          <w:p w14:paraId="4EF7B2A4">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音频：</w:t>
            </w:r>
            <w:r>
              <w:rPr>
                <w:rFonts w:ascii="宋体" w:hAnsi="宋体" w:cs="宋体"/>
                <w:color w:val="auto"/>
                <w:sz w:val="24"/>
                <w:szCs w:val="24"/>
                <w:highlight w:val="none"/>
              </w:rPr>
              <w:t>1路输入(Linein)，1路输出(Line out)，2个内置麦克风，1个内置扬声器；</w:t>
            </w:r>
          </w:p>
          <w:p w14:paraId="7D322AAA">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复位：支持；</w:t>
            </w:r>
          </w:p>
          <w:p w14:paraId="58C6B63F">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接口类型：外甩线；</w:t>
            </w:r>
          </w:p>
          <w:p w14:paraId="1274CE42">
            <w:pPr>
              <w:numPr>
                <w:ilvl w:val="0"/>
                <w:numId w:val="118"/>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电源接口类型：</w:t>
            </w:r>
            <w:r>
              <w:rPr>
                <w:rFonts w:ascii="宋体" w:hAnsi="宋体" w:cs="宋体"/>
                <w:color w:val="auto"/>
                <w:sz w:val="24"/>
                <w:szCs w:val="24"/>
                <w:highlight w:val="none"/>
              </w:rPr>
              <w:t>3芯接口；</w:t>
            </w:r>
          </w:p>
          <w:p w14:paraId="4DE431BC">
            <w:pPr>
              <w:numPr>
                <w:ilvl w:val="0"/>
                <w:numId w:val="113"/>
              </w:numPr>
              <w:ind w:left="0" w:firstLine="0"/>
              <w:jc w:val="left"/>
              <w:rPr>
                <w:rFonts w:ascii="宋体" w:hAnsi="宋体" w:cs="宋体"/>
                <w:color w:val="auto"/>
                <w:sz w:val="24"/>
                <w:szCs w:val="24"/>
                <w:highlight w:val="none"/>
              </w:rPr>
            </w:pPr>
            <w:r>
              <w:rPr>
                <w:rFonts w:ascii="宋体" w:hAnsi="宋体" w:cs="宋体"/>
                <w:color w:val="auto"/>
                <w:sz w:val="24"/>
                <w:szCs w:val="24"/>
                <w:highlight w:val="none"/>
              </w:rPr>
              <w:t>IO通讯模块设备参数：</w:t>
            </w:r>
          </w:p>
          <w:p w14:paraId="686AF4CF">
            <w:pPr>
              <w:pStyle w:val="22"/>
              <w:numPr>
                <w:ilvl w:val="0"/>
                <w:numId w:val="119"/>
              </w:numPr>
              <w:wordWrap w:val="0"/>
              <w:ind w:left="0" w:firstLine="0"/>
              <w:rPr>
                <w:color w:val="auto"/>
                <w:highlight w:val="none"/>
              </w:rPr>
            </w:pPr>
            <w:r>
              <w:rPr>
                <w:rFonts w:hint="eastAsia" w:ascii="宋体" w:hAnsi="宋体" w:eastAsia="宋体" w:cs="宋体"/>
                <w:color w:val="auto"/>
                <w:sz w:val="24"/>
                <w:szCs w:val="24"/>
                <w:highlight w:val="none"/>
              </w:rPr>
              <w:t>主要参数：</w:t>
            </w:r>
          </w:p>
          <w:p w14:paraId="2F2E58FF">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触点容量:10A/250VAC</w:t>
            </w:r>
            <w:r>
              <w:rPr>
                <w:rFonts w:hint="eastAsia" w:ascii="宋体" w:hAnsi="宋体" w:cs="宋体"/>
                <w:color w:val="auto"/>
                <w:sz w:val="24"/>
                <w:szCs w:val="24"/>
                <w:highlight w:val="none"/>
              </w:rPr>
              <w:t>；</w:t>
            </w:r>
          </w:p>
          <w:p w14:paraId="03624947">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耐久性:10万次</w:t>
            </w:r>
            <w:r>
              <w:rPr>
                <w:rFonts w:hint="eastAsia" w:ascii="宋体" w:hAnsi="宋体" w:cs="宋体"/>
                <w:color w:val="auto"/>
                <w:sz w:val="24"/>
                <w:szCs w:val="24"/>
                <w:highlight w:val="none"/>
              </w:rPr>
              <w:t>；</w:t>
            </w:r>
          </w:p>
          <w:p w14:paraId="3D1028F7">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数据接口:RS232、RS485</w:t>
            </w:r>
            <w:r>
              <w:rPr>
                <w:rFonts w:hint="eastAsia" w:ascii="宋体" w:hAnsi="宋体" w:cs="宋体"/>
                <w:color w:val="auto"/>
                <w:sz w:val="24"/>
                <w:szCs w:val="24"/>
                <w:highlight w:val="none"/>
              </w:rPr>
              <w:t>；</w:t>
            </w:r>
          </w:p>
          <w:p w14:paraId="562DE110">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额定电压:DC 7-30V</w:t>
            </w:r>
            <w:r>
              <w:rPr>
                <w:rFonts w:hint="eastAsia" w:ascii="宋体" w:hAnsi="宋体" w:cs="宋体"/>
                <w:color w:val="auto"/>
                <w:sz w:val="24"/>
                <w:szCs w:val="24"/>
                <w:highlight w:val="none"/>
              </w:rPr>
              <w:t>；</w:t>
            </w:r>
          </w:p>
          <w:p w14:paraId="2E15CE82">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电源指示:1路红色 LED 指示(通电时常亮)</w:t>
            </w:r>
            <w:r>
              <w:rPr>
                <w:rFonts w:hint="eastAsia" w:ascii="宋体" w:hAnsi="宋体" w:cs="宋体"/>
                <w:color w:val="auto"/>
                <w:sz w:val="24"/>
                <w:szCs w:val="24"/>
                <w:highlight w:val="none"/>
              </w:rPr>
              <w:t>；</w:t>
            </w:r>
          </w:p>
          <w:p w14:paraId="3D1C7B7B">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温度范围:工业级，-40℃~85℃</w:t>
            </w:r>
            <w:r>
              <w:rPr>
                <w:rFonts w:hint="eastAsia" w:ascii="宋体" w:hAnsi="宋体" w:cs="宋体"/>
                <w:color w:val="auto"/>
                <w:sz w:val="24"/>
                <w:szCs w:val="24"/>
                <w:highlight w:val="none"/>
              </w:rPr>
              <w:t>；</w:t>
            </w:r>
          </w:p>
          <w:p w14:paraId="6533CE84">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尺寸:不高于90*150*30mm</w:t>
            </w:r>
            <w:r>
              <w:rPr>
                <w:rFonts w:hint="eastAsia" w:ascii="宋体" w:hAnsi="宋体" w:cs="宋体"/>
                <w:color w:val="auto"/>
                <w:sz w:val="24"/>
                <w:szCs w:val="24"/>
                <w:highlight w:val="none"/>
              </w:rPr>
              <w:t>；</w:t>
            </w:r>
          </w:p>
          <w:p w14:paraId="4EBF299C">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默认通讯格式:9600,n,8,1</w:t>
            </w:r>
            <w:r>
              <w:rPr>
                <w:rFonts w:hint="eastAsia" w:ascii="宋体" w:hAnsi="宋体" w:cs="宋体"/>
                <w:color w:val="auto"/>
                <w:sz w:val="24"/>
                <w:szCs w:val="24"/>
                <w:highlight w:val="none"/>
              </w:rPr>
              <w:t>；</w:t>
            </w:r>
          </w:p>
          <w:p w14:paraId="545A9549">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波特率:2400.4800.9600 19200.38400.115200</w:t>
            </w:r>
            <w:r>
              <w:rPr>
                <w:rFonts w:hint="eastAsia" w:ascii="宋体" w:hAnsi="宋体" w:cs="宋体"/>
                <w:color w:val="auto"/>
                <w:sz w:val="24"/>
                <w:szCs w:val="24"/>
                <w:highlight w:val="none"/>
              </w:rPr>
              <w:t>；</w:t>
            </w:r>
          </w:p>
          <w:p w14:paraId="0EA73DFC">
            <w:pPr>
              <w:numPr>
                <w:ilvl w:val="0"/>
                <w:numId w:val="12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软件支持:配套配置软件、控制软件；支持各家组态软件；支持Labviewd 等</w:t>
            </w:r>
            <w:r>
              <w:rPr>
                <w:rFonts w:hint="eastAsia" w:ascii="宋体" w:hAnsi="宋体" w:cs="宋体"/>
                <w:color w:val="auto"/>
                <w:sz w:val="24"/>
                <w:szCs w:val="24"/>
                <w:highlight w:val="none"/>
              </w:rPr>
              <w:t>；</w:t>
            </w:r>
          </w:p>
          <w:p w14:paraId="4FECC6F6">
            <w:pPr>
              <w:numPr>
                <w:ilvl w:val="0"/>
                <w:numId w:val="11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温度变送器设备参数：</w:t>
            </w:r>
          </w:p>
          <w:p w14:paraId="3201B280">
            <w:pPr>
              <w:pStyle w:val="22"/>
              <w:numPr>
                <w:ilvl w:val="0"/>
                <w:numId w:val="121"/>
              </w:numPr>
              <w:wordWrap w:val="0"/>
              <w:ind w:left="0" w:firstLine="0"/>
              <w:rPr>
                <w:color w:val="auto"/>
                <w:highlight w:val="none"/>
              </w:rPr>
            </w:pPr>
            <w:r>
              <w:rPr>
                <w:rFonts w:hint="eastAsia" w:ascii="宋体" w:hAnsi="宋体" w:eastAsia="宋体" w:cs="宋体"/>
                <w:color w:val="auto"/>
                <w:sz w:val="24"/>
                <w:szCs w:val="24"/>
                <w:highlight w:val="none"/>
              </w:rPr>
              <w:t>主要参数：</w:t>
            </w:r>
          </w:p>
          <w:p w14:paraId="4F1050B8">
            <w:pPr>
              <w:numPr>
                <w:ilvl w:val="0"/>
                <w:numId w:val="122"/>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供电电压</w:t>
            </w:r>
            <w:r>
              <w:rPr>
                <w:rFonts w:hint="eastAsia" w:ascii="宋体" w:hAnsi="宋体" w:cs="宋体"/>
                <w:color w:val="auto"/>
                <w:sz w:val="24"/>
                <w:szCs w:val="24"/>
                <w:highlight w:val="none"/>
              </w:rPr>
              <w:t>：</w:t>
            </w:r>
            <w:r>
              <w:rPr>
                <w:rFonts w:ascii="宋体" w:hAnsi="宋体" w:cs="宋体"/>
                <w:color w:val="auto"/>
                <w:sz w:val="24"/>
                <w:szCs w:val="24"/>
                <w:highlight w:val="none"/>
              </w:rPr>
              <w:t>最小值DC 10V，标准值DC 12V，最大值DC 30V，条件：-20-70℃</w:t>
            </w:r>
            <w:r>
              <w:rPr>
                <w:rFonts w:hint="eastAsia" w:ascii="宋体" w:hAnsi="宋体" w:cs="宋体"/>
                <w:color w:val="auto"/>
                <w:sz w:val="24"/>
                <w:szCs w:val="24"/>
                <w:highlight w:val="none"/>
              </w:rPr>
              <w:t>；</w:t>
            </w:r>
          </w:p>
          <w:p w14:paraId="66C122F6">
            <w:pPr>
              <w:numPr>
                <w:ilvl w:val="0"/>
                <w:numId w:val="122"/>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RS485总线电压</w:t>
            </w:r>
            <w:r>
              <w:rPr>
                <w:rFonts w:hint="eastAsia" w:ascii="宋体" w:hAnsi="宋体" w:cs="宋体"/>
                <w:color w:val="auto"/>
                <w:sz w:val="24"/>
                <w:szCs w:val="24"/>
                <w:highlight w:val="none"/>
              </w:rPr>
              <w:t>：</w:t>
            </w:r>
            <w:r>
              <w:rPr>
                <w:rFonts w:ascii="宋体" w:hAnsi="宋体" w:cs="宋体"/>
                <w:color w:val="auto"/>
                <w:sz w:val="24"/>
                <w:szCs w:val="24"/>
                <w:highlight w:val="none"/>
              </w:rPr>
              <w:t>最小值4V，标准值4.1V，最大值4.5V，条件：与总线断开</w:t>
            </w:r>
            <w:r>
              <w:rPr>
                <w:rFonts w:hint="eastAsia" w:ascii="宋体" w:hAnsi="宋体" w:cs="宋体"/>
                <w:color w:val="auto"/>
                <w:sz w:val="24"/>
                <w:szCs w:val="24"/>
                <w:highlight w:val="none"/>
              </w:rPr>
              <w:t>；</w:t>
            </w:r>
          </w:p>
          <w:p w14:paraId="71572DCB">
            <w:pPr>
              <w:numPr>
                <w:ilvl w:val="0"/>
                <w:numId w:val="122"/>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测量精度</w:t>
            </w:r>
            <w:r>
              <w:rPr>
                <w:rFonts w:hint="eastAsia" w:ascii="宋体" w:hAnsi="宋体" w:cs="宋体"/>
                <w:color w:val="auto"/>
                <w:sz w:val="24"/>
                <w:szCs w:val="24"/>
                <w:highlight w:val="none"/>
              </w:rPr>
              <w:t>：</w:t>
            </w:r>
            <w:r>
              <w:rPr>
                <w:rFonts w:ascii="宋体" w:hAnsi="宋体" w:cs="宋体"/>
                <w:color w:val="auto"/>
                <w:sz w:val="24"/>
                <w:szCs w:val="24"/>
                <w:highlight w:val="none"/>
              </w:rPr>
              <w:t>热电阻±0.2，热电偶±1 ± 0.02%</w:t>
            </w:r>
            <w:r>
              <w:rPr>
                <w:rFonts w:hint="eastAsia" w:ascii="宋体" w:hAnsi="宋体" w:cs="宋体"/>
                <w:color w:val="auto"/>
                <w:sz w:val="24"/>
                <w:szCs w:val="24"/>
                <w:highlight w:val="none"/>
              </w:rPr>
              <w:t>，</w:t>
            </w:r>
            <w:r>
              <w:rPr>
                <w:rFonts w:ascii="宋体" w:hAnsi="宋体" w:cs="宋体"/>
                <w:color w:val="auto"/>
                <w:sz w:val="24"/>
                <w:szCs w:val="24"/>
                <w:highlight w:val="none"/>
              </w:rPr>
              <w:t>电流电压±0.02%</w:t>
            </w:r>
            <w:r>
              <w:rPr>
                <w:rFonts w:hint="eastAsia" w:ascii="宋体" w:hAnsi="宋体" w:cs="宋体"/>
                <w:color w:val="auto"/>
                <w:sz w:val="24"/>
                <w:szCs w:val="24"/>
                <w:highlight w:val="none"/>
              </w:rPr>
              <w:t>；</w:t>
            </w:r>
          </w:p>
          <w:p w14:paraId="7D1A4F25">
            <w:pPr>
              <w:numPr>
                <w:ilvl w:val="0"/>
                <w:numId w:val="122"/>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通信波特率</w:t>
            </w:r>
            <w:r>
              <w:rPr>
                <w:rFonts w:hint="eastAsia" w:ascii="宋体" w:hAnsi="宋体" w:cs="宋体"/>
                <w:color w:val="auto"/>
                <w:sz w:val="24"/>
                <w:szCs w:val="24"/>
                <w:highlight w:val="none"/>
              </w:rPr>
              <w:t>：</w:t>
            </w:r>
            <w:r>
              <w:rPr>
                <w:rFonts w:ascii="宋体" w:hAnsi="宋体" w:cs="宋体"/>
                <w:color w:val="auto"/>
                <w:sz w:val="24"/>
                <w:szCs w:val="24"/>
                <w:highlight w:val="none"/>
              </w:rPr>
              <w:t>最小值1200bps</w:t>
            </w:r>
            <w:r>
              <w:rPr>
                <w:rFonts w:hint="eastAsia" w:ascii="宋体" w:hAnsi="宋体" w:cs="宋体"/>
                <w:color w:val="auto"/>
                <w:sz w:val="24"/>
                <w:szCs w:val="24"/>
                <w:highlight w:val="none"/>
              </w:rPr>
              <w:t>，</w:t>
            </w:r>
            <w:r>
              <w:rPr>
                <w:rFonts w:ascii="宋体" w:hAnsi="宋体" w:cs="宋体"/>
                <w:color w:val="auto"/>
                <w:sz w:val="24"/>
                <w:szCs w:val="24"/>
                <w:highlight w:val="none"/>
              </w:rPr>
              <w:t>标准值9600bps</w:t>
            </w:r>
            <w:r>
              <w:rPr>
                <w:rFonts w:hint="eastAsia" w:ascii="宋体" w:hAnsi="宋体" w:cs="宋体"/>
                <w:color w:val="auto"/>
                <w:sz w:val="24"/>
                <w:szCs w:val="24"/>
                <w:highlight w:val="none"/>
              </w:rPr>
              <w:t>，</w:t>
            </w:r>
            <w:r>
              <w:rPr>
                <w:rFonts w:ascii="宋体" w:hAnsi="宋体" w:cs="宋体"/>
                <w:color w:val="auto"/>
                <w:sz w:val="24"/>
                <w:szCs w:val="24"/>
                <w:highlight w:val="none"/>
              </w:rPr>
              <w:t>最大值115200bps</w:t>
            </w:r>
            <w:r>
              <w:rPr>
                <w:rFonts w:hint="eastAsia" w:ascii="宋体" w:hAnsi="宋体" w:cs="宋体"/>
                <w:color w:val="auto"/>
                <w:sz w:val="24"/>
                <w:szCs w:val="24"/>
                <w:highlight w:val="none"/>
              </w:rPr>
              <w:t>；</w:t>
            </w:r>
          </w:p>
          <w:p w14:paraId="671DE6B1">
            <w:pPr>
              <w:numPr>
                <w:ilvl w:val="0"/>
                <w:numId w:val="11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铂热电阻设备参数：</w:t>
            </w:r>
          </w:p>
          <w:p w14:paraId="3CEBD10D">
            <w:pPr>
              <w:pStyle w:val="22"/>
              <w:numPr>
                <w:ilvl w:val="0"/>
                <w:numId w:val="123"/>
              </w:numPr>
              <w:wordWrap w:val="0"/>
              <w:ind w:left="0" w:firstLine="0"/>
              <w:rPr>
                <w:color w:val="auto"/>
                <w:highlight w:val="none"/>
              </w:rPr>
            </w:pPr>
            <w:r>
              <w:rPr>
                <w:rFonts w:hint="eastAsia" w:ascii="宋体" w:hAnsi="宋体" w:eastAsia="宋体" w:cs="宋体"/>
                <w:color w:val="auto"/>
                <w:sz w:val="24"/>
                <w:szCs w:val="24"/>
                <w:highlight w:val="none"/>
              </w:rPr>
              <w:t>主要参数：</w:t>
            </w:r>
          </w:p>
          <w:p w14:paraId="271AC2B7">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分度号</w:t>
            </w:r>
            <w:r>
              <w:rPr>
                <w:rFonts w:hint="eastAsia" w:ascii="宋体" w:hAnsi="宋体" w:cs="宋体"/>
                <w:color w:val="auto"/>
                <w:sz w:val="24"/>
                <w:szCs w:val="24"/>
                <w:highlight w:val="none"/>
              </w:rPr>
              <w:t>：</w:t>
            </w:r>
            <w:r>
              <w:rPr>
                <w:rFonts w:ascii="宋体" w:hAnsi="宋体" w:cs="宋体"/>
                <w:color w:val="auto"/>
                <w:sz w:val="24"/>
                <w:szCs w:val="24"/>
                <w:highlight w:val="none"/>
              </w:rPr>
              <w:t>Pt100(默认)/K/E/J/T/PL1000等</w:t>
            </w:r>
            <w:r>
              <w:rPr>
                <w:rFonts w:hint="eastAsia" w:ascii="宋体" w:hAnsi="宋体" w:cs="宋体"/>
                <w:color w:val="auto"/>
                <w:sz w:val="24"/>
                <w:szCs w:val="24"/>
                <w:highlight w:val="none"/>
              </w:rPr>
              <w:t>；</w:t>
            </w:r>
          </w:p>
          <w:p w14:paraId="1D58C53E">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测量范围</w:t>
            </w:r>
            <w:r>
              <w:rPr>
                <w:rFonts w:hint="eastAsia" w:ascii="宋体" w:hAnsi="宋体" w:cs="宋体"/>
                <w:color w:val="auto"/>
                <w:sz w:val="24"/>
                <w:szCs w:val="24"/>
                <w:highlight w:val="none"/>
              </w:rPr>
              <w:t>：</w:t>
            </w:r>
            <w:r>
              <w:rPr>
                <w:rFonts w:ascii="宋体" w:hAnsi="宋体" w:cs="宋体"/>
                <w:color w:val="auto"/>
                <w:sz w:val="24"/>
                <w:szCs w:val="24"/>
                <w:highlight w:val="none"/>
              </w:rPr>
              <w:t>-50+200℃(Pt100)/0-200℃(0 /0-200℃(E)</w:t>
            </w:r>
            <w:r>
              <w:rPr>
                <w:rFonts w:hint="eastAsia" w:ascii="宋体" w:hAnsi="宋体" w:cs="宋体"/>
                <w:color w:val="auto"/>
                <w:sz w:val="24"/>
                <w:szCs w:val="24"/>
                <w:highlight w:val="none"/>
              </w:rPr>
              <w:t>；</w:t>
            </w:r>
          </w:p>
          <w:p w14:paraId="50E0E77F">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保护管直径</w:t>
            </w:r>
            <w:r>
              <w:rPr>
                <w:rFonts w:hint="eastAsia" w:ascii="宋体" w:hAnsi="宋体" w:cs="宋体"/>
                <w:color w:val="auto"/>
                <w:sz w:val="24"/>
                <w:szCs w:val="24"/>
                <w:highlight w:val="none"/>
              </w:rPr>
              <w:t>：</w:t>
            </w:r>
            <w:r>
              <w:rPr>
                <w:rFonts w:ascii="宋体" w:hAnsi="宋体" w:cs="宋体"/>
                <w:color w:val="auto"/>
                <w:sz w:val="24"/>
                <w:szCs w:val="24"/>
                <w:highlight w:val="none"/>
              </w:rPr>
              <w:t>4mm(默认)/另有3mm、5mm.6mm等可选择定制</w:t>
            </w:r>
            <w:r>
              <w:rPr>
                <w:rFonts w:hint="eastAsia" w:ascii="宋体" w:hAnsi="宋体" w:cs="宋体"/>
                <w:color w:val="auto"/>
                <w:sz w:val="24"/>
                <w:szCs w:val="24"/>
                <w:highlight w:val="none"/>
              </w:rPr>
              <w:t>；</w:t>
            </w:r>
          </w:p>
          <w:p w14:paraId="6CE56BC9">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线材</w:t>
            </w:r>
            <w:r>
              <w:rPr>
                <w:rFonts w:hint="eastAsia" w:ascii="宋体" w:hAnsi="宋体" w:cs="宋体"/>
                <w:color w:val="auto"/>
                <w:sz w:val="24"/>
                <w:szCs w:val="24"/>
                <w:highlight w:val="none"/>
              </w:rPr>
              <w:t>：</w:t>
            </w:r>
            <w:r>
              <w:rPr>
                <w:rFonts w:ascii="宋体" w:hAnsi="宋体" w:cs="宋体"/>
                <w:color w:val="auto"/>
                <w:sz w:val="24"/>
                <w:szCs w:val="24"/>
                <w:highlight w:val="none"/>
              </w:rPr>
              <w:t>三芯镀银四氟屏蔽线</w:t>
            </w:r>
            <w:r>
              <w:rPr>
                <w:rFonts w:hint="eastAsia" w:ascii="宋体" w:hAnsi="宋体" w:cs="宋体"/>
                <w:color w:val="auto"/>
                <w:sz w:val="24"/>
                <w:szCs w:val="24"/>
                <w:highlight w:val="none"/>
              </w:rPr>
              <w:t>；</w:t>
            </w:r>
          </w:p>
          <w:p w14:paraId="2647E414">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保护管材质</w:t>
            </w:r>
            <w:r>
              <w:rPr>
                <w:rFonts w:hint="eastAsia" w:ascii="宋体" w:hAnsi="宋体" w:cs="宋体"/>
                <w:color w:val="auto"/>
                <w:sz w:val="24"/>
                <w:szCs w:val="24"/>
                <w:highlight w:val="none"/>
              </w:rPr>
              <w:t>：</w:t>
            </w:r>
            <w:r>
              <w:rPr>
                <w:rFonts w:ascii="宋体" w:hAnsi="宋体" w:cs="宋体"/>
                <w:color w:val="auto"/>
                <w:sz w:val="24"/>
                <w:szCs w:val="24"/>
                <w:highlight w:val="none"/>
              </w:rPr>
              <w:t>304不锈钢，可定制316或者其他材质</w:t>
            </w:r>
            <w:r>
              <w:rPr>
                <w:rFonts w:hint="eastAsia" w:ascii="宋体" w:hAnsi="宋体" w:cs="宋体"/>
                <w:color w:val="auto"/>
                <w:sz w:val="24"/>
                <w:szCs w:val="24"/>
                <w:highlight w:val="none"/>
              </w:rPr>
              <w:t>；</w:t>
            </w:r>
          </w:p>
          <w:p w14:paraId="19ECC534">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电阻类型</w:t>
            </w:r>
            <w:r>
              <w:rPr>
                <w:rFonts w:hint="eastAsia" w:ascii="宋体" w:hAnsi="宋体" w:cs="宋体"/>
                <w:color w:val="auto"/>
                <w:sz w:val="24"/>
                <w:szCs w:val="24"/>
                <w:highlight w:val="none"/>
              </w:rPr>
              <w:t>：</w:t>
            </w:r>
            <w:r>
              <w:rPr>
                <w:rFonts w:ascii="宋体" w:hAnsi="宋体" w:cs="宋体"/>
                <w:color w:val="auto"/>
                <w:sz w:val="24"/>
                <w:szCs w:val="24"/>
                <w:highlight w:val="none"/>
              </w:rPr>
              <w:t>1/3B级、A级、B级、2B级可选</w:t>
            </w:r>
            <w:r>
              <w:rPr>
                <w:rFonts w:hint="eastAsia" w:ascii="宋体" w:hAnsi="宋体" w:cs="宋体"/>
                <w:color w:val="auto"/>
                <w:sz w:val="24"/>
                <w:szCs w:val="24"/>
                <w:highlight w:val="none"/>
              </w:rPr>
              <w:t>；</w:t>
            </w:r>
          </w:p>
          <w:p w14:paraId="45F477C6">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保护管长度</w:t>
            </w:r>
            <w:r>
              <w:rPr>
                <w:rFonts w:hint="eastAsia" w:ascii="宋体" w:hAnsi="宋体" w:cs="宋体"/>
                <w:color w:val="auto"/>
                <w:sz w:val="24"/>
                <w:szCs w:val="24"/>
                <w:highlight w:val="none"/>
              </w:rPr>
              <w:t>：</w:t>
            </w:r>
            <w:r>
              <w:rPr>
                <w:rFonts w:ascii="宋体" w:hAnsi="宋体" w:cs="宋体"/>
                <w:color w:val="auto"/>
                <w:sz w:val="24"/>
                <w:szCs w:val="24"/>
                <w:highlight w:val="none"/>
              </w:rPr>
              <w:t>30mm(默认)/另有10/15/20/40/50/60/100/150/200mm等可选择定制</w:t>
            </w:r>
            <w:r>
              <w:rPr>
                <w:rFonts w:hint="eastAsia" w:ascii="宋体" w:hAnsi="宋体" w:cs="宋体"/>
                <w:color w:val="auto"/>
                <w:sz w:val="24"/>
                <w:szCs w:val="24"/>
                <w:highlight w:val="none"/>
              </w:rPr>
              <w:t>；</w:t>
            </w:r>
          </w:p>
          <w:p w14:paraId="26108DCF">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线长</w:t>
            </w:r>
            <w:r>
              <w:rPr>
                <w:rFonts w:hint="eastAsia" w:ascii="宋体" w:hAnsi="宋体" w:cs="宋体"/>
                <w:color w:val="auto"/>
                <w:sz w:val="24"/>
                <w:szCs w:val="24"/>
                <w:highlight w:val="none"/>
              </w:rPr>
              <w:t>：</w:t>
            </w:r>
            <w:r>
              <w:rPr>
                <w:rFonts w:ascii="宋体" w:hAnsi="宋体" w:cs="宋体"/>
                <w:color w:val="auto"/>
                <w:sz w:val="24"/>
                <w:szCs w:val="24"/>
                <w:highlight w:val="none"/>
              </w:rPr>
              <w:t>0.5米/1米/1.5米/2米/3米</w:t>
            </w:r>
            <w:r>
              <w:rPr>
                <w:rFonts w:hint="eastAsia" w:ascii="宋体" w:hAnsi="宋体" w:cs="宋体"/>
                <w:color w:val="auto"/>
                <w:sz w:val="24"/>
                <w:szCs w:val="24"/>
                <w:highlight w:val="none"/>
              </w:rPr>
              <w:t>，</w:t>
            </w:r>
            <w:r>
              <w:rPr>
                <w:rFonts w:ascii="宋体" w:hAnsi="宋体" w:cs="宋体"/>
                <w:color w:val="auto"/>
                <w:sz w:val="24"/>
                <w:szCs w:val="24"/>
                <w:highlight w:val="none"/>
              </w:rPr>
              <w:t>可按要求定制任意线长</w:t>
            </w:r>
            <w:r>
              <w:rPr>
                <w:rFonts w:hint="eastAsia" w:ascii="宋体" w:hAnsi="宋体" w:cs="宋体"/>
                <w:color w:val="auto"/>
                <w:sz w:val="24"/>
                <w:szCs w:val="24"/>
                <w:highlight w:val="none"/>
              </w:rPr>
              <w:t>；</w:t>
            </w:r>
          </w:p>
          <w:p w14:paraId="713851BA">
            <w:pPr>
              <w:numPr>
                <w:ilvl w:val="0"/>
                <w:numId w:val="124"/>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接线端子</w:t>
            </w:r>
            <w:r>
              <w:rPr>
                <w:rFonts w:hint="eastAsia" w:ascii="宋体" w:hAnsi="宋体" w:cs="宋体"/>
                <w:color w:val="auto"/>
                <w:sz w:val="24"/>
                <w:szCs w:val="24"/>
                <w:highlight w:val="none"/>
              </w:rPr>
              <w:t>：</w:t>
            </w:r>
            <w:r>
              <w:rPr>
                <w:rFonts w:ascii="宋体" w:hAnsi="宋体" w:cs="宋体"/>
                <w:color w:val="auto"/>
                <w:sz w:val="24"/>
                <w:szCs w:val="24"/>
                <w:highlight w:val="none"/>
              </w:rPr>
              <w:t>U型端子(默认)/可定制插针端子、小黄插头、航空插头等</w:t>
            </w:r>
            <w:r>
              <w:rPr>
                <w:rFonts w:hint="eastAsia" w:ascii="宋体" w:hAnsi="宋体" w:cs="宋体"/>
                <w:color w:val="auto"/>
                <w:sz w:val="24"/>
                <w:szCs w:val="24"/>
                <w:highlight w:val="none"/>
              </w:rPr>
              <w:t>；</w:t>
            </w:r>
          </w:p>
          <w:p w14:paraId="0DF1E1B4">
            <w:pPr>
              <w:numPr>
                <w:ilvl w:val="0"/>
                <w:numId w:val="113"/>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挡鼠板门磁设备参数：</w:t>
            </w:r>
          </w:p>
          <w:p w14:paraId="6B3BC049">
            <w:pPr>
              <w:pStyle w:val="22"/>
              <w:numPr>
                <w:ilvl w:val="0"/>
                <w:numId w:val="125"/>
              </w:numPr>
              <w:wordWrap w:val="0"/>
              <w:ind w:left="0" w:firstLine="0"/>
              <w:rPr>
                <w:color w:val="auto"/>
                <w:highlight w:val="none"/>
              </w:rPr>
            </w:pPr>
            <w:r>
              <w:rPr>
                <w:rFonts w:hint="eastAsia" w:ascii="宋体" w:hAnsi="宋体" w:eastAsia="宋体" w:cs="宋体"/>
                <w:color w:val="auto"/>
                <w:sz w:val="24"/>
                <w:szCs w:val="24"/>
                <w:highlight w:val="none"/>
              </w:rPr>
              <w:t>主要参数：</w:t>
            </w:r>
          </w:p>
          <w:p w14:paraId="6994C36A">
            <w:pPr>
              <w:widowControl/>
              <w:numPr>
                <w:ilvl w:val="0"/>
                <w:numId w:val="12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感应距离：</w:t>
            </w:r>
            <w:r>
              <w:rPr>
                <w:rFonts w:ascii="宋体" w:hAnsi="宋体" w:cs="宋体"/>
                <w:color w:val="auto"/>
                <w:kern w:val="0"/>
                <w:sz w:val="24"/>
                <w:szCs w:val="24"/>
                <w:highlight w:val="none"/>
                <w:lang w:bidi="ar"/>
              </w:rPr>
              <w:t>25-35MM；</w:t>
            </w:r>
          </w:p>
          <w:p w14:paraId="5A6FE9F1">
            <w:pPr>
              <w:widowControl/>
              <w:numPr>
                <w:ilvl w:val="0"/>
                <w:numId w:val="12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孔距离：</w:t>
            </w:r>
            <w:r>
              <w:rPr>
                <w:rFonts w:ascii="宋体" w:hAnsi="宋体" w:cs="宋体"/>
                <w:color w:val="auto"/>
                <w:kern w:val="0"/>
                <w:sz w:val="24"/>
                <w:szCs w:val="24"/>
                <w:highlight w:val="none"/>
                <w:lang w:bidi="ar"/>
              </w:rPr>
              <w:t>33MM；</w:t>
            </w:r>
          </w:p>
          <w:p w14:paraId="37D40557">
            <w:pPr>
              <w:widowControl/>
              <w:numPr>
                <w:ilvl w:val="0"/>
                <w:numId w:val="12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开关形式：常闭；</w:t>
            </w:r>
          </w:p>
          <w:p w14:paraId="15E4D302">
            <w:pPr>
              <w:widowControl/>
              <w:numPr>
                <w:ilvl w:val="0"/>
                <w:numId w:val="126"/>
              </w:numPr>
              <w:ind w:firstLine="0"/>
              <w:jc w:val="left"/>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参数：最大功率</w:t>
            </w:r>
            <w:r>
              <w:rPr>
                <w:rFonts w:ascii="宋体" w:hAnsi="宋体" w:cs="宋体"/>
                <w:color w:val="auto"/>
                <w:kern w:val="0"/>
                <w:sz w:val="24"/>
                <w:szCs w:val="24"/>
                <w:highlight w:val="none"/>
                <w:lang w:bidi="ar"/>
              </w:rPr>
              <w:t>10W，最高电压100V，最大电流0.5A；</w:t>
            </w:r>
          </w:p>
          <w:p w14:paraId="5BD090FA">
            <w:pPr>
              <w:widowControl/>
              <w:numPr>
                <w:ilvl w:val="0"/>
                <w:numId w:val="126"/>
              </w:numPr>
              <w:ind w:firstLine="0"/>
              <w:jc w:val="left"/>
              <w:textAlignment w:val="center"/>
              <w:rPr>
                <w:color w:val="auto"/>
                <w:highlight w:val="none"/>
              </w:rPr>
            </w:pPr>
            <w:r>
              <w:rPr>
                <w:rFonts w:hint="eastAsia" w:ascii="宋体" w:hAnsi="宋体" w:cs="宋体"/>
                <w:color w:val="auto"/>
                <w:kern w:val="0"/>
                <w:sz w:val="24"/>
                <w:szCs w:val="24"/>
                <w:highlight w:val="none"/>
                <w:lang w:bidi="ar"/>
              </w:rPr>
              <w:t>外壳材质：锌合金，银灰电镀；</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87316F5">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DA88E66">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4359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49A1B05">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F0CE698">
            <w:pPr>
              <w:jc w:val="center"/>
              <w:rPr>
                <w:rFonts w:ascii="宋体" w:hAnsi="宋体" w:cs="宋体"/>
                <w:color w:val="auto"/>
                <w:sz w:val="24"/>
                <w:szCs w:val="24"/>
                <w:highlight w:val="none"/>
              </w:rPr>
            </w:pPr>
            <w:r>
              <w:rPr>
                <w:rFonts w:hint="eastAsia" w:ascii="宋体" w:hAnsi="宋体" w:cs="宋体"/>
                <w:color w:val="auto"/>
                <w:sz w:val="24"/>
                <w:szCs w:val="24"/>
                <w:highlight w:val="none"/>
              </w:rPr>
              <w:t>水电能耗监管</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2665D6D8">
            <w:pPr>
              <w:numPr>
                <w:ilvl w:val="0"/>
                <w:numId w:val="127"/>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功能</w:t>
            </w:r>
            <w:r>
              <w:rPr>
                <w:rFonts w:hint="eastAsia" w:ascii="宋体" w:hAnsi="宋体" w:cs="宋体"/>
                <w:color w:val="auto"/>
                <w:kern w:val="0"/>
                <w:sz w:val="24"/>
                <w:szCs w:val="24"/>
                <w:highlight w:val="none"/>
                <w:lang w:bidi="ar"/>
              </w:rPr>
              <w:t>描述：</w:t>
            </w:r>
          </w:p>
          <w:p w14:paraId="65F0A4B8">
            <w:pPr>
              <w:pStyle w:val="22"/>
              <w:numPr>
                <w:ilvl w:val="0"/>
                <w:numId w:val="128"/>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支持实时用水量、电量监测，设置用电预警提醒；</w:t>
            </w:r>
          </w:p>
          <w:p w14:paraId="4CDDBBB4">
            <w:pPr>
              <w:pStyle w:val="22"/>
              <w:numPr>
                <w:ilvl w:val="0"/>
                <w:numId w:val="128"/>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支持每日用水、用电数据记录、对比；</w:t>
            </w:r>
          </w:p>
          <w:p w14:paraId="77C6A309">
            <w:pPr>
              <w:pStyle w:val="22"/>
              <w:numPr>
                <w:ilvl w:val="0"/>
                <w:numId w:val="128"/>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支持依据不同场所设置总表、分表，进行数据统计；</w:t>
            </w:r>
          </w:p>
          <w:p w14:paraId="2A6E72C4">
            <w:pPr>
              <w:numPr>
                <w:ilvl w:val="0"/>
                <w:numId w:val="127"/>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用电管理设备参数：</w:t>
            </w:r>
          </w:p>
          <w:p w14:paraId="1C2CA930">
            <w:pPr>
              <w:pStyle w:val="22"/>
              <w:numPr>
                <w:ilvl w:val="0"/>
                <w:numId w:val="129"/>
              </w:numPr>
              <w:ind w:left="0"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IO通讯模块主要参数：</w:t>
            </w:r>
          </w:p>
          <w:p w14:paraId="25F46FF4">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触点容量:10A/250VAC</w:t>
            </w:r>
            <w:r>
              <w:rPr>
                <w:rFonts w:hint="eastAsia" w:ascii="宋体" w:hAnsi="宋体" w:cs="宋体"/>
                <w:color w:val="auto"/>
                <w:sz w:val="24"/>
                <w:szCs w:val="24"/>
                <w:highlight w:val="none"/>
              </w:rPr>
              <w:t>；</w:t>
            </w:r>
          </w:p>
          <w:p w14:paraId="11ACE078">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耐久性:10万次</w:t>
            </w:r>
            <w:r>
              <w:rPr>
                <w:rFonts w:hint="eastAsia" w:ascii="宋体" w:hAnsi="宋体" w:cs="宋体"/>
                <w:color w:val="auto"/>
                <w:sz w:val="24"/>
                <w:szCs w:val="24"/>
                <w:highlight w:val="none"/>
              </w:rPr>
              <w:t>；</w:t>
            </w:r>
          </w:p>
          <w:p w14:paraId="630158E9">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数据接口:RS232、RS485</w:t>
            </w:r>
            <w:r>
              <w:rPr>
                <w:rFonts w:hint="eastAsia" w:ascii="宋体" w:hAnsi="宋体" w:cs="宋体"/>
                <w:color w:val="auto"/>
                <w:sz w:val="24"/>
                <w:szCs w:val="24"/>
                <w:highlight w:val="none"/>
              </w:rPr>
              <w:t>；</w:t>
            </w:r>
          </w:p>
          <w:p w14:paraId="721A0A00">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额定电压:DC 7-30V</w:t>
            </w:r>
            <w:r>
              <w:rPr>
                <w:rFonts w:hint="eastAsia" w:ascii="宋体" w:hAnsi="宋体" w:cs="宋体"/>
                <w:color w:val="auto"/>
                <w:sz w:val="24"/>
                <w:szCs w:val="24"/>
                <w:highlight w:val="none"/>
              </w:rPr>
              <w:t>；</w:t>
            </w:r>
          </w:p>
          <w:p w14:paraId="46B273A4">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电源指示:1路红色 LED 指示(通电时常亮)</w:t>
            </w:r>
            <w:r>
              <w:rPr>
                <w:rFonts w:hint="eastAsia" w:ascii="宋体" w:hAnsi="宋体" w:cs="宋体"/>
                <w:color w:val="auto"/>
                <w:sz w:val="24"/>
                <w:szCs w:val="24"/>
                <w:highlight w:val="none"/>
              </w:rPr>
              <w:t>；</w:t>
            </w:r>
          </w:p>
          <w:p w14:paraId="0B885568">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温度范围:工业级，-40℃~85℃</w:t>
            </w:r>
            <w:r>
              <w:rPr>
                <w:rFonts w:hint="eastAsia" w:ascii="宋体" w:hAnsi="宋体" w:cs="宋体"/>
                <w:color w:val="auto"/>
                <w:sz w:val="24"/>
                <w:szCs w:val="24"/>
                <w:highlight w:val="none"/>
              </w:rPr>
              <w:t>；</w:t>
            </w:r>
          </w:p>
          <w:p w14:paraId="4DF63EDE">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尺寸:不高于90*150*30mm</w:t>
            </w:r>
            <w:r>
              <w:rPr>
                <w:rFonts w:hint="eastAsia" w:ascii="宋体" w:hAnsi="宋体" w:cs="宋体"/>
                <w:color w:val="auto"/>
                <w:sz w:val="24"/>
                <w:szCs w:val="24"/>
                <w:highlight w:val="none"/>
              </w:rPr>
              <w:t>；</w:t>
            </w:r>
          </w:p>
          <w:p w14:paraId="29EBFC29">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默认通讯格式:9600,n,8,1</w:t>
            </w:r>
            <w:r>
              <w:rPr>
                <w:rFonts w:hint="eastAsia" w:ascii="宋体" w:hAnsi="宋体" w:cs="宋体"/>
                <w:color w:val="auto"/>
                <w:sz w:val="24"/>
                <w:szCs w:val="24"/>
                <w:highlight w:val="none"/>
              </w:rPr>
              <w:t>；</w:t>
            </w:r>
          </w:p>
          <w:p w14:paraId="34F14974">
            <w:pPr>
              <w:numPr>
                <w:ilvl w:val="0"/>
                <w:numId w:val="130"/>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波特率:2400.4800.9600 19200.38400.115200</w:t>
            </w:r>
            <w:r>
              <w:rPr>
                <w:rFonts w:hint="eastAsia" w:ascii="宋体" w:hAnsi="宋体" w:cs="宋体"/>
                <w:color w:val="auto"/>
                <w:sz w:val="24"/>
                <w:szCs w:val="24"/>
                <w:highlight w:val="none"/>
              </w:rPr>
              <w:t>；</w:t>
            </w:r>
          </w:p>
          <w:p w14:paraId="7A51816E">
            <w:pPr>
              <w:numPr>
                <w:ilvl w:val="0"/>
                <w:numId w:val="130"/>
              </w:numPr>
              <w:wordWrap w:val="0"/>
              <w:ind w:firstLine="0"/>
              <w:jc w:val="left"/>
              <w:rPr>
                <w:color w:val="auto"/>
                <w:highlight w:val="none"/>
              </w:rPr>
            </w:pPr>
            <w:r>
              <w:rPr>
                <w:rFonts w:ascii="宋体" w:hAnsi="宋体" w:cs="宋体"/>
                <w:color w:val="auto"/>
                <w:sz w:val="24"/>
                <w:szCs w:val="24"/>
                <w:highlight w:val="none"/>
              </w:rPr>
              <w:t>软件支持:配套配置软件、控制软件；支持各家组态软件；支持Labviewd 等</w:t>
            </w:r>
            <w:r>
              <w:rPr>
                <w:rFonts w:hint="eastAsia" w:ascii="宋体" w:hAnsi="宋体" w:cs="宋体"/>
                <w:color w:val="auto"/>
                <w:sz w:val="24"/>
                <w:szCs w:val="24"/>
                <w:highlight w:val="none"/>
              </w:rPr>
              <w:t>；</w:t>
            </w:r>
          </w:p>
          <w:p w14:paraId="2C4A9984">
            <w:pPr>
              <w:pStyle w:val="22"/>
              <w:numPr>
                <w:ilvl w:val="0"/>
                <w:numId w:val="129"/>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能耗监管</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电主要参数：</w:t>
            </w:r>
          </w:p>
          <w:p w14:paraId="01CE0A23">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精度等级：有功</w:t>
            </w:r>
            <w:r>
              <w:rPr>
                <w:rFonts w:ascii="宋体" w:hAnsi="宋体" w:cs="宋体"/>
                <w:color w:val="auto"/>
                <w:sz w:val="24"/>
                <w:szCs w:val="24"/>
                <w:highlight w:val="none"/>
              </w:rPr>
              <w:t>1级；</w:t>
            </w:r>
          </w:p>
          <w:p w14:paraId="4DA60100">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参比电压：</w:t>
            </w:r>
            <w:r>
              <w:rPr>
                <w:rFonts w:ascii="宋体" w:hAnsi="宋体" w:cs="宋体"/>
                <w:color w:val="auto"/>
                <w:sz w:val="24"/>
                <w:szCs w:val="24"/>
                <w:highlight w:val="none"/>
              </w:rPr>
              <w:t>AC 220V±20%；</w:t>
            </w:r>
          </w:p>
          <w:p w14:paraId="2F7B702D">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电流规格：</w:t>
            </w:r>
            <w:r>
              <w:rPr>
                <w:rFonts w:ascii="宋体" w:hAnsi="宋体" w:cs="宋体"/>
                <w:color w:val="auto"/>
                <w:sz w:val="24"/>
                <w:szCs w:val="24"/>
                <w:highlight w:val="none"/>
              </w:rPr>
              <w:t>5(40)A，10(40)A，5(60)A,20(80)A，10(100)A；</w:t>
            </w:r>
          </w:p>
          <w:p w14:paraId="32572709">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整机功耗：≤</w:t>
            </w:r>
            <w:r>
              <w:rPr>
                <w:rFonts w:ascii="宋体" w:hAnsi="宋体" w:cs="宋体"/>
                <w:color w:val="auto"/>
                <w:sz w:val="24"/>
                <w:szCs w:val="24"/>
                <w:highlight w:val="none"/>
              </w:rPr>
              <w:t>1W/8VA；</w:t>
            </w:r>
          </w:p>
          <w:p w14:paraId="577543A6">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参比频率：</w:t>
            </w:r>
            <w:r>
              <w:rPr>
                <w:rFonts w:ascii="宋体" w:hAnsi="宋体" w:cs="宋体"/>
                <w:color w:val="auto"/>
                <w:sz w:val="24"/>
                <w:szCs w:val="24"/>
                <w:highlight w:val="none"/>
              </w:rPr>
              <w:t>50HZ；</w:t>
            </w:r>
          </w:p>
          <w:p w14:paraId="4F3A5AC1">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工作电压范围：</w:t>
            </w:r>
            <w:r>
              <w:rPr>
                <w:rFonts w:ascii="宋体" w:hAnsi="宋体" w:cs="宋体"/>
                <w:color w:val="auto"/>
                <w:sz w:val="24"/>
                <w:szCs w:val="24"/>
                <w:highlight w:val="none"/>
              </w:rPr>
              <w:t>70%Un-115%Un；</w:t>
            </w:r>
          </w:p>
          <w:p w14:paraId="3DF8327D">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工作温度：</w:t>
            </w:r>
            <w:r>
              <w:rPr>
                <w:rFonts w:ascii="宋体" w:hAnsi="宋体" w:cs="宋体"/>
                <w:color w:val="auto"/>
                <w:sz w:val="24"/>
                <w:szCs w:val="24"/>
                <w:highlight w:val="none"/>
              </w:rPr>
              <w:t>-20℃-+55℃；</w:t>
            </w:r>
          </w:p>
          <w:p w14:paraId="0F1B086C">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极限工作温度：</w:t>
            </w:r>
            <w:r>
              <w:rPr>
                <w:rFonts w:ascii="宋体" w:hAnsi="宋体" w:cs="宋体"/>
                <w:color w:val="auto"/>
                <w:sz w:val="24"/>
                <w:szCs w:val="24"/>
                <w:highlight w:val="none"/>
              </w:rPr>
              <w:t>-25℃-+70℃；</w:t>
            </w:r>
          </w:p>
          <w:p w14:paraId="522B8FDC">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产品标准：</w:t>
            </w:r>
            <w:r>
              <w:rPr>
                <w:rFonts w:ascii="宋体" w:hAnsi="宋体" w:cs="宋体"/>
                <w:color w:val="auto"/>
                <w:sz w:val="24"/>
                <w:szCs w:val="24"/>
                <w:highlight w:val="none"/>
              </w:rPr>
              <w:t>GB/T17215.321；</w:t>
            </w:r>
          </w:p>
          <w:p w14:paraId="08D7136F">
            <w:pPr>
              <w:numPr>
                <w:ilvl w:val="0"/>
                <w:numId w:val="131"/>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RS485串口：DL/T645-2007，DL/T645-1997为偶校验，Modbus-RTU为无校验；</w:t>
            </w:r>
          </w:p>
          <w:p w14:paraId="15BE654F">
            <w:pPr>
              <w:numPr>
                <w:ilvl w:val="0"/>
                <w:numId w:val="131"/>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外形尺寸</w:t>
            </w:r>
            <w:r>
              <w:rPr>
                <w:rFonts w:ascii="宋体" w:hAnsi="宋体" w:cs="宋体"/>
                <w:color w:val="auto"/>
                <w:sz w:val="24"/>
                <w:szCs w:val="24"/>
                <w:highlight w:val="none"/>
              </w:rPr>
              <w:t>(mm)：不高于145x105x51mm；</w:t>
            </w:r>
          </w:p>
          <w:p w14:paraId="01C833C2">
            <w:pPr>
              <w:numPr>
                <w:ilvl w:val="0"/>
                <w:numId w:val="127"/>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用水管理设备参数：</w:t>
            </w:r>
          </w:p>
          <w:p w14:paraId="60411DD5">
            <w:pPr>
              <w:pStyle w:val="22"/>
              <w:numPr>
                <w:ilvl w:val="0"/>
                <w:numId w:val="132"/>
              </w:numPr>
              <w:ind w:left="0"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IO通讯模块主要参数：</w:t>
            </w:r>
          </w:p>
          <w:p w14:paraId="1C0EFA78">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触点容量:10A/250VAC</w:t>
            </w:r>
            <w:r>
              <w:rPr>
                <w:rFonts w:hint="eastAsia" w:ascii="宋体" w:hAnsi="宋体" w:cs="宋体"/>
                <w:color w:val="auto"/>
                <w:sz w:val="24"/>
                <w:szCs w:val="24"/>
                <w:highlight w:val="none"/>
              </w:rPr>
              <w:t>；</w:t>
            </w:r>
          </w:p>
          <w:p w14:paraId="3ADB7F62">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耐久性:10万次</w:t>
            </w:r>
            <w:r>
              <w:rPr>
                <w:rFonts w:hint="eastAsia" w:ascii="宋体" w:hAnsi="宋体" w:cs="宋体"/>
                <w:color w:val="auto"/>
                <w:sz w:val="24"/>
                <w:szCs w:val="24"/>
                <w:highlight w:val="none"/>
              </w:rPr>
              <w:t>；</w:t>
            </w:r>
          </w:p>
          <w:p w14:paraId="0BA82E2F">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数据接口:RS232、RS485</w:t>
            </w:r>
            <w:r>
              <w:rPr>
                <w:rFonts w:hint="eastAsia" w:ascii="宋体" w:hAnsi="宋体" w:cs="宋体"/>
                <w:color w:val="auto"/>
                <w:sz w:val="24"/>
                <w:szCs w:val="24"/>
                <w:highlight w:val="none"/>
              </w:rPr>
              <w:t>；</w:t>
            </w:r>
          </w:p>
          <w:p w14:paraId="73DFD50E">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额定电压:DC 7-30V</w:t>
            </w:r>
            <w:r>
              <w:rPr>
                <w:rFonts w:hint="eastAsia" w:ascii="宋体" w:hAnsi="宋体" w:cs="宋体"/>
                <w:color w:val="auto"/>
                <w:sz w:val="24"/>
                <w:szCs w:val="24"/>
                <w:highlight w:val="none"/>
              </w:rPr>
              <w:t>；</w:t>
            </w:r>
          </w:p>
          <w:p w14:paraId="4C2E366E">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电源指示:1路红色 LED 指示(通电时常亮)</w:t>
            </w:r>
            <w:r>
              <w:rPr>
                <w:rFonts w:hint="eastAsia" w:ascii="宋体" w:hAnsi="宋体" w:cs="宋体"/>
                <w:color w:val="auto"/>
                <w:sz w:val="24"/>
                <w:szCs w:val="24"/>
                <w:highlight w:val="none"/>
              </w:rPr>
              <w:t>；</w:t>
            </w:r>
          </w:p>
          <w:p w14:paraId="5D9E427D">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温度范围:工业级，-40℃~85℃</w:t>
            </w:r>
            <w:r>
              <w:rPr>
                <w:rFonts w:hint="eastAsia" w:ascii="宋体" w:hAnsi="宋体" w:cs="宋体"/>
                <w:color w:val="auto"/>
                <w:sz w:val="24"/>
                <w:szCs w:val="24"/>
                <w:highlight w:val="none"/>
              </w:rPr>
              <w:t>；</w:t>
            </w:r>
          </w:p>
          <w:p w14:paraId="1BFE70B3">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尺寸:不高于90*150*30mm</w:t>
            </w:r>
            <w:r>
              <w:rPr>
                <w:rFonts w:hint="eastAsia" w:ascii="宋体" w:hAnsi="宋体" w:cs="宋体"/>
                <w:color w:val="auto"/>
                <w:sz w:val="24"/>
                <w:szCs w:val="24"/>
                <w:highlight w:val="none"/>
              </w:rPr>
              <w:t>；</w:t>
            </w:r>
          </w:p>
          <w:p w14:paraId="2BD25B89">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默认通讯格式:9600,n,8,1</w:t>
            </w:r>
            <w:r>
              <w:rPr>
                <w:rFonts w:hint="eastAsia" w:ascii="宋体" w:hAnsi="宋体" w:cs="宋体"/>
                <w:color w:val="auto"/>
                <w:sz w:val="24"/>
                <w:szCs w:val="24"/>
                <w:highlight w:val="none"/>
              </w:rPr>
              <w:t>；</w:t>
            </w:r>
          </w:p>
          <w:p w14:paraId="6B4C05A2">
            <w:pPr>
              <w:numPr>
                <w:ilvl w:val="0"/>
                <w:numId w:val="133"/>
              </w:numPr>
              <w:wordWrap w:val="0"/>
              <w:ind w:firstLine="0"/>
              <w:jc w:val="left"/>
              <w:rPr>
                <w:rFonts w:ascii="宋体" w:hAnsi="宋体" w:cs="宋体"/>
                <w:color w:val="auto"/>
                <w:sz w:val="24"/>
                <w:szCs w:val="24"/>
                <w:highlight w:val="none"/>
              </w:rPr>
            </w:pPr>
            <w:r>
              <w:rPr>
                <w:rFonts w:ascii="宋体" w:hAnsi="宋体" w:cs="宋体"/>
                <w:color w:val="auto"/>
                <w:sz w:val="24"/>
                <w:szCs w:val="24"/>
                <w:highlight w:val="none"/>
              </w:rPr>
              <w:t>波特率:2400.4800.9600 19200.38400.115200</w:t>
            </w:r>
            <w:r>
              <w:rPr>
                <w:rFonts w:hint="eastAsia" w:ascii="宋体" w:hAnsi="宋体" w:cs="宋体"/>
                <w:color w:val="auto"/>
                <w:sz w:val="24"/>
                <w:szCs w:val="24"/>
                <w:highlight w:val="none"/>
              </w:rPr>
              <w:t>；</w:t>
            </w:r>
          </w:p>
          <w:p w14:paraId="43C86DB5">
            <w:pPr>
              <w:numPr>
                <w:ilvl w:val="0"/>
                <w:numId w:val="133"/>
              </w:numPr>
              <w:wordWrap w:val="0"/>
              <w:ind w:firstLine="0"/>
              <w:jc w:val="left"/>
              <w:rPr>
                <w:color w:val="auto"/>
                <w:highlight w:val="none"/>
              </w:rPr>
            </w:pPr>
            <w:r>
              <w:rPr>
                <w:rFonts w:ascii="宋体" w:hAnsi="宋体" w:cs="宋体"/>
                <w:color w:val="auto"/>
                <w:sz w:val="24"/>
                <w:szCs w:val="24"/>
                <w:highlight w:val="none"/>
              </w:rPr>
              <w:t>软件支持:配套配置软件、控制软件；支持各家组态软件；支持Labviewd 等</w:t>
            </w:r>
            <w:r>
              <w:rPr>
                <w:rFonts w:hint="eastAsia" w:ascii="宋体" w:hAnsi="宋体" w:cs="宋体"/>
                <w:color w:val="auto"/>
                <w:sz w:val="24"/>
                <w:szCs w:val="24"/>
                <w:highlight w:val="none"/>
              </w:rPr>
              <w:t>；</w:t>
            </w:r>
          </w:p>
          <w:p w14:paraId="5AB4DC16">
            <w:pPr>
              <w:pStyle w:val="22"/>
              <w:numPr>
                <w:ilvl w:val="0"/>
                <w:numId w:val="132"/>
              </w:numPr>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能耗监管</w:t>
            </w:r>
            <w:r>
              <w:rPr>
                <w:rFonts w:ascii="宋体" w:hAnsi="宋体" w:eastAsia="宋体" w:cs="宋体"/>
                <w:color w:val="auto"/>
                <w:sz w:val="24"/>
                <w:szCs w:val="24"/>
                <w:highlight w:val="none"/>
              </w:rPr>
              <w:t>-水主要参数：</w:t>
            </w:r>
          </w:p>
          <w:p w14:paraId="1FD18EE4">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抄表工作电流</w:t>
            </w:r>
            <w:r>
              <w:rPr>
                <w:rFonts w:ascii="宋体" w:hAnsi="宋体" w:cs="宋体"/>
                <w:color w:val="auto"/>
                <w:sz w:val="24"/>
                <w:szCs w:val="24"/>
                <w:highlight w:val="none"/>
              </w:rPr>
              <w:t>:M-bus通讯接口:≤10.0mA，RS-485通讯接口：≤1.5 mA，直读大口径水表：≤5.0mA；</w:t>
            </w:r>
          </w:p>
          <w:p w14:paraId="4D9287D1">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静态工作电流：</w:t>
            </w:r>
            <w:r>
              <w:rPr>
                <w:rFonts w:ascii="宋体" w:hAnsi="宋体" w:cs="宋体"/>
                <w:color w:val="auto"/>
                <w:sz w:val="24"/>
                <w:szCs w:val="24"/>
                <w:highlight w:val="none"/>
              </w:rPr>
              <w:t>M-bus通讯接口：≤1.0mA，RS-485通讯接口：&lt;</w:t>
            </w:r>
            <w:r>
              <w:rPr>
                <w:rFonts w:hint="eastAsia" w:ascii="宋体" w:hAnsi="宋体" w:cs="宋体"/>
                <w:color w:val="auto"/>
                <w:sz w:val="24"/>
                <w:szCs w:val="24"/>
                <w:highlight w:val="none"/>
              </w:rPr>
              <w:t>≤</w:t>
            </w:r>
            <w:r>
              <w:rPr>
                <w:rFonts w:ascii="宋体" w:hAnsi="宋体" w:cs="宋体"/>
                <w:color w:val="auto"/>
                <w:sz w:val="24"/>
                <w:szCs w:val="24"/>
                <w:highlight w:val="none"/>
              </w:rPr>
              <w:t>.0mA，直读大口径水表：≤1.3mA；</w:t>
            </w:r>
          </w:p>
          <w:p w14:paraId="40AF76A9">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工作环境：温度范围：</w:t>
            </w:r>
            <w:r>
              <w:rPr>
                <w:rFonts w:ascii="宋体" w:hAnsi="宋体" w:cs="宋体"/>
                <w:color w:val="auto"/>
                <w:sz w:val="24"/>
                <w:szCs w:val="24"/>
                <w:highlight w:val="none"/>
              </w:rPr>
              <w:t>+0.1℃~+55℃，存储温度：-25℃-+65℃；</w:t>
            </w:r>
          </w:p>
          <w:p w14:paraId="6172EAB7">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通信规约：</w:t>
            </w:r>
            <w:r>
              <w:rPr>
                <w:rFonts w:ascii="宋体" w:hAnsi="宋体" w:cs="宋体"/>
                <w:color w:val="auto"/>
                <w:sz w:val="24"/>
                <w:szCs w:val="24"/>
                <w:highlight w:val="none"/>
              </w:rPr>
              <w:t>DL/T645、CJ/T 188、MODBUS、TTL、内部或用户指定协议</w:t>
            </w:r>
          </w:p>
          <w:p w14:paraId="1E96467B">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工作电压：</w:t>
            </w:r>
            <w:r>
              <w:rPr>
                <w:rFonts w:ascii="宋体" w:hAnsi="宋体" w:cs="宋体"/>
                <w:color w:val="auto"/>
                <w:sz w:val="24"/>
                <w:szCs w:val="24"/>
                <w:highlight w:val="none"/>
              </w:rPr>
              <w:t>M-bus通讯接口：DC36V，RS-485通讯接口：DC12V~24V；</w:t>
            </w:r>
          </w:p>
          <w:p w14:paraId="2261DDDD">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温度等级：</w:t>
            </w:r>
            <w:r>
              <w:rPr>
                <w:rFonts w:ascii="宋体" w:hAnsi="宋体" w:cs="宋体"/>
                <w:color w:val="auto"/>
                <w:sz w:val="24"/>
                <w:szCs w:val="24"/>
                <w:highlight w:val="none"/>
              </w:rPr>
              <w:t>T30(冷水表) T90(热水表)；</w:t>
            </w:r>
          </w:p>
          <w:p w14:paraId="2A2DD0D8">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工作压力：≤</w:t>
            </w:r>
            <w:r>
              <w:rPr>
                <w:rFonts w:ascii="宋体" w:hAnsi="宋体" w:cs="宋体"/>
                <w:color w:val="auto"/>
                <w:sz w:val="24"/>
                <w:szCs w:val="24"/>
                <w:highlight w:val="none"/>
              </w:rPr>
              <w:t>1.0 MPa；</w:t>
            </w:r>
          </w:p>
          <w:p w14:paraId="55EE744A">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压力损失等级：△</w:t>
            </w:r>
            <w:r>
              <w:rPr>
                <w:rFonts w:ascii="宋体" w:hAnsi="宋体" w:cs="宋体"/>
                <w:color w:val="auto"/>
                <w:sz w:val="24"/>
                <w:szCs w:val="24"/>
                <w:highlight w:val="none"/>
              </w:rPr>
              <w:t>P63；</w:t>
            </w:r>
          </w:p>
          <w:p w14:paraId="55617F3B">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与上位机通讯方式：</w:t>
            </w:r>
            <w:r>
              <w:rPr>
                <w:rFonts w:ascii="宋体" w:hAnsi="宋体" w:cs="宋体"/>
                <w:color w:val="auto"/>
                <w:sz w:val="24"/>
                <w:szCs w:val="24"/>
                <w:highlight w:val="none"/>
              </w:rPr>
              <w:t xml:space="preserve">RS-485/M-bus </w:t>
            </w:r>
            <w:r>
              <w:rPr>
                <w:rFonts w:hint="eastAsia" w:ascii="宋体" w:hAnsi="宋体" w:cs="宋体"/>
                <w:color w:val="auto"/>
                <w:sz w:val="24"/>
                <w:szCs w:val="24"/>
                <w:highlight w:val="none"/>
              </w:rPr>
              <w:t>总线；</w:t>
            </w:r>
          </w:p>
          <w:p w14:paraId="6B3A0AEE">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准确度等级：</w:t>
            </w:r>
            <w:r>
              <w:rPr>
                <w:rFonts w:ascii="宋体" w:hAnsi="宋体" w:cs="宋体"/>
                <w:color w:val="auto"/>
                <w:sz w:val="24"/>
                <w:szCs w:val="24"/>
                <w:highlight w:val="none"/>
              </w:rPr>
              <w:t>2级；</w:t>
            </w:r>
          </w:p>
          <w:p w14:paraId="15BD5D1D">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通讯传输最大距离：</w:t>
            </w:r>
            <w:r>
              <w:rPr>
                <w:rFonts w:ascii="宋体" w:hAnsi="宋体" w:cs="宋体"/>
                <w:color w:val="auto"/>
                <w:sz w:val="24"/>
                <w:szCs w:val="24"/>
                <w:highlight w:val="none"/>
              </w:rPr>
              <w:t>300m；</w:t>
            </w:r>
          </w:p>
          <w:p w14:paraId="3874C6D7">
            <w:pPr>
              <w:numPr>
                <w:ilvl w:val="0"/>
                <w:numId w:val="134"/>
              </w:numPr>
              <w:wordWrap w:val="0"/>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通讯传输速率：</w:t>
            </w:r>
            <w:r>
              <w:rPr>
                <w:rFonts w:ascii="宋体" w:hAnsi="宋体" w:cs="宋体"/>
                <w:color w:val="auto"/>
                <w:sz w:val="24"/>
                <w:szCs w:val="24"/>
                <w:highlight w:val="none"/>
              </w:rPr>
              <w:t>1200/2400/48009600bps；</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A680724">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05E5357">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3A84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193C714">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18</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B3F451E">
            <w:pPr>
              <w:jc w:val="center"/>
              <w:rPr>
                <w:rFonts w:ascii="宋体" w:hAnsi="宋体" w:cs="宋体"/>
                <w:color w:val="auto"/>
                <w:sz w:val="24"/>
                <w:szCs w:val="24"/>
                <w:highlight w:val="none"/>
              </w:rPr>
            </w:pPr>
            <w:r>
              <w:rPr>
                <w:rFonts w:hint="eastAsia" w:ascii="宋体" w:hAnsi="宋体" w:cs="宋体"/>
                <w:color w:val="auto"/>
                <w:sz w:val="24"/>
                <w:szCs w:val="24"/>
                <w:highlight w:val="none"/>
              </w:rPr>
              <w:t>明厨亮灶</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08EE1A35">
            <w:pPr>
              <w:jc w:val="left"/>
              <w:rPr>
                <w:rFonts w:ascii="宋体" w:hAnsi="宋体" w:cs="宋体"/>
                <w:color w:val="auto"/>
                <w:sz w:val="24"/>
                <w:szCs w:val="24"/>
                <w:highlight w:val="none"/>
              </w:rPr>
            </w:pPr>
            <w:r>
              <w:rPr>
                <w:rFonts w:hint="eastAsia" w:ascii="宋体" w:hAnsi="宋体" w:cs="宋体"/>
                <w:color w:val="auto"/>
                <w:sz w:val="24"/>
                <w:szCs w:val="24"/>
                <w:highlight w:val="none"/>
              </w:rPr>
              <w:t>实现食堂所有区域全覆盖，无死角，摄像头像素不低于</w:t>
            </w:r>
            <w:r>
              <w:rPr>
                <w:rFonts w:ascii="宋体" w:hAnsi="宋体" w:cs="宋体"/>
                <w:color w:val="auto"/>
                <w:sz w:val="24"/>
                <w:szCs w:val="24"/>
                <w:highlight w:val="none"/>
              </w:rPr>
              <w:t>600</w:t>
            </w:r>
            <w:r>
              <w:rPr>
                <w:rFonts w:hint="eastAsia" w:ascii="宋体" w:hAnsi="宋体" w:cs="宋体"/>
                <w:color w:val="auto"/>
                <w:sz w:val="24"/>
                <w:szCs w:val="24"/>
                <w:highlight w:val="none"/>
              </w:rPr>
              <w:t>万像素。按相关要求接入市场监管单位和学校安防系统。存储时长不低于</w:t>
            </w:r>
            <w:r>
              <w:rPr>
                <w:rFonts w:ascii="宋体" w:hAnsi="宋体" w:cs="宋体"/>
                <w:color w:val="auto"/>
                <w:sz w:val="24"/>
                <w:szCs w:val="24"/>
                <w:highlight w:val="none"/>
              </w:rPr>
              <w:t>90天。</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297DC6D">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15CC3785">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tr w14:paraId="4485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EAD286E">
            <w:pPr>
              <w:widowControl/>
              <w:jc w:val="center"/>
              <w:textAlignment w:val="center"/>
              <w:rPr>
                <w:rFonts w:ascii="宋体" w:hAnsi="宋体" w:cs="宋体"/>
                <w:color w:val="auto"/>
                <w:kern w:val="0"/>
                <w:sz w:val="24"/>
                <w:szCs w:val="24"/>
                <w:highlight w:val="none"/>
                <w:lang w:bidi="ar"/>
              </w:rPr>
            </w:pPr>
            <w:r>
              <w:rPr>
                <w:rFonts w:ascii="宋体" w:hAnsi="宋体" w:cs="宋体"/>
                <w:color w:val="auto"/>
                <w:kern w:val="0"/>
                <w:sz w:val="24"/>
                <w:szCs w:val="24"/>
                <w:highlight w:val="none"/>
                <w:lang w:bidi="ar"/>
              </w:rPr>
              <w:t>19</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558A727">
            <w:pPr>
              <w:jc w:val="center"/>
              <w:rPr>
                <w:rFonts w:ascii="宋体" w:hAnsi="宋体" w:cs="宋体"/>
                <w:color w:val="auto"/>
                <w:sz w:val="24"/>
                <w:szCs w:val="24"/>
                <w:highlight w:val="none"/>
              </w:rPr>
            </w:pPr>
            <w:r>
              <w:rPr>
                <w:rFonts w:hint="eastAsia" w:ascii="宋体" w:hAnsi="宋体" w:cs="宋体"/>
                <w:color w:val="auto"/>
                <w:sz w:val="24"/>
                <w:szCs w:val="24"/>
                <w:highlight w:val="none"/>
              </w:rPr>
              <w:t>设备实施安装</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0BFB51C1">
            <w:pPr>
              <w:numPr>
                <w:ilvl w:val="0"/>
                <w:numId w:val="135"/>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硬件设备部署耗材、施工、安装、调试：</w:t>
            </w:r>
          </w:p>
          <w:p w14:paraId="6708F62E">
            <w:pPr>
              <w:numPr>
                <w:ilvl w:val="0"/>
                <w:numId w:val="136"/>
              </w:numPr>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主体设备安装调试含：主要耗材</w:t>
            </w:r>
            <w:r>
              <w:rPr>
                <w:rFonts w:ascii="宋体" w:hAnsi="宋体" w:cs="宋体"/>
                <w:color w:val="auto"/>
                <w:sz w:val="24"/>
                <w:szCs w:val="24"/>
                <w:highlight w:val="none"/>
              </w:rPr>
              <w:t>+网线+电源线、PVC管材（根据实际需求提供）；主要辅材含水晶头、排插、卡扣、转接头等；</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C211105">
            <w:pPr>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D978B13">
            <w:pPr>
              <w:jc w:val="center"/>
              <w:rPr>
                <w:rFonts w:ascii="宋体" w:hAnsi="宋体" w:cs="宋体"/>
                <w:color w:val="auto"/>
                <w:sz w:val="24"/>
                <w:szCs w:val="24"/>
                <w:highlight w:val="none"/>
              </w:rPr>
            </w:pPr>
            <w:r>
              <w:rPr>
                <w:rFonts w:hint="eastAsia" w:ascii="宋体" w:hAnsi="宋体" w:cs="宋体"/>
                <w:color w:val="auto"/>
                <w:sz w:val="24"/>
                <w:szCs w:val="24"/>
                <w:highlight w:val="none"/>
              </w:rPr>
              <w:t>按需配置并征得采购人书面同意</w:t>
            </w:r>
          </w:p>
        </w:tc>
      </w:tr>
      <w:bookmarkEnd w:id="43"/>
      <w:bookmarkEnd w:id="44"/>
      <w:bookmarkEnd w:id="45"/>
      <w:bookmarkEnd w:id="66"/>
    </w:tbl>
    <w:p w14:paraId="47DA86FC">
      <w:pPr>
        <w:pStyle w:val="3"/>
        <w:spacing w:line="400" w:lineRule="exact"/>
        <w:rPr>
          <w:b w:val="0"/>
          <w:color w:val="auto"/>
          <w:highlight w:val="none"/>
        </w:rPr>
      </w:pPr>
      <w:bookmarkStart w:id="71" w:name="_Toc5515"/>
      <w:bookmarkStart w:id="72" w:name="_Toc10296"/>
      <w:bookmarkStart w:id="73" w:name="_Toc42780316"/>
      <w:bookmarkStart w:id="74" w:name="_Toc41457498"/>
      <w:bookmarkStart w:id="75" w:name="_Toc41986736"/>
      <w:bookmarkStart w:id="76" w:name="_Toc4476"/>
      <w:bookmarkStart w:id="77" w:name="_Toc186919400"/>
      <w:r>
        <w:rPr>
          <w:b w:val="0"/>
          <w:color w:val="auto"/>
          <w:highlight w:val="none"/>
        </w:rPr>
        <w:t>*</w:t>
      </w:r>
      <w:r>
        <w:rPr>
          <w:rFonts w:hint="eastAsia"/>
          <w:b w:val="0"/>
          <w:color w:val="auto"/>
          <w:highlight w:val="none"/>
        </w:rPr>
        <w:t>六、项目管理班子要求</w:t>
      </w:r>
      <w:bookmarkEnd w:id="71"/>
    </w:p>
    <w:p w14:paraId="199B8F10">
      <w:pPr>
        <w:pStyle w:val="3"/>
        <w:spacing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78" w:name="_Toc7725"/>
      <w:bookmarkStart w:id="79" w:name="_Toc11058"/>
      <w:bookmarkStart w:id="80" w:name="_Toc7746"/>
      <w:r>
        <w:rPr>
          <w:rFonts w:hint="eastAsia" w:ascii="宋体" w:hAnsi="宋体" w:eastAsia="宋体" w:cs="宋体"/>
          <w:b w:val="0"/>
          <w:color w:val="auto"/>
          <w:kern w:val="2"/>
          <w:sz w:val="24"/>
          <w:szCs w:val="24"/>
          <w:highlight w:val="none"/>
          <w:lang w:val="en-US" w:eastAsia="zh-CN" w:bidi="ar-SA"/>
        </w:rPr>
        <w:t>供应商为本项目配置科学合理的管理服务团队，并要求管理服务团队素质高、经验丰富、人员充足，管理服务制度健全。各食堂必须配备项目负责人、厨师、食品安全总监、消防安全人员各1名（该人员必须具备消防设施操作证），食品安全员各2名，提供项目管理班子所有成员及职务清单，加盖供应商公章（具体见附件项目全部人员组成表），项目负责人、厨师、食品安全总监、食品安全员必须具有市场监督管理局颁发的食品安全知识考试合格证书，且项目负责人、食品安全总监、食品安全员必须为投标单位员工（提供劳动合同和2025年1月至5月连续的养老保险证明复印件加盖供应商公章，原件现场备查）。本项目负责人应当具备国民教育专科及以上文化程度。实际到岗履职的项目管理班子成员应与投标文件中的一致，不得擅自更换。特殊情况经采购人书面同意，以上岗位人员方可调整。如未经采购人书面同意擅自更换人员，每擅自更换一次成交商需向采购人支付违约金50000元/人/次。如项目管理班子未按照要求配备配齐相应人员或未配备相应资格的人员视为违约，采购人扣罚成交商违约金10000元/人/次。</w:t>
      </w:r>
      <w:bookmarkEnd w:id="78"/>
      <w:bookmarkEnd w:id="79"/>
      <w:bookmarkEnd w:id="80"/>
    </w:p>
    <w:p w14:paraId="17BB5F5E">
      <w:pPr>
        <w:pStyle w:val="3"/>
        <w:spacing w:line="400" w:lineRule="exact"/>
        <w:rPr>
          <w:b w:val="0"/>
          <w:color w:val="auto"/>
          <w:highlight w:val="none"/>
        </w:rPr>
      </w:pPr>
      <w:bookmarkStart w:id="81" w:name="_Toc16107"/>
      <w:r>
        <w:rPr>
          <w:b w:val="0"/>
          <w:color w:val="auto"/>
          <w:highlight w:val="none"/>
        </w:rPr>
        <w:t>*</w:t>
      </w:r>
      <w:r>
        <w:rPr>
          <w:rFonts w:hint="eastAsia"/>
          <w:b w:val="0"/>
          <w:color w:val="auto"/>
          <w:highlight w:val="none"/>
        </w:rPr>
        <w:t>七、</w:t>
      </w:r>
      <w:bookmarkStart w:id="82" w:name="_Toc12673"/>
      <w:r>
        <w:rPr>
          <w:rFonts w:hint="eastAsia"/>
          <w:b w:val="0"/>
          <w:color w:val="auto"/>
          <w:highlight w:val="none"/>
        </w:rPr>
        <w:t>考核管理</w:t>
      </w:r>
      <w:bookmarkEnd w:id="81"/>
    </w:p>
    <w:bookmarkEnd w:id="82"/>
    <w:p w14:paraId="5BC15916">
      <w:pPr>
        <w:snapToGrid w:val="0"/>
        <w:spacing w:line="400" w:lineRule="exact"/>
        <w:ind w:firstLine="480" w:firstLineChars="200"/>
        <w:rPr>
          <w:color w:val="auto"/>
          <w:highlight w:val="none"/>
        </w:rPr>
      </w:pPr>
      <w:r>
        <w:rPr>
          <w:rFonts w:hint="eastAsia" w:ascii="宋体" w:hAnsi="宋体" w:cs="宋体"/>
          <w:color w:val="auto"/>
          <w:sz w:val="24"/>
          <w:szCs w:val="24"/>
          <w:highlight w:val="none"/>
        </w:rPr>
        <w:t>为调动成交商经营积极性，确保师生餐饮的品质和质量，采购人按照成交商投标承诺收取考核费，采取学期考核和日常考核相结合的方式建立考核机制，根据考核结果实施奖惩。</w:t>
      </w:r>
      <w:r>
        <w:rPr>
          <w:color w:val="auto"/>
          <w:highlight w:val="none"/>
        </w:rPr>
        <w:t xml:space="preserve"> </w:t>
      </w:r>
    </w:p>
    <w:p w14:paraId="4BDA5B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（一）日常考核</w:t>
      </w:r>
    </w:p>
    <w:p w14:paraId="705C773D">
      <w:pPr>
        <w:jc w:val="center"/>
        <w:rPr>
          <w:color w:val="auto"/>
          <w:highlight w:val="none"/>
        </w:rPr>
      </w:pPr>
      <w:r>
        <w:rPr>
          <w:rFonts w:hint="eastAsia"/>
          <w:color w:val="auto"/>
          <w:highlight w:val="none"/>
        </w:rPr>
        <w:t>重庆文理学院学生食堂委托经营管理日常考核实施细则</w:t>
      </w:r>
    </w:p>
    <w:tbl>
      <w:tblPr>
        <w:tblStyle w:val="59"/>
        <w:tblW w:w="9923" w:type="dxa"/>
        <w:jc w:val="center"/>
        <w:tblLayout w:type="fixed"/>
        <w:tblCellMar>
          <w:top w:w="0" w:type="dxa"/>
          <w:left w:w="108" w:type="dxa"/>
          <w:bottom w:w="0" w:type="dxa"/>
          <w:right w:w="108" w:type="dxa"/>
        </w:tblCellMar>
      </w:tblPr>
      <w:tblGrid>
        <w:gridCol w:w="499"/>
        <w:gridCol w:w="636"/>
        <w:gridCol w:w="477"/>
        <w:gridCol w:w="3350"/>
        <w:gridCol w:w="709"/>
        <w:gridCol w:w="2693"/>
        <w:gridCol w:w="1559"/>
      </w:tblGrid>
      <w:tr w14:paraId="085620F0">
        <w:tblPrEx>
          <w:tblCellMar>
            <w:top w:w="0" w:type="dxa"/>
            <w:left w:w="108" w:type="dxa"/>
            <w:bottom w:w="0" w:type="dxa"/>
            <w:right w:w="108" w:type="dxa"/>
          </w:tblCellMar>
        </w:tblPrEx>
        <w:trPr>
          <w:trHeight w:val="480"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0F8DB049">
            <w:pP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636" w:type="dxa"/>
            <w:tcBorders>
              <w:top w:val="single" w:color="auto" w:sz="4" w:space="0"/>
              <w:left w:val="single" w:color="auto" w:sz="4" w:space="0"/>
              <w:bottom w:val="single" w:color="auto" w:sz="4" w:space="0"/>
              <w:right w:val="single" w:color="auto" w:sz="4" w:space="0"/>
            </w:tcBorders>
            <w:vAlign w:val="center"/>
          </w:tcPr>
          <w:p w14:paraId="3A84C5DC">
            <w:pPr>
              <w:rPr>
                <w:rFonts w:ascii="宋体" w:hAnsi="宋体" w:cs="宋体"/>
                <w:color w:val="auto"/>
                <w:sz w:val="18"/>
                <w:szCs w:val="18"/>
                <w:highlight w:val="none"/>
              </w:rPr>
            </w:pPr>
            <w:r>
              <w:rPr>
                <w:rFonts w:hint="eastAsia" w:ascii="宋体" w:hAnsi="宋体" w:cs="宋体"/>
                <w:color w:val="auto"/>
                <w:sz w:val="18"/>
                <w:szCs w:val="18"/>
                <w:highlight w:val="none"/>
              </w:rPr>
              <w:t>考核项目</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46F9C20">
            <w:pPr>
              <w:rPr>
                <w:rFonts w:ascii="宋体" w:hAnsi="宋体" w:cs="宋体"/>
                <w:color w:val="auto"/>
                <w:sz w:val="18"/>
                <w:szCs w:val="18"/>
                <w:highlight w:val="none"/>
              </w:rPr>
            </w:pPr>
            <w:r>
              <w:rPr>
                <w:rFonts w:hint="eastAsia" w:ascii="宋体" w:hAnsi="宋体" w:cs="宋体"/>
                <w:color w:val="auto"/>
                <w:sz w:val="18"/>
                <w:szCs w:val="18"/>
                <w:highlight w:val="none"/>
              </w:rPr>
              <w:t>规范要求</w:t>
            </w:r>
          </w:p>
        </w:tc>
        <w:tc>
          <w:tcPr>
            <w:tcW w:w="709" w:type="dxa"/>
            <w:tcBorders>
              <w:top w:val="single" w:color="auto" w:sz="4" w:space="0"/>
              <w:left w:val="single" w:color="auto" w:sz="4" w:space="0"/>
              <w:bottom w:val="single" w:color="auto" w:sz="4" w:space="0"/>
              <w:right w:val="single" w:color="auto" w:sz="4" w:space="0"/>
            </w:tcBorders>
            <w:vAlign w:val="center"/>
          </w:tcPr>
          <w:p w14:paraId="5C4FB7C0">
            <w:pPr>
              <w:rPr>
                <w:rFonts w:ascii="宋体" w:hAnsi="宋体" w:cs="宋体"/>
                <w:color w:val="auto"/>
                <w:sz w:val="18"/>
                <w:szCs w:val="18"/>
                <w:highlight w:val="none"/>
              </w:rPr>
            </w:pPr>
            <w:r>
              <w:rPr>
                <w:rFonts w:hint="eastAsia" w:ascii="宋体" w:hAnsi="宋体" w:cs="宋体"/>
                <w:color w:val="auto"/>
                <w:sz w:val="18"/>
                <w:szCs w:val="18"/>
                <w:highlight w:val="none"/>
              </w:rPr>
              <w:t>考核方式</w:t>
            </w:r>
          </w:p>
        </w:tc>
        <w:tc>
          <w:tcPr>
            <w:tcW w:w="2693" w:type="dxa"/>
            <w:tcBorders>
              <w:top w:val="single" w:color="auto" w:sz="4" w:space="0"/>
              <w:left w:val="single" w:color="auto" w:sz="4" w:space="0"/>
              <w:bottom w:val="single" w:color="auto" w:sz="4" w:space="0"/>
              <w:right w:val="single" w:color="auto" w:sz="4" w:space="0"/>
            </w:tcBorders>
            <w:vAlign w:val="center"/>
          </w:tcPr>
          <w:p w14:paraId="42649D1D">
            <w:pPr>
              <w:rPr>
                <w:rFonts w:ascii="宋体" w:hAnsi="宋体" w:cs="宋体"/>
                <w:color w:val="auto"/>
                <w:sz w:val="18"/>
                <w:szCs w:val="18"/>
                <w:highlight w:val="none"/>
              </w:rPr>
            </w:pPr>
            <w:r>
              <w:rPr>
                <w:rFonts w:hint="eastAsia" w:ascii="宋体" w:hAnsi="宋体" w:cs="宋体"/>
                <w:color w:val="auto"/>
                <w:sz w:val="18"/>
                <w:szCs w:val="18"/>
                <w:highlight w:val="none"/>
              </w:rPr>
              <w:t>支付违约金标准</w:t>
            </w:r>
          </w:p>
        </w:tc>
        <w:tc>
          <w:tcPr>
            <w:tcW w:w="1559" w:type="dxa"/>
            <w:tcBorders>
              <w:top w:val="single" w:color="auto" w:sz="4" w:space="0"/>
              <w:left w:val="single" w:color="auto" w:sz="4" w:space="0"/>
              <w:bottom w:val="single" w:color="auto" w:sz="4" w:space="0"/>
              <w:right w:val="single" w:color="auto" w:sz="4" w:space="0"/>
            </w:tcBorders>
            <w:vAlign w:val="center"/>
          </w:tcPr>
          <w:p w14:paraId="752DFBF0">
            <w:pPr>
              <w:rPr>
                <w:rFonts w:ascii="宋体" w:hAnsi="宋体" w:cs="宋体"/>
                <w:color w:val="auto"/>
                <w:sz w:val="18"/>
                <w:szCs w:val="18"/>
                <w:highlight w:val="none"/>
              </w:rPr>
            </w:pPr>
            <w:r>
              <w:rPr>
                <w:rFonts w:hint="eastAsia" w:ascii="宋体" w:hAnsi="宋体" w:cs="宋体"/>
                <w:color w:val="auto"/>
                <w:sz w:val="18"/>
                <w:szCs w:val="18"/>
                <w:highlight w:val="none"/>
              </w:rPr>
              <w:t>扣分标准</w:t>
            </w:r>
          </w:p>
        </w:tc>
      </w:tr>
      <w:tr w14:paraId="2998E666">
        <w:tblPrEx>
          <w:tblCellMar>
            <w:top w:w="0" w:type="dxa"/>
            <w:left w:w="108" w:type="dxa"/>
            <w:bottom w:w="0" w:type="dxa"/>
            <w:right w:w="108" w:type="dxa"/>
          </w:tblCellMar>
        </w:tblPrEx>
        <w:trPr>
          <w:trHeight w:val="480"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76C04358">
            <w:pPr>
              <w:rPr>
                <w:rFonts w:ascii="宋体" w:hAnsi="宋体" w:cs="宋体"/>
                <w:color w:val="auto"/>
                <w:sz w:val="18"/>
                <w:szCs w:val="18"/>
                <w:highlight w:val="none"/>
              </w:rPr>
            </w:pPr>
            <w:r>
              <w:rPr>
                <w:rFonts w:hint="eastAsia" w:ascii="宋体" w:hAnsi="宋体" w:cs="宋体"/>
                <w:color w:val="auto"/>
                <w:sz w:val="18"/>
                <w:szCs w:val="18"/>
                <w:highlight w:val="none"/>
              </w:rPr>
              <w:t>一</w:t>
            </w:r>
          </w:p>
        </w:tc>
        <w:tc>
          <w:tcPr>
            <w:tcW w:w="63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695B248">
            <w:pPr>
              <w:jc w:val="center"/>
              <w:rPr>
                <w:rFonts w:ascii="宋体" w:hAnsi="宋体" w:cs="宋体"/>
                <w:color w:val="auto"/>
                <w:sz w:val="18"/>
                <w:szCs w:val="18"/>
                <w:highlight w:val="none"/>
              </w:rPr>
            </w:pPr>
            <w:r>
              <w:rPr>
                <w:rFonts w:hint="eastAsia" w:ascii="宋体" w:hAnsi="宋体" w:cs="宋体"/>
                <w:color w:val="auto"/>
                <w:sz w:val="18"/>
                <w:szCs w:val="18"/>
                <w:highlight w:val="none"/>
              </w:rPr>
              <w:t>安全管理</w:t>
            </w: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99566E4">
            <w:pPr>
              <w:jc w:val="center"/>
              <w:rPr>
                <w:rFonts w:ascii="宋体" w:hAnsi="宋体" w:cs="宋体"/>
                <w:color w:val="auto"/>
                <w:sz w:val="18"/>
                <w:szCs w:val="18"/>
                <w:highlight w:val="none"/>
              </w:rPr>
            </w:pPr>
            <w:r>
              <w:rPr>
                <w:rFonts w:hint="eastAsia" w:ascii="宋体" w:hAnsi="宋体" w:cs="宋体"/>
                <w:color w:val="auto"/>
                <w:sz w:val="18"/>
                <w:szCs w:val="18"/>
                <w:highlight w:val="none"/>
              </w:rPr>
              <w:t>食品卫生安全</w:t>
            </w:r>
          </w:p>
        </w:tc>
        <w:tc>
          <w:tcPr>
            <w:tcW w:w="3350" w:type="dxa"/>
            <w:tcBorders>
              <w:top w:val="single" w:color="auto" w:sz="4" w:space="0"/>
              <w:left w:val="single" w:color="auto" w:sz="4" w:space="0"/>
              <w:bottom w:val="single" w:color="auto" w:sz="4" w:space="0"/>
              <w:right w:val="single" w:color="auto" w:sz="4" w:space="0"/>
            </w:tcBorders>
            <w:vAlign w:val="center"/>
          </w:tcPr>
          <w:p w14:paraId="6EC21A9E">
            <w:pPr>
              <w:rPr>
                <w:rFonts w:ascii="宋体" w:hAnsi="宋体" w:cs="宋体"/>
                <w:color w:val="auto"/>
                <w:sz w:val="18"/>
                <w:szCs w:val="18"/>
                <w:highlight w:val="none"/>
              </w:rPr>
            </w:pPr>
            <w:r>
              <w:rPr>
                <w:rFonts w:ascii="宋体" w:hAnsi="宋体" w:cs="宋体"/>
                <w:color w:val="auto"/>
                <w:sz w:val="18"/>
                <w:szCs w:val="18"/>
                <w:highlight w:val="none"/>
              </w:rPr>
              <w:t>1.应建有针对性的各岗位职责及工作流程制度</w:t>
            </w:r>
          </w:p>
        </w:tc>
        <w:tc>
          <w:tcPr>
            <w:tcW w:w="709" w:type="dxa"/>
            <w:tcBorders>
              <w:top w:val="single" w:color="auto" w:sz="4" w:space="0"/>
              <w:left w:val="single" w:color="auto" w:sz="4" w:space="0"/>
              <w:bottom w:val="single" w:color="auto" w:sz="4" w:space="0"/>
              <w:right w:val="single" w:color="auto" w:sz="4" w:space="0"/>
            </w:tcBorders>
            <w:vAlign w:val="center"/>
          </w:tcPr>
          <w:p w14:paraId="77C99496">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63CB787B">
            <w:pPr>
              <w:rPr>
                <w:rFonts w:ascii="宋体" w:hAnsi="宋体" w:cs="宋体"/>
                <w:color w:val="auto"/>
                <w:sz w:val="18"/>
                <w:szCs w:val="18"/>
                <w:highlight w:val="none"/>
              </w:rPr>
            </w:pPr>
            <w:r>
              <w:rPr>
                <w:rFonts w:hint="eastAsia" w:ascii="宋体" w:hAnsi="宋体" w:cs="宋体"/>
                <w:color w:val="auto"/>
                <w:sz w:val="18"/>
                <w:szCs w:val="18"/>
                <w:highlight w:val="none"/>
              </w:rPr>
              <w:t>缺一项制度每次支付违约金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6D575FB8">
            <w:pPr>
              <w:rPr>
                <w:rFonts w:ascii="宋体" w:hAnsi="宋体" w:cs="宋体"/>
                <w:color w:val="auto"/>
                <w:sz w:val="18"/>
                <w:szCs w:val="18"/>
                <w:highlight w:val="none"/>
              </w:rPr>
            </w:pPr>
            <w:r>
              <w:rPr>
                <w:rFonts w:hint="eastAsia" w:ascii="宋体" w:hAnsi="宋体" w:cs="宋体"/>
                <w:color w:val="auto"/>
                <w:sz w:val="18"/>
                <w:szCs w:val="18"/>
                <w:highlight w:val="none"/>
              </w:rPr>
              <w:t>缺一项每次扣</w:t>
            </w:r>
            <w:r>
              <w:rPr>
                <w:rFonts w:ascii="宋体" w:hAnsi="宋体" w:cs="宋体"/>
                <w:color w:val="auto"/>
                <w:sz w:val="18"/>
                <w:szCs w:val="18"/>
                <w:highlight w:val="none"/>
              </w:rPr>
              <w:t>1分</w:t>
            </w:r>
          </w:p>
        </w:tc>
      </w:tr>
      <w:tr w14:paraId="440393D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BA55FD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A83F13A">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22E86237">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32230EEA">
            <w:pPr>
              <w:rPr>
                <w:rFonts w:ascii="宋体" w:hAnsi="宋体" w:cs="宋体"/>
                <w:color w:val="auto"/>
                <w:sz w:val="18"/>
                <w:szCs w:val="18"/>
                <w:highlight w:val="none"/>
              </w:rPr>
            </w:pPr>
            <w:r>
              <w:rPr>
                <w:rFonts w:ascii="宋体" w:hAnsi="宋体" w:cs="宋体"/>
                <w:color w:val="auto"/>
                <w:sz w:val="18"/>
                <w:szCs w:val="18"/>
                <w:highlight w:val="none"/>
              </w:rPr>
              <w:t>2.应建有卫生与安全责任制度和责任追究制度</w:t>
            </w:r>
          </w:p>
        </w:tc>
        <w:tc>
          <w:tcPr>
            <w:tcW w:w="709" w:type="dxa"/>
            <w:tcBorders>
              <w:top w:val="single" w:color="auto" w:sz="4" w:space="0"/>
              <w:left w:val="single" w:color="auto" w:sz="4" w:space="0"/>
              <w:bottom w:val="single" w:color="auto" w:sz="4" w:space="0"/>
              <w:right w:val="single" w:color="auto" w:sz="4" w:space="0"/>
            </w:tcBorders>
            <w:vAlign w:val="center"/>
          </w:tcPr>
          <w:p w14:paraId="531248A2">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5F8A3703">
            <w:pPr>
              <w:rPr>
                <w:rFonts w:ascii="宋体" w:hAnsi="宋体" w:cs="宋体"/>
                <w:color w:val="auto"/>
                <w:sz w:val="18"/>
                <w:szCs w:val="18"/>
                <w:highlight w:val="none"/>
              </w:rPr>
            </w:pPr>
            <w:r>
              <w:rPr>
                <w:rFonts w:hint="eastAsia" w:ascii="宋体" w:hAnsi="宋体" w:cs="宋体"/>
                <w:color w:val="auto"/>
                <w:sz w:val="18"/>
                <w:szCs w:val="18"/>
                <w:highlight w:val="none"/>
              </w:rPr>
              <w:t>缺一项制度每次支付违约金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7DB8794E">
            <w:pPr>
              <w:rPr>
                <w:rFonts w:ascii="宋体" w:hAnsi="宋体" w:cs="宋体"/>
                <w:color w:val="auto"/>
                <w:sz w:val="18"/>
                <w:szCs w:val="18"/>
                <w:highlight w:val="none"/>
              </w:rPr>
            </w:pPr>
            <w:r>
              <w:rPr>
                <w:rFonts w:hint="eastAsia" w:ascii="宋体" w:hAnsi="宋体" w:cs="宋体"/>
                <w:color w:val="auto"/>
                <w:sz w:val="18"/>
                <w:szCs w:val="18"/>
                <w:highlight w:val="none"/>
              </w:rPr>
              <w:t>缺一项每次扣</w:t>
            </w:r>
            <w:r>
              <w:rPr>
                <w:rFonts w:ascii="宋体" w:hAnsi="宋体" w:cs="宋体"/>
                <w:color w:val="auto"/>
                <w:sz w:val="18"/>
                <w:szCs w:val="18"/>
                <w:highlight w:val="none"/>
              </w:rPr>
              <w:t>1分</w:t>
            </w:r>
          </w:p>
        </w:tc>
      </w:tr>
      <w:tr w14:paraId="6F30E576">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E8393DD">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5C920F9">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C7FB49C">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1C54312C">
            <w:pPr>
              <w:rPr>
                <w:rFonts w:ascii="宋体" w:hAnsi="宋体" w:cs="宋体"/>
                <w:color w:val="auto"/>
                <w:sz w:val="18"/>
                <w:szCs w:val="18"/>
                <w:highlight w:val="none"/>
              </w:rPr>
            </w:pPr>
            <w:r>
              <w:rPr>
                <w:rFonts w:ascii="宋体" w:hAnsi="宋体" w:cs="宋体"/>
                <w:color w:val="auto"/>
                <w:sz w:val="18"/>
                <w:szCs w:val="18"/>
                <w:highlight w:val="none"/>
              </w:rPr>
              <w:t>3.应持有效证件经营</w:t>
            </w:r>
          </w:p>
        </w:tc>
        <w:tc>
          <w:tcPr>
            <w:tcW w:w="709" w:type="dxa"/>
            <w:tcBorders>
              <w:top w:val="single" w:color="auto" w:sz="4" w:space="0"/>
              <w:left w:val="single" w:color="auto" w:sz="4" w:space="0"/>
              <w:bottom w:val="single" w:color="auto" w:sz="4" w:space="0"/>
              <w:right w:val="single" w:color="auto" w:sz="4" w:space="0"/>
            </w:tcBorders>
            <w:vAlign w:val="center"/>
          </w:tcPr>
          <w:p w14:paraId="1594B52E">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2514417">
            <w:pPr>
              <w:rPr>
                <w:rFonts w:ascii="宋体" w:hAnsi="宋体" w:cs="宋体"/>
                <w:color w:val="auto"/>
                <w:sz w:val="18"/>
                <w:szCs w:val="18"/>
                <w:highlight w:val="none"/>
              </w:rPr>
            </w:pPr>
            <w:r>
              <w:rPr>
                <w:rFonts w:hint="eastAsia" w:ascii="宋体" w:hAnsi="宋体" w:cs="宋体"/>
                <w:color w:val="auto"/>
                <w:sz w:val="18"/>
                <w:szCs w:val="18"/>
                <w:highlight w:val="none"/>
              </w:rPr>
              <w:t>无证经营或证件无效除由经营者支付相关主管部门的罚款外，学校将按</w:t>
            </w:r>
            <w:r>
              <w:rPr>
                <w:rFonts w:ascii="宋体" w:hAnsi="宋体" w:cs="宋体"/>
                <w:color w:val="auto"/>
                <w:sz w:val="18"/>
                <w:szCs w:val="18"/>
                <w:highlight w:val="none"/>
              </w:rPr>
              <w:t>5000—50000元进行处罚并有权解除经营管理合同</w:t>
            </w:r>
          </w:p>
        </w:tc>
        <w:tc>
          <w:tcPr>
            <w:tcW w:w="1559" w:type="dxa"/>
            <w:tcBorders>
              <w:top w:val="single" w:color="auto" w:sz="4" w:space="0"/>
              <w:left w:val="single" w:color="auto" w:sz="4" w:space="0"/>
              <w:bottom w:val="single" w:color="auto" w:sz="4" w:space="0"/>
              <w:right w:val="single" w:color="auto" w:sz="4" w:space="0"/>
            </w:tcBorders>
            <w:vAlign w:val="center"/>
          </w:tcPr>
          <w:p w14:paraId="47FB6E5A">
            <w:pPr>
              <w:rPr>
                <w:rFonts w:ascii="宋体" w:hAnsi="宋体" w:cs="宋体"/>
                <w:color w:val="auto"/>
                <w:sz w:val="18"/>
                <w:szCs w:val="18"/>
                <w:highlight w:val="none"/>
              </w:rPr>
            </w:pPr>
            <w:r>
              <w:rPr>
                <w:rFonts w:hint="eastAsia" w:ascii="宋体" w:hAnsi="宋体" w:cs="宋体"/>
                <w:color w:val="auto"/>
                <w:sz w:val="18"/>
                <w:szCs w:val="18"/>
                <w:highlight w:val="none"/>
              </w:rPr>
              <w:t>无证经营或证件无效扣</w:t>
            </w:r>
            <w:r>
              <w:rPr>
                <w:rFonts w:ascii="宋体" w:hAnsi="宋体" w:cs="宋体"/>
                <w:color w:val="auto"/>
                <w:sz w:val="18"/>
                <w:szCs w:val="18"/>
                <w:highlight w:val="none"/>
              </w:rPr>
              <w:t>5分</w:t>
            </w:r>
          </w:p>
        </w:tc>
      </w:tr>
      <w:tr w14:paraId="0A4E9BD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351AE5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EADECD0">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1E12E72">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6F61497F">
            <w:pPr>
              <w:rPr>
                <w:rFonts w:ascii="宋体" w:hAnsi="宋体" w:cs="宋体"/>
                <w:color w:val="auto"/>
                <w:sz w:val="18"/>
                <w:szCs w:val="18"/>
                <w:highlight w:val="none"/>
              </w:rPr>
            </w:pPr>
            <w:r>
              <w:rPr>
                <w:rFonts w:ascii="宋体" w:hAnsi="宋体" w:cs="宋体"/>
                <w:color w:val="auto"/>
                <w:sz w:val="18"/>
                <w:szCs w:val="18"/>
                <w:highlight w:val="none"/>
              </w:rPr>
              <w:t>4．建立并执行从业人员资格审查和健康管理制度。从业人员入职时应提供真实有效的无犯罪记录证明、心理健康测试报告和健康证。入职后，按要求开展资格审查和健康管理。</w:t>
            </w:r>
          </w:p>
        </w:tc>
        <w:tc>
          <w:tcPr>
            <w:tcW w:w="709" w:type="dxa"/>
            <w:tcBorders>
              <w:top w:val="single" w:color="auto" w:sz="4" w:space="0"/>
              <w:left w:val="single" w:color="auto" w:sz="4" w:space="0"/>
              <w:bottom w:val="single" w:color="auto" w:sz="4" w:space="0"/>
              <w:right w:val="single" w:color="auto" w:sz="4" w:space="0"/>
            </w:tcBorders>
            <w:vAlign w:val="center"/>
          </w:tcPr>
          <w:p w14:paraId="3F242C01">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5AEE1461">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vAlign w:val="center"/>
          </w:tcPr>
          <w:p w14:paraId="1E9199B7">
            <w:pPr>
              <w:rPr>
                <w:rFonts w:ascii="宋体" w:hAnsi="宋体" w:cs="宋体"/>
                <w:color w:val="auto"/>
                <w:sz w:val="18"/>
                <w:szCs w:val="18"/>
                <w:highlight w:val="none"/>
              </w:rPr>
            </w:pPr>
            <w:r>
              <w:rPr>
                <w:rFonts w:hint="eastAsia" w:ascii="宋体" w:hAnsi="宋体" w:cs="宋体"/>
                <w:color w:val="auto"/>
                <w:sz w:val="18"/>
                <w:szCs w:val="18"/>
                <w:highlight w:val="none"/>
              </w:rPr>
              <w:t>缺制度的支付违约金</w:t>
            </w:r>
            <w:r>
              <w:rPr>
                <w:rFonts w:ascii="宋体" w:hAnsi="宋体" w:cs="宋体"/>
                <w:color w:val="auto"/>
                <w:sz w:val="18"/>
                <w:szCs w:val="18"/>
                <w:highlight w:val="none"/>
              </w:rPr>
              <w:t>1000元/项/次，制度未落实到位支付违约金2000元/人次</w:t>
            </w:r>
          </w:p>
        </w:tc>
        <w:tc>
          <w:tcPr>
            <w:tcW w:w="1559" w:type="dxa"/>
            <w:tcBorders>
              <w:top w:val="single" w:color="auto" w:sz="4" w:space="0"/>
              <w:left w:val="single" w:color="auto" w:sz="4" w:space="0"/>
              <w:bottom w:val="single" w:color="auto" w:sz="4" w:space="0"/>
              <w:right w:val="single" w:color="auto" w:sz="4" w:space="0"/>
            </w:tcBorders>
            <w:vAlign w:val="center"/>
          </w:tcPr>
          <w:p w14:paraId="733AD2E1">
            <w:pPr>
              <w:rPr>
                <w:rFonts w:ascii="宋体" w:hAnsi="宋体" w:cs="宋体"/>
                <w:color w:val="auto"/>
                <w:sz w:val="18"/>
                <w:szCs w:val="18"/>
                <w:highlight w:val="none"/>
              </w:rPr>
            </w:pPr>
            <w:r>
              <w:rPr>
                <w:rFonts w:hint="eastAsia" w:ascii="宋体" w:hAnsi="宋体" w:cs="宋体"/>
                <w:color w:val="auto"/>
                <w:sz w:val="18"/>
                <w:szCs w:val="18"/>
                <w:highlight w:val="none"/>
              </w:rPr>
              <w:t>未建有相应制度扣</w:t>
            </w:r>
            <w:r>
              <w:rPr>
                <w:rFonts w:ascii="宋体" w:hAnsi="宋体" w:cs="宋体"/>
                <w:color w:val="auto"/>
                <w:sz w:val="18"/>
                <w:szCs w:val="18"/>
                <w:highlight w:val="none"/>
              </w:rPr>
              <w:t>0.5分/次；制度未落实到位的扣1分/次</w:t>
            </w:r>
          </w:p>
        </w:tc>
      </w:tr>
      <w:tr w14:paraId="1CF0EB19">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189132A">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BEB07D6">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10AEFD0D">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23F30D2A">
            <w:pPr>
              <w:rPr>
                <w:rFonts w:ascii="宋体" w:hAnsi="宋体" w:cs="宋体"/>
                <w:color w:val="auto"/>
                <w:sz w:val="18"/>
                <w:szCs w:val="18"/>
                <w:highlight w:val="none"/>
              </w:rPr>
            </w:pPr>
            <w:r>
              <w:rPr>
                <w:rFonts w:ascii="宋体" w:hAnsi="宋体" w:cs="宋体"/>
                <w:color w:val="auto"/>
                <w:sz w:val="18"/>
                <w:szCs w:val="18"/>
                <w:highlight w:val="none"/>
              </w:rPr>
              <w:t>5.应严格执行食品卫生法律、法规，无投毒或食物中毒事故或肠道传染病发生</w:t>
            </w:r>
          </w:p>
        </w:tc>
        <w:tc>
          <w:tcPr>
            <w:tcW w:w="709" w:type="dxa"/>
            <w:tcBorders>
              <w:top w:val="single" w:color="auto" w:sz="4" w:space="0"/>
              <w:left w:val="single" w:color="auto" w:sz="4" w:space="0"/>
              <w:bottom w:val="single" w:color="auto" w:sz="4" w:space="0"/>
              <w:right w:val="single" w:color="auto" w:sz="4" w:space="0"/>
            </w:tcBorders>
            <w:vAlign w:val="center"/>
          </w:tcPr>
          <w:p w14:paraId="3C5F07A1">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1EDD5B6C">
            <w:pPr>
              <w:rPr>
                <w:rFonts w:ascii="宋体" w:hAnsi="宋体" w:cs="宋体"/>
                <w:color w:val="auto"/>
                <w:sz w:val="18"/>
                <w:szCs w:val="18"/>
                <w:highlight w:val="none"/>
              </w:rPr>
            </w:pPr>
            <w:r>
              <w:rPr>
                <w:rFonts w:hint="eastAsia" w:ascii="宋体" w:hAnsi="宋体" w:cs="宋体"/>
                <w:color w:val="auto"/>
                <w:sz w:val="18"/>
                <w:szCs w:val="18"/>
                <w:highlight w:val="none"/>
              </w:rPr>
              <w:t>发生投毒或食物中毒或肠道传染病事件，情节严重者，采购人除不退还履约保证金外，还应承担</w:t>
            </w:r>
            <w:r>
              <w:rPr>
                <w:rFonts w:ascii="宋体" w:hAnsi="宋体" w:cs="宋体"/>
                <w:color w:val="auto"/>
                <w:sz w:val="18"/>
                <w:szCs w:val="18"/>
                <w:highlight w:val="none"/>
              </w:rPr>
              <w:t>50000元/次的合同违约金，由此造成的所有责任</w:t>
            </w:r>
            <w:r>
              <w:rPr>
                <w:rFonts w:hint="eastAsia" w:ascii="宋体" w:hAnsi="宋体" w:cs="宋体"/>
                <w:color w:val="auto"/>
                <w:sz w:val="18"/>
                <w:szCs w:val="18"/>
                <w:highlight w:val="none"/>
              </w:rPr>
              <w:t>由成交商承担（包括对采购人相关管理人员的经济处罚），且采购人有权解除合同</w:t>
            </w:r>
          </w:p>
        </w:tc>
        <w:tc>
          <w:tcPr>
            <w:tcW w:w="1559" w:type="dxa"/>
            <w:tcBorders>
              <w:top w:val="single" w:color="auto" w:sz="4" w:space="0"/>
              <w:left w:val="single" w:color="auto" w:sz="4" w:space="0"/>
              <w:bottom w:val="single" w:color="auto" w:sz="4" w:space="0"/>
              <w:right w:val="single" w:color="auto" w:sz="4" w:space="0"/>
            </w:tcBorders>
            <w:vAlign w:val="center"/>
          </w:tcPr>
          <w:p w14:paraId="1E9669F9">
            <w:pPr>
              <w:rPr>
                <w:rFonts w:ascii="宋体" w:hAnsi="宋体" w:cs="宋体"/>
                <w:color w:val="auto"/>
                <w:sz w:val="18"/>
                <w:szCs w:val="18"/>
                <w:highlight w:val="none"/>
              </w:rPr>
            </w:pPr>
            <w:r>
              <w:rPr>
                <w:rFonts w:hint="eastAsia" w:ascii="宋体" w:hAnsi="宋体" w:cs="宋体"/>
                <w:color w:val="auto"/>
                <w:sz w:val="18"/>
                <w:szCs w:val="18"/>
                <w:highlight w:val="none"/>
              </w:rPr>
              <w:t>发生投毒或食物中毒或肠道传染病事件，涉事当学期考核直接为不合格</w:t>
            </w:r>
          </w:p>
        </w:tc>
      </w:tr>
      <w:tr w14:paraId="5932067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79A62CD">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E0CB2E9">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2A897A7">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712F6C10">
            <w:pPr>
              <w:rPr>
                <w:rFonts w:ascii="宋体" w:hAnsi="宋体" w:cs="宋体"/>
                <w:color w:val="auto"/>
                <w:sz w:val="18"/>
                <w:szCs w:val="18"/>
                <w:highlight w:val="none"/>
              </w:rPr>
            </w:pPr>
            <w:r>
              <w:rPr>
                <w:rFonts w:ascii="宋体" w:hAnsi="宋体" w:cs="宋体"/>
                <w:color w:val="auto"/>
                <w:sz w:val="18"/>
                <w:szCs w:val="18"/>
                <w:highlight w:val="none"/>
              </w:rPr>
              <w:t>6.应坚持《食品及食品原辅材料进货检查验收制度》，建立出入库电子与纸质双台账，如实准确记录名称、规格、数量、生产日期或者生产批号、保质期、进货日期以及供货者名称、地址、联系方式等内容，并保留载有上述信息的相关凭证。</w:t>
            </w:r>
          </w:p>
        </w:tc>
        <w:tc>
          <w:tcPr>
            <w:tcW w:w="709" w:type="dxa"/>
            <w:tcBorders>
              <w:top w:val="single" w:color="auto" w:sz="4" w:space="0"/>
              <w:left w:val="single" w:color="auto" w:sz="4" w:space="0"/>
              <w:bottom w:val="single" w:color="auto" w:sz="4" w:space="0"/>
              <w:right w:val="single" w:color="auto" w:sz="4" w:space="0"/>
            </w:tcBorders>
            <w:vAlign w:val="center"/>
          </w:tcPr>
          <w:p w14:paraId="00C41ED5">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08B82B3">
            <w:pPr>
              <w:rPr>
                <w:rFonts w:ascii="宋体" w:hAnsi="宋体" w:cs="宋体"/>
                <w:color w:val="auto"/>
                <w:sz w:val="18"/>
                <w:szCs w:val="18"/>
                <w:highlight w:val="none"/>
              </w:rPr>
            </w:pPr>
            <w:r>
              <w:rPr>
                <w:rFonts w:hint="eastAsia" w:ascii="宋体" w:hAnsi="宋体" w:cs="宋体"/>
                <w:color w:val="auto"/>
                <w:sz w:val="18"/>
                <w:szCs w:val="18"/>
                <w:highlight w:val="none"/>
              </w:rPr>
              <w:t>进货未查验每次支付违约金</w:t>
            </w:r>
            <w:r>
              <w:rPr>
                <w:rFonts w:ascii="宋体" w:hAnsi="宋体" w:cs="宋体"/>
                <w:color w:val="auto"/>
                <w:sz w:val="18"/>
                <w:szCs w:val="18"/>
                <w:highlight w:val="none"/>
              </w:rPr>
              <w:t>1000元，无台账或台账不全每次支付违约金10000元</w:t>
            </w:r>
          </w:p>
        </w:tc>
        <w:tc>
          <w:tcPr>
            <w:tcW w:w="1559" w:type="dxa"/>
            <w:tcBorders>
              <w:top w:val="single" w:color="auto" w:sz="4" w:space="0"/>
              <w:left w:val="single" w:color="auto" w:sz="4" w:space="0"/>
              <w:bottom w:val="single" w:color="auto" w:sz="4" w:space="0"/>
              <w:right w:val="single" w:color="auto" w:sz="4" w:space="0"/>
            </w:tcBorders>
            <w:vAlign w:val="center"/>
          </w:tcPr>
          <w:p w14:paraId="2A55B962">
            <w:pPr>
              <w:rPr>
                <w:rFonts w:ascii="宋体" w:hAnsi="宋体" w:cs="宋体"/>
                <w:color w:val="auto"/>
                <w:sz w:val="18"/>
                <w:szCs w:val="18"/>
                <w:highlight w:val="none"/>
              </w:rPr>
            </w:pPr>
            <w:r>
              <w:rPr>
                <w:rFonts w:hint="eastAsia" w:ascii="宋体" w:hAnsi="宋体" w:cs="宋体"/>
                <w:color w:val="auto"/>
                <w:sz w:val="18"/>
                <w:szCs w:val="18"/>
                <w:highlight w:val="none"/>
              </w:rPr>
              <w:t>未查验每次扣</w:t>
            </w:r>
            <w:r>
              <w:rPr>
                <w:rFonts w:ascii="宋体" w:hAnsi="宋体" w:cs="宋体"/>
                <w:color w:val="auto"/>
                <w:sz w:val="18"/>
                <w:szCs w:val="18"/>
                <w:highlight w:val="none"/>
              </w:rPr>
              <w:t>1分，无台账或台帐不全每次扣1分</w:t>
            </w:r>
          </w:p>
        </w:tc>
      </w:tr>
      <w:tr w14:paraId="6064F26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9E5DFF0">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B28A901">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75DBD37">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772FFA64">
            <w:pPr>
              <w:rPr>
                <w:rFonts w:ascii="宋体" w:hAnsi="宋体" w:cs="宋体"/>
                <w:color w:val="auto"/>
                <w:sz w:val="18"/>
                <w:szCs w:val="18"/>
                <w:highlight w:val="none"/>
              </w:rPr>
            </w:pPr>
            <w:r>
              <w:rPr>
                <w:rFonts w:ascii="宋体" w:hAnsi="宋体" w:cs="宋体"/>
                <w:color w:val="auto"/>
                <w:sz w:val="18"/>
                <w:szCs w:val="18"/>
                <w:highlight w:val="none"/>
              </w:rPr>
              <w:t>7.建立食品安全自查制度，定期对食品安全状况进行检查评价。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3888E82">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34E870AE">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5CA67E7">
            <w:pPr>
              <w:rPr>
                <w:rFonts w:ascii="宋体" w:hAnsi="宋体" w:cs="宋体"/>
                <w:color w:val="auto"/>
                <w:sz w:val="18"/>
                <w:szCs w:val="18"/>
                <w:highlight w:val="none"/>
              </w:rPr>
            </w:pPr>
            <w:r>
              <w:rPr>
                <w:rFonts w:hint="eastAsia" w:ascii="宋体" w:hAnsi="宋体" w:cs="宋体"/>
                <w:color w:val="auto"/>
                <w:sz w:val="18"/>
                <w:szCs w:val="18"/>
                <w:highlight w:val="none"/>
              </w:rPr>
              <w:t>缺制度的支付违约金</w:t>
            </w:r>
            <w:r>
              <w:rPr>
                <w:rFonts w:ascii="宋体" w:hAnsi="宋体" w:cs="宋体"/>
                <w:color w:val="auto"/>
                <w:sz w:val="18"/>
                <w:szCs w:val="18"/>
                <w:highlight w:val="none"/>
              </w:rPr>
              <w:t>1000元/次，制度未落实到位支付违约金2000元/次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F563D9A">
            <w:pPr>
              <w:rPr>
                <w:rFonts w:ascii="宋体" w:hAnsi="宋体" w:cs="宋体"/>
                <w:color w:val="auto"/>
                <w:sz w:val="18"/>
                <w:szCs w:val="18"/>
                <w:highlight w:val="none"/>
              </w:rPr>
            </w:pPr>
            <w:r>
              <w:rPr>
                <w:rFonts w:hint="eastAsia" w:ascii="宋体" w:hAnsi="宋体" w:cs="宋体"/>
                <w:color w:val="auto"/>
                <w:sz w:val="18"/>
                <w:szCs w:val="18"/>
                <w:highlight w:val="none"/>
              </w:rPr>
              <w:t>未建有相应制度扣</w:t>
            </w:r>
            <w:r>
              <w:rPr>
                <w:rFonts w:ascii="宋体" w:hAnsi="宋体" w:cs="宋体"/>
                <w:color w:val="auto"/>
                <w:sz w:val="18"/>
                <w:szCs w:val="18"/>
                <w:highlight w:val="none"/>
              </w:rPr>
              <w:t>1分/次；制度未落实到位的扣1分/次</w:t>
            </w:r>
          </w:p>
        </w:tc>
      </w:tr>
      <w:tr w14:paraId="7F11176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7D80C3A">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6BB87F9">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06FDAC2">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26D2A11B">
            <w:pPr>
              <w:rPr>
                <w:rFonts w:ascii="宋体" w:hAnsi="宋体" w:cs="宋体"/>
                <w:color w:val="auto"/>
                <w:sz w:val="18"/>
                <w:szCs w:val="18"/>
                <w:highlight w:val="none"/>
              </w:rPr>
            </w:pPr>
            <w:r>
              <w:rPr>
                <w:rFonts w:ascii="宋体" w:hAnsi="宋体" w:cs="宋体"/>
                <w:color w:val="auto"/>
                <w:sz w:val="18"/>
                <w:szCs w:val="18"/>
                <w:highlight w:val="none"/>
              </w:rPr>
              <w:t>8.建立健全食品安全管理制度，依法从事生产经营活动。应配备食品安全总监和食品安全员，经考核不具备食品安全管理能力的，不得上岗。实施危害分析与关键控制点体系，提高食品安全管理水平。</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82D211B">
            <w:pPr>
              <w:rPr>
                <w:rFonts w:ascii="宋体" w:hAnsi="宋体" w:cs="宋体"/>
                <w:color w:val="auto"/>
                <w:sz w:val="18"/>
                <w:szCs w:val="18"/>
                <w:highlight w:val="none"/>
              </w:rPr>
            </w:pPr>
            <w:r>
              <w:rPr>
                <w:rFonts w:ascii="宋体" w:hAnsi="宋体" w:cs="宋体"/>
                <w:color w:val="auto"/>
                <w:sz w:val="18"/>
                <w:szCs w:val="18"/>
                <w:highlight w:val="none"/>
              </w:rPr>
              <w:t>现场</w:t>
            </w:r>
          </w:p>
          <w:p w14:paraId="1A76580C">
            <w:pPr>
              <w:rPr>
                <w:rFonts w:ascii="宋体" w:hAnsi="宋体" w:cs="宋体"/>
                <w:color w:val="auto"/>
                <w:sz w:val="18"/>
                <w:szCs w:val="18"/>
                <w:highlight w:val="none"/>
              </w:rPr>
            </w:pPr>
            <w:r>
              <w:rPr>
                <w:rFonts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22EB761">
            <w:pPr>
              <w:rPr>
                <w:rFonts w:ascii="宋体" w:hAnsi="宋体" w:cs="宋体"/>
                <w:color w:val="auto"/>
                <w:sz w:val="18"/>
                <w:szCs w:val="18"/>
                <w:highlight w:val="none"/>
              </w:rPr>
            </w:pPr>
            <w:r>
              <w:rPr>
                <w:rFonts w:ascii="宋体" w:hAnsi="宋体" w:cs="宋体"/>
                <w:color w:val="auto"/>
                <w:sz w:val="18"/>
                <w:szCs w:val="18"/>
                <w:highlight w:val="none"/>
              </w:rPr>
              <w:t>未建有相应制度</w:t>
            </w:r>
            <w:r>
              <w:rPr>
                <w:rFonts w:hint="eastAsia" w:ascii="宋体" w:hAnsi="宋体" w:cs="宋体"/>
                <w:color w:val="auto"/>
                <w:sz w:val="18"/>
                <w:szCs w:val="18"/>
                <w:highlight w:val="none"/>
              </w:rPr>
              <w:t>或制度建立不全</w:t>
            </w:r>
            <w:r>
              <w:rPr>
                <w:rFonts w:ascii="宋体" w:hAnsi="宋体" w:cs="宋体"/>
                <w:color w:val="auto"/>
                <w:sz w:val="18"/>
                <w:szCs w:val="18"/>
                <w:highlight w:val="none"/>
              </w:rPr>
              <w:t>的</w:t>
            </w:r>
            <w:r>
              <w:rPr>
                <w:rFonts w:hint="eastAsia" w:ascii="宋体" w:hAnsi="宋体" w:cs="宋体"/>
                <w:color w:val="auto"/>
                <w:sz w:val="18"/>
                <w:szCs w:val="18"/>
                <w:highlight w:val="none"/>
              </w:rPr>
              <w:t>支付违约金</w:t>
            </w:r>
            <w:r>
              <w:rPr>
                <w:rFonts w:ascii="宋体" w:hAnsi="宋体" w:cs="宋体"/>
                <w:color w:val="auto"/>
                <w:sz w:val="18"/>
                <w:szCs w:val="18"/>
                <w:highlight w:val="none"/>
              </w:rPr>
              <w:t>2000元/次，制度未落实到位</w:t>
            </w:r>
            <w:r>
              <w:rPr>
                <w:rFonts w:hint="eastAsia" w:ascii="宋体" w:hAnsi="宋体" w:cs="宋体"/>
                <w:color w:val="auto"/>
                <w:sz w:val="18"/>
                <w:szCs w:val="18"/>
                <w:highlight w:val="none"/>
              </w:rPr>
              <w:t>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3B565DC">
            <w:pPr>
              <w:rPr>
                <w:rFonts w:ascii="宋体" w:hAnsi="宋体" w:cs="宋体"/>
                <w:color w:val="auto"/>
                <w:sz w:val="18"/>
                <w:szCs w:val="18"/>
                <w:highlight w:val="none"/>
              </w:rPr>
            </w:pPr>
            <w:r>
              <w:rPr>
                <w:rFonts w:ascii="宋体" w:hAnsi="宋体" w:cs="宋体"/>
                <w:color w:val="auto"/>
                <w:sz w:val="18"/>
                <w:szCs w:val="18"/>
                <w:highlight w:val="none"/>
              </w:rPr>
              <w:t>未建有相应制度</w:t>
            </w:r>
            <w:r>
              <w:rPr>
                <w:rFonts w:hint="eastAsia" w:ascii="宋体" w:hAnsi="宋体" w:cs="宋体"/>
                <w:color w:val="auto"/>
                <w:sz w:val="18"/>
                <w:szCs w:val="18"/>
                <w:highlight w:val="none"/>
              </w:rPr>
              <w:t>或制度建立不全</w:t>
            </w:r>
            <w:r>
              <w:rPr>
                <w:rFonts w:ascii="宋体" w:hAnsi="宋体" w:cs="宋体"/>
                <w:color w:val="auto"/>
                <w:sz w:val="18"/>
                <w:szCs w:val="18"/>
                <w:highlight w:val="none"/>
              </w:rPr>
              <w:t>扣2分/次；制度未落实到位的扣1分/次</w:t>
            </w:r>
          </w:p>
        </w:tc>
      </w:tr>
      <w:tr w14:paraId="5D5FF067">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2F2E6D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C38678A">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1CECB5C">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6D71F324">
            <w:pPr>
              <w:rPr>
                <w:rFonts w:ascii="宋体" w:hAnsi="宋体" w:cs="宋体"/>
                <w:color w:val="auto"/>
                <w:sz w:val="18"/>
                <w:szCs w:val="18"/>
                <w:highlight w:val="none"/>
              </w:rPr>
            </w:pPr>
            <w:r>
              <w:rPr>
                <w:rFonts w:ascii="宋体" w:hAnsi="宋体" w:cs="宋体"/>
                <w:color w:val="auto"/>
                <w:sz w:val="18"/>
                <w:szCs w:val="18"/>
                <w:highlight w:val="none"/>
              </w:rPr>
              <w:t>9.项目管理班子成员配置齐全，并明确职责。</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054A54">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F5FDD41">
            <w:pPr>
              <w:rPr>
                <w:rFonts w:ascii="宋体" w:hAnsi="宋体" w:cs="宋体"/>
                <w:color w:val="auto"/>
                <w:sz w:val="18"/>
                <w:szCs w:val="18"/>
                <w:highlight w:val="none"/>
              </w:rPr>
            </w:pPr>
            <w:r>
              <w:rPr>
                <w:rFonts w:hint="eastAsia" w:ascii="宋体" w:hAnsi="宋体" w:cs="宋体"/>
                <w:color w:val="auto"/>
                <w:sz w:val="18"/>
                <w:szCs w:val="18"/>
                <w:highlight w:val="none"/>
              </w:rPr>
              <w:t>未配置齐全或擅自更换项目管理班子成员每次支付违约金</w:t>
            </w:r>
            <w:r>
              <w:rPr>
                <w:rFonts w:ascii="宋体" w:hAnsi="宋体" w:cs="宋体"/>
                <w:color w:val="auto"/>
                <w:sz w:val="18"/>
                <w:szCs w:val="18"/>
                <w:highlight w:val="none"/>
              </w:rPr>
              <w:t>50000元/人</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D7CAB15">
            <w:pPr>
              <w:rPr>
                <w:rFonts w:ascii="宋体" w:hAnsi="宋体" w:cs="宋体"/>
                <w:color w:val="auto"/>
                <w:sz w:val="18"/>
                <w:szCs w:val="18"/>
                <w:highlight w:val="none"/>
              </w:rPr>
            </w:pPr>
            <w:r>
              <w:rPr>
                <w:rFonts w:hint="eastAsia" w:ascii="宋体" w:hAnsi="宋体" w:cs="宋体"/>
                <w:color w:val="auto"/>
                <w:sz w:val="18"/>
                <w:szCs w:val="18"/>
                <w:highlight w:val="none"/>
              </w:rPr>
              <w:t>未配置齐全或擅自更换项目管理班子成员每次扣</w:t>
            </w:r>
            <w:r>
              <w:rPr>
                <w:rFonts w:ascii="宋体" w:hAnsi="宋体" w:cs="宋体"/>
                <w:color w:val="auto"/>
                <w:sz w:val="18"/>
                <w:szCs w:val="18"/>
                <w:highlight w:val="none"/>
              </w:rPr>
              <w:t>5分/人</w:t>
            </w:r>
          </w:p>
        </w:tc>
      </w:tr>
      <w:tr w14:paraId="3D04192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27EF9B3">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B8D72C8">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vAlign w:val="center"/>
          </w:tcPr>
          <w:p w14:paraId="4C53A96B">
            <w:pPr>
              <w:rPr>
                <w:rFonts w:ascii="宋体" w:hAnsi="宋体" w:cs="宋体"/>
                <w:color w:val="auto"/>
                <w:sz w:val="18"/>
                <w:szCs w:val="18"/>
                <w:highlight w:val="none"/>
              </w:rPr>
            </w:pPr>
            <w:r>
              <w:rPr>
                <w:rFonts w:hint="eastAsia" w:ascii="宋体" w:hAnsi="宋体" w:cs="宋体"/>
                <w:color w:val="auto"/>
                <w:sz w:val="18"/>
                <w:szCs w:val="18"/>
                <w:highlight w:val="none"/>
              </w:rPr>
              <w:t>消防安全</w:t>
            </w:r>
          </w:p>
        </w:tc>
        <w:tc>
          <w:tcPr>
            <w:tcW w:w="3350" w:type="dxa"/>
            <w:tcBorders>
              <w:top w:val="single" w:color="auto" w:sz="4" w:space="0"/>
              <w:left w:val="single" w:color="auto" w:sz="4" w:space="0"/>
              <w:bottom w:val="single" w:color="auto" w:sz="4" w:space="0"/>
              <w:right w:val="single" w:color="auto" w:sz="4" w:space="0"/>
            </w:tcBorders>
            <w:vAlign w:val="center"/>
          </w:tcPr>
          <w:p w14:paraId="7CB76FC6">
            <w:pPr>
              <w:rPr>
                <w:rFonts w:ascii="宋体" w:hAnsi="宋体" w:cs="宋体"/>
                <w:color w:val="auto"/>
                <w:sz w:val="18"/>
                <w:szCs w:val="18"/>
                <w:highlight w:val="none"/>
              </w:rPr>
            </w:pPr>
            <w:r>
              <w:rPr>
                <w:rFonts w:ascii="宋体" w:hAnsi="宋体" w:cs="宋体"/>
                <w:color w:val="auto"/>
                <w:sz w:val="18"/>
                <w:szCs w:val="18"/>
                <w:highlight w:val="none"/>
              </w:rPr>
              <w:t>10.应保障食堂各项消防设施齐全、完好，每天进行检查并作好检查记录。</w:t>
            </w:r>
          </w:p>
        </w:tc>
        <w:tc>
          <w:tcPr>
            <w:tcW w:w="709" w:type="dxa"/>
            <w:tcBorders>
              <w:top w:val="single" w:color="auto" w:sz="4" w:space="0"/>
              <w:left w:val="single" w:color="auto" w:sz="4" w:space="0"/>
              <w:bottom w:val="single" w:color="auto" w:sz="4" w:space="0"/>
              <w:right w:val="single" w:color="auto" w:sz="4" w:space="0"/>
            </w:tcBorders>
            <w:vAlign w:val="center"/>
          </w:tcPr>
          <w:p w14:paraId="73C6FC64">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00AF2C53">
            <w:pPr>
              <w:rPr>
                <w:rFonts w:ascii="宋体" w:hAnsi="宋体" w:cs="宋体"/>
                <w:color w:val="auto"/>
                <w:sz w:val="18"/>
                <w:szCs w:val="18"/>
                <w:highlight w:val="none"/>
              </w:rPr>
            </w:pPr>
            <w:r>
              <w:rPr>
                <w:rFonts w:hint="eastAsia" w:ascii="宋体" w:hAnsi="宋体" w:cs="宋体"/>
                <w:color w:val="auto"/>
                <w:sz w:val="18"/>
                <w:szCs w:val="18"/>
                <w:highlight w:val="none"/>
              </w:rPr>
              <w:t>设施损坏或无检查记录或记录不全支付违约金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7B83DCDB">
            <w:pPr>
              <w:rPr>
                <w:rFonts w:ascii="宋体" w:hAnsi="宋体" w:cs="宋体"/>
                <w:color w:val="auto"/>
                <w:sz w:val="18"/>
                <w:szCs w:val="18"/>
                <w:highlight w:val="none"/>
              </w:rPr>
            </w:pPr>
            <w:r>
              <w:rPr>
                <w:rFonts w:hint="eastAsia" w:ascii="宋体" w:hAnsi="宋体" w:cs="宋体"/>
                <w:color w:val="auto"/>
                <w:sz w:val="18"/>
                <w:szCs w:val="18"/>
                <w:highlight w:val="none"/>
              </w:rPr>
              <w:t>设施损坏或无检查记录或记录不全扣</w:t>
            </w:r>
            <w:r>
              <w:rPr>
                <w:rFonts w:ascii="宋体" w:hAnsi="宋体" w:cs="宋体"/>
                <w:color w:val="auto"/>
                <w:sz w:val="18"/>
                <w:szCs w:val="18"/>
                <w:highlight w:val="none"/>
              </w:rPr>
              <w:t>1分/次</w:t>
            </w:r>
          </w:p>
        </w:tc>
      </w:tr>
      <w:tr w14:paraId="13E954D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ACACBD6">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0E72FAD">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1EEDBDA0">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20D21054">
            <w:pPr>
              <w:rPr>
                <w:rFonts w:ascii="宋体" w:hAnsi="宋体" w:cs="宋体"/>
                <w:color w:val="auto"/>
                <w:sz w:val="18"/>
                <w:szCs w:val="18"/>
                <w:highlight w:val="none"/>
              </w:rPr>
            </w:pPr>
            <w:r>
              <w:rPr>
                <w:rFonts w:ascii="宋体" w:hAnsi="宋体" w:cs="宋体"/>
                <w:color w:val="auto"/>
                <w:sz w:val="18"/>
                <w:szCs w:val="18"/>
                <w:highlight w:val="none"/>
              </w:rPr>
              <w:t>11.应规范、安全用电，严禁私拉电线</w:t>
            </w:r>
          </w:p>
        </w:tc>
        <w:tc>
          <w:tcPr>
            <w:tcW w:w="709" w:type="dxa"/>
            <w:tcBorders>
              <w:top w:val="single" w:color="auto" w:sz="4" w:space="0"/>
              <w:left w:val="single" w:color="auto" w:sz="4" w:space="0"/>
              <w:bottom w:val="single" w:color="auto" w:sz="4" w:space="0"/>
              <w:right w:val="single" w:color="auto" w:sz="4" w:space="0"/>
            </w:tcBorders>
            <w:vAlign w:val="center"/>
          </w:tcPr>
          <w:p w14:paraId="5B5F9B7B">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30409B8A">
            <w:pPr>
              <w:rPr>
                <w:rFonts w:ascii="宋体" w:hAnsi="宋体" w:cs="宋体"/>
                <w:color w:val="auto"/>
                <w:sz w:val="18"/>
                <w:szCs w:val="18"/>
                <w:highlight w:val="none"/>
              </w:rPr>
            </w:pPr>
            <w:r>
              <w:rPr>
                <w:rFonts w:hint="eastAsia" w:ascii="宋体" w:hAnsi="宋体" w:cs="宋体"/>
                <w:color w:val="auto"/>
                <w:sz w:val="18"/>
                <w:szCs w:val="18"/>
                <w:highlight w:val="none"/>
              </w:rPr>
              <w:t>私拉电线每次支付违约金</w:t>
            </w:r>
            <w:r>
              <w:rPr>
                <w:rFonts w:ascii="宋体" w:hAnsi="宋体" w:cs="宋体"/>
                <w:color w:val="auto"/>
                <w:sz w:val="18"/>
                <w:szCs w:val="18"/>
                <w:highlight w:val="none"/>
              </w:rPr>
              <w:t>1000元/处</w:t>
            </w:r>
          </w:p>
        </w:tc>
        <w:tc>
          <w:tcPr>
            <w:tcW w:w="1559" w:type="dxa"/>
            <w:tcBorders>
              <w:top w:val="single" w:color="auto" w:sz="4" w:space="0"/>
              <w:left w:val="single" w:color="auto" w:sz="4" w:space="0"/>
              <w:bottom w:val="single" w:color="auto" w:sz="4" w:space="0"/>
              <w:right w:val="single" w:color="auto" w:sz="4" w:space="0"/>
            </w:tcBorders>
            <w:vAlign w:val="center"/>
          </w:tcPr>
          <w:p w14:paraId="00571DC1">
            <w:pPr>
              <w:rPr>
                <w:rFonts w:ascii="宋体" w:hAnsi="宋体" w:cs="宋体"/>
                <w:color w:val="auto"/>
                <w:sz w:val="18"/>
                <w:szCs w:val="18"/>
                <w:highlight w:val="none"/>
              </w:rPr>
            </w:pPr>
            <w:r>
              <w:rPr>
                <w:rFonts w:hint="eastAsia" w:ascii="宋体" w:hAnsi="宋体" w:cs="宋体"/>
                <w:color w:val="auto"/>
                <w:sz w:val="18"/>
                <w:szCs w:val="18"/>
                <w:highlight w:val="none"/>
              </w:rPr>
              <w:t>私拉电线每次扣</w:t>
            </w:r>
            <w:r>
              <w:rPr>
                <w:rFonts w:ascii="宋体" w:hAnsi="宋体" w:cs="宋体"/>
                <w:color w:val="auto"/>
                <w:sz w:val="18"/>
                <w:szCs w:val="18"/>
                <w:highlight w:val="none"/>
              </w:rPr>
              <w:t>1分/处</w:t>
            </w:r>
          </w:p>
        </w:tc>
      </w:tr>
      <w:tr w14:paraId="230E26D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27AB493">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FF4799F">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3BAE4FD">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4D7D50FC">
            <w:pPr>
              <w:rPr>
                <w:rFonts w:ascii="宋体" w:hAnsi="宋体" w:cs="宋体"/>
                <w:color w:val="auto"/>
                <w:sz w:val="18"/>
                <w:szCs w:val="18"/>
                <w:highlight w:val="none"/>
              </w:rPr>
            </w:pPr>
            <w:r>
              <w:rPr>
                <w:rFonts w:ascii="宋体" w:hAnsi="宋体" w:cs="宋体"/>
                <w:color w:val="auto"/>
                <w:sz w:val="18"/>
                <w:szCs w:val="18"/>
                <w:highlight w:val="none"/>
              </w:rPr>
              <w:t>12.应培训员工掌握正确使用天然气的方法，注意防漏、防爆、防火，使用后关好气阀，确保安全</w:t>
            </w:r>
          </w:p>
        </w:tc>
        <w:tc>
          <w:tcPr>
            <w:tcW w:w="709" w:type="dxa"/>
            <w:tcBorders>
              <w:top w:val="single" w:color="auto" w:sz="4" w:space="0"/>
              <w:left w:val="single" w:color="auto" w:sz="4" w:space="0"/>
              <w:bottom w:val="single" w:color="auto" w:sz="4" w:space="0"/>
              <w:right w:val="single" w:color="auto" w:sz="4" w:space="0"/>
            </w:tcBorders>
            <w:vAlign w:val="center"/>
          </w:tcPr>
          <w:p w14:paraId="30020C8B">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88A09FA">
            <w:pPr>
              <w:rPr>
                <w:rFonts w:ascii="宋体" w:hAnsi="宋体" w:cs="宋体"/>
                <w:color w:val="auto"/>
                <w:sz w:val="18"/>
                <w:szCs w:val="18"/>
                <w:highlight w:val="none"/>
              </w:rPr>
            </w:pPr>
            <w:r>
              <w:rPr>
                <w:rFonts w:hint="eastAsia" w:ascii="宋体" w:hAnsi="宋体" w:cs="宋体"/>
                <w:color w:val="auto"/>
                <w:sz w:val="18"/>
                <w:szCs w:val="18"/>
                <w:highlight w:val="none"/>
              </w:rPr>
              <w:t>食堂出现用气安全事故一次支付违约金不低于</w:t>
            </w:r>
            <w:r>
              <w:rPr>
                <w:rFonts w:ascii="宋体" w:hAnsi="宋体" w:cs="宋体"/>
                <w:color w:val="auto"/>
                <w:sz w:val="18"/>
                <w:szCs w:val="18"/>
                <w:highlight w:val="none"/>
              </w:rPr>
              <w:t>10000元，食堂出现一般起火一次支付违约金10000元。出现较大消防安全事故的，</w:t>
            </w:r>
            <w:r>
              <w:rPr>
                <w:rFonts w:hint="eastAsia" w:ascii="宋体" w:hAnsi="宋体" w:cs="宋体"/>
                <w:color w:val="auto"/>
                <w:sz w:val="18"/>
                <w:szCs w:val="18"/>
                <w:highlight w:val="none"/>
              </w:rPr>
              <w:t>成交商受到政府职能部门行政处罚的，应向采购人支付</w:t>
            </w:r>
            <w:r>
              <w:rPr>
                <w:rFonts w:ascii="宋体" w:hAnsi="宋体" w:cs="宋体"/>
                <w:color w:val="auto"/>
                <w:sz w:val="18"/>
                <w:szCs w:val="18"/>
                <w:highlight w:val="none"/>
              </w:rPr>
              <w:t>10000元/次的合同违约金；若同时受到经济处罚的，应向采购人支付同等金额的合同违约金。还应再承担违约金20000元/次，采购人有权追究相关责任人经济和法律责任。</w:t>
            </w:r>
          </w:p>
        </w:tc>
        <w:tc>
          <w:tcPr>
            <w:tcW w:w="1559" w:type="dxa"/>
            <w:tcBorders>
              <w:top w:val="single" w:color="auto" w:sz="4" w:space="0"/>
              <w:left w:val="single" w:color="auto" w:sz="4" w:space="0"/>
              <w:bottom w:val="single" w:color="auto" w:sz="4" w:space="0"/>
              <w:right w:val="single" w:color="auto" w:sz="4" w:space="0"/>
            </w:tcBorders>
            <w:vAlign w:val="center"/>
          </w:tcPr>
          <w:p w14:paraId="1D17E7C0">
            <w:pPr>
              <w:rPr>
                <w:rFonts w:ascii="宋体" w:hAnsi="宋体" w:cs="宋体"/>
                <w:color w:val="auto"/>
                <w:sz w:val="18"/>
                <w:szCs w:val="18"/>
                <w:highlight w:val="none"/>
              </w:rPr>
            </w:pPr>
            <w:r>
              <w:rPr>
                <w:rFonts w:hint="eastAsia" w:ascii="宋体" w:hAnsi="宋体" w:cs="宋体"/>
                <w:color w:val="auto"/>
                <w:sz w:val="18"/>
                <w:szCs w:val="18"/>
                <w:highlight w:val="none"/>
              </w:rPr>
              <w:t>一般起火：未造成损失且未出动消防部门每次扣</w:t>
            </w:r>
            <w:r>
              <w:rPr>
                <w:rFonts w:ascii="宋体" w:hAnsi="宋体" w:cs="宋体"/>
                <w:color w:val="auto"/>
                <w:sz w:val="18"/>
                <w:szCs w:val="18"/>
                <w:highlight w:val="none"/>
              </w:rPr>
              <w:t>5分。</w:t>
            </w:r>
          </w:p>
          <w:p w14:paraId="0AF5F591">
            <w:pPr>
              <w:rPr>
                <w:rFonts w:ascii="宋体" w:hAnsi="宋体" w:cs="宋体"/>
                <w:color w:val="auto"/>
                <w:sz w:val="18"/>
                <w:szCs w:val="18"/>
                <w:highlight w:val="none"/>
              </w:rPr>
            </w:pPr>
            <w:r>
              <w:rPr>
                <w:rFonts w:hint="eastAsia" w:ascii="宋体" w:hAnsi="宋体" w:cs="宋体"/>
                <w:color w:val="auto"/>
                <w:sz w:val="18"/>
                <w:szCs w:val="18"/>
                <w:highlight w:val="none"/>
              </w:rPr>
              <w:t>较大消防安全事故：造成损失或出动消防部门，涉事当学期考核直接为不合格。</w:t>
            </w:r>
          </w:p>
        </w:tc>
      </w:tr>
      <w:tr w14:paraId="1DEB6E9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73C9FF4">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99DB80C">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76EC52C5">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63C3EF6A">
            <w:pPr>
              <w:rPr>
                <w:rFonts w:ascii="宋体" w:hAnsi="宋体" w:cs="宋体"/>
                <w:color w:val="auto"/>
                <w:sz w:val="18"/>
                <w:szCs w:val="18"/>
                <w:highlight w:val="none"/>
              </w:rPr>
            </w:pPr>
            <w:r>
              <w:rPr>
                <w:rFonts w:ascii="宋体" w:hAnsi="宋体" w:cs="宋体"/>
                <w:color w:val="auto"/>
                <w:sz w:val="18"/>
                <w:szCs w:val="18"/>
                <w:highlight w:val="none"/>
              </w:rPr>
              <w:t>13、应组织员工培训消防自防自救常识和安全逃生技能，不断提升员工消防应</w:t>
            </w:r>
            <w:r>
              <w:rPr>
                <w:rFonts w:hint="eastAsia" w:ascii="宋体" w:hAnsi="宋体" w:cs="宋体"/>
                <w:color w:val="auto"/>
                <w:sz w:val="18"/>
                <w:szCs w:val="18"/>
                <w:highlight w:val="none"/>
              </w:rPr>
              <w:t>急处置能力，每学期应至少组织一次消防实战演练和考核。</w:t>
            </w:r>
          </w:p>
        </w:tc>
        <w:tc>
          <w:tcPr>
            <w:tcW w:w="709" w:type="dxa"/>
            <w:tcBorders>
              <w:top w:val="single" w:color="auto" w:sz="4" w:space="0"/>
              <w:left w:val="single" w:color="auto" w:sz="4" w:space="0"/>
              <w:bottom w:val="single" w:color="auto" w:sz="4" w:space="0"/>
              <w:right w:val="single" w:color="auto" w:sz="4" w:space="0"/>
            </w:tcBorders>
            <w:vAlign w:val="center"/>
          </w:tcPr>
          <w:p w14:paraId="3E56200D">
            <w:pPr>
              <w:rPr>
                <w:rFonts w:ascii="宋体" w:hAnsi="宋体" w:cs="宋体"/>
                <w:color w:val="auto"/>
                <w:sz w:val="18"/>
                <w:szCs w:val="18"/>
                <w:highlight w:val="none"/>
              </w:rPr>
            </w:pPr>
            <w:r>
              <w:rPr>
                <w:rFonts w:hint="eastAsia" w:ascii="宋体" w:hAnsi="宋体" w:cs="宋体"/>
                <w:color w:val="auto"/>
                <w:sz w:val="18"/>
                <w:szCs w:val="18"/>
                <w:highlight w:val="none"/>
              </w:rPr>
              <w:t>查看记录</w:t>
            </w:r>
          </w:p>
        </w:tc>
        <w:tc>
          <w:tcPr>
            <w:tcW w:w="2693" w:type="dxa"/>
            <w:tcBorders>
              <w:top w:val="single" w:color="auto" w:sz="4" w:space="0"/>
              <w:left w:val="single" w:color="auto" w:sz="4" w:space="0"/>
              <w:bottom w:val="single" w:color="auto" w:sz="4" w:space="0"/>
              <w:right w:val="single" w:color="auto" w:sz="4" w:space="0"/>
            </w:tcBorders>
            <w:vAlign w:val="center"/>
          </w:tcPr>
          <w:p w14:paraId="3366351D">
            <w:pPr>
              <w:rPr>
                <w:rFonts w:ascii="宋体" w:hAnsi="宋体" w:cs="宋体"/>
                <w:color w:val="auto"/>
                <w:sz w:val="18"/>
                <w:szCs w:val="18"/>
                <w:highlight w:val="none"/>
              </w:rPr>
            </w:pPr>
            <w:r>
              <w:rPr>
                <w:rFonts w:hint="eastAsia" w:ascii="宋体" w:hAnsi="宋体" w:cs="宋体"/>
                <w:color w:val="auto"/>
                <w:sz w:val="18"/>
                <w:szCs w:val="18"/>
                <w:highlight w:val="none"/>
              </w:rPr>
              <w:t>无培训记录的支付违约金</w:t>
            </w:r>
            <w:r>
              <w:rPr>
                <w:rFonts w:ascii="宋体" w:hAnsi="宋体" w:cs="宋体"/>
                <w:color w:val="auto"/>
                <w:sz w:val="18"/>
                <w:szCs w:val="18"/>
                <w:highlight w:val="none"/>
              </w:rPr>
              <w:t>1000元，无消防演练材料支付违约金5000元</w:t>
            </w:r>
          </w:p>
        </w:tc>
        <w:tc>
          <w:tcPr>
            <w:tcW w:w="1559" w:type="dxa"/>
            <w:tcBorders>
              <w:top w:val="single" w:color="auto" w:sz="4" w:space="0"/>
              <w:left w:val="single" w:color="auto" w:sz="4" w:space="0"/>
              <w:bottom w:val="single" w:color="auto" w:sz="4" w:space="0"/>
              <w:right w:val="single" w:color="auto" w:sz="4" w:space="0"/>
            </w:tcBorders>
            <w:vAlign w:val="center"/>
          </w:tcPr>
          <w:p w14:paraId="0E77AF38">
            <w:pPr>
              <w:rPr>
                <w:rFonts w:ascii="宋体" w:hAnsi="宋体" w:cs="宋体"/>
                <w:color w:val="auto"/>
                <w:sz w:val="18"/>
                <w:szCs w:val="18"/>
                <w:highlight w:val="none"/>
              </w:rPr>
            </w:pPr>
            <w:r>
              <w:rPr>
                <w:rFonts w:hint="eastAsia" w:ascii="宋体" w:hAnsi="宋体" w:cs="宋体"/>
                <w:color w:val="auto"/>
                <w:sz w:val="18"/>
                <w:szCs w:val="18"/>
                <w:highlight w:val="none"/>
              </w:rPr>
              <w:t>无培训记录或记录不全每次扣</w:t>
            </w:r>
            <w:r>
              <w:rPr>
                <w:rFonts w:ascii="宋体" w:hAnsi="宋体" w:cs="宋体"/>
                <w:color w:val="auto"/>
                <w:sz w:val="18"/>
                <w:szCs w:val="18"/>
                <w:highlight w:val="none"/>
              </w:rPr>
              <w:t>1</w:t>
            </w:r>
            <w:r>
              <w:rPr>
                <w:rFonts w:hint="eastAsia" w:ascii="宋体" w:hAnsi="宋体" w:cs="宋体"/>
                <w:color w:val="auto"/>
                <w:sz w:val="18"/>
                <w:szCs w:val="18"/>
                <w:highlight w:val="none"/>
              </w:rPr>
              <w:t>分，无消防演练材料或消防演练材料不全每次扣</w:t>
            </w:r>
            <w:r>
              <w:rPr>
                <w:rFonts w:ascii="宋体" w:hAnsi="宋体" w:cs="宋体"/>
                <w:color w:val="auto"/>
                <w:sz w:val="18"/>
                <w:szCs w:val="18"/>
                <w:highlight w:val="none"/>
              </w:rPr>
              <w:t>5分</w:t>
            </w:r>
          </w:p>
        </w:tc>
      </w:tr>
      <w:tr w14:paraId="3D72228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ADE6BAD">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76BEA88">
            <w:pPr>
              <w:rPr>
                <w:rFonts w:ascii="宋体" w:hAnsi="宋体" w:cs="宋体"/>
                <w:color w:val="auto"/>
                <w:sz w:val="18"/>
                <w:szCs w:val="18"/>
                <w:highlight w:val="none"/>
              </w:rPr>
            </w:pPr>
          </w:p>
        </w:tc>
        <w:tc>
          <w:tcPr>
            <w:tcW w:w="477" w:type="dxa"/>
            <w:tcBorders>
              <w:top w:val="single" w:color="auto" w:sz="4" w:space="0"/>
              <w:left w:val="single" w:color="auto" w:sz="4" w:space="0"/>
              <w:bottom w:val="single" w:color="auto" w:sz="4" w:space="0"/>
              <w:right w:val="single" w:color="auto" w:sz="4" w:space="0"/>
            </w:tcBorders>
            <w:vAlign w:val="center"/>
          </w:tcPr>
          <w:p w14:paraId="36F92712">
            <w:pPr>
              <w:rPr>
                <w:rFonts w:ascii="宋体" w:hAnsi="宋体" w:cs="宋体"/>
                <w:color w:val="auto"/>
                <w:sz w:val="18"/>
                <w:szCs w:val="18"/>
                <w:highlight w:val="none"/>
              </w:rPr>
            </w:pPr>
            <w:r>
              <w:rPr>
                <w:rFonts w:hint="eastAsia" w:ascii="宋体" w:hAnsi="宋体" w:cs="宋体"/>
                <w:color w:val="auto"/>
                <w:sz w:val="18"/>
                <w:szCs w:val="18"/>
                <w:highlight w:val="none"/>
              </w:rPr>
              <w:t>其他安全</w:t>
            </w:r>
          </w:p>
        </w:tc>
        <w:tc>
          <w:tcPr>
            <w:tcW w:w="3350" w:type="dxa"/>
            <w:tcBorders>
              <w:top w:val="single" w:color="auto" w:sz="4" w:space="0"/>
              <w:left w:val="single" w:color="auto" w:sz="4" w:space="0"/>
              <w:bottom w:val="single" w:color="auto" w:sz="4" w:space="0"/>
              <w:right w:val="single" w:color="auto" w:sz="4" w:space="0"/>
            </w:tcBorders>
            <w:vAlign w:val="center"/>
          </w:tcPr>
          <w:p w14:paraId="5363E7B4">
            <w:pPr>
              <w:rPr>
                <w:rFonts w:ascii="宋体" w:hAnsi="宋体" w:cs="宋体"/>
                <w:color w:val="auto"/>
                <w:sz w:val="18"/>
                <w:szCs w:val="18"/>
                <w:highlight w:val="none"/>
              </w:rPr>
            </w:pPr>
            <w:r>
              <w:rPr>
                <w:rFonts w:ascii="宋体" w:hAnsi="宋体" w:cs="宋体"/>
                <w:color w:val="auto"/>
                <w:sz w:val="18"/>
                <w:szCs w:val="18"/>
                <w:highlight w:val="none"/>
              </w:rPr>
              <w:t>14.应安排专人管理和保护好学校固定资产的安全</w:t>
            </w:r>
          </w:p>
        </w:tc>
        <w:tc>
          <w:tcPr>
            <w:tcW w:w="709" w:type="dxa"/>
            <w:tcBorders>
              <w:top w:val="single" w:color="auto" w:sz="4" w:space="0"/>
              <w:left w:val="single" w:color="auto" w:sz="4" w:space="0"/>
              <w:bottom w:val="single" w:color="auto" w:sz="4" w:space="0"/>
              <w:right w:val="single" w:color="auto" w:sz="4" w:space="0"/>
            </w:tcBorders>
            <w:vAlign w:val="center"/>
          </w:tcPr>
          <w:p w14:paraId="771FFA99">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726EC85E">
            <w:pPr>
              <w:rPr>
                <w:rFonts w:ascii="宋体" w:hAnsi="宋体" w:cs="宋体"/>
                <w:color w:val="auto"/>
                <w:sz w:val="18"/>
                <w:szCs w:val="18"/>
                <w:highlight w:val="none"/>
              </w:rPr>
            </w:pPr>
            <w:r>
              <w:rPr>
                <w:rFonts w:hint="eastAsia" w:ascii="宋体" w:hAnsi="宋体" w:cs="宋体"/>
                <w:color w:val="auto"/>
                <w:sz w:val="18"/>
                <w:szCs w:val="18"/>
                <w:highlight w:val="none"/>
              </w:rPr>
              <w:t>资产损坏未及时修复的支付违约金</w:t>
            </w:r>
            <w:r>
              <w:rPr>
                <w:rFonts w:ascii="宋体" w:hAnsi="宋体" w:cs="宋体"/>
                <w:color w:val="auto"/>
                <w:sz w:val="18"/>
                <w:szCs w:val="18"/>
                <w:highlight w:val="none"/>
              </w:rPr>
              <w:t>1000元/件</w:t>
            </w:r>
          </w:p>
          <w:p w14:paraId="50866F6E">
            <w:pPr>
              <w:rPr>
                <w:rFonts w:ascii="宋体" w:hAnsi="宋体" w:cs="宋体"/>
                <w:color w:val="auto"/>
                <w:sz w:val="18"/>
                <w:szCs w:val="18"/>
                <w:highlight w:val="none"/>
              </w:rPr>
            </w:pPr>
            <w:r>
              <w:rPr>
                <w:rFonts w:hint="eastAsia" w:ascii="宋体" w:hAnsi="宋体" w:cs="宋体"/>
                <w:color w:val="auto"/>
                <w:sz w:val="18"/>
                <w:szCs w:val="18"/>
                <w:highlight w:val="none"/>
              </w:rPr>
              <w:t>按照学校有关固定资产的相关规定除赔偿损失外，另支付违约金</w:t>
            </w:r>
            <w:r>
              <w:rPr>
                <w:rFonts w:ascii="宋体" w:hAnsi="宋体" w:cs="宋体"/>
                <w:color w:val="auto"/>
                <w:sz w:val="18"/>
                <w:szCs w:val="18"/>
                <w:highlight w:val="none"/>
              </w:rPr>
              <w:t>2000元/件</w:t>
            </w:r>
          </w:p>
        </w:tc>
        <w:tc>
          <w:tcPr>
            <w:tcW w:w="1559" w:type="dxa"/>
            <w:tcBorders>
              <w:top w:val="single" w:color="auto" w:sz="4" w:space="0"/>
              <w:left w:val="single" w:color="auto" w:sz="4" w:space="0"/>
              <w:bottom w:val="single" w:color="auto" w:sz="4" w:space="0"/>
              <w:right w:val="single" w:color="auto" w:sz="4" w:space="0"/>
            </w:tcBorders>
            <w:vAlign w:val="center"/>
          </w:tcPr>
          <w:p w14:paraId="7D67DD27">
            <w:pPr>
              <w:rPr>
                <w:rFonts w:ascii="宋体" w:hAnsi="宋体" w:cs="宋体"/>
                <w:color w:val="auto"/>
                <w:sz w:val="18"/>
                <w:szCs w:val="18"/>
                <w:highlight w:val="none"/>
              </w:rPr>
            </w:pPr>
            <w:r>
              <w:rPr>
                <w:rFonts w:hint="eastAsia" w:ascii="宋体" w:hAnsi="宋体" w:cs="宋体"/>
                <w:color w:val="auto"/>
                <w:sz w:val="18"/>
                <w:szCs w:val="18"/>
                <w:highlight w:val="none"/>
              </w:rPr>
              <w:t>资产损坏未及时修复的扣</w:t>
            </w:r>
            <w:r>
              <w:rPr>
                <w:rFonts w:ascii="宋体" w:hAnsi="宋体" w:cs="宋体"/>
                <w:color w:val="auto"/>
                <w:sz w:val="18"/>
                <w:szCs w:val="18"/>
                <w:highlight w:val="none"/>
              </w:rPr>
              <w:t xml:space="preserve">1分/件，资产遗失的扣2分/件 </w:t>
            </w:r>
          </w:p>
        </w:tc>
      </w:tr>
      <w:tr w14:paraId="0C15D61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3444A4B">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ADF3E6B">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vAlign w:val="center"/>
          </w:tcPr>
          <w:p w14:paraId="0A6317DA">
            <w:pPr>
              <w:rPr>
                <w:rFonts w:ascii="宋体" w:hAnsi="宋体" w:cs="宋体"/>
                <w:color w:val="auto"/>
                <w:sz w:val="18"/>
                <w:szCs w:val="18"/>
                <w:highlight w:val="none"/>
              </w:rPr>
            </w:pPr>
            <w:r>
              <w:rPr>
                <w:rFonts w:hint="eastAsia" w:ascii="宋体" w:hAnsi="宋体" w:cs="宋体"/>
                <w:color w:val="auto"/>
                <w:sz w:val="18"/>
                <w:szCs w:val="18"/>
                <w:highlight w:val="none"/>
              </w:rPr>
              <w:t>事故预防制度</w:t>
            </w:r>
          </w:p>
        </w:tc>
        <w:tc>
          <w:tcPr>
            <w:tcW w:w="3350" w:type="dxa"/>
            <w:tcBorders>
              <w:top w:val="single" w:color="auto" w:sz="4" w:space="0"/>
              <w:left w:val="single" w:color="auto" w:sz="4" w:space="0"/>
              <w:bottom w:val="single" w:color="auto" w:sz="4" w:space="0"/>
              <w:right w:val="single" w:color="auto" w:sz="4" w:space="0"/>
            </w:tcBorders>
            <w:vAlign w:val="center"/>
          </w:tcPr>
          <w:p w14:paraId="4F2C022F">
            <w:pPr>
              <w:rPr>
                <w:rFonts w:ascii="宋体" w:hAnsi="宋体" w:cs="宋体"/>
                <w:color w:val="auto"/>
                <w:sz w:val="18"/>
                <w:szCs w:val="18"/>
                <w:highlight w:val="none"/>
              </w:rPr>
            </w:pPr>
            <w:r>
              <w:rPr>
                <w:rFonts w:ascii="宋体" w:hAnsi="宋体" w:cs="宋体"/>
                <w:color w:val="auto"/>
                <w:sz w:val="18"/>
                <w:szCs w:val="18"/>
                <w:highlight w:val="none"/>
              </w:rPr>
              <w:t>15.应对从业人员进行卫生安全知识培训，建有预防食物中毒事故预案及突发安全事件预案</w:t>
            </w:r>
          </w:p>
        </w:tc>
        <w:tc>
          <w:tcPr>
            <w:tcW w:w="709" w:type="dxa"/>
            <w:tcBorders>
              <w:top w:val="single" w:color="auto" w:sz="4" w:space="0"/>
              <w:left w:val="single" w:color="auto" w:sz="4" w:space="0"/>
              <w:bottom w:val="single" w:color="auto" w:sz="4" w:space="0"/>
              <w:right w:val="single" w:color="auto" w:sz="4" w:space="0"/>
            </w:tcBorders>
            <w:vAlign w:val="center"/>
          </w:tcPr>
          <w:p w14:paraId="42462296">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6600178A">
            <w:pPr>
              <w:rPr>
                <w:rFonts w:ascii="宋体" w:hAnsi="宋体" w:cs="宋体"/>
                <w:color w:val="auto"/>
                <w:sz w:val="18"/>
                <w:szCs w:val="18"/>
                <w:highlight w:val="none"/>
              </w:rPr>
            </w:pPr>
            <w:r>
              <w:rPr>
                <w:rFonts w:hint="eastAsia" w:ascii="宋体" w:hAnsi="宋体" w:cs="宋体"/>
                <w:color w:val="auto"/>
                <w:sz w:val="18"/>
                <w:szCs w:val="18"/>
                <w:highlight w:val="none"/>
              </w:rPr>
              <w:t>缺预案、未按要求开展培训和培训不到位的支付违约金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69F5D288">
            <w:pPr>
              <w:rPr>
                <w:rFonts w:ascii="宋体" w:hAnsi="宋体" w:cs="宋体"/>
                <w:color w:val="auto"/>
                <w:sz w:val="18"/>
                <w:szCs w:val="18"/>
                <w:highlight w:val="none"/>
              </w:rPr>
            </w:pPr>
            <w:r>
              <w:rPr>
                <w:rFonts w:hint="eastAsia" w:ascii="宋体" w:hAnsi="宋体" w:cs="宋体"/>
                <w:color w:val="auto"/>
                <w:sz w:val="18"/>
                <w:szCs w:val="18"/>
                <w:highlight w:val="none"/>
              </w:rPr>
              <w:t>缺预案、未按要求开展培训和培训不到位扣</w:t>
            </w:r>
            <w:r>
              <w:rPr>
                <w:rFonts w:ascii="宋体" w:hAnsi="宋体" w:cs="宋体"/>
                <w:color w:val="auto"/>
                <w:sz w:val="18"/>
                <w:szCs w:val="18"/>
                <w:highlight w:val="none"/>
              </w:rPr>
              <w:t>1分/次</w:t>
            </w:r>
          </w:p>
        </w:tc>
      </w:tr>
      <w:tr w14:paraId="7D2E6FE6">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5A7D2CE">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D36B48C">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02220C24">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5BEAA02B">
            <w:pPr>
              <w:rPr>
                <w:rFonts w:ascii="宋体" w:hAnsi="宋体" w:cs="宋体"/>
                <w:color w:val="auto"/>
                <w:sz w:val="18"/>
                <w:szCs w:val="18"/>
                <w:highlight w:val="none"/>
              </w:rPr>
            </w:pPr>
            <w:r>
              <w:rPr>
                <w:rFonts w:ascii="宋体" w:hAnsi="宋体" w:cs="宋体"/>
                <w:color w:val="auto"/>
                <w:sz w:val="18"/>
                <w:szCs w:val="18"/>
                <w:highlight w:val="none"/>
              </w:rPr>
              <w:t>16.应对从业人员进行消防安全知识培训，建有因电气、燃气、油锅着火应急处理机制及预案</w:t>
            </w:r>
          </w:p>
        </w:tc>
        <w:tc>
          <w:tcPr>
            <w:tcW w:w="709" w:type="dxa"/>
            <w:tcBorders>
              <w:top w:val="single" w:color="auto" w:sz="4" w:space="0"/>
              <w:left w:val="single" w:color="auto" w:sz="4" w:space="0"/>
              <w:bottom w:val="single" w:color="auto" w:sz="4" w:space="0"/>
              <w:right w:val="single" w:color="auto" w:sz="4" w:space="0"/>
            </w:tcBorders>
            <w:vAlign w:val="center"/>
          </w:tcPr>
          <w:p w14:paraId="715F7957">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400AF657">
            <w:pPr>
              <w:rPr>
                <w:rFonts w:ascii="宋体" w:hAnsi="宋体" w:cs="宋体"/>
                <w:color w:val="auto"/>
                <w:sz w:val="18"/>
                <w:szCs w:val="18"/>
                <w:highlight w:val="none"/>
              </w:rPr>
            </w:pPr>
            <w:r>
              <w:rPr>
                <w:rFonts w:hint="eastAsia" w:ascii="宋体" w:hAnsi="宋体" w:cs="宋体"/>
                <w:color w:val="auto"/>
                <w:sz w:val="18"/>
                <w:szCs w:val="18"/>
                <w:highlight w:val="none"/>
              </w:rPr>
              <w:t>缺一项预案支付违约金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27129818">
            <w:pPr>
              <w:rPr>
                <w:rFonts w:ascii="宋体" w:hAnsi="宋体" w:cs="宋体"/>
                <w:color w:val="auto"/>
                <w:sz w:val="18"/>
                <w:szCs w:val="18"/>
                <w:highlight w:val="none"/>
              </w:rPr>
            </w:pPr>
            <w:r>
              <w:rPr>
                <w:rFonts w:hint="eastAsia" w:ascii="宋体" w:hAnsi="宋体" w:cs="宋体"/>
                <w:color w:val="auto"/>
                <w:sz w:val="18"/>
                <w:szCs w:val="18"/>
                <w:highlight w:val="none"/>
              </w:rPr>
              <w:t>缺一项预案扣</w:t>
            </w:r>
            <w:r>
              <w:rPr>
                <w:rFonts w:ascii="宋体" w:hAnsi="宋体" w:cs="宋体"/>
                <w:color w:val="auto"/>
                <w:sz w:val="18"/>
                <w:szCs w:val="18"/>
                <w:highlight w:val="none"/>
              </w:rPr>
              <w:t>1分/次</w:t>
            </w:r>
          </w:p>
        </w:tc>
      </w:tr>
      <w:tr w14:paraId="6D4B68FD">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8528C2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20524CB">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4C1BED0">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7EB01BDD">
            <w:pPr>
              <w:rPr>
                <w:rFonts w:ascii="宋体" w:hAnsi="宋体" w:cs="宋体"/>
                <w:color w:val="auto"/>
                <w:sz w:val="18"/>
                <w:szCs w:val="18"/>
                <w:highlight w:val="none"/>
              </w:rPr>
            </w:pPr>
            <w:r>
              <w:rPr>
                <w:rFonts w:ascii="宋体" w:hAnsi="宋体" w:cs="宋体"/>
                <w:color w:val="auto"/>
                <w:sz w:val="18"/>
                <w:szCs w:val="18"/>
                <w:highlight w:val="none"/>
              </w:rPr>
              <w:t>17.应对从业人员进行设备使用培训，建有机械设备、用电、用气(汽)安全操作规程</w:t>
            </w:r>
          </w:p>
        </w:tc>
        <w:tc>
          <w:tcPr>
            <w:tcW w:w="709" w:type="dxa"/>
            <w:tcBorders>
              <w:top w:val="single" w:color="auto" w:sz="4" w:space="0"/>
              <w:left w:val="single" w:color="auto" w:sz="4" w:space="0"/>
              <w:bottom w:val="single" w:color="auto" w:sz="4" w:space="0"/>
              <w:right w:val="single" w:color="auto" w:sz="4" w:space="0"/>
            </w:tcBorders>
            <w:vAlign w:val="center"/>
          </w:tcPr>
          <w:p w14:paraId="3B59D83C">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A1DC396">
            <w:pPr>
              <w:rPr>
                <w:rFonts w:ascii="宋体" w:hAnsi="宋体" w:cs="宋体"/>
                <w:color w:val="auto"/>
                <w:sz w:val="18"/>
                <w:szCs w:val="18"/>
                <w:highlight w:val="none"/>
              </w:rPr>
            </w:pPr>
            <w:r>
              <w:rPr>
                <w:rFonts w:hint="eastAsia" w:ascii="宋体" w:hAnsi="宋体" w:cs="宋体"/>
                <w:color w:val="auto"/>
                <w:sz w:val="18"/>
                <w:szCs w:val="18"/>
                <w:highlight w:val="none"/>
              </w:rPr>
              <w:t>缺一项操作规程支付违约金</w:t>
            </w:r>
            <w:r>
              <w:rPr>
                <w:rFonts w:ascii="宋体" w:hAnsi="宋体" w:cs="宋体"/>
                <w:color w:val="auto"/>
                <w:sz w:val="18"/>
                <w:szCs w:val="18"/>
                <w:highlight w:val="none"/>
              </w:rPr>
              <w:t>1000元/次</w:t>
            </w:r>
          </w:p>
          <w:p w14:paraId="0AC352D2">
            <w:pPr>
              <w:rPr>
                <w:rFonts w:ascii="宋体" w:hAnsi="宋体" w:cs="宋体"/>
                <w:color w:val="auto"/>
                <w:sz w:val="18"/>
                <w:szCs w:val="18"/>
                <w:highlight w:val="none"/>
              </w:rPr>
            </w:pPr>
            <w:r>
              <w:rPr>
                <w:rFonts w:hint="eastAsia" w:ascii="宋体" w:hAnsi="宋体" w:cs="宋体"/>
                <w:color w:val="auto"/>
                <w:sz w:val="18"/>
                <w:szCs w:val="18"/>
                <w:highlight w:val="none"/>
              </w:rPr>
              <w:t>违规操作支付违约金</w:t>
            </w:r>
            <w:r>
              <w:rPr>
                <w:rFonts w:ascii="宋体" w:hAnsi="宋体" w:cs="宋体"/>
                <w:color w:val="auto"/>
                <w:sz w:val="18"/>
                <w:szCs w:val="18"/>
                <w:highlight w:val="none"/>
              </w:rPr>
              <w:t>5000元/次</w:t>
            </w:r>
          </w:p>
        </w:tc>
        <w:tc>
          <w:tcPr>
            <w:tcW w:w="1559" w:type="dxa"/>
            <w:tcBorders>
              <w:top w:val="single" w:color="auto" w:sz="4" w:space="0"/>
              <w:left w:val="single" w:color="auto" w:sz="4" w:space="0"/>
              <w:bottom w:val="single" w:color="auto" w:sz="4" w:space="0"/>
              <w:right w:val="single" w:color="auto" w:sz="4" w:space="0"/>
            </w:tcBorders>
            <w:vAlign w:val="center"/>
          </w:tcPr>
          <w:p w14:paraId="5B8DFAED">
            <w:pPr>
              <w:rPr>
                <w:rFonts w:ascii="宋体" w:hAnsi="宋体" w:cs="宋体"/>
                <w:color w:val="auto"/>
                <w:sz w:val="18"/>
                <w:szCs w:val="18"/>
                <w:highlight w:val="none"/>
              </w:rPr>
            </w:pPr>
            <w:r>
              <w:rPr>
                <w:rFonts w:hint="eastAsia" w:ascii="宋体" w:hAnsi="宋体" w:cs="宋体"/>
                <w:color w:val="auto"/>
                <w:sz w:val="18"/>
                <w:szCs w:val="18"/>
                <w:highlight w:val="none"/>
              </w:rPr>
              <w:t>缺一项操作规程扣</w:t>
            </w:r>
            <w:r>
              <w:rPr>
                <w:rFonts w:ascii="宋体" w:hAnsi="宋体" w:cs="宋体"/>
                <w:color w:val="auto"/>
                <w:sz w:val="18"/>
                <w:szCs w:val="18"/>
                <w:highlight w:val="none"/>
              </w:rPr>
              <w:t>1分/次</w:t>
            </w:r>
          </w:p>
          <w:p w14:paraId="7DAEF77A">
            <w:pPr>
              <w:rPr>
                <w:rFonts w:ascii="宋体" w:hAnsi="宋体" w:cs="宋体"/>
                <w:color w:val="auto"/>
                <w:sz w:val="18"/>
                <w:szCs w:val="18"/>
                <w:highlight w:val="none"/>
              </w:rPr>
            </w:pPr>
            <w:r>
              <w:rPr>
                <w:rFonts w:hint="eastAsia" w:ascii="宋体" w:hAnsi="宋体" w:cs="宋体"/>
                <w:color w:val="auto"/>
                <w:sz w:val="18"/>
                <w:szCs w:val="18"/>
                <w:highlight w:val="none"/>
              </w:rPr>
              <w:t>违规操作扣</w:t>
            </w:r>
            <w:r>
              <w:rPr>
                <w:rFonts w:ascii="宋体" w:hAnsi="宋体" w:cs="宋体"/>
                <w:color w:val="auto"/>
                <w:sz w:val="18"/>
                <w:szCs w:val="18"/>
                <w:highlight w:val="none"/>
              </w:rPr>
              <w:t>2分/次</w:t>
            </w:r>
          </w:p>
        </w:tc>
      </w:tr>
      <w:tr w14:paraId="78929F2D">
        <w:tblPrEx>
          <w:tblCellMar>
            <w:top w:w="0" w:type="dxa"/>
            <w:left w:w="108" w:type="dxa"/>
            <w:bottom w:w="0" w:type="dxa"/>
            <w:right w:w="108" w:type="dxa"/>
          </w:tblCellMar>
        </w:tblPrEx>
        <w:trPr>
          <w:trHeight w:val="960"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678FCB6D">
            <w:pPr>
              <w:rPr>
                <w:rFonts w:ascii="宋体" w:hAnsi="宋体" w:cs="宋体"/>
                <w:color w:val="auto"/>
                <w:sz w:val="18"/>
                <w:szCs w:val="18"/>
                <w:highlight w:val="none"/>
              </w:rPr>
            </w:pPr>
            <w:r>
              <w:rPr>
                <w:rFonts w:hint="eastAsia" w:ascii="宋体" w:hAnsi="宋体" w:cs="宋体"/>
                <w:color w:val="auto"/>
                <w:sz w:val="18"/>
                <w:szCs w:val="18"/>
                <w:highlight w:val="none"/>
              </w:rPr>
              <w:t>二</w:t>
            </w:r>
          </w:p>
        </w:tc>
        <w:tc>
          <w:tcPr>
            <w:tcW w:w="63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93C5B4C">
            <w:pPr>
              <w:rPr>
                <w:rFonts w:ascii="宋体" w:hAnsi="宋体" w:cs="宋体"/>
                <w:color w:val="auto"/>
                <w:sz w:val="18"/>
                <w:szCs w:val="18"/>
                <w:highlight w:val="none"/>
              </w:rPr>
            </w:pPr>
            <w:r>
              <w:rPr>
                <w:rFonts w:hint="eastAsia" w:ascii="宋体" w:hAnsi="宋体" w:cs="宋体"/>
                <w:color w:val="auto"/>
                <w:sz w:val="18"/>
                <w:szCs w:val="18"/>
                <w:highlight w:val="none"/>
              </w:rPr>
              <w:t>食品管理</w:t>
            </w: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91BC34F">
            <w:pPr>
              <w:jc w:val="center"/>
              <w:rPr>
                <w:rFonts w:ascii="宋体" w:hAnsi="宋体" w:cs="宋体"/>
                <w:color w:val="auto"/>
                <w:sz w:val="18"/>
                <w:szCs w:val="18"/>
                <w:highlight w:val="none"/>
              </w:rPr>
            </w:pPr>
            <w:r>
              <w:rPr>
                <w:rFonts w:hint="eastAsia" w:ascii="宋体" w:hAnsi="宋体" w:cs="宋体"/>
                <w:color w:val="auto"/>
                <w:sz w:val="18"/>
                <w:szCs w:val="18"/>
                <w:highlight w:val="none"/>
              </w:rPr>
              <w:t>采购</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6E644ABE">
            <w:pPr>
              <w:rPr>
                <w:rFonts w:ascii="宋体" w:hAnsi="宋体" w:cs="宋体"/>
                <w:color w:val="auto"/>
                <w:sz w:val="18"/>
                <w:szCs w:val="18"/>
                <w:highlight w:val="none"/>
              </w:rPr>
            </w:pPr>
            <w:r>
              <w:rPr>
                <w:rFonts w:ascii="宋体" w:hAnsi="宋体" w:cs="宋体"/>
                <w:color w:val="auto"/>
                <w:sz w:val="18"/>
                <w:szCs w:val="18"/>
                <w:highlight w:val="none"/>
              </w:rPr>
              <w:t>18.建立食品安全追溯体系，保证食品可追溯。必须落实原材料公司统一、集中定点采购制度，食品原材料采购应符合国家有关规定以及学校要求，不得采购临期和过期食品。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CA2D66">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75CC3E3B">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D83B06E">
            <w:pPr>
              <w:rPr>
                <w:rFonts w:ascii="宋体" w:hAnsi="宋体" w:cs="宋体"/>
                <w:color w:val="auto"/>
                <w:sz w:val="18"/>
                <w:szCs w:val="18"/>
                <w:highlight w:val="none"/>
              </w:rPr>
            </w:pPr>
            <w:r>
              <w:rPr>
                <w:rFonts w:hint="eastAsia" w:ascii="宋体" w:hAnsi="宋体" w:cs="宋体"/>
                <w:color w:val="auto"/>
                <w:sz w:val="18"/>
                <w:szCs w:val="18"/>
                <w:highlight w:val="none"/>
              </w:rPr>
              <w:t>违规采购的支付违约金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4392C9D">
            <w:pPr>
              <w:rPr>
                <w:rFonts w:ascii="宋体" w:hAnsi="宋体" w:cs="宋体"/>
                <w:color w:val="auto"/>
                <w:sz w:val="18"/>
                <w:szCs w:val="18"/>
                <w:highlight w:val="none"/>
              </w:rPr>
            </w:pPr>
            <w:r>
              <w:rPr>
                <w:rFonts w:hint="eastAsia" w:ascii="宋体" w:hAnsi="宋体" w:cs="宋体"/>
                <w:color w:val="auto"/>
                <w:sz w:val="18"/>
                <w:szCs w:val="18"/>
                <w:highlight w:val="none"/>
              </w:rPr>
              <w:t>违规采购的扣</w:t>
            </w:r>
            <w:r>
              <w:rPr>
                <w:rFonts w:ascii="宋体" w:hAnsi="宋体" w:cs="宋体"/>
                <w:color w:val="auto"/>
                <w:sz w:val="18"/>
                <w:szCs w:val="18"/>
                <w:highlight w:val="none"/>
              </w:rPr>
              <w:t>5分/次</w:t>
            </w:r>
          </w:p>
        </w:tc>
      </w:tr>
      <w:tr w14:paraId="41B4B0DF">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95901B9">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119314B">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B2188BF">
            <w:pPr>
              <w:jc w:val="cente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312796A3">
            <w:pPr>
              <w:rPr>
                <w:rFonts w:ascii="宋体" w:hAnsi="宋体" w:cs="宋体"/>
                <w:color w:val="auto"/>
                <w:sz w:val="18"/>
                <w:szCs w:val="18"/>
                <w:highlight w:val="none"/>
              </w:rPr>
            </w:pPr>
            <w:r>
              <w:rPr>
                <w:rFonts w:ascii="宋体" w:hAnsi="宋体" w:cs="宋体"/>
                <w:color w:val="auto"/>
                <w:sz w:val="18"/>
                <w:szCs w:val="18"/>
                <w:highlight w:val="none"/>
              </w:rPr>
              <w:t>19.主要原材料应建立定点供货单位及采购品种备案制度，供货单位必须持有营业执照、卫生许可证、动植物检疫合格证等相关证件并建立台帐。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3AB486">
            <w:pPr>
              <w:rPr>
                <w:rFonts w:ascii="宋体" w:hAnsi="宋体" w:cs="宋体"/>
                <w:color w:val="auto"/>
                <w:sz w:val="18"/>
                <w:szCs w:val="18"/>
                <w:highlight w:val="none"/>
              </w:rPr>
            </w:pPr>
            <w:r>
              <w:rPr>
                <w:rFonts w:hint="eastAsia" w:ascii="宋体" w:hAnsi="宋体" w:cs="宋体"/>
                <w:color w:val="auto"/>
                <w:sz w:val="18"/>
                <w:szCs w:val="18"/>
                <w:highlight w:val="none"/>
              </w:rPr>
              <w:t>查看证件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9469D97">
            <w:pPr>
              <w:rPr>
                <w:rFonts w:ascii="宋体" w:hAnsi="宋体" w:cs="宋体"/>
                <w:color w:val="auto"/>
                <w:sz w:val="18"/>
                <w:szCs w:val="18"/>
                <w:highlight w:val="none"/>
              </w:rPr>
            </w:pPr>
            <w:r>
              <w:rPr>
                <w:rFonts w:hint="eastAsia" w:ascii="宋体" w:hAnsi="宋体" w:cs="宋体"/>
                <w:color w:val="auto"/>
                <w:sz w:val="18"/>
                <w:szCs w:val="18"/>
                <w:highlight w:val="none"/>
              </w:rPr>
              <w:t>无采购合同备案及相关证件的每缺一项支付违约金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vAlign w:val="center"/>
          </w:tcPr>
          <w:p w14:paraId="065A2E29">
            <w:pPr>
              <w:rPr>
                <w:rFonts w:ascii="宋体" w:hAnsi="宋体" w:cs="宋体"/>
                <w:color w:val="auto"/>
                <w:sz w:val="18"/>
                <w:szCs w:val="18"/>
                <w:highlight w:val="none"/>
              </w:rPr>
            </w:pPr>
            <w:r>
              <w:rPr>
                <w:rFonts w:hint="eastAsia" w:ascii="宋体" w:hAnsi="宋体" w:cs="宋体"/>
                <w:color w:val="auto"/>
                <w:sz w:val="18"/>
                <w:szCs w:val="18"/>
                <w:highlight w:val="none"/>
              </w:rPr>
              <w:t>无采购合同备案及相关证件的每缺一项扣</w:t>
            </w:r>
            <w:r>
              <w:rPr>
                <w:rFonts w:ascii="宋体" w:hAnsi="宋体" w:cs="宋体"/>
                <w:color w:val="auto"/>
                <w:sz w:val="18"/>
                <w:szCs w:val="18"/>
                <w:highlight w:val="none"/>
              </w:rPr>
              <w:t>5分</w:t>
            </w:r>
          </w:p>
        </w:tc>
      </w:tr>
      <w:tr w14:paraId="238064F3">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5620F2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F10706A">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69A6564">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128494B2">
            <w:pPr>
              <w:rPr>
                <w:rFonts w:ascii="宋体" w:hAnsi="宋体" w:cs="宋体"/>
                <w:color w:val="auto"/>
                <w:sz w:val="18"/>
                <w:szCs w:val="18"/>
                <w:highlight w:val="none"/>
              </w:rPr>
            </w:pPr>
            <w:r>
              <w:rPr>
                <w:rFonts w:ascii="宋体" w:hAnsi="宋体" w:cs="宋体"/>
                <w:color w:val="auto"/>
                <w:sz w:val="18"/>
                <w:szCs w:val="18"/>
                <w:highlight w:val="none"/>
              </w:rPr>
              <w:t>20.建立落实采购登记台账制度（电子与纸质）和食品原材料索证（肉类品质检验合格证、动植物检疫合格证等）、索票制度，每批次物品应有生产厂家、产地、生产日期、保质期及QS认证等标识。</w:t>
            </w:r>
          </w:p>
        </w:tc>
        <w:tc>
          <w:tcPr>
            <w:tcW w:w="709" w:type="dxa"/>
            <w:tcBorders>
              <w:top w:val="single" w:color="auto" w:sz="4" w:space="0"/>
              <w:left w:val="single" w:color="auto" w:sz="4" w:space="0"/>
              <w:bottom w:val="single" w:color="auto" w:sz="4" w:space="0"/>
              <w:right w:val="single" w:color="auto" w:sz="4" w:space="0"/>
            </w:tcBorders>
            <w:vAlign w:val="center"/>
          </w:tcPr>
          <w:p w14:paraId="0261FEC7">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787D1B2C">
            <w:pPr>
              <w:rPr>
                <w:rFonts w:ascii="宋体" w:hAnsi="宋体" w:cs="宋体"/>
                <w:color w:val="auto"/>
                <w:sz w:val="18"/>
                <w:szCs w:val="18"/>
                <w:highlight w:val="none"/>
              </w:rPr>
            </w:pPr>
            <w:r>
              <w:rPr>
                <w:rFonts w:hint="eastAsia" w:ascii="宋体" w:hAnsi="宋体" w:cs="宋体"/>
                <w:color w:val="auto"/>
                <w:sz w:val="18"/>
                <w:szCs w:val="18"/>
                <w:highlight w:val="none"/>
              </w:rPr>
              <w:t>每缺一项支付违约金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7E8202BE">
            <w:pPr>
              <w:rPr>
                <w:rFonts w:ascii="宋体" w:hAnsi="宋体" w:cs="宋体"/>
                <w:color w:val="auto"/>
                <w:sz w:val="18"/>
                <w:szCs w:val="18"/>
                <w:highlight w:val="none"/>
              </w:rPr>
            </w:pPr>
            <w:r>
              <w:rPr>
                <w:rFonts w:hint="eastAsia" w:ascii="宋体" w:hAnsi="宋体" w:cs="宋体"/>
                <w:color w:val="auto"/>
                <w:sz w:val="18"/>
                <w:szCs w:val="18"/>
                <w:highlight w:val="none"/>
              </w:rPr>
              <w:t>缺项的扣</w:t>
            </w:r>
            <w:r>
              <w:rPr>
                <w:rFonts w:ascii="宋体" w:hAnsi="宋体" w:cs="宋体"/>
                <w:color w:val="auto"/>
                <w:sz w:val="18"/>
                <w:szCs w:val="18"/>
                <w:highlight w:val="none"/>
              </w:rPr>
              <w:t>1分/项/次</w:t>
            </w:r>
          </w:p>
        </w:tc>
      </w:tr>
      <w:tr w14:paraId="5965C6E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03939F9">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3445724">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D328FFB">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6B18B941">
            <w:pPr>
              <w:rPr>
                <w:rFonts w:ascii="宋体" w:hAnsi="宋体" w:cs="宋体"/>
                <w:color w:val="auto"/>
                <w:sz w:val="18"/>
                <w:szCs w:val="18"/>
                <w:highlight w:val="none"/>
              </w:rPr>
            </w:pPr>
            <w:r>
              <w:rPr>
                <w:rFonts w:ascii="宋体" w:hAnsi="宋体" w:cs="宋体"/>
                <w:color w:val="auto"/>
                <w:sz w:val="18"/>
                <w:szCs w:val="18"/>
                <w:highlight w:val="none"/>
              </w:rPr>
              <w:t>21.采购的原材料应符合国家有关标准和本合同规定</w:t>
            </w:r>
          </w:p>
        </w:tc>
        <w:tc>
          <w:tcPr>
            <w:tcW w:w="709" w:type="dxa"/>
            <w:tcBorders>
              <w:top w:val="single" w:color="auto" w:sz="4" w:space="0"/>
              <w:left w:val="single" w:color="auto" w:sz="4" w:space="0"/>
              <w:bottom w:val="single" w:color="auto" w:sz="4" w:space="0"/>
              <w:right w:val="single" w:color="auto" w:sz="4" w:space="0"/>
            </w:tcBorders>
            <w:vAlign w:val="center"/>
          </w:tcPr>
          <w:p w14:paraId="21998E42">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E938EC0">
            <w:pPr>
              <w:rPr>
                <w:rFonts w:ascii="宋体" w:hAnsi="宋体" w:cs="宋体"/>
                <w:color w:val="auto"/>
                <w:sz w:val="18"/>
                <w:szCs w:val="18"/>
                <w:highlight w:val="none"/>
              </w:rPr>
            </w:pPr>
            <w:r>
              <w:rPr>
                <w:rFonts w:hint="eastAsia" w:ascii="宋体" w:hAnsi="宋体" w:cs="宋体"/>
                <w:color w:val="auto"/>
                <w:sz w:val="18"/>
                <w:szCs w:val="18"/>
                <w:highlight w:val="none"/>
              </w:rPr>
              <w:t>每违规采购一次支付违约金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vAlign w:val="center"/>
          </w:tcPr>
          <w:p w14:paraId="33368D0E">
            <w:pPr>
              <w:rPr>
                <w:rFonts w:ascii="宋体" w:hAnsi="宋体" w:cs="宋体"/>
                <w:color w:val="auto"/>
                <w:sz w:val="18"/>
                <w:szCs w:val="18"/>
                <w:highlight w:val="none"/>
              </w:rPr>
            </w:pPr>
            <w:r>
              <w:rPr>
                <w:rFonts w:hint="eastAsia" w:ascii="宋体" w:hAnsi="宋体" w:cs="宋体"/>
                <w:color w:val="auto"/>
                <w:sz w:val="18"/>
                <w:szCs w:val="18"/>
                <w:highlight w:val="none"/>
              </w:rPr>
              <w:t>违规采购扣</w:t>
            </w:r>
            <w:r>
              <w:rPr>
                <w:rFonts w:ascii="宋体" w:hAnsi="宋体" w:cs="宋体"/>
                <w:color w:val="auto"/>
                <w:sz w:val="18"/>
                <w:szCs w:val="18"/>
                <w:highlight w:val="none"/>
              </w:rPr>
              <w:t>5分/次</w:t>
            </w:r>
          </w:p>
        </w:tc>
      </w:tr>
      <w:tr w14:paraId="01983CF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8F163E4">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715E207">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D2E8D21">
            <w:pPr>
              <w:jc w:val="center"/>
              <w:rPr>
                <w:rFonts w:ascii="宋体" w:hAnsi="宋体" w:cs="宋体"/>
                <w:color w:val="auto"/>
                <w:sz w:val="18"/>
                <w:szCs w:val="18"/>
                <w:highlight w:val="none"/>
              </w:rPr>
            </w:pPr>
            <w:r>
              <w:rPr>
                <w:rFonts w:hint="eastAsia" w:ascii="宋体" w:hAnsi="宋体" w:cs="宋体"/>
                <w:color w:val="auto"/>
                <w:sz w:val="18"/>
                <w:szCs w:val="18"/>
                <w:highlight w:val="none"/>
              </w:rPr>
              <w:t>存储</w:t>
            </w:r>
          </w:p>
        </w:tc>
        <w:tc>
          <w:tcPr>
            <w:tcW w:w="3350" w:type="dxa"/>
            <w:tcBorders>
              <w:top w:val="single" w:color="auto" w:sz="4" w:space="0"/>
              <w:left w:val="single" w:color="auto" w:sz="4" w:space="0"/>
              <w:bottom w:val="single" w:color="auto" w:sz="4" w:space="0"/>
              <w:right w:val="single" w:color="auto" w:sz="4" w:space="0"/>
            </w:tcBorders>
            <w:vAlign w:val="center"/>
          </w:tcPr>
          <w:p w14:paraId="56B31FFB">
            <w:pPr>
              <w:rPr>
                <w:rFonts w:ascii="宋体" w:hAnsi="宋体" w:cs="宋体"/>
                <w:color w:val="auto"/>
                <w:sz w:val="18"/>
                <w:szCs w:val="18"/>
                <w:highlight w:val="none"/>
              </w:rPr>
            </w:pPr>
            <w:r>
              <w:rPr>
                <w:rFonts w:ascii="宋体" w:hAnsi="宋体" w:cs="宋体"/>
                <w:color w:val="auto"/>
                <w:sz w:val="18"/>
                <w:szCs w:val="18"/>
                <w:highlight w:val="none"/>
              </w:rPr>
              <w:t>22.仓库管理规范，物资分类存放，食品贮藏应做到原料、半成品、成品严格分开，做到生、熟分开，植物性食品、动物性食品和水产品分类摆放，冷藏柜(库)存放食品有标志。散装食品应标</w:t>
            </w:r>
            <w:r>
              <w:rPr>
                <w:rFonts w:hint="eastAsia" w:ascii="宋体" w:hAnsi="宋体" w:cs="宋体"/>
                <w:color w:val="auto"/>
                <w:sz w:val="18"/>
                <w:szCs w:val="18"/>
                <w:highlight w:val="none"/>
              </w:rPr>
              <w:t>明食品的名称、生产日期或生产批号、使用期限等内容，装入密闭容器或使用保鲜膜等无污染覆盖贮存。</w:t>
            </w:r>
          </w:p>
        </w:tc>
        <w:tc>
          <w:tcPr>
            <w:tcW w:w="709" w:type="dxa"/>
            <w:tcBorders>
              <w:top w:val="single" w:color="auto" w:sz="4" w:space="0"/>
              <w:left w:val="single" w:color="auto" w:sz="4" w:space="0"/>
              <w:bottom w:val="single" w:color="auto" w:sz="4" w:space="0"/>
              <w:right w:val="single" w:color="auto" w:sz="4" w:space="0"/>
            </w:tcBorders>
            <w:vAlign w:val="center"/>
          </w:tcPr>
          <w:p w14:paraId="141D58D8">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18CC7297">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不符合要求每次支付违约金</w:t>
            </w:r>
            <w:r>
              <w:rPr>
                <w:rFonts w:ascii="宋体" w:hAnsi="宋体" w:cs="宋体"/>
                <w:color w:val="auto"/>
                <w:sz w:val="18"/>
                <w:szCs w:val="18"/>
                <w:highlight w:val="none"/>
              </w:rPr>
              <w:t>2000元</w:t>
            </w:r>
          </w:p>
        </w:tc>
        <w:tc>
          <w:tcPr>
            <w:tcW w:w="1559" w:type="dxa"/>
            <w:tcBorders>
              <w:top w:val="single" w:color="auto" w:sz="4" w:space="0"/>
              <w:left w:val="single" w:color="auto" w:sz="4" w:space="0"/>
              <w:bottom w:val="single" w:color="auto" w:sz="4" w:space="0"/>
              <w:right w:val="single" w:color="auto" w:sz="4" w:space="0"/>
            </w:tcBorders>
            <w:vAlign w:val="center"/>
          </w:tcPr>
          <w:p w14:paraId="67C745C6">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2分/次；</w:t>
            </w:r>
          </w:p>
        </w:tc>
      </w:tr>
      <w:tr w14:paraId="41E43407">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0EBE8FB">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DCB9C32">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812EC44">
            <w:pPr>
              <w:jc w:val="cente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3A40E5E0">
            <w:pPr>
              <w:rPr>
                <w:rFonts w:ascii="宋体" w:hAnsi="宋体" w:cs="宋体"/>
                <w:color w:val="auto"/>
                <w:sz w:val="18"/>
                <w:szCs w:val="18"/>
                <w:highlight w:val="none"/>
              </w:rPr>
            </w:pPr>
            <w:r>
              <w:rPr>
                <w:rFonts w:ascii="宋体" w:hAnsi="宋体" w:cs="宋体"/>
                <w:color w:val="auto"/>
                <w:sz w:val="18"/>
                <w:szCs w:val="18"/>
                <w:highlight w:val="none"/>
              </w:rPr>
              <w:t>23.建立严格记录制度，定期清理腐败变质等感官性状异常食品、超过保质期等的相关产品。食品库无过期、变质及非食品物资</w:t>
            </w:r>
          </w:p>
        </w:tc>
        <w:tc>
          <w:tcPr>
            <w:tcW w:w="709" w:type="dxa"/>
            <w:tcBorders>
              <w:top w:val="single" w:color="auto" w:sz="4" w:space="0"/>
              <w:left w:val="single" w:color="auto" w:sz="4" w:space="0"/>
              <w:bottom w:val="single" w:color="auto" w:sz="4" w:space="0"/>
              <w:right w:val="single" w:color="auto" w:sz="4" w:space="0"/>
            </w:tcBorders>
            <w:vAlign w:val="center"/>
          </w:tcPr>
          <w:p w14:paraId="6A5CA06C">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2E52CAFD">
            <w:pPr>
              <w:rPr>
                <w:rFonts w:ascii="宋体" w:hAnsi="宋体" w:cs="宋体"/>
                <w:color w:val="auto"/>
                <w:sz w:val="18"/>
                <w:szCs w:val="18"/>
                <w:highlight w:val="none"/>
              </w:rPr>
            </w:pPr>
            <w:r>
              <w:rPr>
                <w:rFonts w:hint="eastAsia" w:ascii="宋体" w:hAnsi="宋体" w:cs="宋体"/>
                <w:color w:val="auto"/>
                <w:sz w:val="18"/>
                <w:szCs w:val="18"/>
                <w:highlight w:val="none"/>
              </w:rPr>
              <w:t>发现感官性状异常食品的支付违约金</w:t>
            </w:r>
            <w:r>
              <w:rPr>
                <w:rFonts w:ascii="宋体" w:hAnsi="宋体" w:cs="宋体"/>
                <w:color w:val="auto"/>
                <w:sz w:val="18"/>
                <w:szCs w:val="18"/>
                <w:highlight w:val="none"/>
              </w:rPr>
              <w:t>5000元/次，发现腐败变质或超过保质期的相关产品的支付违约金10000元/次</w:t>
            </w:r>
          </w:p>
        </w:tc>
        <w:tc>
          <w:tcPr>
            <w:tcW w:w="1559" w:type="dxa"/>
            <w:tcBorders>
              <w:top w:val="single" w:color="auto" w:sz="4" w:space="0"/>
              <w:left w:val="single" w:color="auto" w:sz="4" w:space="0"/>
              <w:bottom w:val="single" w:color="auto" w:sz="4" w:space="0"/>
              <w:right w:val="single" w:color="auto" w:sz="4" w:space="0"/>
            </w:tcBorders>
            <w:vAlign w:val="center"/>
          </w:tcPr>
          <w:p w14:paraId="51744805">
            <w:pPr>
              <w:rPr>
                <w:rFonts w:ascii="宋体" w:hAnsi="宋体" w:cs="宋体"/>
                <w:color w:val="auto"/>
                <w:sz w:val="18"/>
                <w:szCs w:val="18"/>
                <w:highlight w:val="none"/>
              </w:rPr>
            </w:pPr>
            <w:r>
              <w:rPr>
                <w:rFonts w:hint="eastAsia" w:ascii="宋体" w:hAnsi="宋体" w:cs="宋体"/>
                <w:color w:val="auto"/>
                <w:sz w:val="18"/>
                <w:szCs w:val="18"/>
                <w:highlight w:val="none"/>
              </w:rPr>
              <w:t>发现感官性状异常或腐败变质或超过保质期的相关产品的，涉事当学期考核直接为不合格</w:t>
            </w:r>
          </w:p>
        </w:tc>
      </w:tr>
      <w:tr w14:paraId="0C82580B">
        <w:tblPrEx>
          <w:tblCellMar>
            <w:top w:w="0" w:type="dxa"/>
            <w:left w:w="108" w:type="dxa"/>
            <w:bottom w:w="0" w:type="dxa"/>
            <w:right w:w="108" w:type="dxa"/>
          </w:tblCellMar>
        </w:tblPrEx>
        <w:trPr>
          <w:trHeight w:val="469"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2C846C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87E0904">
            <w:pPr>
              <w:rPr>
                <w:rFonts w:ascii="宋体" w:hAnsi="宋体" w:cs="宋体"/>
                <w:color w:val="auto"/>
                <w:sz w:val="18"/>
                <w:szCs w:val="18"/>
                <w:highlight w:val="none"/>
              </w:rPr>
            </w:pPr>
          </w:p>
        </w:tc>
        <w:tc>
          <w:tcPr>
            <w:tcW w:w="477" w:type="dxa"/>
            <w:tcBorders>
              <w:top w:val="single" w:color="auto" w:sz="4" w:space="0"/>
              <w:left w:val="single" w:color="auto" w:sz="4" w:space="0"/>
              <w:bottom w:val="single" w:color="auto" w:sz="4" w:space="0"/>
              <w:right w:val="single" w:color="auto" w:sz="4" w:space="0"/>
            </w:tcBorders>
            <w:vAlign w:val="center"/>
          </w:tcPr>
          <w:p w14:paraId="4F42A12B">
            <w:pP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77DE46A9">
            <w:pPr>
              <w:rPr>
                <w:rFonts w:ascii="宋体" w:hAnsi="宋体" w:cs="宋体"/>
                <w:color w:val="auto"/>
                <w:sz w:val="18"/>
                <w:szCs w:val="18"/>
                <w:highlight w:val="none"/>
              </w:rPr>
            </w:pPr>
            <w:r>
              <w:rPr>
                <w:rFonts w:ascii="宋体" w:hAnsi="宋体" w:cs="宋体"/>
                <w:color w:val="auto"/>
                <w:sz w:val="18"/>
                <w:szCs w:val="18"/>
                <w:highlight w:val="none"/>
              </w:rPr>
              <w:t>24.盛放食品（含半成品和成品）的容器、包装材料应符合食品安全相关规定。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79F22CE">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4FC0E452">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38C4F8C">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37811DA">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6347DC8A">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AD80A1A">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0EBC7C9">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7484966">
            <w:pPr>
              <w:jc w:val="center"/>
              <w:rPr>
                <w:rFonts w:ascii="宋体" w:hAnsi="宋体" w:cs="宋体"/>
                <w:color w:val="auto"/>
                <w:sz w:val="18"/>
                <w:szCs w:val="18"/>
                <w:highlight w:val="none"/>
              </w:rPr>
            </w:pPr>
            <w:r>
              <w:rPr>
                <w:rFonts w:hint="eastAsia" w:ascii="宋体" w:hAnsi="宋体" w:cs="宋体"/>
                <w:color w:val="auto"/>
                <w:sz w:val="18"/>
                <w:szCs w:val="18"/>
                <w:highlight w:val="none"/>
              </w:rPr>
              <w:t>加工</w:t>
            </w:r>
          </w:p>
        </w:tc>
        <w:tc>
          <w:tcPr>
            <w:tcW w:w="3350" w:type="dxa"/>
            <w:tcBorders>
              <w:top w:val="single" w:color="auto" w:sz="4" w:space="0"/>
              <w:left w:val="single" w:color="auto" w:sz="4" w:space="0"/>
              <w:bottom w:val="single" w:color="auto" w:sz="4" w:space="0"/>
              <w:right w:val="single" w:color="auto" w:sz="4" w:space="0"/>
            </w:tcBorders>
            <w:vAlign w:val="center"/>
          </w:tcPr>
          <w:p w14:paraId="02D757B5">
            <w:pPr>
              <w:rPr>
                <w:rFonts w:ascii="宋体" w:hAnsi="宋体" w:cs="宋体"/>
                <w:color w:val="auto"/>
                <w:sz w:val="18"/>
                <w:szCs w:val="18"/>
                <w:highlight w:val="none"/>
              </w:rPr>
            </w:pPr>
            <w:r>
              <w:rPr>
                <w:rFonts w:ascii="宋体" w:hAnsi="宋体" w:cs="宋体"/>
                <w:color w:val="auto"/>
                <w:sz w:val="18"/>
                <w:szCs w:val="18"/>
                <w:highlight w:val="none"/>
              </w:rPr>
              <w:t>25.食品加工应做到流程合理，操作规范。食品加工、存放、陈列、转运等设施设备应当定期维护、清洗、消毒；保温、冷藏和冷冻设施应当定期清洗、校验。食堂应当设置专用操作区，制定并在显著位置公示加工制作操作规范；备餐操作时应当避免食品受到污染。</w:t>
            </w:r>
          </w:p>
        </w:tc>
        <w:tc>
          <w:tcPr>
            <w:tcW w:w="709" w:type="dxa"/>
            <w:tcBorders>
              <w:top w:val="single" w:color="auto" w:sz="4" w:space="0"/>
              <w:left w:val="single" w:color="auto" w:sz="4" w:space="0"/>
              <w:bottom w:val="single" w:color="auto" w:sz="4" w:space="0"/>
              <w:right w:val="single" w:color="auto" w:sz="4" w:space="0"/>
            </w:tcBorders>
            <w:vAlign w:val="center"/>
          </w:tcPr>
          <w:p w14:paraId="26EE48A5">
            <w:pPr>
              <w:rPr>
                <w:rFonts w:ascii="宋体" w:hAnsi="宋体" w:cs="宋体"/>
                <w:color w:val="auto"/>
                <w:sz w:val="18"/>
                <w:szCs w:val="18"/>
                <w:highlight w:val="none"/>
              </w:rPr>
            </w:pPr>
            <w:r>
              <w:rPr>
                <w:rFonts w:hint="eastAsia" w:ascii="宋体" w:hAnsi="宋体" w:cs="宋体"/>
                <w:color w:val="auto"/>
                <w:sz w:val="18"/>
                <w:szCs w:val="18"/>
                <w:highlight w:val="none"/>
              </w:rPr>
              <w:t>现场查看</w:t>
            </w:r>
          </w:p>
        </w:tc>
        <w:tc>
          <w:tcPr>
            <w:tcW w:w="2693" w:type="dxa"/>
            <w:tcBorders>
              <w:top w:val="single" w:color="auto" w:sz="4" w:space="0"/>
              <w:left w:val="single" w:color="auto" w:sz="4" w:space="0"/>
              <w:bottom w:val="single" w:color="auto" w:sz="4" w:space="0"/>
              <w:right w:val="single" w:color="auto" w:sz="4" w:space="0"/>
            </w:tcBorders>
            <w:vAlign w:val="center"/>
          </w:tcPr>
          <w:p w14:paraId="1C7DD419">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54F804EE">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244FAF97">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FFEC614">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E356F24">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3CCFF1B">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41850CED">
            <w:pPr>
              <w:rPr>
                <w:rFonts w:ascii="宋体" w:hAnsi="宋体" w:cs="宋体"/>
                <w:color w:val="auto"/>
                <w:sz w:val="18"/>
                <w:szCs w:val="18"/>
                <w:highlight w:val="none"/>
              </w:rPr>
            </w:pPr>
            <w:r>
              <w:rPr>
                <w:rFonts w:ascii="宋体" w:hAnsi="宋体" w:cs="宋体"/>
                <w:color w:val="auto"/>
                <w:sz w:val="18"/>
                <w:szCs w:val="18"/>
                <w:highlight w:val="none"/>
              </w:rPr>
              <w:t>26.</w:t>
            </w:r>
            <w:r>
              <w:rPr>
                <w:rFonts w:hint="eastAsia" w:ascii="宋体" w:hAnsi="宋体" w:cs="宋体"/>
                <w:color w:val="auto"/>
                <w:sz w:val="18"/>
                <w:szCs w:val="18"/>
                <w:highlight w:val="none"/>
              </w:rPr>
              <w:t>各类主副食应按照规范的配比标准加工（具体配比标准按照学校相关要求执行），菜品主辅料用量应符合学校相关要求或食堂报备标准。</w:t>
            </w:r>
          </w:p>
        </w:tc>
        <w:tc>
          <w:tcPr>
            <w:tcW w:w="709" w:type="dxa"/>
            <w:tcBorders>
              <w:top w:val="single" w:color="auto" w:sz="4" w:space="0"/>
              <w:left w:val="single" w:color="auto" w:sz="4" w:space="0"/>
              <w:bottom w:val="single" w:color="auto" w:sz="4" w:space="0"/>
              <w:right w:val="single" w:color="auto" w:sz="4" w:space="0"/>
            </w:tcBorders>
            <w:vAlign w:val="center"/>
          </w:tcPr>
          <w:p w14:paraId="24E7A300">
            <w:pPr>
              <w:rPr>
                <w:rFonts w:ascii="宋体" w:hAnsi="宋体" w:cs="宋体"/>
                <w:color w:val="auto"/>
                <w:sz w:val="18"/>
                <w:szCs w:val="18"/>
                <w:highlight w:val="none"/>
              </w:rPr>
            </w:pPr>
            <w:r>
              <w:rPr>
                <w:rFonts w:hint="eastAsia" w:ascii="宋体" w:hAnsi="宋体" w:cs="宋体"/>
                <w:color w:val="auto"/>
                <w:sz w:val="18"/>
                <w:szCs w:val="18"/>
                <w:highlight w:val="none"/>
              </w:rPr>
              <w:t>现场抽检</w:t>
            </w:r>
          </w:p>
        </w:tc>
        <w:tc>
          <w:tcPr>
            <w:tcW w:w="2693" w:type="dxa"/>
            <w:tcBorders>
              <w:top w:val="single" w:color="auto" w:sz="4" w:space="0"/>
              <w:left w:val="single" w:color="auto" w:sz="4" w:space="0"/>
              <w:bottom w:val="single" w:color="auto" w:sz="4" w:space="0"/>
              <w:right w:val="single" w:color="auto" w:sz="4" w:space="0"/>
            </w:tcBorders>
            <w:vAlign w:val="center"/>
          </w:tcPr>
          <w:p w14:paraId="623617C7">
            <w:pPr>
              <w:rPr>
                <w:rFonts w:ascii="宋体" w:hAnsi="宋体" w:cs="宋体"/>
                <w:color w:val="auto"/>
                <w:sz w:val="18"/>
                <w:szCs w:val="18"/>
                <w:highlight w:val="none"/>
              </w:rPr>
            </w:pPr>
            <w:r>
              <w:rPr>
                <w:rFonts w:hint="eastAsia" w:ascii="宋体" w:hAnsi="宋体" w:cs="宋体"/>
                <w:color w:val="auto"/>
                <w:sz w:val="18"/>
                <w:szCs w:val="18"/>
                <w:highlight w:val="none"/>
              </w:rPr>
              <w:t>不符合要求的每一品种支付违约金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32FD9669">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74569B79">
        <w:tblPrEx>
          <w:tblCellMar>
            <w:top w:w="0" w:type="dxa"/>
            <w:left w:w="108" w:type="dxa"/>
            <w:bottom w:w="0" w:type="dxa"/>
            <w:right w:w="108" w:type="dxa"/>
          </w:tblCellMar>
        </w:tblPrEx>
        <w:trPr>
          <w:trHeight w:val="7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C497CA9">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362ABCD">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3E3A44A">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5D0DC873">
            <w:pPr>
              <w:rPr>
                <w:rFonts w:ascii="宋体" w:hAnsi="宋体" w:cs="宋体"/>
                <w:color w:val="auto"/>
                <w:sz w:val="18"/>
                <w:szCs w:val="18"/>
                <w:highlight w:val="none"/>
              </w:rPr>
            </w:pPr>
            <w:r>
              <w:rPr>
                <w:rFonts w:ascii="宋体" w:hAnsi="宋体" w:cs="宋体"/>
                <w:color w:val="auto"/>
                <w:sz w:val="18"/>
                <w:szCs w:val="18"/>
                <w:highlight w:val="none"/>
              </w:rPr>
              <w:t>27.制售冷食类食品、生食类食品、裱花蛋糕、现</w:t>
            </w:r>
            <w:r>
              <w:rPr>
                <w:rFonts w:hint="eastAsia" w:ascii="宋体" w:hAnsi="宋体" w:cs="宋体"/>
                <w:color w:val="auto"/>
                <w:sz w:val="18"/>
                <w:szCs w:val="18"/>
                <w:highlight w:val="none"/>
              </w:rPr>
              <w:t>榨果蔬汁等，应当按照有关要求设置专间或者专用操作区，专间应当在加工制作前进行消毒，并由专人加工操作；凉菜应由专间、专人和专用设施设备加工，凉菜间应安装空调。</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48F7E74">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0EF0ACD7">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E040BBA">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2000元/项/次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5BB0E3">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2分/项/次</w:t>
            </w:r>
          </w:p>
        </w:tc>
      </w:tr>
      <w:tr w14:paraId="633C8B82">
        <w:tblPrEx>
          <w:tblCellMar>
            <w:top w:w="0" w:type="dxa"/>
            <w:left w:w="108" w:type="dxa"/>
            <w:bottom w:w="0" w:type="dxa"/>
            <w:right w:w="108" w:type="dxa"/>
          </w:tblCellMar>
        </w:tblPrEx>
        <w:trPr>
          <w:trHeight w:val="91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610774A">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20F0B69">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FB2E224">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1E6517B4">
            <w:pPr>
              <w:rPr>
                <w:rFonts w:ascii="宋体" w:hAnsi="宋体" w:cs="宋体"/>
                <w:color w:val="auto"/>
                <w:sz w:val="18"/>
                <w:szCs w:val="18"/>
                <w:highlight w:val="none"/>
              </w:rPr>
            </w:pPr>
            <w:r>
              <w:rPr>
                <w:rFonts w:ascii="宋体" w:hAnsi="宋体" w:cs="宋体"/>
                <w:color w:val="auto"/>
                <w:sz w:val="18"/>
                <w:szCs w:val="18"/>
                <w:highlight w:val="none"/>
              </w:rPr>
              <w:t>28.加工生、熟、荤、素食品应做到用具分开、整洁、消毒、摆放整齐；用于加工动物性食品原料、植物性食品原料、水产品原料、半成品或者成品等的容器、工具应当从形状、材质、颜色、标识上明显区分，做到分开使用，固定存放，用后洗净并保持清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F192EDA">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302DDC05">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FAB7512">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D47A753">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2分/次</w:t>
            </w:r>
          </w:p>
        </w:tc>
      </w:tr>
      <w:tr w14:paraId="781BD2D0">
        <w:tblPrEx>
          <w:tblCellMar>
            <w:top w:w="0" w:type="dxa"/>
            <w:left w:w="108" w:type="dxa"/>
            <w:bottom w:w="0" w:type="dxa"/>
            <w:right w:w="108" w:type="dxa"/>
          </w:tblCellMar>
        </w:tblPrEx>
        <w:trPr>
          <w:trHeight w:val="9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0CBB924">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A545C21">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FA58FF8">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2FC34E55">
            <w:pPr>
              <w:rPr>
                <w:rFonts w:ascii="宋体" w:hAnsi="宋体" w:cs="宋体"/>
                <w:color w:val="auto"/>
                <w:sz w:val="18"/>
                <w:szCs w:val="18"/>
                <w:highlight w:val="none"/>
              </w:rPr>
            </w:pPr>
            <w:r>
              <w:rPr>
                <w:rFonts w:ascii="宋体" w:hAnsi="宋体" w:cs="宋体"/>
                <w:color w:val="auto"/>
                <w:sz w:val="18"/>
                <w:szCs w:val="18"/>
                <w:highlight w:val="none"/>
              </w:rPr>
              <w:t>29.严格按照添加剂使用规范执行。不得采购、贮存、使用亚硝酸盐（包括亚硝酸钠、亚硝酸钾）和脱氢乙酸钠，食品添加剂应当专人专柜（位）保管，按照有关规定做到标识清晰、计量使用、专册记录。</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642FB6">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3CECEC8A">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6C6B46">
            <w:pPr>
              <w:rPr>
                <w:rFonts w:ascii="宋体" w:hAnsi="宋体" w:cs="宋体"/>
                <w:color w:val="auto"/>
                <w:sz w:val="18"/>
                <w:szCs w:val="18"/>
                <w:highlight w:val="none"/>
              </w:rPr>
            </w:pPr>
            <w:r>
              <w:rPr>
                <w:rFonts w:hint="eastAsia" w:ascii="宋体" w:hAnsi="宋体" w:cs="宋体"/>
                <w:color w:val="auto"/>
                <w:sz w:val="18"/>
                <w:szCs w:val="18"/>
                <w:highlight w:val="none"/>
              </w:rPr>
              <w:t>不符合要求的首次支付违约金</w:t>
            </w:r>
            <w:r>
              <w:rPr>
                <w:rFonts w:ascii="宋体" w:hAnsi="宋体" w:cs="宋体"/>
                <w:color w:val="auto"/>
                <w:sz w:val="18"/>
                <w:szCs w:val="18"/>
                <w:highlight w:val="none"/>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5C21E56">
            <w:pPr>
              <w:rPr>
                <w:rFonts w:ascii="宋体" w:hAnsi="宋体" w:cs="宋体"/>
                <w:color w:val="auto"/>
                <w:sz w:val="18"/>
                <w:szCs w:val="18"/>
                <w:highlight w:val="none"/>
              </w:rPr>
            </w:pPr>
            <w:r>
              <w:rPr>
                <w:rFonts w:hint="eastAsia" w:ascii="宋体" w:hAnsi="宋体" w:cs="宋体"/>
                <w:color w:val="auto"/>
                <w:sz w:val="18"/>
                <w:szCs w:val="18"/>
                <w:highlight w:val="none"/>
              </w:rPr>
              <w:t>首次扣</w:t>
            </w:r>
            <w:r>
              <w:rPr>
                <w:rFonts w:ascii="宋体" w:hAnsi="宋体" w:cs="宋体"/>
                <w:color w:val="auto"/>
                <w:sz w:val="18"/>
                <w:szCs w:val="18"/>
                <w:highlight w:val="none"/>
              </w:rPr>
              <w:t>5分元，第二次及以后，涉事当学期考核不合格。</w:t>
            </w:r>
          </w:p>
        </w:tc>
      </w:tr>
      <w:tr w14:paraId="5FA9405F">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8114E10">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B1CA204">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3C4BF8B">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41652307">
            <w:pPr>
              <w:rPr>
                <w:rFonts w:ascii="宋体" w:hAnsi="宋体" w:cs="宋体"/>
                <w:color w:val="auto"/>
                <w:sz w:val="18"/>
                <w:szCs w:val="18"/>
                <w:highlight w:val="none"/>
              </w:rPr>
            </w:pPr>
            <w:r>
              <w:rPr>
                <w:rFonts w:ascii="宋体" w:hAnsi="宋体" w:cs="宋体"/>
                <w:color w:val="auto"/>
                <w:sz w:val="18"/>
                <w:szCs w:val="18"/>
                <w:highlight w:val="none"/>
              </w:rPr>
              <w:t xml:space="preserve">30.餐饮具、盛放或接触直接入口食品的容器和工具使用前应消毒，使用后应及时洗净。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524E229">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40AD76FF">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656F610">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BB05820">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2分/次</w:t>
            </w:r>
          </w:p>
        </w:tc>
      </w:tr>
      <w:tr w14:paraId="25127764">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605E7B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438481E">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BA5AEC4">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333892E2">
            <w:pPr>
              <w:rPr>
                <w:rFonts w:ascii="宋体" w:hAnsi="宋体" w:cs="宋体"/>
                <w:color w:val="auto"/>
                <w:sz w:val="18"/>
                <w:szCs w:val="18"/>
                <w:highlight w:val="none"/>
              </w:rPr>
            </w:pPr>
            <w:r>
              <w:rPr>
                <w:rFonts w:ascii="宋体" w:hAnsi="宋体" w:cs="宋体"/>
                <w:color w:val="auto"/>
                <w:sz w:val="18"/>
                <w:szCs w:val="18"/>
                <w:highlight w:val="none"/>
              </w:rPr>
              <w:t>31.清洗用水和使用的洗涤剂、消毒剂应当符合相关食品安全国家标准和有关规定。严格按照洗涤剂、消毒剂的使用说明进行操作。</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DDDC91C">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1E172D7C">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852E6A7">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9A9C76F">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5分/次</w:t>
            </w:r>
          </w:p>
        </w:tc>
      </w:tr>
      <w:tr w14:paraId="25F1B057">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06EE0B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E550DE7">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7F58010E">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6707A891">
            <w:pPr>
              <w:rPr>
                <w:rFonts w:ascii="宋体" w:hAnsi="宋体" w:cs="宋体"/>
                <w:color w:val="auto"/>
                <w:sz w:val="18"/>
                <w:szCs w:val="18"/>
                <w:highlight w:val="none"/>
              </w:rPr>
            </w:pPr>
            <w:r>
              <w:rPr>
                <w:rFonts w:ascii="宋体" w:hAnsi="宋体" w:cs="宋体"/>
                <w:color w:val="auto"/>
                <w:sz w:val="18"/>
                <w:szCs w:val="18"/>
                <w:highlight w:val="none"/>
              </w:rPr>
              <w:t>32.按规定进行菜品留样，由专人管理，做好留样及销毁记录，记录内容包括留样食品名称、留样时间（月、日、时、分）、留样人员、留样重量(不少于125克)、销毁时间、销毁人，在专用冷藏设备中冷藏存放48小时以上。食堂批量加工制售的热食、非即</w:t>
            </w:r>
            <w:r>
              <w:rPr>
                <w:rFonts w:hint="eastAsia" w:ascii="宋体" w:hAnsi="宋体" w:cs="宋体"/>
                <w:color w:val="auto"/>
                <w:sz w:val="18"/>
                <w:szCs w:val="18"/>
                <w:highlight w:val="none"/>
              </w:rPr>
              <w:t>做即售的热食、冷食类食品、生食类食品、裱花蛋糕应当按照前款规定留样，其他加工食品根据相关规定留样。</w:t>
            </w:r>
          </w:p>
        </w:tc>
        <w:tc>
          <w:tcPr>
            <w:tcW w:w="709" w:type="dxa"/>
            <w:tcBorders>
              <w:top w:val="single" w:color="auto" w:sz="4" w:space="0"/>
              <w:left w:val="single" w:color="auto" w:sz="4" w:space="0"/>
              <w:bottom w:val="single" w:color="auto" w:sz="4" w:space="0"/>
              <w:right w:val="single" w:color="auto" w:sz="4" w:space="0"/>
            </w:tcBorders>
            <w:vAlign w:val="center"/>
          </w:tcPr>
          <w:p w14:paraId="551463E5">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452611C">
            <w:pPr>
              <w:rPr>
                <w:rFonts w:ascii="宋体" w:hAnsi="宋体" w:cs="宋体"/>
                <w:color w:val="auto"/>
                <w:sz w:val="18"/>
                <w:szCs w:val="18"/>
                <w:highlight w:val="none"/>
              </w:rPr>
            </w:pPr>
            <w:r>
              <w:rPr>
                <w:rFonts w:hint="eastAsia" w:ascii="宋体" w:hAnsi="宋体" w:cs="宋体"/>
                <w:color w:val="auto"/>
                <w:sz w:val="18"/>
                <w:szCs w:val="18"/>
                <w:highlight w:val="none"/>
              </w:rPr>
              <w:t>不符合要求的首次支付违约金</w:t>
            </w:r>
            <w:r>
              <w:rPr>
                <w:rFonts w:ascii="宋体" w:hAnsi="宋体" w:cs="宋体"/>
                <w:color w:val="auto"/>
                <w:sz w:val="18"/>
                <w:szCs w:val="18"/>
                <w:highlight w:val="none"/>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42EA996">
            <w:pPr>
              <w:rPr>
                <w:rFonts w:ascii="宋体" w:hAnsi="宋体" w:cs="宋体"/>
                <w:color w:val="auto"/>
                <w:sz w:val="18"/>
                <w:szCs w:val="18"/>
                <w:highlight w:val="none"/>
              </w:rPr>
            </w:pPr>
            <w:r>
              <w:rPr>
                <w:rFonts w:hint="eastAsia" w:ascii="宋体" w:hAnsi="宋体" w:cs="宋体"/>
                <w:color w:val="auto"/>
                <w:sz w:val="18"/>
                <w:szCs w:val="18"/>
                <w:highlight w:val="none"/>
              </w:rPr>
              <w:t>首次扣</w:t>
            </w:r>
            <w:r>
              <w:rPr>
                <w:rFonts w:ascii="宋体" w:hAnsi="宋体" w:cs="宋体"/>
                <w:color w:val="auto"/>
                <w:sz w:val="18"/>
                <w:szCs w:val="18"/>
                <w:highlight w:val="none"/>
              </w:rPr>
              <w:t>1分元，第二次及以后扣5分/次</w:t>
            </w:r>
          </w:p>
        </w:tc>
      </w:tr>
      <w:tr w14:paraId="77C25DF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3BD97D3">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FD4F319">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F5BDB27">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5A4C61B2">
            <w:pPr>
              <w:rPr>
                <w:rFonts w:ascii="宋体" w:hAnsi="宋体" w:cs="宋体"/>
                <w:color w:val="auto"/>
                <w:sz w:val="18"/>
                <w:szCs w:val="18"/>
                <w:highlight w:val="none"/>
              </w:rPr>
            </w:pPr>
            <w:r>
              <w:rPr>
                <w:rFonts w:ascii="宋体" w:hAnsi="宋体" w:cs="宋体"/>
                <w:color w:val="auto"/>
                <w:sz w:val="18"/>
                <w:szCs w:val="18"/>
                <w:highlight w:val="none"/>
              </w:rPr>
              <w:t>33.食堂定期做好消毒工作，三防等设施设备能正常使用，并有设施设备维护记录。</w:t>
            </w:r>
          </w:p>
        </w:tc>
        <w:tc>
          <w:tcPr>
            <w:tcW w:w="709" w:type="dxa"/>
            <w:tcBorders>
              <w:top w:val="single" w:color="auto" w:sz="4" w:space="0"/>
              <w:left w:val="single" w:color="auto" w:sz="4" w:space="0"/>
              <w:bottom w:val="single" w:color="auto" w:sz="4" w:space="0"/>
              <w:right w:val="single" w:color="auto" w:sz="4" w:space="0"/>
            </w:tcBorders>
            <w:vAlign w:val="center"/>
          </w:tcPr>
          <w:p w14:paraId="36CBC75B">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0F367B52">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2000元</w:t>
            </w:r>
          </w:p>
        </w:tc>
        <w:tc>
          <w:tcPr>
            <w:tcW w:w="1559" w:type="dxa"/>
            <w:tcBorders>
              <w:top w:val="single" w:color="auto" w:sz="4" w:space="0"/>
              <w:left w:val="single" w:color="auto" w:sz="4" w:space="0"/>
              <w:bottom w:val="single" w:color="auto" w:sz="4" w:space="0"/>
              <w:right w:val="single" w:color="auto" w:sz="4" w:space="0"/>
            </w:tcBorders>
            <w:vAlign w:val="center"/>
          </w:tcPr>
          <w:p w14:paraId="7065200C">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22F3C72B">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1A365D0">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F44E351">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6CAD63E">
            <w:pPr>
              <w:jc w:val="center"/>
              <w:rPr>
                <w:rFonts w:ascii="宋体" w:hAnsi="宋体" w:cs="宋体"/>
                <w:color w:val="auto"/>
                <w:sz w:val="18"/>
                <w:szCs w:val="18"/>
                <w:highlight w:val="none"/>
              </w:rPr>
            </w:pPr>
            <w:r>
              <w:rPr>
                <w:rFonts w:hint="eastAsia" w:ascii="宋体" w:hAnsi="宋体" w:cs="宋体"/>
                <w:color w:val="auto"/>
                <w:sz w:val="18"/>
                <w:szCs w:val="18"/>
                <w:highlight w:val="none"/>
              </w:rPr>
              <w:t>出售</w:t>
            </w:r>
          </w:p>
        </w:tc>
        <w:tc>
          <w:tcPr>
            <w:tcW w:w="3350" w:type="dxa"/>
            <w:tcBorders>
              <w:top w:val="single" w:color="auto" w:sz="4" w:space="0"/>
              <w:left w:val="single" w:color="auto" w:sz="4" w:space="0"/>
              <w:bottom w:val="single" w:color="auto" w:sz="4" w:space="0"/>
              <w:right w:val="single" w:color="auto" w:sz="4" w:space="0"/>
            </w:tcBorders>
            <w:vAlign w:val="center"/>
          </w:tcPr>
          <w:p w14:paraId="652AAC7E">
            <w:pPr>
              <w:rPr>
                <w:rFonts w:ascii="宋体" w:hAnsi="宋体" w:cs="宋体"/>
                <w:color w:val="auto"/>
                <w:sz w:val="18"/>
                <w:szCs w:val="18"/>
                <w:highlight w:val="none"/>
              </w:rPr>
            </w:pPr>
            <w:r>
              <w:rPr>
                <w:rFonts w:ascii="宋体" w:hAnsi="宋体" w:cs="宋体"/>
                <w:color w:val="auto"/>
                <w:sz w:val="18"/>
                <w:szCs w:val="18"/>
                <w:highlight w:val="none"/>
              </w:rPr>
              <w:t>34.在售饭菜应明码实价，价实相符，菜牌齐全</w:t>
            </w:r>
          </w:p>
        </w:tc>
        <w:tc>
          <w:tcPr>
            <w:tcW w:w="709" w:type="dxa"/>
            <w:tcBorders>
              <w:top w:val="single" w:color="auto" w:sz="4" w:space="0"/>
              <w:left w:val="single" w:color="auto" w:sz="4" w:space="0"/>
              <w:bottom w:val="single" w:color="auto" w:sz="4" w:space="0"/>
              <w:right w:val="single" w:color="auto" w:sz="4" w:space="0"/>
            </w:tcBorders>
            <w:vAlign w:val="center"/>
          </w:tcPr>
          <w:p w14:paraId="13389B4A">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31E301C5">
            <w:pPr>
              <w:rPr>
                <w:rFonts w:ascii="宋体" w:hAnsi="宋体" w:eastAsia="方正仿宋_GBK" w:cs="宋体"/>
                <w:color w:val="auto"/>
                <w:sz w:val="18"/>
                <w:szCs w:val="18"/>
                <w:highlight w:val="none"/>
              </w:rPr>
            </w:pPr>
            <w:r>
              <w:rPr>
                <w:rFonts w:hint="eastAsia" w:ascii="宋体" w:hAnsi="宋体" w:cs="宋体"/>
                <w:color w:val="auto"/>
                <w:sz w:val="18"/>
                <w:szCs w:val="18"/>
                <w:highlight w:val="none"/>
              </w:rPr>
              <w:t>不符合要求的首次每项支付违约金</w:t>
            </w:r>
            <w:r>
              <w:rPr>
                <w:rFonts w:ascii="宋体" w:hAnsi="宋体" w:cs="宋体"/>
                <w:color w:val="auto"/>
                <w:sz w:val="18"/>
                <w:szCs w:val="18"/>
                <w:highlight w:val="none"/>
              </w:rPr>
              <w:t>1000元/项/次，第二次及以后每项支付违约金2000元/项/次</w:t>
            </w:r>
          </w:p>
        </w:tc>
        <w:tc>
          <w:tcPr>
            <w:tcW w:w="1559" w:type="dxa"/>
            <w:tcBorders>
              <w:top w:val="single" w:color="auto" w:sz="4" w:space="0"/>
              <w:left w:val="single" w:color="auto" w:sz="4" w:space="0"/>
              <w:bottom w:val="single" w:color="auto" w:sz="4" w:space="0"/>
              <w:right w:val="single" w:color="auto" w:sz="4" w:space="0"/>
            </w:tcBorders>
            <w:vAlign w:val="center"/>
          </w:tcPr>
          <w:p w14:paraId="6EF254EA">
            <w:pPr>
              <w:rPr>
                <w:rFonts w:ascii="宋体" w:hAnsi="宋体" w:cs="宋体"/>
                <w:color w:val="auto"/>
                <w:sz w:val="18"/>
                <w:szCs w:val="18"/>
                <w:highlight w:val="none"/>
              </w:rPr>
            </w:pPr>
            <w:r>
              <w:rPr>
                <w:rFonts w:hint="eastAsia" w:ascii="宋体" w:hAnsi="宋体" w:cs="宋体"/>
                <w:color w:val="auto"/>
                <w:sz w:val="18"/>
                <w:szCs w:val="18"/>
                <w:highlight w:val="none"/>
              </w:rPr>
              <w:t>首次每项扣</w:t>
            </w:r>
            <w:r>
              <w:rPr>
                <w:rFonts w:ascii="宋体" w:hAnsi="宋体" w:cs="宋体"/>
                <w:color w:val="auto"/>
                <w:sz w:val="18"/>
                <w:szCs w:val="18"/>
                <w:highlight w:val="none"/>
              </w:rPr>
              <w:t>1分，第二次及以后扣1分/项/次</w:t>
            </w:r>
          </w:p>
        </w:tc>
      </w:tr>
      <w:tr w14:paraId="53BD4811">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4BC34F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058AC15">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28064D9">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4D58C4FF">
            <w:pPr>
              <w:rPr>
                <w:rFonts w:ascii="宋体" w:hAnsi="宋体" w:cs="宋体"/>
                <w:color w:val="auto"/>
                <w:sz w:val="18"/>
                <w:szCs w:val="18"/>
                <w:highlight w:val="none"/>
              </w:rPr>
            </w:pPr>
            <w:r>
              <w:rPr>
                <w:rFonts w:ascii="宋体" w:hAnsi="宋体" w:cs="宋体"/>
                <w:color w:val="auto"/>
                <w:sz w:val="18"/>
                <w:szCs w:val="18"/>
                <w:highlight w:val="none"/>
              </w:rPr>
              <w:t>35.饭菜售卖计量计价准确</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3EA73CD">
            <w:pPr>
              <w:rPr>
                <w:rFonts w:ascii="宋体" w:hAnsi="宋体" w:cs="宋体"/>
                <w:color w:val="auto"/>
                <w:sz w:val="18"/>
                <w:szCs w:val="18"/>
                <w:highlight w:val="none"/>
              </w:rPr>
            </w:pPr>
            <w:r>
              <w:rPr>
                <w:rFonts w:hint="eastAsia" w:ascii="宋体" w:hAnsi="宋体" w:cs="宋体"/>
                <w:color w:val="auto"/>
                <w:sz w:val="18"/>
                <w:szCs w:val="18"/>
                <w:highlight w:val="none"/>
              </w:rPr>
              <w:t>现场检查或投诉核实</w:t>
            </w:r>
          </w:p>
        </w:tc>
        <w:tc>
          <w:tcPr>
            <w:tcW w:w="2693" w:type="dxa"/>
            <w:tcBorders>
              <w:top w:val="single" w:color="auto" w:sz="4" w:space="0"/>
              <w:left w:val="single" w:color="auto" w:sz="4" w:space="0"/>
              <w:bottom w:val="single" w:color="auto" w:sz="4" w:space="0"/>
              <w:right w:val="single" w:color="auto" w:sz="4" w:space="0"/>
            </w:tcBorders>
            <w:vAlign w:val="center"/>
          </w:tcPr>
          <w:p w14:paraId="680A6E91">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不符合要求每次支付违约金</w:t>
            </w:r>
            <w:r>
              <w:rPr>
                <w:rFonts w:ascii="宋体" w:hAnsi="宋体" w:cs="宋体"/>
                <w:color w:val="auto"/>
                <w:sz w:val="18"/>
                <w:szCs w:val="18"/>
                <w:highlight w:val="none"/>
              </w:rPr>
              <w:t>2000元</w:t>
            </w:r>
          </w:p>
        </w:tc>
        <w:tc>
          <w:tcPr>
            <w:tcW w:w="1559" w:type="dxa"/>
            <w:tcBorders>
              <w:top w:val="single" w:color="auto" w:sz="4" w:space="0"/>
              <w:left w:val="single" w:color="auto" w:sz="4" w:space="0"/>
              <w:bottom w:val="single" w:color="auto" w:sz="4" w:space="0"/>
              <w:right w:val="single" w:color="auto" w:sz="4" w:space="0"/>
            </w:tcBorders>
            <w:vAlign w:val="center"/>
          </w:tcPr>
          <w:p w14:paraId="6097D5C2">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59CE98B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AD2CFE1">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7554E58">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CF8A5B7">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6F6ECB01">
            <w:pPr>
              <w:rPr>
                <w:rFonts w:ascii="宋体" w:hAnsi="宋体" w:cs="宋体"/>
                <w:color w:val="auto"/>
                <w:sz w:val="18"/>
                <w:szCs w:val="18"/>
                <w:highlight w:val="none"/>
              </w:rPr>
            </w:pPr>
            <w:r>
              <w:rPr>
                <w:rFonts w:ascii="宋体" w:hAnsi="宋体" w:cs="宋体"/>
                <w:color w:val="auto"/>
                <w:sz w:val="18"/>
                <w:szCs w:val="18"/>
                <w:highlight w:val="none"/>
              </w:rPr>
              <w:t>36.不应出售夹生、未熟食品，饭菜中应无泥沙、钢丝、虫子等异物</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4490659">
            <w:pPr>
              <w:rPr>
                <w:rFonts w:ascii="宋体" w:hAnsi="宋体" w:cs="宋体"/>
                <w:color w:val="auto"/>
                <w:sz w:val="18"/>
                <w:szCs w:val="1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54175D6E">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36B10D7A">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3DCB6A24">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0B4D49E">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CB0BBB3">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C1A7BDD">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564D32F0">
            <w:pPr>
              <w:rPr>
                <w:rFonts w:ascii="宋体" w:hAnsi="宋体" w:cs="宋体"/>
                <w:color w:val="auto"/>
                <w:sz w:val="18"/>
                <w:szCs w:val="18"/>
                <w:highlight w:val="none"/>
              </w:rPr>
            </w:pPr>
            <w:r>
              <w:rPr>
                <w:rFonts w:ascii="宋体" w:hAnsi="宋体" w:cs="宋体"/>
                <w:color w:val="auto"/>
                <w:sz w:val="18"/>
                <w:szCs w:val="18"/>
                <w:highlight w:val="none"/>
              </w:rPr>
              <w:t>37.不提供霉烂变质食物</w:t>
            </w:r>
          </w:p>
        </w:tc>
        <w:tc>
          <w:tcPr>
            <w:tcW w:w="709" w:type="dxa"/>
            <w:tcBorders>
              <w:top w:val="single" w:color="auto" w:sz="4" w:space="0"/>
              <w:left w:val="single" w:color="auto" w:sz="4" w:space="0"/>
              <w:bottom w:val="single" w:color="auto" w:sz="4" w:space="0"/>
              <w:right w:val="single" w:color="auto" w:sz="4" w:space="0"/>
            </w:tcBorders>
            <w:vAlign w:val="center"/>
          </w:tcPr>
          <w:p w14:paraId="304B9766">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07F850D3">
            <w:pPr>
              <w:rPr>
                <w:rFonts w:ascii="宋体" w:hAnsi="宋体" w:cs="宋体"/>
                <w:color w:val="auto"/>
                <w:sz w:val="18"/>
                <w:szCs w:val="18"/>
                <w:highlight w:val="none"/>
              </w:rPr>
            </w:pPr>
            <w:r>
              <w:rPr>
                <w:rFonts w:hint="eastAsia" w:ascii="宋体" w:hAnsi="宋体" w:cs="宋体"/>
                <w:color w:val="auto"/>
                <w:sz w:val="18"/>
                <w:szCs w:val="18"/>
                <w:highlight w:val="none"/>
              </w:rPr>
              <w:t>查实后每次支付违约金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vAlign w:val="center"/>
          </w:tcPr>
          <w:p w14:paraId="6DF70913">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5分/次</w:t>
            </w:r>
          </w:p>
        </w:tc>
      </w:tr>
      <w:tr w14:paraId="3096DA5F">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8C3F8A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84E362F">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67CC38F">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vAlign w:val="center"/>
          </w:tcPr>
          <w:p w14:paraId="7322CA37">
            <w:pPr>
              <w:rPr>
                <w:rFonts w:ascii="宋体" w:hAnsi="宋体" w:cs="宋体"/>
                <w:color w:val="auto"/>
                <w:sz w:val="18"/>
                <w:szCs w:val="18"/>
                <w:highlight w:val="none"/>
              </w:rPr>
            </w:pPr>
            <w:r>
              <w:rPr>
                <w:rFonts w:ascii="宋体" w:hAnsi="宋体" w:cs="宋体"/>
                <w:color w:val="auto"/>
                <w:sz w:val="18"/>
                <w:szCs w:val="18"/>
                <w:highlight w:val="none"/>
              </w:rPr>
              <w:t>38.餐厅内外、厨房、操作间、库房等场所应保持卫生、整洁</w:t>
            </w:r>
          </w:p>
        </w:tc>
        <w:tc>
          <w:tcPr>
            <w:tcW w:w="709" w:type="dxa"/>
            <w:tcBorders>
              <w:top w:val="single" w:color="auto" w:sz="4" w:space="0"/>
              <w:left w:val="single" w:color="auto" w:sz="4" w:space="0"/>
              <w:bottom w:val="single" w:color="auto" w:sz="4" w:space="0"/>
              <w:right w:val="single" w:color="auto" w:sz="4" w:space="0"/>
            </w:tcBorders>
            <w:vAlign w:val="center"/>
          </w:tcPr>
          <w:p w14:paraId="7EDD8622">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74FFEB5B">
            <w:pPr>
              <w:rPr>
                <w:rFonts w:ascii="宋体" w:hAnsi="宋体" w:cs="宋体"/>
                <w:color w:val="auto"/>
                <w:sz w:val="18"/>
                <w:szCs w:val="18"/>
                <w:highlight w:val="none"/>
              </w:rPr>
            </w:pPr>
            <w:r>
              <w:rPr>
                <w:rFonts w:hint="eastAsia" w:ascii="宋体" w:hAnsi="宋体" w:cs="宋体"/>
                <w:color w:val="auto"/>
                <w:sz w:val="18"/>
                <w:szCs w:val="18"/>
                <w:highlight w:val="none"/>
              </w:rPr>
              <w:t>不符合要求的每项支付违约金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48EEB448">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517BC8D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5F0BF9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4A44236">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22317C5">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0D1DEB41">
            <w:pPr>
              <w:rPr>
                <w:rFonts w:ascii="宋体" w:hAnsi="宋体" w:cs="宋体"/>
                <w:color w:val="auto"/>
                <w:sz w:val="18"/>
                <w:szCs w:val="18"/>
                <w:highlight w:val="none"/>
              </w:rPr>
            </w:pPr>
            <w:r>
              <w:rPr>
                <w:rFonts w:ascii="宋体" w:hAnsi="宋体" w:cs="宋体"/>
                <w:color w:val="auto"/>
                <w:sz w:val="18"/>
                <w:szCs w:val="18"/>
                <w:highlight w:val="none"/>
              </w:rPr>
              <w:t>39.食堂内外按照垃圾分类要求设置垃圾桶。应当设置专门的餐厨废弃物收集设施并明显标识，按照规定收集、存放、回收餐厨废弃物、废弃油脂，并建立相</w:t>
            </w:r>
            <w:r>
              <w:rPr>
                <w:rFonts w:hint="eastAsia" w:ascii="宋体" w:hAnsi="宋体" w:cs="宋体"/>
                <w:color w:val="auto"/>
                <w:sz w:val="18"/>
                <w:szCs w:val="18"/>
                <w:highlight w:val="none"/>
              </w:rPr>
              <w:t>关制度及台账，及时按照相关规定处置餐厨垃圾，不得私自处理。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EC46D0">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5D71696F">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A151D24">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1000元/项/次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2FAE149">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1分/项/次</w:t>
            </w:r>
          </w:p>
        </w:tc>
      </w:tr>
      <w:tr w14:paraId="5A6833F7">
        <w:tblPrEx>
          <w:tblCellMar>
            <w:top w:w="0" w:type="dxa"/>
            <w:left w:w="108" w:type="dxa"/>
            <w:bottom w:w="0" w:type="dxa"/>
            <w:right w:w="108" w:type="dxa"/>
          </w:tblCellMar>
        </w:tblPrEx>
        <w:trPr>
          <w:trHeight w:val="645"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70732265">
            <w:pPr>
              <w:rPr>
                <w:rFonts w:ascii="宋体" w:hAnsi="宋体" w:cs="宋体"/>
                <w:color w:val="auto"/>
                <w:sz w:val="18"/>
                <w:szCs w:val="18"/>
                <w:highlight w:val="none"/>
              </w:rPr>
            </w:pPr>
            <w:r>
              <w:rPr>
                <w:rFonts w:hint="eastAsia" w:ascii="宋体" w:hAnsi="宋体" w:cs="宋体"/>
                <w:color w:val="auto"/>
                <w:sz w:val="18"/>
                <w:szCs w:val="18"/>
                <w:highlight w:val="none"/>
              </w:rPr>
              <w:t>三</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07EC8694">
            <w:pPr>
              <w:rPr>
                <w:rFonts w:ascii="宋体" w:hAnsi="宋体" w:cs="宋体"/>
                <w:color w:val="auto"/>
                <w:sz w:val="18"/>
                <w:szCs w:val="18"/>
                <w:highlight w:val="none"/>
              </w:rPr>
            </w:pPr>
            <w:r>
              <w:rPr>
                <w:rFonts w:hint="eastAsia" w:ascii="宋体" w:hAnsi="宋体" w:cs="宋体"/>
                <w:color w:val="auto"/>
                <w:sz w:val="18"/>
                <w:szCs w:val="18"/>
                <w:highlight w:val="none"/>
              </w:rPr>
              <w:t>服务质量</w:t>
            </w:r>
          </w:p>
          <w:p w14:paraId="5B58C4A0">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7BA1C">
            <w:pPr>
              <w:rPr>
                <w:rFonts w:ascii="宋体" w:hAnsi="宋体" w:cs="宋体"/>
                <w:color w:val="auto"/>
                <w:sz w:val="18"/>
                <w:szCs w:val="18"/>
                <w:highlight w:val="none"/>
              </w:rPr>
            </w:pPr>
            <w:r>
              <w:rPr>
                <w:rFonts w:ascii="宋体" w:hAnsi="宋体" w:cs="宋体"/>
                <w:color w:val="auto"/>
                <w:sz w:val="18"/>
                <w:szCs w:val="18"/>
                <w:highlight w:val="none"/>
              </w:rPr>
              <w:t>40.食堂从业人员应掌握有关食品安全、生产安全基本知识和相关法律法规要求；食堂对员工进行安全、消防、卫生、服务等方面知识进行培训和考核。</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8194FC9">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201A59FD">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37792B4">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1000元/人次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284DA72">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1分/人次</w:t>
            </w:r>
          </w:p>
        </w:tc>
      </w:tr>
      <w:tr w14:paraId="58EE0F77">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32E842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32DEBBF">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A20D6B">
            <w:pPr>
              <w:rPr>
                <w:rFonts w:ascii="宋体" w:hAnsi="宋体" w:cs="宋体"/>
                <w:color w:val="auto"/>
                <w:sz w:val="18"/>
                <w:szCs w:val="18"/>
                <w:highlight w:val="none"/>
              </w:rPr>
            </w:pPr>
            <w:r>
              <w:rPr>
                <w:rFonts w:ascii="宋体" w:hAnsi="宋体" w:cs="宋体"/>
                <w:color w:val="auto"/>
                <w:sz w:val="18"/>
                <w:szCs w:val="18"/>
                <w:highlight w:val="none"/>
              </w:rPr>
              <w:t>41.食堂从业人员应养成良好卫生习惯，工作场所不吸烟，</w:t>
            </w:r>
            <w:r>
              <w:rPr>
                <w:rFonts w:hint="eastAsia" w:ascii="宋体" w:hAnsi="宋体" w:cs="宋体"/>
                <w:color w:val="auto"/>
                <w:sz w:val="18"/>
                <w:szCs w:val="18"/>
                <w:highlight w:val="none"/>
              </w:rPr>
              <w:t>不随地吐痰，不戴首饰上岗，长发不外露；所有人员必须穿食堂标志的工作服、仪表端庄，并佩戴工号牌、口罩及厨帽上岗。工作服不得穿到食堂之外的区域。</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474466">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FAEC986">
            <w:pPr>
              <w:rPr>
                <w:rFonts w:ascii="宋体" w:hAnsi="宋体" w:cs="宋体"/>
                <w:color w:val="auto"/>
                <w:sz w:val="18"/>
                <w:szCs w:val="18"/>
                <w:highlight w:val="none"/>
              </w:rPr>
            </w:pPr>
            <w:r>
              <w:rPr>
                <w:rFonts w:hint="eastAsia" w:ascii="宋体" w:hAnsi="宋体" w:cs="宋体"/>
                <w:color w:val="auto"/>
                <w:sz w:val="18"/>
                <w:szCs w:val="18"/>
                <w:highlight w:val="none"/>
              </w:rPr>
              <w:t>不符合要求每人次支付违约金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299A0052">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1分/人次</w:t>
            </w:r>
          </w:p>
        </w:tc>
      </w:tr>
      <w:tr w14:paraId="0AE51DD3">
        <w:tblPrEx>
          <w:tblCellMar>
            <w:top w:w="0" w:type="dxa"/>
            <w:left w:w="108" w:type="dxa"/>
            <w:bottom w:w="0" w:type="dxa"/>
            <w:right w:w="108" w:type="dxa"/>
          </w:tblCellMar>
        </w:tblPrEx>
        <w:trPr>
          <w:trHeight w:val="55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1AC644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BF45B12">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EC51171">
            <w:pPr>
              <w:rPr>
                <w:rFonts w:ascii="宋体" w:hAnsi="宋体" w:cs="宋体"/>
                <w:color w:val="auto"/>
                <w:sz w:val="18"/>
                <w:szCs w:val="18"/>
                <w:highlight w:val="none"/>
              </w:rPr>
            </w:pPr>
            <w:r>
              <w:rPr>
                <w:rFonts w:ascii="宋体" w:hAnsi="宋体" w:cs="宋体"/>
                <w:color w:val="auto"/>
                <w:sz w:val="18"/>
                <w:szCs w:val="18"/>
                <w:highlight w:val="none"/>
              </w:rPr>
              <w:t>42.应做到服务及操作程序规范，态度端正，主动热情，文明用语，不和他人发生争吵及正面冲突，上岗期间不做与工作无关的事。</w:t>
            </w:r>
          </w:p>
        </w:tc>
        <w:tc>
          <w:tcPr>
            <w:tcW w:w="709" w:type="dxa"/>
            <w:tcBorders>
              <w:top w:val="single" w:color="auto" w:sz="4" w:space="0"/>
              <w:left w:val="single" w:color="auto" w:sz="4" w:space="0"/>
              <w:bottom w:val="single" w:color="auto" w:sz="4" w:space="0"/>
              <w:right w:val="single" w:color="auto" w:sz="4" w:space="0"/>
            </w:tcBorders>
            <w:vAlign w:val="bottom"/>
          </w:tcPr>
          <w:p w14:paraId="52DB61F7">
            <w:pPr>
              <w:rPr>
                <w:rFonts w:ascii="宋体" w:hAnsi="宋体" w:cs="宋体"/>
                <w:color w:val="auto"/>
                <w:sz w:val="18"/>
                <w:szCs w:val="18"/>
                <w:highlight w:val="none"/>
              </w:rPr>
            </w:pPr>
            <w:r>
              <w:rPr>
                <w:rFonts w:hint="eastAsia" w:ascii="宋体" w:hAnsi="宋体" w:cs="宋体"/>
                <w:color w:val="auto"/>
                <w:sz w:val="18"/>
                <w:szCs w:val="18"/>
                <w:highlight w:val="none"/>
              </w:rPr>
              <w:t>核实投诉</w:t>
            </w:r>
          </w:p>
        </w:tc>
        <w:tc>
          <w:tcPr>
            <w:tcW w:w="2693" w:type="dxa"/>
            <w:tcBorders>
              <w:top w:val="single" w:color="auto" w:sz="4" w:space="0"/>
              <w:left w:val="single" w:color="auto" w:sz="4" w:space="0"/>
              <w:bottom w:val="single" w:color="auto" w:sz="4" w:space="0"/>
              <w:right w:val="single" w:color="auto" w:sz="4" w:space="0"/>
            </w:tcBorders>
            <w:vAlign w:val="center"/>
          </w:tcPr>
          <w:p w14:paraId="77A68F24">
            <w:pPr>
              <w:rPr>
                <w:rFonts w:ascii="宋体" w:hAnsi="宋体" w:cs="宋体"/>
                <w:color w:val="auto"/>
                <w:sz w:val="18"/>
                <w:szCs w:val="18"/>
                <w:highlight w:val="none"/>
              </w:rPr>
            </w:pPr>
            <w:r>
              <w:rPr>
                <w:rFonts w:hint="eastAsia" w:ascii="宋体" w:hAnsi="宋体" w:cs="宋体"/>
                <w:color w:val="auto"/>
                <w:sz w:val="18"/>
                <w:szCs w:val="18"/>
                <w:highlight w:val="none"/>
              </w:rPr>
              <w:t>查实后每次支付违约金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79037D71">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1分/人次</w:t>
            </w:r>
          </w:p>
        </w:tc>
      </w:tr>
      <w:tr w14:paraId="5D8F4F76">
        <w:tblPrEx>
          <w:tblCellMar>
            <w:top w:w="0" w:type="dxa"/>
            <w:left w:w="108" w:type="dxa"/>
            <w:bottom w:w="0" w:type="dxa"/>
            <w:right w:w="108" w:type="dxa"/>
          </w:tblCellMar>
        </w:tblPrEx>
        <w:trPr>
          <w:trHeight w:val="51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8874D3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AA6CC7E">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9FACF6F">
            <w:pPr>
              <w:rPr>
                <w:rFonts w:ascii="宋体" w:hAnsi="宋体" w:cs="宋体"/>
                <w:color w:val="auto"/>
                <w:sz w:val="18"/>
                <w:szCs w:val="18"/>
                <w:highlight w:val="none"/>
              </w:rPr>
            </w:pPr>
            <w:r>
              <w:rPr>
                <w:rFonts w:ascii="宋体" w:hAnsi="宋体" w:cs="宋体"/>
                <w:color w:val="auto"/>
                <w:sz w:val="18"/>
                <w:szCs w:val="18"/>
                <w:highlight w:val="none"/>
              </w:rPr>
              <w:t>43.应在食堂明显位置设有就餐投诉台(或设立意见箱、意见薄)、餐饮张贴信息化意见反馈系统二维码、失物招领台，及时处理就餐者投诉意见、建议，意见处理和失物招领过程记录清晰。</w:t>
            </w:r>
          </w:p>
        </w:tc>
        <w:tc>
          <w:tcPr>
            <w:tcW w:w="709" w:type="dxa"/>
            <w:tcBorders>
              <w:top w:val="single" w:color="auto" w:sz="4" w:space="0"/>
              <w:left w:val="single" w:color="auto" w:sz="4" w:space="0"/>
              <w:bottom w:val="single" w:color="auto" w:sz="4" w:space="0"/>
              <w:right w:val="single" w:color="auto" w:sz="4" w:space="0"/>
            </w:tcBorders>
            <w:vAlign w:val="center"/>
          </w:tcPr>
          <w:p w14:paraId="401BE141">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E1963E3">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不符合要求每次每件支付违约金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57D273A3">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2452D314">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128DBB5">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B6EFD81">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5D1DE12">
            <w:pPr>
              <w:rPr>
                <w:rFonts w:ascii="宋体" w:hAnsi="宋体" w:cs="宋体"/>
                <w:color w:val="auto"/>
                <w:sz w:val="18"/>
                <w:szCs w:val="18"/>
                <w:highlight w:val="none"/>
              </w:rPr>
            </w:pPr>
            <w:r>
              <w:rPr>
                <w:rFonts w:ascii="宋体" w:hAnsi="宋体" w:cs="宋体"/>
                <w:color w:val="auto"/>
                <w:sz w:val="18"/>
                <w:szCs w:val="18"/>
                <w:highlight w:val="none"/>
              </w:rPr>
              <w:t>44.应在中、晚餐供应期间向就餐者提供免费汤，并派专人负责管理。</w:t>
            </w:r>
          </w:p>
        </w:tc>
        <w:tc>
          <w:tcPr>
            <w:tcW w:w="709" w:type="dxa"/>
            <w:tcBorders>
              <w:top w:val="single" w:color="auto" w:sz="4" w:space="0"/>
              <w:left w:val="single" w:color="auto" w:sz="4" w:space="0"/>
              <w:bottom w:val="single" w:color="auto" w:sz="4" w:space="0"/>
              <w:right w:val="single" w:color="auto" w:sz="4" w:space="0"/>
            </w:tcBorders>
            <w:vAlign w:val="center"/>
          </w:tcPr>
          <w:p w14:paraId="17244051">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3AED824">
            <w:pPr>
              <w:rPr>
                <w:rFonts w:ascii="宋体" w:hAnsi="宋体" w:cs="宋体"/>
                <w:color w:val="auto"/>
                <w:sz w:val="18"/>
                <w:szCs w:val="18"/>
                <w:highlight w:val="none"/>
              </w:rPr>
            </w:pPr>
            <w:r>
              <w:rPr>
                <w:rFonts w:hint="eastAsia" w:ascii="宋体" w:hAnsi="宋体" w:cs="宋体"/>
                <w:color w:val="auto"/>
                <w:sz w:val="18"/>
                <w:szCs w:val="18"/>
                <w:highlight w:val="none"/>
              </w:rPr>
              <w:t>不符合要求的每项支付违约金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683F5BD4">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6D8A6B9A">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53EB75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92EF07B">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9276D1">
            <w:pPr>
              <w:rPr>
                <w:rFonts w:ascii="宋体" w:hAnsi="宋体" w:cs="宋体"/>
                <w:color w:val="auto"/>
                <w:sz w:val="18"/>
                <w:szCs w:val="18"/>
                <w:highlight w:val="none"/>
              </w:rPr>
            </w:pPr>
            <w:r>
              <w:rPr>
                <w:rFonts w:ascii="宋体" w:hAnsi="宋体" w:cs="宋体"/>
                <w:color w:val="auto"/>
                <w:sz w:val="18"/>
                <w:szCs w:val="18"/>
                <w:highlight w:val="none"/>
              </w:rPr>
              <w:t>45.严禁使用非“校园一卡通”刷卡消费模式，严禁使用现金、微信、支付宝等个人或私自收费方式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44654A">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D57788C">
            <w:pPr>
              <w:rPr>
                <w:rFonts w:ascii="宋体" w:hAnsi="宋体" w:cs="宋体"/>
                <w:color w:val="auto"/>
                <w:sz w:val="18"/>
                <w:szCs w:val="18"/>
                <w:highlight w:val="none"/>
              </w:rPr>
            </w:pPr>
            <w:r>
              <w:rPr>
                <w:rFonts w:hint="eastAsia" w:ascii="宋体" w:hAnsi="宋体" w:cs="宋体"/>
                <w:color w:val="auto"/>
                <w:sz w:val="18"/>
                <w:szCs w:val="18"/>
                <w:highlight w:val="none"/>
              </w:rPr>
              <w:t>经查实后每次支付违约金</w:t>
            </w:r>
            <w:r>
              <w:rPr>
                <w:rFonts w:ascii="宋体" w:hAnsi="宋体" w:cs="宋体"/>
                <w:color w:val="auto"/>
                <w:sz w:val="18"/>
                <w:szCs w:val="18"/>
                <w:highlight w:val="none"/>
              </w:rPr>
              <w:t>20000元，若当月发现三次及以上违规交易的情况，按当月营业额的20%支付违约金。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5DCE840">
            <w:pPr>
              <w:rPr>
                <w:rFonts w:ascii="宋体" w:hAnsi="宋体" w:cs="宋体"/>
                <w:color w:val="auto"/>
                <w:sz w:val="18"/>
                <w:szCs w:val="18"/>
                <w:highlight w:val="none"/>
              </w:rPr>
            </w:pPr>
            <w:r>
              <w:rPr>
                <w:rFonts w:hint="eastAsia" w:ascii="宋体" w:hAnsi="宋体" w:cs="宋体"/>
                <w:color w:val="auto"/>
                <w:sz w:val="18"/>
                <w:szCs w:val="18"/>
                <w:highlight w:val="none"/>
              </w:rPr>
              <w:t>不符合要求前两次</w:t>
            </w:r>
            <w:r>
              <w:rPr>
                <w:rFonts w:ascii="宋体" w:hAnsi="宋体" w:cs="宋体"/>
                <w:color w:val="auto"/>
                <w:sz w:val="18"/>
                <w:szCs w:val="18"/>
                <w:highlight w:val="none"/>
              </w:rPr>
              <w:t>5分/次，第三次起当学期考核等次直接为不合格</w:t>
            </w:r>
          </w:p>
        </w:tc>
      </w:tr>
      <w:tr w14:paraId="6936AF21">
        <w:tblPrEx>
          <w:tblCellMar>
            <w:top w:w="0" w:type="dxa"/>
            <w:left w:w="108" w:type="dxa"/>
            <w:bottom w:w="0" w:type="dxa"/>
            <w:right w:w="108" w:type="dxa"/>
          </w:tblCellMar>
        </w:tblPrEx>
        <w:trPr>
          <w:trHeight w:val="780"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4731BDB6">
            <w:pPr>
              <w:rPr>
                <w:rFonts w:ascii="宋体" w:hAnsi="宋体" w:cs="宋体"/>
                <w:color w:val="auto"/>
                <w:sz w:val="18"/>
                <w:szCs w:val="18"/>
                <w:highlight w:val="none"/>
              </w:rPr>
            </w:pPr>
            <w:r>
              <w:rPr>
                <w:rFonts w:hint="eastAsia" w:ascii="宋体" w:hAnsi="宋体" w:cs="宋体"/>
                <w:color w:val="auto"/>
                <w:sz w:val="18"/>
                <w:szCs w:val="18"/>
                <w:highlight w:val="none"/>
              </w:rPr>
              <w:t>四</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5262C0C4">
            <w:pPr>
              <w:rPr>
                <w:rFonts w:ascii="宋体" w:hAnsi="宋体" w:cs="宋体"/>
                <w:color w:val="auto"/>
                <w:sz w:val="18"/>
                <w:szCs w:val="18"/>
                <w:highlight w:val="none"/>
              </w:rPr>
            </w:pPr>
            <w:r>
              <w:rPr>
                <w:rFonts w:hint="eastAsia" w:ascii="宋体" w:hAnsi="宋体" w:cs="宋体"/>
                <w:color w:val="auto"/>
                <w:sz w:val="18"/>
                <w:szCs w:val="18"/>
                <w:highlight w:val="none"/>
              </w:rPr>
              <w:t>经营秩序</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8653052">
            <w:pPr>
              <w:rPr>
                <w:rFonts w:ascii="宋体" w:hAnsi="宋体" w:cs="宋体"/>
                <w:color w:val="auto"/>
                <w:sz w:val="18"/>
                <w:szCs w:val="18"/>
                <w:highlight w:val="none"/>
              </w:rPr>
            </w:pPr>
            <w:r>
              <w:rPr>
                <w:rFonts w:ascii="宋体" w:hAnsi="宋体" w:cs="宋体"/>
                <w:color w:val="auto"/>
                <w:sz w:val="18"/>
                <w:szCs w:val="18"/>
                <w:highlight w:val="none"/>
              </w:rPr>
              <w:t>46.食堂经营企业不得将食堂全部或者部分转包、分包、转租、转借或其他任意形式转交给任何单位或个人进行经营</w:t>
            </w:r>
          </w:p>
        </w:tc>
        <w:tc>
          <w:tcPr>
            <w:tcW w:w="709" w:type="dxa"/>
            <w:tcBorders>
              <w:top w:val="single" w:color="auto" w:sz="4" w:space="0"/>
              <w:left w:val="single" w:color="auto" w:sz="4" w:space="0"/>
              <w:bottom w:val="single" w:color="auto" w:sz="4" w:space="0"/>
              <w:right w:val="single" w:color="auto" w:sz="4" w:space="0"/>
            </w:tcBorders>
            <w:vAlign w:val="center"/>
          </w:tcPr>
          <w:p w14:paraId="501ECBCC">
            <w:pPr>
              <w:rPr>
                <w:rFonts w:ascii="宋体" w:hAnsi="宋体" w:cs="宋体"/>
                <w:color w:val="auto"/>
                <w:sz w:val="18"/>
                <w:szCs w:val="18"/>
                <w:highlight w:val="none"/>
              </w:rPr>
            </w:pPr>
            <w:r>
              <w:rPr>
                <w:rFonts w:hint="eastAsia" w:ascii="宋体" w:hAnsi="宋体" w:cs="宋体"/>
                <w:color w:val="auto"/>
                <w:sz w:val="18"/>
                <w:szCs w:val="18"/>
                <w:highlight w:val="none"/>
              </w:rPr>
              <w:t>依据合同</w:t>
            </w:r>
          </w:p>
        </w:tc>
        <w:tc>
          <w:tcPr>
            <w:tcW w:w="2693" w:type="dxa"/>
            <w:tcBorders>
              <w:top w:val="single" w:color="auto" w:sz="4" w:space="0"/>
              <w:left w:val="single" w:color="auto" w:sz="4" w:space="0"/>
              <w:bottom w:val="single" w:color="auto" w:sz="4" w:space="0"/>
              <w:right w:val="single" w:color="auto" w:sz="4" w:space="0"/>
            </w:tcBorders>
            <w:vAlign w:val="center"/>
          </w:tcPr>
          <w:p w14:paraId="5695E6CD">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100000元并整改到位，学校有权解除合同。</w:t>
            </w:r>
          </w:p>
        </w:tc>
        <w:tc>
          <w:tcPr>
            <w:tcW w:w="1559" w:type="dxa"/>
            <w:tcBorders>
              <w:top w:val="single" w:color="auto" w:sz="4" w:space="0"/>
              <w:left w:val="single" w:color="auto" w:sz="4" w:space="0"/>
              <w:bottom w:val="single" w:color="auto" w:sz="4" w:space="0"/>
              <w:right w:val="single" w:color="auto" w:sz="4" w:space="0"/>
            </w:tcBorders>
            <w:vAlign w:val="center"/>
          </w:tcPr>
          <w:p w14:paraId="2CFBC483">
            <w:pPr>
              <w:rPr>
                <w:rFonts w:ascii="宋体" w:hAnsi="宋体" w:cs="宋体"/>
                <w:color w:val="auto"/>
                <w:sz w:val="18"/>
                <w:szCs w:val="18"/>
                <w:highlight w:val="none"/>
              </w:rPr>
            </w:pPr>
            <w:r>
              <w:rPr>
                <w:rFonts w:hint="eastAsia" w:ascii="宋体" w:hAnsi="宋体" w:cs="宋体"/>
                <w:color w:val="auto"/>
                <w:sz w:val="18"/>
                <w:szCs w:val="18"/>
                <w:highlight w:val="none"/>
              </w:rPr>
              <w:t>不符合要求的，涉事当学期考核不合格。</w:t>
            </w:r>
          </w:p>
        </w:tc>
      </w:tr>
      <w:tr w14:paraId="55FEB593">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E7A2DD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33B2953">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E85F132">
            <w:pPr>
              <w:rPr>
                <w:rFonts w:ascii="宋体" w:hAnsi="宋体" w:cs="宋体"/>
                <w:color w:val="auto"/>
                <w:sz w:val="18"/>
                <w:szCs w:val="18"/>
                <w:highlight w:val="none"/>
              </w:rPr>
            </w:pPr>
            <w:r>
              <w:rPr>
                <w:rFonts w:ascii="宋体" w:hAnsi="宋体" w:cs="宋体"/>
                <w:color w:val="auto"/>
                <w:sz w:val="18"/>
                <w:szCs w:val="18"/>
                <w:highlight w:val="none"/>
              </w:rPr>
              <w:t>47.应严格遵循报备的菜品价格，不得擅自变动食品售价。</w:t>
            </w:r>
          </w:p>
        </w:tc>
        <w:tc>
          <w:tcPr>
            <w:tcW w:w="709" w:type="dxa"/>
            <w:tcBorders>
              <w:top w:val="single" w:color="auto" w:sz="4" w:space="0"/>
              <w:left w:val="single" w:color="auto" w:sz="4" w:space="0"/>
              <w:bottom w:val="single" w:color="auto" w:sz="4" w:space="0"/>
              <w:right w:val="single" w:color="auto" w:sz="4" w:space="0"/>
            </w:tcBorders>
            <w:vAlign w:val="center"/>
          </w:tcPr>
          <w:p w14:paraId="095E3F92">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6F65B392">
            <w:pPr>
              <w:rPr>
                <w:rFonts w:ascii="宋体" w:hAnsi="宋体" w:cs="宋体"/>
                <w:color w:val="auto"/>
                <w:sz w:val="18"/>
                <w:szCs w:val="18"/>
                <w:highlight w:val="none"/>
              </w:rPr>
            </w:pPr>
            <w:r>
              <w:rPr>
                <w:rFonts w:hint="eastAsia" w:ascii="宋体" w:hAnsi="宋体" w:cs="宋体"/>
                <w:color w:val="auto"/>
                <w:sz w:val="18"/>
                <w:szCs w:val="18"/>
                <w:highlight w:val="none"/>
              </w:rPr>
              <w:t>若擅自变更食品售价，每一菜品支付违约金</w:t>
            </w:r>
            <w:r>
              <w:rPr>
                <w:rFonts w:ascii="宋体" w:hAnsi="宋体" w:cs="宋体"/>
                <w:color w:val="auto"/>
                <w:sz w:val="18"/>
                <w:szCs w:val="18"/>
                <w:highlight w:val="none"/>
              </w:rPr>
              <w:t>5000元</w:t>
            </w:r>
          </w:p>
        </w:tc>
        <w:tc>
          <w:tcPr>
            <w:tcW w:w="1559" w:type="dxa"/>
            <w:tcBorders>
              <w:top w:val="single" w:color="auto" w:sz="4" w:space="0"/>
              <w:left w:val="single" w:color="auto" w:sz="4" w:space="0"/>
              <w:bottom w:val="single" w:color="auto" w:sz="4" w:space="0"/>
              <w:right w:val="single" w:color="auto" w:sz="4" w:space="0"/>
            </w:tcBorders>
            <w:vAlign w:val="center"/>
          </w:tcPr>
          <w:p w14:paraId="40DC1A55">
            <w:pPr>
              <w:rPr>
                <w:rFonts w:ascii="宋体" w:hAnsi="宋体" w:cs="宋体"/>
                <w:color w:val="auto"/>
                <w:sz w:val="18"/>
                <w:szCs w:val="18"/>
                <w:highlight w:val="none"/>
              </w:rPr>
            </w:pPr>
            <w:r>
              <w:rPr>
                <w:rFonts w:hint="eastAsia" w:ascii="宋体" w:hAnsi="宋体" w:cs="宋体"/>
                <w:color w:val="auto"/>
                <w:sz w:val="18"/>
                <w:szCs w:val="18"/>
                <w:highlight w:val="none"/>
              </w:rPr>
              <w:t>擅自变更食品售价的扣</w:t>
            </w:r>
            <w:r>
              <w:rPr>
                <w:rFonts w:ascii="宋体" w:hAnsi="宋体" w:cs="宋体"/>
                <w:color w:val="auto"/>
                <w:sz w:val="18"/>
                <w:szCs w:val="18"/>
                <w:highlight w:val="none"/>
              </w:rPr>
              <w:t>5分/种/次</w:t>
            </w:r>
          </w:p>
        </w:tc>
      </w:tr>
      <w:tr w14:paraId="1A47E18F">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7789E5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CE6E04A">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DB966D">
            <w:pPr>
              <w:rPr>
                <w:rFonts w:ascii="宋体" w:hAnsi="宋体" w:cs="宋体"/>
                <w:color w:val="auto"/>
                <w:sz w:val="18"/>
                <w:szCs w:val="18"/>
                <w:highlight w:val="none"/>
              </w:rPr>
            </w:pPr>
            <w:r>
              <w:rPr>
                <w:rFonts w:ascii="宋体" w:hAnsi="宋体" w:cs="宋体"/>
                <w:color w:val="auto"/>
                <w:sz w:val="18"/>
                <w:szCs w:val="18"/>
                <w:highlight w:val="none"/>
              </w:rPr>
              <w:t>48.严格</w:t>
            </w:r>
            <w:r>
              <w:rPr>
                <w:rFonts w:hint="eastAsia" w:ascii="宋体" w:hAnsi="宋体" w:cs="宋体"/>
                <w:color w:val="auto"/>
                <w:sz w:val="18"/>
                <w:szCs w:val="18"/>
                <w:highlight w:val="none"/>
              </w:rPr>
              <w:t>按照食材配比制作，保证菜品质量；不出售隔夜菜。</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427D44">
            <w:pPr>
              <w:rPr>
                <w:rFonts w:ascii="宋体" w:hAnsi="宋体" w:cs="宋体"/>
                <w:color w:val="auto"/>
                <w:sz w:val="18"/>
                <w:szCs w:val="18"/>
                <w:highlight w:val="none"/>
              </w:rPr>
            </w:pPr>
            <w:r>
              <w:rPr>
                <w:rFonts w:hint="eastAsia" w:ascii="宋体" w:hAnsi="宋体" w:cs="宋体"/>
                <w:color w:val="auto"/>
                <w:sz w:val="18"/>
                <w:szCs w:val="18"/>
                <w:highlight w:val="none"/>
              </w:rPr>
              <w:t>投诉</w:t>
            </w:r>
          </w:p>
          <w:p w14:paraId="4E2BC88A">
            <w:pPr>
              <w:rPr>
                <w:rFonts w:ascii="宋体" w:hAnsi="宋体" w:cs="宋体"/>
                <w:color w:val="auto"/>
                <w:sz w:val="18"/>
                <w:szCs w:val="18"/>
                <w:highlight w:val="none"/>
              </w:rPr>
            </w:pPr>
            <w:r>
              <w:rPr>
                <w:rFonts w:hint="eastAsia" w:ascii="宋体" w:hAnsi="宋体" w:cs="宋体"/>
                <w:color w:val="auto"/>
                <w:sz w:val="18"/>
                <w:szCs w:val="18"/>
                <w:highlight w:val="none"/>
              </w:rPr>
              <w:t>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3229C24">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1000元/次；非当天加工的支付违约金5000元/次；引发舆情的</w:t>
            </w:r>
            <w:r>
              <w:rPr>
                <w:rFonts w:hint="eastAsia" w:ascii="宋体" w:hAnsi="宋体" w:cs="宋体"/>
                <w:color w:val="auto"/>
                <w:sz w:val="18"/>
                <w:szCs w:val="18"/>
                <w:highlight w:val="none"/>
              </w:rPr>
              <w:t>视影响支付违约金</w:t>
            </w:r>
            <w:r>
              <w:rPr>
                <w:rFonts w:ascii="宋体" w:hAnsi="宋体" w:cs="宋体"/>
                <w:color w:val="auto"/>
                <w:sz w:val="18"/>
                <w:szCs w:val="18"/>
                <w:highlight w:val="none"/>
              </w:rPr>
              <w:t>2000元-10000元/次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BBEFAFE">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1分/次；非当天加工的扣1分/次；引发舆情的</w:t>
            </w:r>
            <w:r>
              <w:rPr>
                <w:rFonts w:hint="eastAsia" w:ascii="宋体" w:hAnsi="宋体" w:cs="宋体"/>
                <w:color w:val="auto"/>
                <w:sz w:val="18"/>
                <w:szCs w:val="18"/>
                <w:highlight w:val="none"/>
              </w:rPr>
              <w:t>视影响情况扣</w:t>
            </w:r>
            <w:r>
              <w:rPr>
                <w:rFonts w:ascii="宋体" w:hAnsi="宋体" w:cs="宋体"/>
                <w:color w:val="auto"/>
                <w:sz w:val="18"/>
                <w:szCs w:val="18"/>
                <w:highlight w:val="none"/>
              </w:rPr>
              <w:t>5分/次</w:t>
            </w:r>
          </w:p>
        </w:tc>
      </w:tr>
      <w:tr w14:paraId="71BE8BBB">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5058330">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F31FADF">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B6D0A41">
            <w:pPr>
              <w:rPr>
                <w:rFonts w:ascii="宋体" w:hAnsi="宋体" w:cs="宋体"/>
                <w:color w:val="auto"/>
                <w:sz w:val="18"/>
                <w:szCs w:val="18"/>
                <w:highlight w:val="none"/>
              </w:rPr>
            </w:pPr>
            <w:r>
              <w:rPr>
                <w:rFonts w:ascii="宋体" w:hAnsi="宋体" w:cs="宋体"/>
                <w:color w:val="auto"/>
                <w:sz w:val="18"/>
                <w:szCs w:val="18"/>
                <w:highlight w:val="none"/>
              </w:rPr>
              <w:t>49.应遵守合同约定，不得超范围进行经营</w:t>
            </w:r>
          </w:p>
        </w:tc>
        <w:tc>
          <w:tcPr>
            <w:tcW w:w="709" w:type="dxa"/>
            <w:tcBorders>
              <w:top w:val="single" w:color="auto" w:sz="4" w:space="0"/>
              <w:left w:val="single" w:color="auto" w:sz="4" w:space="0"/>
              <w:bottom w:val="single" w:color="auto" w:sz="4" w:space="0"/>
              <w:right w:val="single" w:color="auto" w:sz="4" w:space="0"/>
            </w:tcBorders>
            <w:vAlign w:val="center"/>
          </w:tcPr>
          <w:p w14:paraId="3CFF2D72">
            <w:pPr>
              <w:rPr>
                <w:rFonts w:ascii="宋体" w:hAnsi="宋体" w:cs="宋体"/>
                <w:color w:val="auto"/>
                <w:sz w:val="18"/>
                <w:szCs w:val="18"/>
                <w:highlight w:val="none"/>
              </w:rPr>
            </w:pPr>
            <w:r>
              <w:rPr>
                <w:rFonts w:hint="eastAsia" w:ascii="宋体" w:hAnsi="宋体" w:cs="宋体"/>
                <w:color w:val="auto"/>
                <w:sz w:val="18"/>
                <w:szCs w:val="18"/>
                <w:highlight w:val="none"/>
              </w:rPr>
              <w:t>依据合同</w:t>
            </w:r>
          </w:p>
        </w:tc>
        <w:tc>
          <w:tcPr>
            <w:tcW w:w="2693" w:type="dxa"/>
            <w:tcBorders>
              <w:top w:val="single" w:color="auto" w:sz="4" w:space="0"/>
              <w:left w:val="single" w:color="auto" w:sz="4" w:space="0"/>
              <w:bottom w:val="single" w:color="auto" w:sz="4" w:space="0"/>
              <w:right w:val="single" w:color="auto" w:sz="4" w:space="0"/>
            </w:tcBorders>
            <w:vAlign w:val="center"/>
          </w:tcPr>
          <w:p w14:paraId="53EAA560">
            <w:pPr>
              <w:rPr>
                <w:rFonts w:ascii="宋体" w:hAnsi="宋体" w:cs="宋体"/>
                <w:color w:val="auto"/>
                <w:sz w:val="18"/>
                <w:szCs w:val="18"/>
                <w:highlight w:val="none"/>
              </w:rPr>
            </w:pPr>
            <w:r>
              <w:rPr>
                <w:rFonts w:hint="eastAsia" w:ascii="宋体" w:hAnsi="宋体" w:cs="宋体"/>
                <w:color w:val="auto"/>
                <w:sz w:val="18"/>
                <w:szCs w:val="18"/>
                <w:highlight w:val="none"/>
              </w:rPr>
              <w:t>超范围经营每次支付违约金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vAlign w:val="center"/>
          </w:tcPr>
          <w:p w14:paraId="5B7D06FE">
            <w:pPr>
              <w:rPr>
                <w:rFonts w:ascii="宋体" w:hAnsi="宋体" w:cs="宋体"/>
                <w:color w:val="auto"/>
                <w:sz w:val="18"/>
                <w:szCs w:val="18"/>
                <w:highlight w:val="none"/>
              </w:rPr>
            </w:pPr>
            <w:r>
              <w:rPr>
                <w:rFonts w:hint="eastAsia" w:ascii="宋体" w:hAnsi="宋体" w:cs="宋体"/>
                <w:color w:val="auto"/>
                <w:sz w:val="18"/>
                <w:szCs w:val="18"/>
                <w:highlight w:val="none"/>
              </w:rPr>
              <w:t>超范围经营的扣</w:t>
            </w:r>
            <w:r>
              <w:rPr>
                <w:rFonts w:ascii="宋体" w:hAnsi="宋体" w:cs="宋体"/>
                <w:color w:val="auto"/>
                <w:sz w:val="18"/>
                <w:szCs w:val="18"/>
                <w:highlight w:val="none"/>
              </w:rPr>
              <w:t>5分/次</w:t>
            </w:r>
          </w:p>
        </w:tc>
      </w:tr>
      <w:tr w14:paraId="40279736">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A71558E">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476C382">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A2978">
            <w:pPr>
              <w:rPr>
                <w:rFonts w:ascii="宋体" w:hAnsi="宋体" w:cs="宋体"/>
                <w:color w:val="auto"/>
                <w:sz w:val="18"/>
                <w:szCs w:val="18"/>
                <w:highlight w:val="none"/>
              </w:rPr>
            </w:pPr>
            <w:r>
              <w:rPr>
                <w:rFonts w:ascii="宋体" w:hAnsi="宋体" w:cs="宋体"/>
                <w:color w:val="auto"/>
                <w:sz w:val="18"/>
                <w:szCs w:val="18"/>
                <w:highlight w:val="none"/>
              </w:rPr>
              <w:t>50.应按时向学生提供符合卫生要求的热菜热饭（早上6：30—晚上22：30）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495381">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D0D197D">
            <w:pPr>
              <w:rPr>
                <w:rFonts w:ascii="宋体" w:hAnsi="宋体" w:cs="宋体"/>
                <w:color w:val="auto"/>
                <w:sz w:val="18"/>
                <w:szCs w:val="18"/>
                <w:highlight w:val="none"/>
              </w:rPr>
            </w:pPr>
            <w:r>
              <w:rPr>
                <w:rFonts w:hint="eastAsia" w:ascii="宋体" w:hAnsi="宋体" w:cs="宋体"/>
                <w:color w:val="auto"/>
                <w:sz w:val="18"/>
                <w:szCs w:val="18"/>
                <w:highlight w:val="none"/>
              </w:rPr>
              <w:t>未经书面同意擅自关闭食堂的全部或部分经营窗口，按每档口每关闭一餐支付违约金</w:t>
            </w:r>
            <w:r>
              <w:rPr>
                <w:rFonts w:ascii="宋体" w:hAnsi="宋体" w:cs="宋体"/>
                <w:color w:val="auto"/>
                <w:sz w:val="18"/>
                <w:szCs w:val="18"/>
                <w:highlight w:val="none"/>
              </w:rPr>
              <w:t>20000元</w:t>
            </w:r>
            <w:r>
              <w:rPr>
                <w:rFonts w:hint="eastAsia" w:ascii="宋体" w:hAnsi="宋体" w:cs="宋体"/>
                <w:color w:val="auto"/>
                <w:sz w:val="18"/>
                <w:szCs w:val="18"/>
                <w:highlight w:val="none"/>
              </w:rPr>
              <w:t>，学校保留解除合同、取消食堂经营者经营管理资格的权利。</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C08D30">
            <w:pPr>
              <w:rPr>
                <w:rFonts w:ascii="宋体" w:hAnsi="宋体" w:cs="宋体"/>
                <w:color w:val="auto"/>
                <w:sz w:val="18"/>
                <w:szCs w:val="18"/>
                <w:highlight w:val="none"/>
              </w:rPr>
            </w:pPr>
            <w:r>
              <w:rPr>
                <w:rFonts w:hint="eastAsia" w:ascii="宋体" w:hAnsi="宋体" w:cs="宋体"/>
                <w:color w:val="auto"/>
                <w:sz w:val="18"/>
                <w:szCs w:val="18"/>
                <w:highlight w:val="none"/>
              </w:rPr>
              <w:t>未经书面同意擅自关闭食堂的全部或部分经营档口的扣</w:t>
            </w:r>
            <w:r>
              <w:rPr>
                <w:rFonts w:ascii="宋体" w:hAnsi="宋体" w:cs="宋体"/>
                <w:color w:val="auto"/>
                <w:sz w:val="18"/>
                <w:szCs w:val="18"/>
                <w:highlight w:val="none"/>
              </w:rPr>
              <w:t>5分/档口/餐</w:t>
            </w:r>
          </w:p>
        </w:tc>
      </w:tr>
      <w:tr w14:paraId="04E6A091">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AEFE68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69FD735">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42FA9">
            <w:pPr>
              <w:rPr>
                <w:rFonts w:ascii="宋体" w:hAnsi="宋体" w:cs="宋体"/>
                <w:color w:val="auto"/>
                <w:sz w:val="18"/>
                <w:szCs w:val="18"/>
                <w:highlight w:val="none"/>
              </w:rPr>
            </w:pPr>
            <w:r>
              <w:rPr>
                <w:rFonts w:ascii="宋体" w:hAnsi="宋体" w:cs="宋体"/>
                <w:color w:val="auto"/>
                <w:sz w:val="18"/>
                <w:szCs w:val="18"/>
                <w:highlight w:val="none"/>
              </w:rPr>
              <w:t>51.经营服务内容不能摆至食堂大门以外，不得经营露天夜啤酒、烧烤等影响校园环境卫生的项目，不得影响周边师生休息。</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8985768">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57F8205B">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1891D4A">
            <w:pPr>
              <w:rPr>
                <w:rFonts w:ascii="宋体" w:hAnsi="宋体" w:cs="宋体"/>
                <w:color w:val="auto"/>
                <w:sz w:val="18"/>
                <w:szCs w:val="18"/>
                <w:highlight w:val="none"/>
              </w:rPr>
            </w:pPr>
            <w:r>
              <w:rPr>
                <w:rFonts w:hint="eastAsia" w:ascii="宋体" w:hAnsi="宋体" w:cs="宋体"/>
                <w:color w:val="auto"/>
                <w:sz w:val="18"/>
                <w:szCs w:val="18"/>
                <w:highlight w:val="none"/>
              </w:rPr>
              <w:t>违规的支付违约金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FE50D2">
            <w:pPr>
              <w:rPr>
                <w:rFonts w:ascii="宋体" w:hAnsi="宋体" w:cs="宋体"/>
                <w:color w:val="auto"/>
                <w:sz w:val="18"/>
                <w:szCs w:val="18"/>
                <w:highlight w:val="none"/>
              </w:rPr>
            </w:pPr>
            <w:r>
              <w:rPr>
                <w:rFonts w:hint="eastAsia" w:ascii="宋体" w:hAnsi="宋体" w:cs="宋体"/>
                <w:color w:val="auto"/>
                <w:sz w:val="18"/>
                <w:szCs w:val="18"/>
                <w:highlight w:val="none"/>
              </w:rPr>
              <w:t>违规的扣</w:t>
            </w:r>
            <w:r>
              <w:rPr>
                <w:rFonts w:ascii="宋体" w:hAnsi="宋体" w:cs="宋体"/>
                <w:color w:val="auto"/>
                <w:sz w:val="18"/>
                <w:szCs w:val="18"/>
                <w:highlight w:val="none"/>
              </w:rPr>
              <w:t>1分/次</w:t>
            </w:r>
          </w:p>
        </w:tc>
      </w:tr>
      <w:tr w14:paraId="45FDAAE2">
        <w:tblPrEx>
          <w:tblCellMar>
            <w:top w:w="0" w:type="dxa"/>
            <w:left w:w="108" w:type="dxa"/>
            <w:bottom w:w="0" w:type="dxa"/>
            <w:right w:w="108" w:type="dxa"/>
          </w:tblCellMar>
        </w:tblPrEx>
        <w:trPr>
          <w:trHeight w:val="786"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53C89A18">
            <w:pPr>
              <w:rPr>
                <w:rFonts w:ascii="宋体" w:hAnsi="宋体" w:cs="宋体"/>
                <w:color w:val="auto"/>
                <w:sz w:val="18"/>
                <w:szCs w:val="18"/>
                <w:highlight w:val="none"/>
              </w:rPr>
            </w:pPr>
            <w:r>
              <w:rPr>
                <w:rFonts w:hint="eastAsia" w:ascii="宋体" w:hAnsi="宋体" w:cs="宋体"/>
                <w:color w:val="auto"/>
                <w:sz w:val="18"/>
                <w:szCs w:val="18"/>
                <w:highlight w:val="none"/>
              </w:rPr>
              <w:t>五</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46B9E309">
            <w:pPr>
              <w:rPr>
                <w:rFonts w:ascii="宋体" w:hAnsi="宋体" w:cs="宋体"/>
                <w:color w:val="auto"/>
                <w:sz w:val="18"/>
                <w:szCs w:val="18"/>
                <w:highlight w:val="none"/>
              </w:rPr>
            </w:pPr>
            <w:r>
              <w:rPr>
                <w:rFonts w:hint="eastAsia" w:ascii="宋体" w:hAnsi="宋体" w:cs="宋体"/>
                <w:color w:val="auto"/>
                <w:sz w:val="18"/>
                <w:szCs w:val="18"/>
                <w:highlight w:val="none"/>
              </w:rPr>
              <w:t>服务育人</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C92EF6">
            <w:pPr>
              <w:rPr>
                <w:rFonts w:ascii="宋体" w:hAnsi="宋体" w:cs="宋体"/>
                <w:color w:val="auto"/>
                <w:sz w:val="18"/>
                <w:szCs w:val="18"/>
                <w:highlight w:val="none"/>
              </w:rPr>
            </w:pPr>
            <w:r>
              <w:rPr>
                <w:rFonts w:ascii="宋体" w:hAnsi="宋体" w:cs="宋体"/>
                <w:color w:val="auto"/>
                <w:sz w:val="18"/>
                <w:szCs w:val="18"/>
                <w:highlight w:val="none"/>
              </w:rPr>
              <w:t>52.按学校要求认真配合学生在食堂开展劳动教育。</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FF50B0">
            <w:pPr>
              <w:rPr>
                <w:rFonts w:ascii="宋体" w:hAnsi="宋体" w:cs="宋体"/>
                <w:color w:val="auto"/>
                <w:sz w:val="18"/>
                <w:szCs w:val="18"/>
                <w:highlight w:val="none"/>
              </w:rPr>
            </w:pPr>
            <w:r>
              <w:rPr>
                <w:rFonts w:hint="eastAsia" w:ascii="宋体" w:hAnsi="宋体" w:cs="宋体"/>
                <w:color w:val="auto"/>
                <w:sz w:val="18"/>
                <w:szCs w:val="18"/>
                <w:highlight w:val="none"/>
              </w:rPr>
              <w:t>活动</w:t>
            </w:r>
          </w:p>
          <w:p w14:paraId="3D49730B">
            <w:pPr>
              <w:rPr>
                <w:rFonts w:ascii="宋体" w:hAnsi="宋体" w:cs="宋体"/>
                <w:color w:val="auto"/>
                <w:sz w:val="18"/>
                <w:szCs w:val="18"/>
                <w:highlight w:val="none"/>
              </w:rPr>
            </w:pPr>
            <w:r>
              <w:rPr>
                <w:rFonts w:hint="eastAsia" w:ascii="宋体" w:hAnsi="宋体" w:cs="宋体"/>
                <w:color w:val="auto"/>
                <w:sz w:val="18"/>
                <w:szCs w:val="18"/>
                <w:highlight w:val="none"/>
              </w:rPr>
              <w:t>安排</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C73264A">
            <w:pPr>
              <w:rPr>
                <w:rFonts w:ascii="宋体" w:hAnsi="宋体" w:cs="宋体"/>
                <w:color w:val="auto"/>
                <w:sz w:val="18"/>
                <w:szCs w:val="18"/>
                <w:highlight w:val="none"/>
              </w:rPr>
            </w:pPr>
            <w:r>
              <w:rPr>
                <w:rFonts w:hint="eastAsia" w:ascii="宋体" w:hAnsi="宋体" w:cs="宋体"/>
                <w:color w:val="auto"/>
                <w:sz w:val="18"/>
                <w:szCs w:val="18"/>
                <w:highlight w:val="none"/>
              </w:rPr>
              <w:t>未认真配合开展的支付违约金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FA6ED00">
            <w:pPr>
              <w:rPr>
                <w:rFonts w:ascii="宋体" w:hAnsi="宋体" w:cs="宋体"/>
                <w:color w:val="auto"/>
                <w:sz w:val="18"/>
                <w:szCs w:val="18"/>
                <w:highlight w:val="none"/>
              </w:rPr>
            </w:pPr>
            <w:r>
              <w:rPr>
                <w:rFonts w:hint="eastAsia" w:ascii="宋体" w:hAnsi="宋体" w:cs="宋体"/>
                <w:color w:val="auto"/>
                <w:sz w:val="18"/>
                <w:szCs w:val="18"/>
                <w:highlight w:val="none"/>
              </w:rPr>
              <w:t>未认真配合开展的扣</w:t>
            </w:r>
            <w:r>
              <w:rPr>
                <w:rFonts w:ascii="宋体" w:hAnsi="宋体" w:cs="宋体"/>
                <w:color w:val="auto"/>
                <w:sz w:val="18"/>
                <w:szCs w:val="18"/>
                <w:highlight w:val="none"/>
              </w:rPr>
              <w:t>1分/次</w:t>
            </w:r>
          </w:p>
        </w:tc>
      </w:tr>
      <w:tr w14:paraId="09706ED5">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92A586D">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C01063A">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05FDA">
            <w:pPr>
              <w:rPr>
                <w:rFonts w:ascii="宋体" w:hAnsi="宋体" w:cs="宋体"/>
                <w:color w:val="auto"/>
                <w:sz w:val="18"/>
                <w:szCs w:val="18"/>
                <w:highlight w:val="none"/>
              </w:rPr>
            </w:pPr>
            <w:r>
              <w:rPr>
                <w:rFonts w:ascii="宋体" w:hAnsi="宋体" w:cs="宋体"/>
                <w:color w:val="auto"/>
                <w:sz w:val="18"/>
                <w:szCs w:val="18"/>
                <w:highlight w:val="none"/>
              </w:rPr>
              <w:t>53.提供勤工俭学岗位及免费用餐。不得拒绝特殊困难学生免费餐食。</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50A462">
            <w:pPr>
              <w:rPr>
                <w:rFonts w:ascii="宋体" w:hAnsi="宋体" w:cs="宋体"/>
                <w:color w:val="auto"/>
                <w:sz w:val="18"/>
                <w:szCs w:val="18"/>
                <w:highlight w:val="none"/>
              </w:rPr>
            </w:pPr>
            <w:r>
              <w:rPr>
                <w:rFonts w:hint="eastAsia" w:ascii="宋体" w:hAnsi="宋体" w:cs="宋体"/>
                <w:color w:val="auto"/>
                <w:sz w:val="18"/>
                <w:szCs w:val="18"/>
                <w:highlight w:val="none"/>
              </w:rPr>
              <w:t>查看</w:t>
            </w:r>
          </w:p>
          <w:p w14:paraId="64206F49">
            <w:pPr>
              <w:rPr>
                <w:rFonts w:ascii="宋体" w:hAnsi="宋体" w:cs="宋体"/>
                <w:color w:val="auto"/>
                <w:sz w:val="18"/>
                <w:szCs w:val="18"/>
                <w:highlight w:val="none"/>
              </w:rPr>
            </w:pPr>
            <w:r>
              <w:rPr>
                <w:rFonts w:hint="eastAsia" w:ascii="宋体" w:hAnsi="宋体" w:cs="宋体"/>
                <w:color w:val="auto"/>
                <w:sz w:val="18"/>
                <w:szCs w:val="18"/>
                <w:highlight w:val="none"/>
              </w:rPr>
              <w:t>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826D436">
            <w:pPr>
              <w:rPr>
                <w:rFonts w:ascii="宋体" w:hAnsi="宋体" w:cs="宋体"/>
                <w:color w:val="auto"/>
                <w:sz w:val="18"/>
                <w:szCs w:val="18"/>
                <w:highlight w:val="none"/>
              </w:rPr>
            </w:pPr>
            <w:r>
              <w:rPr>
                <w:rFonts w:hint="eastAsia" w:ascii="宋体" w:hAnsi="宋体" w:cs="宋体"/>
                <w:color w:val="auto"/>
                <w:sz w:val="18"/>
                <w:szCs w:val="18"/>
                <w:highlight w:val="none"/>
              </w:rPr>
              <w:t>未提供勤工俭学岗位或拒绝特殊困难学生免费餐食的支付违约金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10DC399">
            <w:pPr>
              <w:rPr>
                <w:rFonts w:ascii="宋体" w:hAnsi="宋体" w:cs="宋体"/>
                <w:color w:val="auto"/>
                <w:sz w:val="18"/>
                <w:szCs w:val="18"/>
                <w:highlight w:val="none"/>
              </w:rPr>
            </w:pPr>
            <w:r>
              <w:rPr>
                <w:rFonts w:hint="eastAsia" w:ascii="宋体" w:hAnsi="宋体" w:cs="宋体"/>
                <w:color w:val="auto"/>
                <w:sz w:val="18"/>
                <w:szCs w:val="18"/>
                <w:highlight w:val="none"/>
              </w:rPr>
              <w:t>未提供勤工俭学岗位或拒绝特殊困难学生免费餐食的扣</w:t>
            </w:r>
            <w:r>
              <w:rPr>
                <w:rFonts w:ascii="宋体" w:hAnsi="宋体" w:cs="宋体"/>
                <w:color w:val="auto"/>
                <w:sz w:val="18"/>
                <w:szCs w:val="18"/>
                <w:highlight w:val="none"/>
              </w:rPr>
              <w:t>1分/次。</w:t>
            </w:r>
          </w:p>
        </w:tc>
      </w:tr>
      <w:tr w14:paraId="6E59154C">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081738B">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21E7D3A">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2E4F8E">
            <w:pPr>
              <w:rPr>
                <w:rFonts w:ascii="宋体" w:hAnsi="宋体" w:cs="宋体"/>
                <w:color w:val="auto"/>
                <w:sz w:val="18"/>
                <w:szCs w:val="18"/>
                <w:highlight w:val="none"/>
              </w:rPr>
            </w:pPr>
            <w:r>
              <w:rPr>
                <w:rFonts w:ascii="宋体" w:hAnsi="宋体" w:cs="宋体"/>
                <w:color w:val="auto"/>
                <w:sz w:val="18"/>
                <w:szCs w:val="18"/>
                <w:highlight w:val="none"/>
              </w:rPr>
              <w:t>54.食堂工作人员应政治坚定、遵纪守法、廉洁自律、品行端正、文明礼貌、行为习惯良好。</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BC052FF">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49A46521">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2B4690C">
            <w:pPr>
              <w:rPr>
                <w:rFonts w:ascii="宋体" w:hAnsi="宋体" w:cs="宋体"/>
                <w:color w:val="auto"/>
                <w:sz w:val="18"/>
                <w:szCs w:val="18"/>
                <w:highlight w:val="none"/>
              </w:rPr>
            </w:pPr>
            <w:r>
              <w:rPr>
                <w:rFonts w:hint="eastAsia" w:ascii="宋体" w:hAnsi="宋体" w:cs="宋体"/>
                <w:color w:val="auto"/>
                <w:sz w:val="18"/>
                <w:szCs w:val="18"/>
                <w:highlight w:val="none"/>
              </w:rPr>
              <w:t>视情节轻重及影响支付违约金</w:t>
            </w:r>
            <w:r>
              <w:rPr>
                <w:rFonts w:ascii="宋体" w:hAnsi="宋体" w:cs="宋体"/>
                <w:color w:val="auto"/>
                <w:sz w:val="18"/>
                <w:szCs w:val="18"/>
                <w:highlight w:val="none"/>
              </w:rPr>
              <w:t>5000-20000元/次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A01DF2E">
            <w:pPr>
              <w:rPr>
                <w:rFonts w:ascii="宋体" w:hAnsi="宋体" w:cs="宋体"/>
                <w:color w:val="auto"/>
                <w:sz w:val="18"/>
                <w:szCs w:val="18"/>
                <w:highlight w:val="none"/>
              </w:rPr>
            </w:pPr>
            <w:r>
              <w:rPr>
                <w:rFonts w:hint="eastAsia" w:ascii="宋体" w:hAnsi="宋体" w:cs="宋体"/>
                <w:color w:val="auto"/>
                <w:sz w:val="18"/>
                <w:szCs w:val="18"/>
                <w:highlight w:val="none"/>
              </w:rPr>
              <w:t>视情节轻重及影响扣</w:t>
            </w:r>
            <w:r>
              <w:rPr>
                <w:rFonts w:ascii="宋体" w:hAnsi="宋体" w:cs="宋体"/>
                <w:color w:val="auto"/>
                <w:sz w:val="18"/>
                <w:szCs w:val="18"/>
                <w:highlight w:val="none"/>
              </w:rPr>
              <w:t>1-5分/次</w:t>
            </w:r>
          </w:p>
        </w:tc>
      </w:tr>
      <w:tr w14:paraId="2CD373A5">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7EE0E7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03CC73C">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86EB2">
            <w:pPr>
              <w:rPr>
                <w:rFonts w:ascii="宋体" w:hAnsi="宋体" w:cs="宋体"/>
                <w:color w:val="auto"/>
                <w:sz w:val="18"/>
                <w:szCs w:val="18"/>
                <w:highlight w:val="none"/>
              </w:rPr>
            </w:pPr>
            <w:r>
              <w:rPr>
                <w:rFonts w:ascii="宋体" w:hAnsi="宋体" w:cs="宋体"/>
                <w:color w:val="auto"/>
                <w:sz w:val="18"/>
                <w:szCs w:val="18"/>
                <w:highlight w:val="none"/>
              </w:rPr>
              <w:t>55.认真组织、策划或配合学校及</w:t>
            </w:r>
            <w:r>
              <w:rPr>
                <w:rFonts w:hint="eastAsia" w:ascii="宋体" w:hAnsi="宋体" w:cs="宋体"/>
                <w:color w:val="auto"/>
                <w:sz w:val="18"/>
                <w:szCs w:val="18"/>
                <w:highlight w:val="none"/>
              </w:rPr>
              <w:t>学生伙管会的各类饮食文化活动项目并投入资金保障。</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920C5CD">
            <w:pPr>
              <w:rPr>
                <w:rFonts w:ascii="宋体" w:hAnsi="宋体" w:cs="宋体"/>
                <w:color w:val="auto"/>
                <w:sz w:val="18"/>
                <w:szCs w:val="18"/>
                <w:highlight w:val="none"/>
              </w:rPr>
            </w:pPr>
            <w:r>
              <w:rPr>
                <w:rFonts w:hint="eastAsia" w:ascii="宋体" w:hAnsi="宋体" w:cs="宋体"/>
                <w:color w:val="auto"/>
                <w:sz w:val="18"/>
                <w:szCs w:val="18"/>
                <w:highlight w:val="none"/>
              </w:rPr>
              <w:t>活动</w:t>
            </w:r>
          </w:p>
          <w:p w14:paraId="4BD2A79B">
            <w:pPr>
              <w:rPr>
                <w:rFonts w:ascii="宋体" w:hAnsi="宋体" w:cs="宋体"/>
                <w:color w:val="auto"/>
                <w:sz w:val="18"/>
                <w:szCs w:val="18"/>
                <w:highlight w:val="none"/>
              </w:rPr>
            </w:pPr>
            <w:r>
              <w:rPr>
                <w:rFonts w:hint="eastAsia" w:ascii="宋体" w:hAnsi="宋体" w:cs="宋体"/>
                <w:color w:val="auto"/>
                <w:sz w:val="18"/>
                <w:szCs w:val="18"/>
                <w:highlight w:val="none"/>
              </w:rPr>
              <w:t>安排</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E479326">
            <w:pPr>
              <w:rPr>
                <w:rFonts w:ascii="宋体" w:hAnsi="宋体" w:cs="宋体"/>
                <w:color w:val="auto"/>
                <w:sz w:val="18"/>
                <w:szCs w:val="18"/>
                <w:highlight w:val="none"/>
              </w:rPr>
            </w:pPr>
            <w:r>
              <w:rPr>
                <w:rFonts w:hint="eastAsia" w:ascii="宋体" w:hAnsi="宋体" w:cs="宋体"/>
                <w:color w:val="auto"/>
                <w:sz w:val="18"/>
                <w:szCs w:val="18"/>
                <w:highlight w:val="none"/>
              </w:rPr>
              <w:t>未认真组织或配合开展的支付违约金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6E77CD2">
            <w:pPr>
              <w:rPr>
                <w:rFonts w:ascii="宋体" w:hAnsi="宋体" w:cs="宋体"/>
                <w:color w:val="auto"/>
                <w:sz w:val="18"/>
                <w:szCs w:val="18"/>
                <w:highlight w:val="none"/>
              </w:rPr>
            </w:pPr>
            <w:r>
              <w:rPr>
                <w:rFonts w:hint="eastAsia" w:ascii="宋体" w:hAnsi="宋体" w:cs="宋体"/>
                <w:color w:val="auto"/>
                <w:sz w:val="18"/>
                <w:szCs w:val="18"/>
                <w:highlight w:val="none"/>
              </w:rPr>
              <w:t>认真组织或配合开展的扣</w:t>
            </w:r>
            <w:r>
              <w:rPr>
                <w:rFonts w:ascii="宋体" w:hAnsi="宋体" w:cs="宋体"/>
                <w:color w:val="auto"/>
                <w:sz w:val="18"/>
                <w:szCs w:val="18"/>
                <w:highlight w:val="none"/>
              </w:rPr>
              <w:t>1分/次</w:t>
            </w:r>
          </w:p>
        </w:tc>
      </w:tr>
      <w:tr w14:paraId="6D6D685D">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4A86A85">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FED2CE5">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E19AEA">
            <w:pPr>
              <w:rPr>
                <w:rFonts w:ascii="宋体" w:hAnsi="宋体" w:cs="宋体"/>
                <w:color w:val="auto"/>
                <w:sz w:val="18"/>
                <w:szCs w:val="18"/>
                <w:highlight w:val="none"/>
              </w:rPr>
            </w:pPr>
            <w:r>
              <w:rPr>
                <w:rFonts w:ascii="宋体" w:hAnsi="宋体" w:cs="宋体"/>
                <w:color w:val="auto"/>
                <w:sz w:val="18"/>
                <w:szCs w:val="18"/>
                <w:highlight w:val="none"/>
              </w:rPr>
              <w:t>56.按学校要求免费提供传统节日特色食品。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99A6C0E">
            <w:pPr>
              <w:rPr>
                <w:rFonts w:ascii="宋体" w:hAnsi="宋体" w:cs="宋体"/>
                <w:color w:val="auto"/>
                <w:sz w:val="18"/>
                <w:szCs w:val="18"/>
                <w:highlight w:val="none"/>
              </w:rPr>
            </w:pPr>
            <w:r>
              <w:rPr>
                <w:rFonts w:hint="eastAsia" w:ascii="宋体" w:hAnsi="宋体" w:cs="宋体"/>
                <w:color w:val="auto"/>
                <w:sz w:val="18"/>
                <w:szCs w:val="18"/>
                <w:highlight w:val="none"/>
              </w:rPr>
              <w:t>查看</w:t>
            </w:r>
          </w:p>
          <w:p w14:paraId="4C910E71">
            <w:pPr>
              <w:rPr>
                <w:rFonts w:ascii="宋体" w:hAnsi="宋体" w:cs="宋体"/>
                <w:color w:val="auto"/>
                <w:sz w:val="18"/>
                <w:szCs w:val="18"/>
                <w:highlight w:val="none"/>
              </w:rPr>
            </w:pPr>
            <w:r>
              <w:rPr>
                <w:rFonts w:hint="eastAsia" w:ascii="宋体" w:hAnsi="宋体" w:cs="宋体"/>
                <w:color w:val="auto"/>
                <w:sz w:val="18"/>
                <w:szCs w:val="18"/>
                <w:highlight w:val="none"/>
              </w:rPr>
              <w:t>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3BA2B4D">
            <w:pPr>
              <w:rPr>
                <w:rFonts w:ascii="宋体" w:hAnsi="宋体" w:cs="宋体"/>
                <w:color w:val="auto"/>
                <w:sz w:val="18"/>
                <w:szCs w:val="18"/>
                <w:highlight w:val="none"/>
              </w:rPr>
            </w:pPr>
            <w:r>
              <w:rPr>
                <w:rFonts w:hint="eastAsia" w:ascii="宋体" w:hAnsi="宋体" w:cs="宋体"/>
                <w:color w:val="auto"/>
                <w:sz w:val="18"/>
                <w:szCs w:val="18"/>
                <w:highlight w:val="none"/>
              </w:rPr>
              <w:t>未提供的支付违约金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143DFF7">
            <w:pPr>
              <w:rPr>
                <w:rFonts w:ascii="宋体" w:hAnsi="宋体" w:cs="宋体"/>
                <w:color w:val="auto"/>
                <w:sz w:val="18"/>
                <w:szCs w:val="18"/>
                <w:highlight w:val="none"/>
              </w:rPr>
            </w:pPr>
            <w:r>
              <w:rPr>
                <w:rFonts w:hint="eastAsia" w:ascii="宋体" w:hAnsi="宋体" w:cs="宋体"/>
                <w:color w:val="auto"/>
                <w:sz w:val="18"/>
                <w:szCs w:val="18"/>
                <w:highlight w:val="none"/>
              </w:rPr>
              <w:t>未提供的扣</w:t>
            </w:r>
            <w:r>
              <w:rPr>
                <w:rFonts w:ascii="宋体" w:hAnsi="宋体" w:cs="宋体"/>
                <w:color w:val="auto"/>
                <w:sz w:val="18"/>
                <w:szCs w:val="18"/>
                <w:highlight w:val="none"/>
              </w:rPr>
              <w:t>5分/次</w:t>
            </w:r>
          </w:p>
        </w:tc>
      </w:tr>
      <w:tr w14:paraId="46F2B491">
        <w:tblPrEx>
          <w:tblCellMar>
            <w:top w:w="0" w:type="dxa"/>
            <w:left w:w="108" w:type="dxa"/>
            <w:bottom w:w="0" w:type="dxa"/>
            <w:right w:w="108" w:type="dxa"/>
          </w:tblCellMar>
        </w:tblPrEx>
        <w:trPr>
          <w:trHeight w:val="555" w:hRule="atLeast"/>
          <w:jc w:val="center"/>
        </w:trPr>
        <w:tc>
          <w:tcPr>
            <w:tcW w:w="499" w:type="dxa"/>
            <w:vMerge w:val="restart"/>
            <w:tcBorders>
              <w:top w:val="single" w:color="auto" w:sz="4" w:space="0"/>
              <w:left w:val="single" w:color="auto" w:sz="4" w:space="0"/>
              <w:right w:val="single" w:color="auto" w:sz="4" w:space="0"/>
            </w:tcBorders>
            <w:vAlign w:val="center"/>
          </w:tcPr>
          <w:p w14:paraId="34EDBA3D">
            <w:pPr>
              <w:rPr>
                <w:rFonts w:ascii="宋体" w:hAnsi="宋体" w:cs="宋体"/>
                <w:color w:val="auto"/>
                <w:sz w:val="18"/>
                <w:szCs w:val="18"/>
                <w:highlight w:val="none"/>
              </w:rPr>
            </w:pPr>
          </w:p>
          <w:p w14:paraId="7B03F4A4">
            <w:pPr>
              <w:rPr>
                <w:rFonts w:ascii="宋体" w:hAnsi="宋体" w:cs="宋体"/>
                <w:color w:val="auto"/>
                <w:sz w:val="18"/>
                <w:szCs w:val="18"/>
                <w:highlight w:val="none"/>
              </w:rPr>
            </w:pPr>
          </w:p>
          <w:p w14:paraId="7DED09AE">
            <w:pPr>
              <w:rPr>
                <w:rFonts w:ascii="宋体" w:hAnsi="宋体" w:cs="宋体"/>
                <w:color w:val="auto"/>
                <w:sz w:val="18"/>
                <w:szCs w:val="18"/>
                <w:highlight w:val="none"/>
              </w:rPr>
            </w:pPr>
            <w:r>
              <w:rPr>
                <w:rFonts w:hint="eastAsia" w:ascii="宋体" w:hAnsi="宋体" w:cs="宋体"/>
                <w:color w:val="auto"/>
                <w:sz w:val="18"/>
                <w:szCs w:val="18"/>
                <w:highlight w:val="none"/>
              </w:rPr>
              <w:t>六</w:t>
            </w:r>
          </w:p>
        </w:tc>
        <w:tc>
          <w:tcPr>
            <w:tcW w:w="636" w:type="dxa"/>
            <w:vMerge w:val="restart"/>
            <w:tcBorders>
              <w:top w:val="single" w:color="auto" w:sz="4" w:space="0"/>
              <w:left w:val="single" w:color="auto" w:sz="4" w:space="0"/>
              <w:right w:val="single" w:color="auto" w:sz="4" w:space="0"/>
            </w:tcBorders>
            <w:vAlign w:val="center"/>
          </w:tcPr>
          <w:p w14:paraId="33A435C7">
            <w:pPr>
              <w:rPr>
                <w:rFonts w:ascii="宋体" w:hAnsi="宋体" w:cs="宋体"/>
                <w:color w:val="auto"/>
                <w:sz w:val="18"/>
                <w:szCs w:val="18"/>
                <w:highlight w:val="none"/>
              </w:rPr>
            </w:pPr>
          </w:p>
          <w:p w14:paraId="5FC9034B">
            <w:pPr>
              <w:rPr>
                <w:rFonts w:ascii="宋体" w:hAnsi="宋体" w:cs="宋体"/>
                <w:color w:val="auto"/>
                <w:sz w:val="18"/>
                <w:szCs w:val="18"/>
                <w:highlight w:val="none"/>
              </w:rPr>
            </w:pPr>
          </w:p>
          <w:p w14:paraId="556FD6B4">
            <w:pPr>
              <w:rPr>
                <w:rFonts w:ascii="宋体" w:hAnsi="宋体" w:cs="宋体"/>
                <w:color w:val="auto"/>
                <w:sz w:val="18"/>
                <w:szCs w:val="18"/>
                <w:highlight w:val="none"/>
              </w:rPr>
            </w:pPr>
            <w:r>
              <w:rPr>
                <w:rFonts w:hint="eastAsia" w:ascii="宋体" w:hAnsi="宋体" w:cs="宋体"/>
                <w:color w:val="auto"/>
                <w:sz w:val="18"/>
                <w:szCs w:val="18"/>
                <w:highlight w:val="none"/>
              </w:rPr>
              <w:t>其他</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60B7B8D">
            <w:pPr>
              <w:rPr>
                <w:rFonts w:ascii="宋体" w:hAnsi="宋体" w:cs="宋体"/>
                <w:color w:val="auto"/>
                <w:sz w:val="18"/>
                <w:szCs w:val="18"/>
                <w:highlight w:val="none"/>
              </w:rPr>
            </w:pPr>
            <w:r>
              <w:rPr>
                <w:rFonts w:ascii="宋体" w:hAnsi="宋体" w:cs="宋体"/>
                <w:color w:val="auto"/>
                <w:sz w:val="18"/>
                <w:szCs w:val="18"/>
                <w:highlight w:val="none"/>
              </w:rPr>
              <w:t>57.食堂经营者应做到“门前三包”，保持清洁卫生</w:t>
            </w:r>
          </w:p>
        </w:tc>
        <w:tc>
          <w:tcPr>
            <w:tcW w:w="709" w:type="dxa"/>
            <w:tcBorders>
              <w:top w:val="single" w:color="auto" w:sz="4" w:space="0"/>
              <w:left w:val="single" w:color="auto" w:sz="4" w:space="0"/>
              <w:bottom w:val="single" w:color="auto" w:sz="4" w:space="0"/>
              <w:right w:val="single" w:color="auto" w:sz="4" w:space="0"/>
            </w:tcBorders>
            <w:vAlign w:val="center"/>
          </w:tcPr>
          <w:p w14:paraId="211E747C">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37CAF7C1">
            <w:pPr>
              <w:rPr>
                <w:rFonts w:ascii="宋体" w:hAnsi="宋体" w:cs="宋体"/>
                <w:color w:val="auto"/>
                <w:sz w:val="18"/>
                <w:szCs w:val="18"/>
                <w:highlight w:val="none"/>
              </w:rPr>
            </w:pPr>
            <w:r>
              <w:rPr>
                <w:rFonts w:hint="eastAsia" w:ascii="宋体" w:hAnsi="宋体" w:cs="宋体"/>
                <w:color w:val="auto"/>
                <w:sz w:val="18"/>
                <w:szCs w:val="18"/>
                <w:highlight w:val="none"/>
              </w:rPr>
              <w:t>卫生出现脏、乱、差现象每次支付违约金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525DE529">
            <w:pPr>
              <w:rPr>
                <w:rFonts w:ascii="宋体" w:hAnsi="宋体" w:cs="宋体"/>
                <w:color w:val="auto"/>
                <w:sz w:val="18"/>
                <w:szCs w:val="18"/>
                <w:highlight w:val="none"/>
              </w:rPr>
            </w:pPr>
            <w:r>
              <w:rPr>
                <w:rFonts w:hint="eastAsia" w:ascii="宋体" w:hAnsi="宋体" w:cs="宋体"/>
                <w:color w:val="auto"/>
                <w:sz w:val="18"/>
                <w:szCs w:val="18"/>
                <w:highlight w:val="none"/>
              </w:rPr>
              <w:t>卫生出现脏、乱、差的</w:t>
            </w:r>
            <w:r>
              <w:rPr>
                <w:rFonts w:ascii="宋体" w:hAnsi="宋体" w:cs="宋体"/>
                <w:color w:val="auto"/>
                <w:sz w:val="18"/>
                <w:szCs w:val="18"/>
                <w:highlight w:val="none"/>
              </w:rPr>
              <w:t>1分/次</w:t>
            </w:r>
          </w:p>
        </w:tc>
      </w:tr>
      <w:tr w14:paraId="22B73CC5">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475C9465">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7C98D842">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17432A6">
            <w:pPr>
              <w:rPr>
                <w:rFonts w:ascii="宋体" w:hAnsi="宋体" w:cs="宋体"/>
                <w:color w:val="auto"/>
                <w:sz w:val="18"/>
                <w:szCs w:val="18"/>
                <w:highlight w:val="none"/>
              </w:rPr>
            </w:pPr>
            <w:r>
              <w:rPr>
                <w:rFonts w:ascii="宋体" w:hAnsi="宋体" w:cs="宋体"/>
                <w:color w:val="auto"/>
                <w:sz w:val="18"/>
                <w:szCs w:val="18"/>
                <w:highlight w:val="none"/>
              </w:rPr>
              <w:t>58.严禁偷电、偷水、偷气行为</w:t>
            </w:r>
          </w:p>
        </w:tc>
        <w:tc>
          <w:tcPr>
            <w:tcW w:w="709" w:type="dxa"/>
            <w:tcBorders>
              <w:top w:val="single" w:color="auto" w:sz="4" w:space="0"/>
              <w:left w:val="single" w:color="auto" w:sz="4" w:space="0"/>
              <w:bottom w:val="single" w:color="auto" w:sz="4" w:space="0"/>
              <w:right w:val="single" w:color="auto" w:sz="4" w:space="0"/>
            </w:tcBorders>
            <w:vAlign w:val="center"/>
          </w:tcPr>
          <w:p w14:paraId="3877DB17">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AA66BEA">
            <w:pPr>
              <w:rPr>
                <w:rFonts w:ascii="宋体" w:hAnsi="宋体" w:cs="宋体"/>
                <w:color w:val="auto"/>
                <w:sz w:val="18"/>
                <w:szCs w:val="18"/>
                <w:highlight w:val="none"/>
              </w:rPr>
            </w:pPr>
            <w:r>
              <w:rPr>
                <w:rFonts w:hint="eastAsia" w:ascii="宋体" w:hAnsi="宋体" w:cs="宋体"/>
                <w:color w:val="auto"/>
                <w:sz w:val="18"/>
                <w:szCs w:val="18"/>
                <w:highlight w:val="none"/>
              </w:rPr>
              <w:t>每发现一次支付违约金</w:t>
            </w:r>
            <w:r>
              <w:rPr>
                <w:rFonts w:ascii="宋体" w:hAnsi="宋体" w:cs="宋体"/>
                <w:color w:val="auto"/>
                <w:sz w:val="18"/>
                <w:szCs w:val="18"/>
                <w:highlight w:val="none"/>
              </w:rPr>
              <w:t>20000元，并应补齐欠费，情节严重的上报公安部门处置，学校有权解除合同。</w:t>
            </w:r>
          </w:p>
        </w:tc>
        <w:tc>
          <w:tcPr>
            <w:tcW w:w="1559" w:type="dxa"/>
            <w:tcBorders>
              <w:top w:val="single" w:color="auto" w:sz="4" w:space="0"/>
              <w:left w:val="single" w:color="auto" w:sz="4" w:space="0"/>
              <w:bottom w:val="single" w:color="auto" w:sz="4" w:space="0"/>
              <w:right w:val="single" w:color="auto" w:sz="4" w:space="0"/>
            </w:tcBorders>
            <w:vAlign w:val="center"/>
          </w:tcPr>
          <w:p w14:paraId="33BF9679">
            <w:pPr>
              <w:rPr>
                <w:rFonts w:ascii="宋体" w:hAnsi="宋体" w:cs="宋体"/>
                <w:color w:val="auto"/>
                <w:sz w:val="18"/>
                <w:szCs w:val="18"/>
                <w:highlight w:val="none"/>
              </w:rPr>
            </w:pPr>
            <w:r>
              <w:rPr>
                <w:rFonts w:hint="eastAsia" w:ascii="宋体" w:hAnsi="宋体" w:cs="宋体"/>
                <w:color w:val="auto"/>
                <w:sz w:val="18"/>
                <w:szCs w:val="18"/>
                <w:highlight w:val="none"/>
              </w:rPr>
              <w:t>出现偷电、偷水、偷气行为的涉事当学期考核直接不合格</w:t>
            </w:r>
          </w:p>
        </w:tc>
      </w:tr>
      <w:tr w14:paraId="386E6D2D">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74DD6BBA">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2DFFB999">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9F89B31">
            <w:pPr>
              <w:rPr>
                <w:rFonts w:ascii="宋体" w:hAnsi="宋体" w:cs="宋体"/>
                <w:color w:val="auto"/>
                <w:sz w:val="18"/>
                <w:szCs w:val="18"/>
                <w:highlight w:val="none"/>
              </w:rPr>
            </w:pPr>
            <w:r>
              <w:rPr>
                <w:rFonts w:ascii="宋体" w:hAnsi="宋体" w:cs="宋体"/>
                <w:color w:val="auto"/>
                <w:sz w:val="18"/>
                <w:szCs w:val="18"/>
                <w:highlight w:val="none"/>
              </w:rPr>
              <w:t>59.采购人不定期委托第三方检测公司对</w:t>
            </w:r>
            <w:r>
              <w:rPr>
                <w:rFonts w:hint="eastAsia" w:ascii="宋体" w:hAnsi="宋体" w:cs="宋体"/>
                <w:color w:val="auto"/>
                <w:sz w:val="18"/>
                <w:szCs w:val="18"/>
                <w:highlight w:val="none"/>
              </w:rPr>
              <w:t>食堂食材进行抽检（费用由食堂委托经营公司负责）</w:t>
            </w:r>
          </w:p>
        </w:tc>
        <w:tc>
          <w:tcPr>
            <w:tcW w:w="709" w:type="dxa"/>
            <w:tcBorders>
              <w:top w:val="single" w:color="auto" w:sz="4" w:space="0"/>
              <w:left w:val="single" w:color="auto" w:sz="4" w:space="0"/>
              <w:bottom w:val="single" w:color="auto" w:sz="4" w:space="0"/>
              <w:right w:val="single" w:color="auto" w:sz="4" w:space="0"/>
            </w:tcBorders>
            <w:vAlign w:val="center"/>
          </w:tcPr>
          <w:p w14:paraId="1B712728">
            <w:pPr>
              <w:rPr>
                <w:rFonts w:ascii="宋体" w:hAnsi="宋体" w:cs="宋体"/>
                <w:color w:val="auto"/>
                <w:sz w:val="18"/>
                <w:szCs w:val="18"/>
                <w:highlight w:val="none"/>
              </w:rPr>
            </w:pPr>
            <w:r>
              <w:rPr>
                <w:rFonts w:hint="eastAsia" w:ascii="宋体" w:hAnsi="宋体" w:cs="宋体"/>
                <w:color w:val="auto"/>
                <w:sz w:val="18"/>
                <w:szCs w:val="18"/>
                <w:highlight w:val="none"/>
              </w:rPr>
              <w:t>查验检测报告</w:t>
            </w:r>
          </w:p>
        </w:tc>
        <w:tc>
          <w:tcPr>
            <w:tcW w:w="2693" w:type="dxa"/>
            <w:tcBorders>
              <w:top w:val="single" w:color="auto" w:sz="4" w:space="0"/>
              <w:left w:val="single" w:color="auto" w:sz="4" w:space="0"/>
              <w:bottom w:val="single" w:color="auto" w:sz="4" w:space="0"/>
              <w:right w:val="single" w:color="auto" w:sz="4" w:space="0"/>
            </w:tcBorders>
            <w:vAlign w:val="center"/>
          </w:tcPr>
          <w:p w14:paraId="63AE3E6D">
            <w:pPr>
              <w:rPr>
                <w:rFonts w:ascii="宋体" w:hAnsi="宋体" w:cs="宋体"/>
                <w:color w:val="auto"/>
                <w:sz w:val="18"/>
                <w:szCs w:val="18"/>
                <w:highlight w:val="none"/>
              </w:rPr>
            </w:pPr>
            <w:r>
              <w:rPr>
                <w:rFonts w:hint="eastAsia" w:ascii="宋体" w:hAnsi="宋体" w:cs="宋体"/>
                <w:color w:val="auto"/>
                <w:sz w:val="18"/>
                <w:szCs w:val="18"/>
                <w:highlight w:val="none"/>
              </w:rPr>
              <w:t>不配合支付违约金</w:t>
            </w:r>
            <w:r>
              <w:rPr>
                <w:rFonts w:ascii="宋体" w:hAnsi="宋体" w:cs="宋体"/>
                <w:color w:val="auto"/>
                <w:sz w:val="18"/>
                <w:szCs w:val="18"/>
                <w:highlight w:val="none"/>
              </w:rPr>
              <w:t>10000元，抽检不合格，按不合格数量，支付违约金50000元/</w:t>
            </w:r>
            <w:r>
              <w:rPr>
                <w:rFonts w:hint="eastAsia" w:ascii="宋体" w:hAnsi="宋体" w:cs="宋体"/>
                <w:color w:val="auto"/>
                <w:sz w:val="18"/>
                <w:szCs w:val="18"/>
                <w:highlight w:val="none"/>
              </w:rPr>
              <w:t>个。</w:t>
            </w:r>
          </w:p>
        </w:tc>
        <w:tc>
          <w:tcPr>
            <w:tcW w:w="1559" w:type="dxa"/>
            <w:tcBorders>
              <w:top w:val="single" w:color="auto" w:sz="4" w:space="0"/>
              <w:left w:val="single" w:color="auto" w:sz="4" w:space="0"/>
              <w:bottom w:val="single" w:color="auto" w:sz="4" w:space="0"/>
              <w:right w:val="single" w:color="auto" w:sz="4" w:space="0"/>
            </w:tcBorders>
            <w:vAlign w:val="center"/>
          </w:tcPr>
          <w:p w14:paraId="3C8CE7BA">
            <w:pPr>
              <w:rPr>
                <w:rFonts w:ascii="宋体" w:hAnsi="宋体" w:cs="宋体"/>
                <w:color w:val="auto"/>
                <w:sz w:val="18"/>
                <w:szCs w:val="18"/>
                <w:highlight w:val="none"/>
              </w:rPr>
            </w:pPr>
            <w:r>
              <w:rPr>
                <w:rFonts w:hint="eastAsia" w:ascii="宋体" w:hAnsi="宋体" w:cs="宋体"/>
                <w:color w:val="auto"/>
                <w:sz w:val="18"/>
                <w:szCs w:val="18"/>
                <w:highlight w:val="none"/>
              </w:rPr>
              <w:t>不配合扣</w:t>
            </w:r>
            <w:r>
              <w:rPr>
                <w:rFonts w:ascii="宋体" w:hAnsi="宋体" w:cs="宋体"/>
                <w:color w:val="auto"/>
                <w:sz w:val="18"/>
                <w:szCs w:val="18"/>
                <w:highlight w:val="none"/>
              </w:rPr>
              <w:t>2分/次，抽检不合格的扣5分/</w:t>
            </w:r>
            <w:r>
              <w:rPr>
                <w:rFonts w:hint="eastAsia" w:ascii="宋体" w:hAnsi="宋体" w:cs="宋体"/>
                <w:color w:val="auto"/>
                <w:sz w:val="18"/>
                <w:szCs w:val="18"/>
                <w:highlight w:val="none"/>
              </w:rPr>
              <w:t>个。</w:t>
            </w:r>
          </w:p>
        </w:tc>
      </w:tr>
      <w:tr w14:paraId="61F1AEEF">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41973106">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1ECDBBE3">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9F6572F">
            <w:pPr>
              <w:rPr>
                <w:rFonts w:ascii="宋体" w:hAnsi="宋体" w:cs="宋体"/>
                <w:color w:val="auto"/>
                <w:sz w:val="18"/>
                <w:szCs w:val="18"/>
                <w:highlight w:val="none"/>
              </w:rPr>
            </w:pPr>
            <w:r>
              <w:rPr>
                <w:rFonts w:ascii="宋体" w:hAnsi="宋体" w:cs="宋体"/>
                <w:color w:val="auto"/>
                <w:sz w:val="18"/>
                <w:szCs w:val="18"/>
                <w:highlight w:val="none"/>
              </w:rPr>
              <w:t>60.接受市场监督管理局等有关职能部门以及上级机关等各级各类检查时，给采购人造成不良影响的</w:t>
            </w:r>
          </w:p>
        </w:tc>
        <w:tc>
          <w:tcPr>
            <w:tcW w:w="709" w:type="dxa"/>
            <w:tcBorders>
              <w:top w:val="single" w:color="auto" w:sz="4" w:space="0"/>
              <w:left w:val="single" w:color="auto" w:sz="4" w:space="0"/>
              <w:bottom w:val="single" w:color="auto" w:sz="4" w:space="0"/>
              <w:right w:val="single" w:color="auto" w:sz="4" w:space="0"/>
            </w:tcBorders>
            <w:vAlign w:val="center"/>
          </w:tcPr>
          <w:p w14:paraId="3682524C">
            <w:pPr>
              <w:rPr>
                <w:rFonts w:ascii="宋体" w:hAnsi="宋体" w:cs="宋体"/>
                <w:color w:val="auto"/>
                <w:sz w:val="18"/>
                <w:szCs w:val="18"/>
                <w:highlight w:val="none"/>
              </w:rPr>
            </w:pPr>
            <w:r>
              <w:rPr>
                <w:rFonts w:hint="eastAsia" w:ascii="宋体" w:hAnsi="宋体" w:cs="宋体"/>
                <w:color w:val="auto"/>
                <w:sz w:val="18"/>
                <w:szCs w:val="18"/>
                <w:highlight w:val="none"/>
              </w:rPr>
              <w:t>依据检查效果</w:t>
            </w:r>
          </w:p>
        </w:tc>
        <w:tc>
          <w:tcPr>
            <w:tcW w:w="2693" w:type="dxa"/>
            <w:tcBorders>
              <w:top w:val="single" w:color="auto" w:sz="4" w:space="0"/>
              <w:left w:val="single" w:color="auto" w:sz="4" w:space="0"/>
              <w:bottom w:val="single" w:color="auto" w:sz="4" w:space="0"/>
              <w:right w:val="single" w:color="auto" w:sz="4" w:space="0"/>
            </w:tcBorders>
            <w:vAlign w:val="center"/>
          </w:tcPr>
          <w:p w14:paraId="79A5BE33">
            <w:pPr>
              <w:rPr>
                <w:rFonts w:ascii="宋体" w:hAnsi="宋体" w:cs="宋体"/>
                <w:color w:val="auto"/>
                <w:sz w:val="18"/>
                <w:szCs w:val="18"/>
                <w:highlight w:val="none"/>
              </w:rPr>
            </w:pPr>
            <w:r>
              <w:rPr>
                <w:rFonts w:hint="eastAsia" w:ascii="宋体" w:hAnsi="宋体" w:cs="宋体"/>
                <w:color w:val="auto"/>
                <w:sz w:val="18"/>
                <w:szCs w:val="18"/>
                <w:highlight w:val="none"/>
              </w:rPr>
              <w:t>视其情节每发生一次支付违约金</w:t>
            </w:r>
            <w:r>
              <w:rPr>
                <w:rFonts w:ascii="宋体" w:hAnsi="宋体" w:cs="宋体"/>
                <w:color w:val="auto"/>
                <w:sz w:val="18"/>
                <w:szCs w:val="18"/>
                <w:highlight w:val="none"/>
              </w:rPr>
              <w:t>2000元及以上；</w:t>
            </w:r>
          </w:p>
        </w:tc>
        <w:tc>
          <w:tcPr>
            <w:tcW w:w="1559" w:type="dxa"/>
            <w:tcBorders>
              <w:top w:val="single" w:color="auto" w:sz="4" w:space="0"/>
              <w:left w:val="single" w:color="auto" w:sz="4" w:space="0"/>
              <w:bottom w:val="single" w:color="auto" w:sz="4" w:space="0"/>
              <w:right w:val="single" w:color="auto" w:sz="4" w:space="0"/>
            </w:tcBorders>
            <w:vAlign w:val="center"/>
          </w:tcPr>
          <w:p w14:paraId="048B70D2">
            <w:pPr>
              <w:rPr>
                <w:rFonts w:ascii="宋体" w:hAnsi="宋体" w:cs="宋体"/>
                <w:color w:val="auto"/>
                <w:sz w:val="18"/>
                <w:szCs w:val="18"/>
                <w:highlight w:val="none"/>
              </w:rPr>
            </w:pPr>
            <w:r>
              <w:rPr>
                <w:rFonts w:hint="eastAsia" w:ascii="宋体" w:hAnsi="宋体" w:cs="宋体"/>
                <w:color w:val="auto"/>
                <w:sz w:val="18"/>
                <w:szCs w:val="18"/>
                <w:highlight w:val="none"/>
              </w:rPr>
              <w:t>视其情节扣</w:t>
            </w:r>
            <w:r>
              <w:rPr>
                <w:rFonts w:ascii="宋体" w:hAnsi="宋体" w:cs="宋体"/>
                <w:color w:val="auto"/>
                <w:sz w:val="18"/>
                <w:szCs w:val="18"/>
                <w:highlight w:val="none"/>
              </w:rPr>
              <w:t>1分/次及以上</w:t>
            </w:r>
          </w:p>
        </w:tc>
      </w:tr>
      <w:tr w14:paraId="270C1F93">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3B983F5F">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3466A4D4">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A531BF">
            <w:pPr>
              <w:rPr>
                <w:rFonts w:ascii="宋体" w:hAnsi="宋体" w:cs="宋体"/>
                <w:color w:val="auto"/>
                <w:sz w:val="18"/>
                <w:szCs w:val="18"/>
                <w:highlight w:val="none"/>
              </w:rPr>
            </w:pPr>
            <w:r>
              <w:rPr>
                <w:rFonts w:ascii="宋体" w:hAnsi="宋体" w:cs="宋体"/>
                <w:color w:val="auto"/>
                <w:sz w:val="18"/>
                <w:szCs w:val="18"/>
                <w:highlight w:val="none"/>
              </w:rPr>
              <w:t>61.严禁使用</w:t>
            </w:r>
            <w:r>
              <w:rPr>
                <w:rFonts w:hint="eastAsia" w:ascii="宋体" w:hAnsi="宋体" w:cs="宋体"/>
                <w:color w:val="auto"/>
                <w:sz w:val="18"/>
                <w:szCs w:val="18"/>
                <w:highlight w:val="none"/>
              </w:rPr>
              <w:t>转基因食材或外国进口类食材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E84256">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F45FDD8">
            <w:pPr>
              <w:rPr>
                <w:rFonts w:ascii="宋体" w:hAnsi="宋体" w:cs="宋体"/>
                <w:color w:val="auto"/>
                <w:sz w:val="18"/>
                <w:szCs w:val="18"/>
                <w:highlight w:val="none"/>
              </w:rPr>
            </w:pPr>
            <w:r>
              <w:rPr>
                <w:rFonts w:hint="eastAsia" w:ascii="宋体" w:hAnsi="宋体" w:cs="宋体"/>
                <w:color w:val="auto"/>
                <w:sz w:val="18"/>
                <w:szCs w:val="18"/>
                <w:highlight w:val="none"/>
              </w:rPr>
              <w:t>每发现一次按每个品种支付违约金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7451BEB">
            <w:pPr>
              <w:rPr>
                <w:rFonts w:ascii="宋体" w:hAnsi="宋体" w:cs="宋体"/>
                <w:color w:val="auto"/>
                <w:sz w:val="18"/>
                <w:szCs w:val="18"/>
                <w:highlight w:val="none"/>
              </w:rPr>
            </w:pPr>
            <w:r>
              <w:rPr>
                <w:rFonts w:hint="eastAsia" w:ascii="宋体" w:hAnsi="宋体" w:cs="宋体"/>
                <w:color w:val="auto"/>
                <w:sz w:val="18"/>
                <w:szCs w:val="18"/>
                <w:highlight w:val="none"/>
              </w:rPr>
              <w:t>按发现品种数量扣</w:t>
            </w:r>
            <w:r>
              <w:rPr>
                <w:rFonts w:ascii="宋体" w:hAnsi="宋体" w:cs="宋体"/>
                <w:color w:val="auto"/>
                <w:sz w:val="18"/>
                <w:szCs w:val="18"/>
                <w:highlight w:val="none"/>
              </w:rPr>
              <w:t>5/</w:t>
            </w:r>
            <w:r>
              <w:rPr>
                <w:rFonts w:hint="eastAsia" w:ascii="宋体" w:hAnsi="宋体" w:cs="宋体"/>
                <w:color w:val="auto"/>
                <w:sz w:val="18"/>
                <w:szCs w:val="18"/>
                <w:highlight w:val="none"/>
              </w:rPr>
              <w:t>个</w:t>
            </w:r>
          </w:p>
        </w:tc>
      </w:tr>
      <w:tr w14:paraId="6F85EE43">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064AEF5C">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036A96B4">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E2254C">
            <w:pPr>
              <w:rPr>
                <w:rFonts w:ascii="宋体" w:hAnsi="宋体" w:cs="宋体"/>
                <w:color w:val="auto"/>
                <w:sz w:val="18"/>
                <w:szCs w:val="18"/>
                <w:highlight w:val="none"/>
              </w:rPr>
            </w:pPr>
            <w:r>
              <w:rPr>
                <w:rFonts w:ascii="宋体" w:hAnsi="宋体" w:cs="宋体"/>
                <w:color w:val="auto"/>
                <w:sz w:val="18"/>
                <w:szCs w:val="18"/>
                <w:highlight w:val="none"/>
              </w:rPr>
              <w:t>62.不服从管理、不及时按要求进行整改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5C525B">
            <w:pPr>
              <w:rPr>
                <w:rFonts w:ascii="宋体" w:hAnsi="宋体" w:cs="宋体"/>
                <w:color w:val="auto"/>
                <w:sz w:val="18"/>
                <w:szCs w:val="18"/>
                <w:highlight w:val="none"/>
              </w:rPr>
            </w:pPr>
            <w:r>
              <w:rPr>
                <w:rFonts w:hint="eastAsia" w:ascii="宋体" w:hAnsi="宋体" w:cs="宋体"/>
                <w:color w:val="auto"/>
                <w:sz w:val="18"/>
                <w:szCs w:val="18"/>
                <w:highlight w:val="none"/>
              </w:rPr>
              <w:t>依据工作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C19D3C9">
            <w:pPr>
              <w:rPr>
                <w:rFonts w:ascii="宋体" w:hAnsi="宋体" w:cs="宋体"/>
                <w:color w:val="auto"/>
                <w:sz w:val="18"/>
                <w:szCs w:val="18"/>
                <w:highlight w:val="none"/>
              </w:rPr>
            </w:pPr>
            <w:r>
              <w:rPr>
                <w:rFonts w:hint="eastAsia" w:ascii="宋体" w:hAnsi="宋体" w:cs="宋体"/>
                <w:color w:val="auto"/>
                <w:sz w:val="18"/>
                <w:szCs w:val="18"/>
                <w:highlight w:val="none"/>
              </w:rPr>
              <w:t>视其情况每次支付违约金</w:t>
            </w:r>
            <w:r>
              <w:rPr>
                <w:rFonts w:ascii="宋体" w:hAnsi="宋体" w:cs="宋体"/>
                <w:color w:val="auto"/>
                <w:sz w:val="18"/>
                <w:szCs w:val="18"/>
                <w:highlight w:val="none"/>
              </w:rPr>
              <w:t>10000元-50000元</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73D1DC6">
            <w:pPr>
              <w:rPr>
                <w:rFonts w:ascii="宋体" w:hAnsi="宋体" w:cs="宋体"/>
                <w:color w:val="auto"/>
                <w:sz w:val="18"/>
                <w:szCs w:val="18"/>
                <w:highlight w:val="none"/>
              </w:rPr>
            </w:pPr>
            <w:r>
              <w:rPr>
                <w:rFonts w:hint="eastAsia" w:ascii="宋体" w:hAnsi="宋体" w:cs="宋体"/>
                <w:color w:val="auto"/>
                <w:sz w:val="18"/>
                <w:szCs w:val="18"/>
                <w:highlight w:val="none"/>
              </w:rPr>
              <w:t>视其情况扣</w:t>
            </w:r>
            <w:r>
              <w:rPr>
                <w:rFonts w:ascii="宋体" w:hAnsi="宋体" w:cs="宋体"/>
                <w:color w:val="auto"/>
                <w:sz w:val="18"/>
                <w:szCs w:val="18"/>
                <w:highlight w:val="none"/>
              </w:rPr>
              <w:t>5-10分/次</w:t>
            </w:r>
          </w:p>
        </w:tc>
      </w:tr>
      <w:tr w14:paraId="0B33761D">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2E840C1C">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303703C3">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8BAC5">
            <w:pPr>
              <w:rPr>
                <w:rFonts w:ascii="宋体" w:hAnsi="宋体" w:cs="宋体"/>
                <w:color w:val="auto"/>
                <w:sz w:val="18"/>
                <w:szCs w:val="18"/>
                <w:highlight w:val="none"/>
              </w:rPr>
            </w:pPr>
            <w:r>
              <w:rPr>
                <w:rFonts w:ascii="宋体" w:hAnsi="宋体" w:cs="宋体"/>
                <w:color w:val="auto"/>
                <w:sz w:val="18"/>
                <w:szCs w:val="18"/>
                <w:highlight w:val="none"/>
              </w:rPr>
              <w:t>63.完成学校情况下达的各类工作任务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F8DB69D">
            <w:pPr>
              <w:rPr>
                <w:rFonts w:ascii="宋体" w:hAnsi="宋体" w:cs="宋体"/>
                <w:color w:val="auto"/>
                <w:sz w:val="18"/>
                <w:szCs w:val="18"/>
                <w:highlight w:val="none"/>
              </w:rPr>
            </w:pPr>
            <w:r>
              <w:rPr>
                <w:rFonts w:hint="eastAsia" w:ascii="宋体" w:hAnsi="宋体" w:cs="宋体"/>
                <w:color w:val="auto"/>
                <w:sz w:val="18"/>
                <w:szCs w:val="18"/>
                <w:highlight w:val="none"/>
              </w:rPr>
              <w:t>依据工作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A9396EC">
            <w:pPr>
              <w:rPr>
                <w:rFonts w:ascii="宋体" w:hAnsi="宋体" w:cs="宋体"/>
                <w:color w:val="auto"/>
                <w:sz w:val="18"/>
                <w:szCs w:val="18"/>
                <w:highlight w:val="none"/>
              </w:rPr>
            </w:pPr>
            <w:r>
              <w:rPr>
                <w:rFonts w:hint="eastAsia" w:ascii="宋体" w:hAnsi="宋体" w:cs="宋体"/>
                <w:color w:val="auto"/>
                <w:sz w:val="18"/>
                <w:szCs w:val="18"/>
                <w:highlight w:val="none"/>
              </w:rPr>
              <w:t>视工作未完成情况每项支付违约金</w:t>
            </w:r>
            <w:r>
              <w:rPr>
                <w:rFonts w:ascii="宋体" w:hAnsi="宋体" w:cs="宋体"/>
                <w:color w:val="auto"/>
                <w:sz w:val="18"/>
                <w:szCs w:val="18"/>
                <w:highlight w:val="none"/>
              </w:rPr>
              <w:t>5000元-50000元。</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B01AD50">
            <w:pPr>
              <w:rPr>
                <w:rFonts w:ascii="宋体" w:hAnsi="宋体" w:cs="宋体"/>
                <w:color w:val="auto"/>
                <w:sz w:val="18"/>
                <w:szCs w:val="18"/>
                <w:highlight w:val="none"/>
              </w:rPr>
            </w:pPr>
            <w:r>
              <w:rPr>
                <w:rFonts w:hint="eastAsia" w:ascii="宋体" w:hAnsi="宋体" w:cs="宋体"/>
                <w:color w:val="auto"/>
                <w:sz w:val="18"/>
                <w:szCs w:val="18"/>
                <w:highlight w:val="none"/>
              </w:rPr>
              <w:t>视工作未完成情况扣</w:t>
            </w:r>
            <w:r>
              <w:rPr>
                <w:rFonts w:ascii="宋体" w:hAnsi="宋体" w:cs="宋体"/>
                <w:color w:val="auto"/>
                <w:sz w:val="18"/>
                <w:szCs w:val="18"/>
                <w:highlight w:val="none"/>
              </w:rPr>
              <w:t>5-10分/项</w:t>
            </w:r>
          </w:p>
        </w:tc>
      </w:tr>
      <w:tr w14:paraId="6546FFCF">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01FD1FA6">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36BC4365">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1FF4B5">
            <w:pPr>
              <w:rPr>
                <w:rFonts w:ascii="宋体" w:hAnsi="宋体" w:cs="宋体"/>
                <w:color w:val="auto"/>
                <w:sz w:val="18"/>
                <w:szCs w:val="18"/>
                <w:highlight w:val="none"/>
              </w:rPr>
            </w:pPr>
            <w:r>
              <w:rPr>
                <w:rFonts w:ascii="宋体" w:hAnsi="宋体" w:cs="宋体"/>
                <w:color w:val="auto"/>
                <w:sz w:val="18"/>
                <w:szCs w:val="18"/>
                <w:highlight w:val="none"/>
              </w:rPr>
              <w:t>64.在经营过程中发生师生有效投诉</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470582">
            <w:pPr>
              <w:rPr>
                <w:rFonts w:ascii="宋体" w:hAnsi="宋体" w:cs="宋体"/>
                <w:color w:val="auto"/>
                <w:sz w:val="18"/>
                <w:szCs w:val="18"/>
                <w:highlight w:val="none"/>
              </w:rPr>
            </w:pPr>
            <w:r>
              <w:rPr>
                <w:rFonts w:hint="eastAsia" w:ascii="宋体" w:hAnsi="宋体" w:cs="宋体"/>
                <w:color w:val="auto"/>
                <w:sz w:val="18"/>
                <w:szCs w:val="18"/>
                <w:highlight w:val="none"/>
              </w:rPr>
              <w:t>依据投诉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43B38F">
            <w:pPr>
              <w:rPr>
                <w:rFonts w:ascii="宋体" w:hAnsi="宋体" w:cs="宋体"/>
                <w:color w:val="auto"/>
                <w:sz w:val="18"/>
                <w:szCs w:val="18"/>
                <w:highlight w:val="none"/>
              </w:rPr>
            </w:pPr>
            <w:r>
              <w:rPr>
                <w:rFonts w:hint="eastAsia" w:ascii="宋体" w:hAnsi="宋体" w:cs="宋体"/>
                <w:color w:val="auto"/>
                <w:sz w:val="18"/>
                <w:szCs w:val="18"/>
                <w:highlight w:val="none"/>
              </w:rPr>
              <w:t>视其情况支付违约金</w:t>
            </w:r>
            <w:r>
              <w:rPr>
                <w:rFonts w:ascii="宋体" w:hAnsi="宋体" w:cs="宋体"/>
                <w:color w:val="auto"/>
                <w:sz w:val="18"/>
                <w:szCs w:val="18"/>
                <w:highlight w:val="none"/>
              </w:rPr>
              <w:t>500元及以上/次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2EDEC54">
            <w:pPr>
              <w:rPr>
                <w:rFonts w:ascii="宋体" w:hAnsi="宋体" w:cs="宋体"/>
                <w:color w:val="auto"/>
                <w:sz w:val="18"/>
                <w:szCs w:val="18"/>
                <w:highlight w:val="none"/>
              </w:rPr>
            </w:pPr>
            <w:r>
              <w:rPr>
                <w:rFonts w:hint="eastAsia" w:ascii="宋体" w:hAnsi="宋体" w:cs="宋体"/>
                <w:color w:val="auto"/>
                <w:sz w:val="18"/>
                <w:szCs w:val="18"/>
                <w:highlight w:val="none"/>
              </w:rPr>
              <w:t>视其情况扣</w:t>
            </w:r>
            <w:r>
              <w:rPr>
                <w:rFonts w:ascii="宋体" w:hAnsi="宋体" w:cs="宋体"/>
                <w:color w:val="auto"/>
                <w:sz w:val="18"/>
                <w:szCs w:val="18"/>
                <w:highlight w:val="none"/>
              </w:rPr>
              <w:t>1分及以上/次</w:t>
            </w:r>
          </w:p>
        </w:tc>
      </w:tr>
      <w:tr w14:paraId="73F8D6E6">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344873BB">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1C0F208D">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09511D">
            <w:pPr>
              <w:rPr>
                <w:rFonts w:ascii="宋体" w:hAnsi="宋体" w:cs="宋体"/>
                <w:color w:val="auto"/>
                <w:sz w:val="18"/>
                <w:szCs w:val="18"/>
                <w:highlight w:val="none"/>
              </w:rPr>
            </w:pPr>
            <w:r>
              <w:rPr>
                <w:rFonts w:ascii="宋体" w:hAnsi="宋体" w:cs="宋体"/>
                <w:color w:val="auto"/>
                <w:sz w:val="18"/>
                <w:szCs w:val="18"/>
                <w:highlight w:val="none"/>
              </w:rPr>
              <w:t>65.</w:t>
            </w:r>
            <w:r>
              <w:rPr>
                <w:rFonts w:hint="eastAsia" w:ascii="宋体" w:hAnsi="宋体" w:cs="宋体"/>
                <w:color w:val="auto"/>
                <w:sz w:val="18"/>
                <w:szCs w:val="18"/>
                <w:highlight w:val="none"/>
              </w:rPr>
              <w:t>成交商招聘的工人在学校内，做影响食品从业人员形象的事情（例如在垃圾桶里面或学校其他区域捡垃圾）</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4B3707">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428E741">
            <w:pPr>
              <w:rPr>
                <w:rFonts w:ascii="宋体" w:hAnsi="宋体" w:cs="宋体"/>
                <w:color w:val="auto"/>
                <w:sz w:val="18"/>
                <w:szCs w:val="18"/>
                <w:highlight w:val="none"/>
              </w:rPr>
            </w:pPr>
            <w:r>
              <w:rPr>
                <w:rFonts w:hint="eastAsia" w:ascii="宋体" w:hAnsi="宋体" w:cs="宋体"/>
                <w:color w:val="auto"/>
                <w:sz w:val="18"/>
                <w:szCs w:val="18"/>
                <w:highlight w:val="none"/>
              </w:rPr>
              <w:t>经查实后支付违约金</w:t>
            </w:r>
            <w:r>
              <w:rPr>
                <w:rFonts w:ascii="宋体" w:hAnsi="宋体" w:cs="宋体"/>
                <w:color w:val="auto"/>
                <w:sz w:val="18"/>
                <w:szCs w:val="18"/>
                <w:highlight w:val="none"/>
              </w:rPr>
              <w:t>1000元/人、次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1E4FDD6">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1分/人、次</w:t>
            </w:r>
          </w:p>
        </w:tc>
      </w:tr>
      <w:tr w14:paraId="1452E671">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6A2FC603">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03DC0D8E">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06B54D7">
            <w:pPr>
              <w:rPr>
                <w:rFonts w:ascii="宋体" w:hAnsi="宋体" w:cs="宋体"/>
                <w:color w:val="auto"/>
                <w:sz w:val="18"/>
                <w:szCs w:val="18"/>
                <w:highlight w:val="none"/>
              </w:rPr>
            </w:pPr>
            <w:r>
              <w:rPr>
                <w:rFonts w:ascii="宋体" w:hAnsi="宋体" w:cs="宋体"/>
                <w:color w:val="auto"/>
                <w:sz w:val="18"/>
                <w:szCs w:val="18"/>
                <w:highlight w:val="none"/>
              </w:rPr>
              <w:t>66.不得在食堂内出现任何商业广告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0F60AC5">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F54E0E3">
            <w:pPr>
              <w:rPr>
                <w:rFonts w:ascii="宋体" w:hAnsi="宋体" w:cs="宋体"/>
                <w:color w:val="auto"/>
                <w:sz w:val="18"/>
                <w:szCs w:val="18"/>
                <w:highlight w:val="none"/>
              </w:rPr>
            </w:pPr>
            <w:r>
              <w:rPr>
                <w:rFonts w:hint="eastAsia" w:ascii="宋体" w:hAnsi="宋体" w:cs="宋体"/>
                <w:color w:val="auto"/>
                <w:sz w:val="18"/>
                <w:szCs w:val="18"/>
                <w:highlight w:val="none"/>
              </w:rPr>
              <w:t>经查实后支付违约金</w:t>
            </w:r>
            <w:r>
              <w:rPr>
                <w:rFonts w:ascii="宋体" w:hAnsi="宋体" w:cs="宋体"/>
                <w:color w:val="auto"/>
                <w:sz w:val="18"/>
                <w:szCs w:val="18"/>
                <w:highlight w:val="none"/>
              </w:rPr>
              <w:t>1000元/处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DCD9391">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1分/处</w:t>
            </w:r>
          </w:p>
        </w:tc>
      </w:tr>
      <w:tr w14:paraId="393B340C">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2061E934">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4EB4F1B0">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0780E5">
            <w:pPr>
              <w:rPr>
                <w:rFonts w:ascii="宋体" w:hAnsi="宋体" w:cs="宋体"/>
                <w:color w:val="auto"/>
                <w:sz w:val="18"/>
                <w:szCs w:val="18"/>
                <w:highlight w:val="none"/>
              </w:rPr>
            </w:pPr>
            <w:r>
              <w:rPr>
                <w:rFonts w:ascii="宋体" w:hAnsi="宋体" w:cs="宋体"/>
                <w:color w:val="auto"/>
                <w:sz w:val="18"/>
                <w:szCs w:val="18"/>
                <w:highlight w:val="none"/>
              </w:rPr>
              <w:t>67.指派公司负责人全面统筹所经营管理食堂的食品安全、饭菜质量、内部管理等，每月应至少1次到食堂现场检查食品安全工作并留在检查影像资料和记录备查。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665807F">
            <w:pPr>
              <w:rPr>
                <w:rFonts w:ascii="宋体" w:hAnsi="宋体" w:cs="宋体"/>
                <w:color w:val="auto"/>
                <w:sz w:val="18"/>
                <w:szCs w:val="18"/>
                <w:highlight w:val="none"/>
              </w:rPr>
            </w:pPr>
            <w:r>
              <w:rPr>
                <w:rFonts w:hint="eastAsia" w:ascii="宋体" w:hAnsi="宋体" w:cs="宋体"/>
                <w:color w:val="auto"/>
                <w:sz w:val="18"/>
                <w:szCs w:val="18"/>
                <w:highlight w:val="none"/>
              </w:rPr>
              <w:t>材料检查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BEFC3C3">
            <w:pPr>
              <w:rPr>
                <w:rFonts w:ascii="宋体" w:hAnsi="宋体" w:cs="宋体"/>
                <w:color w:val="auto"/>
                <w:sz w:val="18"/>
                <w:szCs w:val="18"/>
                <w:highlight w:val="none"/>
              </w:rPr>
            </w:pPr>
            <w:r>
              <w:rPr>
                <w:rFonts w:hint="eastAsia" w:ascii="宋体" w:hAnsi="宋体" w:cs="宋体"/>
                <w:color w:val="auto"/>
                <w:sz w:val="18"/>
                <w:szCs w:val="18"/>
                <w:highlight w:val="none"/>
              </w:rPr>
              <w:t>未到现场或无记录或记录不全支付违约金</w:t>
            </w:r>
            <w:r>
              <w:rPr>
                <w:rFonts w:ascii="宋体" w:hAnsi="宋体" w:cs="宋体"/>
                <w:color w:val="auto"/>
                <w:sz w:val="18"/>
                <w:szCs w:val="18"/>
                <w:highlight w:val="none"/>
              </w:rPr>
              <w:t>5000元/次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F6C9026">
            <w:pPr>
              <w:rPr>
                <w:rFonts w:ascii="宋体" w:hAnsi="宋体" w:cs="宋体"/>
                <w:color w:val="auto"/>
                <w:sz w:val="18"/>
                <w:szCs w:val="18"/>
                <w:highlight w:val="none"/>
              </w:rPr>
            </w:pPr>
            <w:r>
              <w:rPr>
                <w:rFonts w:hint="eastAsia" w:ascii="宋体" w:hAnsi="宋体" w:cs="宋体"/>
                <w:color w:val="auto"/>
                <w:sz w:val="18"/>
                <w:szCs w:val="18"/>
                <w:highlight w:val="none"/>
              </w:rPr>
              <w:t>未到现场或无记录或记录资料不全扣</w:t>
            </w:r>
            <w:r>
              <w:rPr>
                <w:rFonts w:ascii="宋体" w:hAnsi="宋体" w:cs="宋体"/>
                <w:color w:val="auto"/>
                <w:sz w:val="18"/>
                <w:szCs w:val="18"/>
                <w:highlight w:val="none"/>
              </w:rPr>
              <w:t>2分/次</w:t>
            </w:r>
          </w:p>
        </w:tc>
      </w:tr>
      <w:tr w14:paraId="70DCDCE3">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5CF1680B">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41EF93C5">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1F951">
            <w:pPr>
              <w:rPr>
                <w:rFonts w:ascii="宋体" w:hAnsi="宋体" w:cs="宋体"/>
                <w:color w:val="auto"/>
                <w:sz w:val="18"/>
                <w:szCs w:val="18"/>
                <w:highlight w:val="none"/>
              </w:rPr>
            </w:pPr>
            <w:r>
              <w:rPr>
                <w:rFonts w:ascii="宋体" w:hAnsi="宋体" w:cs="宋体"/>
                <w:color w:val="auto"/>
                <w:sz w:val="18"/>
                <w:szCs w:val="18"/>
                <w:highlight w:val="none"/>
              </w:rPr>
              <w:t>68.</w:t>
            </w:r>
            <w:r>
              <w:rPr>
                <w:rFonts w:hint="eastAsia" w:ascii="宋体" w:hAnsi="宋体" w:cs="宋体"/>
                <w:color w:val="auto"/>
                <w:sz w:val="18"/>
                <w:szCs w:val="18"/>
                <w:highlight w:val="none"/>
              </w:rPr>
              <w:t>数智食堂监管平台运行出现故障或者采购人投诉</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865EDFF">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C103870">
            <w:pPr>
              <w:rPr>
                <w:rFonts w:ascii="宋体" w:hAnsi="宋体" w:cs="宋体"/>
                <w:color w:val="auto"/>
                <w:sz w:val="18"/>
                <w:szCs w:val="18"/>
                <w:highlight w:val="none"/>
              </w:rPr>
            </w:pPr>
            <w:r>
              <w:rPr>
                <w:rFonts w:hint="eastAsia" w:ascii="宋体" w:hAnsi="宋体" w:cs="宋体"/>
                <w:color w:val="auto"/>
                <w:sz w:val="18"/>
                <w:szCs w:val="18"/>
                <w:highlight w:val="none"/>
              </w:rPr>
              <w:t>发现故障或者有效投诉，未及时整改的，经查实后支付违约金</w:t>
            </w:r>
            <w:r>
              <w:rPr>
                <w:rFonts w:ascii="宋体" w:hAnsi="宋体" w:cs="宋体"/>
                <w:color w:val="auto"/>
                <w:sz w:val="18"/>
                <w:szCs w:val="18"/>
                <w:highlight w:val="none"/>
              </w:rPr>
              <w:t>1000元/次。重大故障或有效投诉，经查实后支付违约金5000元/次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4DF2C1A">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1分/处；重大故障或有效投诉，可以扣5分/次</w:t>
            </w:r>
          </w:p>
        </w:tc>
      </w:tr>
      <w:tr w14:paraId="47DE6994">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6C7D1167">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21A1320C">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6F8A7">
            <w:pPr>
              <w:rPr>
                <w:rFonts w:ascii="宋体" w:hAnsi="宋体" w:cs="宋体"/>
                <w:color w:val="auto"/>
                <w:sz w:val="18"/>
                <w:szCs w:val="18"/>
                <w:highlight w:val="none"/>
              </w:rPr>
            </w:pPr>
            <w:r>
              <w:rPr>
                <w:rFonts w:ascii="宋体" w:hAnsi="宋体" w:cs="宋体"/>
                <w:color w:val="auto"/>
                <w:sz w:val="18"/>
                <w:szCs w:val="18"/>
                <w:highlight w:val="none"/>
              </w:rPr>
              <w:t>69.</w:t>
            </w:r>
            <w:r>
              <w:rPr>
                <w:rFonts w:hint="eastAsia" w:ascii="宋体" w:hAnsi="宋体" w:cs="宋体"/>
                <w:color w:val="auto"/>
                <w:sz w:val="18"/>
                <w:szCs w:val="18"/>
                <w:highlight w:val="none"/>
              </w:rPr>
              <w:t>数智食堂监管平台运行出现违反保密相关规定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38A6CBC">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6EC915">
            <w:pPr>
              <w:rPr>
                <w:rFonts w:ascii="宋体" w:hAnsi="宋体" w:cs="宋体"/>
                <w:color w:val="auto"/>
                <w:sz w:val="18"/>
                <w:szCs w:val="18"/>
                <w:highlight w:val="none"/>
              </w:rPr>
            </w:pPr>
            <w:r>
              <w:rPr>
                <w:rFonts w:hint="eastAsia" w:ascii="宋体" w:hAnsi="宋体" w:cs="宋体"/>
                <w:color w:val="auto"/>
                <w:sz w:val="18"/>
                <w:szCs w:val="18"/>
                <w:highlight w:val="none"/>
              </w:rPr>
              <w:t>出现违反保密相关规定，经查实后支付违约金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235DEEC">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2分/次</w:t>
            </w:r>
          </w:p>
        </w:tc>
      </w:tr>
      <w:tr w14:paraId="082BF68D">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165BC14C">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06B7D611">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AB601">
            <w:pPr>
              <w:rPr>
                <w:rFonts w:ascii="宋体" w:hAnsi="宋体" w:cs="宋体"/>
                <w:color w:val="auto"/>
                <w:sz w:val="18"/>
                <w:szCs w:val="18"/>
                <w:highlight w:val="none"/>
              </w:rPr>
            </w:pPr>
            <w:r>
              <w:rPr>
                <w:rFonts w:ascii="宋体" w:hAnsi="宋体" w:cs="宋体"/>
                <w:color w:val="auto"/>
                <w:sz w:val="18"/>
                <w:szCs w:val="18"/>
                <w:highlight w:val="none"/>
              </w:rPr>
              <w:t>70.AI</w:t>
            </w:r>
            <w:r>
              <w:rPr>
                <w:rFonts w:hint="eastAsia" w:ascii="宋体" w:hAnsi="宋体" w:cs="宋体"/>
                <w:color w:val="auto"/>
                <w:sz w:val="18"/>
                <w:szCs w:val="18"/>
                <w:highlight w:val="none"/>
              </w:rPr>
              <w:t>抓拍违规事项：未戴口罩、未戴工帽、未穿工服、抽烟玩手机、垃圾桶未盖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1CFC540">
            <w:pPr>
              <w:rPr>
                <w:rFonts w:ascii="宋体" w:hAnsi="宋体" w:cs="宋体"/>
                <w:color w:val="auto"/>
                <w:sz w:val="18"/>
                <w:szCs w:val="18"/>
                <w:highlight w:val="none"/>
              </w:rPr>
            </w:pPr>
            <w:r>
              <w:rPr>
                <w:rFonts w:hint="eastAsia" w:ascii="宋体" w:hAnsi="宋体" w:cs="宋体"/>
                <w:color w:val="auto"/>
                <w:sz w:val="18"/>
                <w:szCs w:val="18"/>
                <w:highlight w:val="none"/>
              </w:rPr>
              <w:t>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83530B8">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出现前述单项违规，支付</w:t>
            </w:r>
            <w:r>
              <w:rPr>
                <w:rFonts w:ascii="宋体" w:hAnsi="宋体" w:cs="宋体"/>
                <w:color w:val="auto"/>
                <w:sz w:val="18"/>
                <w:szCs w:val="18"/>
                <w:highlight w:val="none"/>
              </w:rPr>
              <w:t>违约金500元/次。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24BA0F4">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出现前述单项违规，每次扣</w:t>
            </w:r>
            <w:r>
              <w:rPr>
                <w:rFonts w:ascii="宋体" w:hAnsi="宋体" w:cs="宋体"/>
                <w:color w:val="auto"/>
                <w:sz w:val="18"/>
                <w:szCs w:val="18"/>
                <w:highlight w:val="none"/>
              </w:rPr>
              <w:t>0.5</w:t>
            </w:r>
            <w:r>
              <w:rPr>
                <w:rFonts w:hint="eastAsia" w:ascii="宋体" w:hAnsi="宋体" w:cs="宋体"/>
                <w:color w:val="auto"/>
                <w:sz w:val="18"/>
                <w:szCs w:val="18"/>
                <w:highlight w:val="none"/>
              </w:rPr>
              <w:t>分</w:t>
            </w:r>
          </w:p>
        </w:tc>
      </w:tr>
      <w:tr w14:paraId="74A813B9">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257CAE01">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009DEF7D">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0E047">
            <w:pPr>
              <w:rPr>
                <w:rFonts w:ascii="宋体" w:hAnsi="宋体" w:cs="宋体"/>
                <w:color w:val="auto"/>
                <w:sz w:val="18"/>
                <w:szCs w:val="18"/>
                <w:highlight w:val="none"/>
              </w:rPr>
            </w:pPr>
            <w:r>
              <w:rPr>
                <w:rFonts w:ascii="宋体" w:hAnsi="宋体" w:cs="宋体"/>
                <w:color w:val="auto"/>
                <w:sz w:val="18"/>
                <w:szCs w:val="18"/>
                <w:highlight w:val="none"/>
              </w:rPr>
              <w:t>71.</w:t>
            </w:r>
            <w:r>
              <w:rPr>
                <w:rFonts w:hint="eastAsia" w:ascii="宋体" w:hAnsi="宋体" w:cs="宋体"/>
                <w:color w:val="auto"/>
                <w:sz w:val="18"/>
                <w:szCs w:val="18"/>
                <w:highlight w:val="none"/>
              </w:rPr>
              <w:t>人员晨检异常、库房温湿度异常、未规范放置挡鼠板、碗筷消毒不达标、农残超标、紫外线消毒不达标、冰箱温度异常、未留样未销样、陌生人闯入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63D33DB">
            <w:pPr>
              <w:rPr>
                <w:rFonts w:ascii="宋体" w:hAnsi="宋体" w:cs="宋体"/>
                <w:color w:val="auto"/>
                <w:sz w:val="18"/>
                <w:szCs w:val="18"/>
                <w:highlight w:val="none"/>
              </w:rPr>
            </w:pPr>
            <w:r>
              <w:rPr>
                <w:rFonts w:hint="eastAsia" w:ascii="宋体" w:hAnsi="宋体" w:cs="宋体"/>
                <w:color w:val="auto"/>
                <w:sz w:val="18"/>
                <w:szCs w:val="18"/>
                <w:highlight w:val="none"/>
              </w:rPr>
              <w:t>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01AF71">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出现前述单项违规，支付</w:t>
            </w:r>
            <w:r>
              <w:rPr>
                <w:rFonts w:ascii="宋体" w:hAnsi="宋体" w:cs="宋体"/>
                <w:color w:val="auto"/>
                <w:sz w:val="18"/>
                <w:szCs w:val="18"/>
                <w:highlight w:val="none"/>
              </w:rPr>
              <w:t>违约金500元/次。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F5AFB5C">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出现前述单项违规，每次扣</w:t>
            </w:r>
            <w:r>
              <w:rPr>
                <w:rFonts w:ascii="宋体" w:hAnsi="宋体" w:cs="宋体"/>
                <w:color w:val="auto"/>
                <w:sz w:val="18"/>
                <w:szCs w:val="18"/>
                <w:highlight w:val="none"/>
              </w:rPr>
              <w:t>0.5</w:t>
            </w:r>
            <w:r>
              <w:rPr>
                <w:rFonts w:hint="eastAsia" w:ascii="宋体" w:hAnsi="宋体" w:cs="宋体"/>
                <w:color w:val="auto"/>
                <w:sz w:val="18"/>
                <w:szCs w:val="18"/>
                <w:highlight w:val="none"/>
              </w:rPr>
              <w:t>分</w:t>
            </w:r>
          </w:p>
        </w:tc>
      </w:tr>
      <w:tr w14:paraId="536501A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2BDD728A">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vAlign w:val="center"/>
          </w:tcPr>
          <w:p w14:paraId="52D8B0D7">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6762F">
            <w:pPr>
              <w:rPr>
                <w:rFonts w:ascii="宋体" w:hAnsi="宋体" w:cs="宋体"/>
                <w:color w:val="auto"/>
                <w:sz w:val="18"/>
                <w:szCs w:val="18"/>
                <w:highlight w:val="none"/>
              </w:rPr>
            </w:pPr>
            <w:r>
              <w:rPr>
                <w:rFonts w:ascii="宋体" w:hAnsi="宋体" w:cs="宋体"/>
                <w:color w:val="auto"/>
                <w:sz w:val="18"/>
                <w:szCs w:val="18"/>
                <w:highlight w:val="none"/>
              </w:rPr>
              <w:t>72.</w:t>
            </w:r>
            <w:r>
              <w:rPr>
                <w:rFonts w:hint="eastAsia" w:ascii="宋体" w:hAnsi="宋体" w:cs="宋体"/>
                <w:color w:val="auto"/>
                <w:sz w:val="18"/>
                <w:szCs w:val="18"/>
                <w:highlight w:val="none"/>
              </w:rPr>
              <w:t>出现</w:t>
            </w:r>
            <w:r>
              <w:rPr>
                <w:rFonts w:ascii="宋体" w:hAnsi="宋体" w:cs="宋体"/>
                <w:color w:val="auto"/>
                <w:sz w:val="18"/>
                <w:szCs w:val="18"/>
                <w:highlight w:val="none"/>
              </w:rPr>
              <w:t>AI</w:t>
            </w:r>
            <w:r>
              <w:rPr>
                <w:rFonts w:hint="eastAsia" w:ascii="宋体" w:hAnsi="宋体" w:cs="宋体"/>
                <w:color w:val="auto"/>
                <w:sz w:val="18"/>
                <w:szCs w:val="18"/>
                <w:highlight w:val="none"/>
              </w:rPr>
              <w:t>生物抓拍（老鼠等）、油锅离岗等事件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D8F863">
            <w:pPr>
              <w:rPr>
                <w:rFonts w:ascii="宋体" w:hAnsi="宋体" w:cs="宋体"/>
                <w:color w:val="auto"/>
                <w:sz w:val="18"/>
                <w:szCs w:val="18"/>
                <w:highlight w:val="none"/>
              </w:rPr>
            </w:pPr>
            <w:r>
              <w:rPr>
                <w:rFonts w:hint="eastAsia" w:ascii="宋体" w:hAnsi="宋体" w:cs="宋体"/>
                <w:color w:val="auto"/>
                <w:sz w:val="18"/>
                <w:szCs w:val="18"/>
                <w:highlight w:val="none"/>
              </w:rPr>
              <w:t>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4651051">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出现前述单项违规，支付</w:t>
            </w:r>
            <w:r>
              <w:rPr>
                <w:rFonts w:ascii="宋体" w:hAnsi="宋体" w:cs="宋体"/>
                <w:color w:val="auto"/>
                <w:sz w:val="18"/>
                <w:szCs w:val="18"/>
                <w:highlight w:val="none"/>
              </w:rPr>
              <w:t>违约金5000元/次。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D37AAC1">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出现前述单项违规，每次扣</w:t>
            </w:r>
            <w:r>
              <w:rPr>
                <w:rFonts w:ascii="宋体" w:hAnsi="宋体" w:cs="宋体"/>
                <w:color w:val="auto"/>
                <w:sz w:val="18"/>
                <w:szCs w:val="18"/>
                <w:highlight w:val="none"/>
              </w:rPr>
              <w:t>5</w:t>
            </w:r>
            <w:r>
              <w:rPr>
                <w:rFonts w:hint="eastAsia" w:ascii="宋体" w:hAnsi="宋体" w:cs="宋体"/>
                <w:color w:val="auto"/>
                <w:sz w:val="18"/>
                <w:szCs w:val="18"/>
                <w:highlight w:val="none"/>
              </w:rPr>
              <w:t>分</w:t>
            </w:r>
          </w:p>
        </w:tc>
      </w:tr>
      <w:tr w14:paraId="100B7439">
        <w:tblPrEx>
          <w:tblCellMar>
            <w:top w:w="0" w:type="dxa"/>
            <w:left w:w="108" w:type="dxa"/>
            <w:bottom w:w="0" w:type="dxa"/>
            <w:right w:w="108" w:type="dxa"/>
          </w:tblCellMar>
        </w:tblPrEx>
        <w:trPr>
          <w:trHeight w:val="480" w:hRule="atLeast"/>
          <w:jc w:val="center"/>
        </w:trPr>
        <w:tc>
          <w:tcPr>
            <w:tcW w:w="499" w:type="dxa"/>
            <w:tcBorders>
              <w:left w:val="single" w:color="auto" w:sz="4" w:space="0"/>
              <w:bottom w:val="single" w:color="auto" w:sz="4" w:space="0"/>
              <w:right w:val="single" w:color="auto" w:sz="4" w:space="0"/>
            </w:tcBorders>
            <w:vAlign w:val="center"/>
          </w:tcPr>
          <w:p w14:paraId="3EC46991">
            <w:pP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636" w:type="dxa"/>
            <w:vMerge w:val="continue"/>
            <w:tcBorders>
              <w:left w:val="single" w:color="auto" w:sz="4" w:space="0"/>
              <w:bottom w:val="single" w:color="auto" w:sz="4" w:space="0"/>
              <w:right w:val="single" w:color="auto" w:sz="4" w:space="0"/>
            </w:tcBorders>
            <w:vAlign w:val="center"/>
          </w:tcPr>
          <w:p w14:paraId="0ECB0FF7">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BC3B8">
            <w:pPr>
              <w:rPr>
                <w:rFonts w:ascii="宋体" w:hAnsi="宋体" w:cs="宋体"/>
                <w:color w:val="auto"/>
                <w:sz w:val="18"/>
                <w:szCs w:val="18"/>
                <w:highlight w:val="none"/>
              </w:rPr>
            </w:pPr>
            <w:r>
              <w:rPr>
                <w:rFonts w:ascii="宋体" w:hAnsi="宋体" w:cs="宋体"/>
                <w:color w:val="auto"/>
                <w:sz w:val="18"/>
                <w:szCs w:val="18"/>
                <w:highlight w:val="none"/>
              </w:rPr>
              <w:t>73.</w:t>
            </w:r>
            <w:r>
              <w:rPr>
                <w:rFonts w:hint="eastAsia" w:ascii="宋体" w:hAnsi="宋体" w:cs="宋体"/>
                <w:color w:val="auto"/>
                <w:sz w:val="18"/>
                <w:szCs w:val="18"/>
                <w:highlight w:val="none"/>
              </w:rPr>
              <w:t>投诉经查实或采购人监管发现或数智食堂监管平台发现的其它违规情况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861AAB">
            <w:pPr>
              <w:rPr>
                <w:rFonts w:ascii="宋体" w:hAnsi="宋体" w:cs="宋体"/>
                <w:color w:val="auto"/>
                <w:sz w:val="18"/>
                <w:szCs w:val="18"/>
                <w:highlight w:val="none"/>
              </w:rPr>
            </w:pPr>
            <w:r>
              <w:rPr>
                <w:rFonts w:hint="eastAsia" w:ascii="宋体" w:hAnsi="宋体" w:cs="宋体"/>
                <w:color w:val="auto"/>
                <w:sz w:val="18"/>
                <w:szCs w:val="18"/>
                <w:highlight w:val="none"/>
              </w:rPr>
              <w:t>现场核实或平台记录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2A543CE">
            <w:pPr>
              <w:rPr>
                <w:rFonts w:ascii="宋体" w:hAnsi="宋体" w:cs="宋体"/>
                <w:color w:val="auto"/>
                <w:sz w:val="18"/>
                <w:szCs w:val="18"/>
                <w:highlight w:val="none"/>
              </w:rPr>
            </w:pPr>
            <w:r>
              <w:rPr>
                <w:rFonts w:hint="eastAsia" w:ascii="宋体" w:hAnsi="宋体" w:cs="宋体"/>
                <w:color w:val="auto"/>
                <w:sz w:val="18"/>
                <w:szCs w:val="18"/>
                <w:highlight w:val="none"/>
              </w:rPr>
              <w:t>经查实后，本考核前款已约定处罚的按前款约定处罚，前款未约定处罚的根据情节严重情况支付违约金</w:t>
            </w:r>
            <w:r>
              <w:rPr>
                <w:rFonts w:ascii="宋体" w:hAnsi="宋体" w:cs="宋体"/>
                <w:color w:val="auto"/>
                <w:sz w:val="18"/>
                <w:szCs w:val="18"/>
                <w:highlight w:val="none"/>
              </w:rPr>
              <w:t>500-10000元/次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9CA395A">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0.5-5分/次</w:t>
            </w:r>
          </w:p>
        </w:tc>
      </w:tr>
    </w:tbl>
    <w:p w14:paraId="4ACBEE55">
      <w:pPr>
        <w:spacing w:line="400" w:lineRule="exact"/>
        <w:ind w:firstLine="560" w:firstLineChars="200"/>
        <w:jc w:val="left"/>
        <w:rPr>
          <w:rFonts w:ascii="宋体" w:hAnsi="宋体" w:cs="宋体"/>
          <w:color w:val="auto"/>
          <w:sz w:val="24"/>
          <w:szCs w:val="24"/>
          <w:highlight w:val="none"/>
        </w:rPr>
      </w:pPr>
      <w:r>
        <w:rPr>
          <w:rFonts w:hint="eastAsia" w:ascii="宋体" w:hAnsi="宋体" w:cs="宋体"/>
          <w:bCs/>
          <w:color w:val="auto"/>
          <w:highlight w:val="none"/>
        </w:rPr>
        <w:t>备注：</w:t>
      </w:r>
      <w:r>
        <w:rPr>
          <w:rFonts w:ascii="宋体" w:hAnsi="宋体" w:cs="宋体"/>
          <w:color w:val="auto"/>
          <w:sz w:val="24"/>
          <w:szCs w:val="24"/>
          <w:highlight w:val="none"/>
        </w:rPr>
        <w:t>1.采购人可根据实际情况对日常考核实施细则进行修订，</w:t>
      </w:r>
      <w:r>
        <w:rPr>
          <w:rFonts w:hint="eastAsia" w:ascii="宋体" w:hAnsi="宋体" w:cs="宋体"/>
          <w:color w:val="auto"/>
          <w:sz w:val="24"/>
          <w:szCs w:val="24"/>
          <w:highlight w:val="none"/>
        </w:rPr>
        <w:t>成交商须按修订后的办法执行。</w:t>
      </w:r>
    </w:p>
    <w:p w14:paraId="0C483A4D">
      <w:pPr>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2.上述违约金均从</w:t>
      </w:r>
      <w:r>
        <w:rPr>
          <w:rFonts w:hint="eastAsia" w:ascii="宋体" w:hAnsi="宋体" w:cs="宋体"/>
          <w:color w:val="auto"/>
          <w:sz w:val="24"/>
          <w:szCs w:val="24"/>
          <w:highlight w:val="none"/>
        </w:rPr>
        <w:t>成交商最近一次营业款中扣除并按采购人要求及时整改。</w:t>
      </w:r>
    </w:p>
    <w:p w14:paraId="07DE2975">
      <w:pPr>
        <w:pStyle w:val="22"/>
        <w:ind w:firstLine="480" w:firstLineChars="200"/>
        <w:rPr>
          <w:rFonts w:eastAsia="宋体"/>
          <w:color w:val="auto"/>
          <w:highlight w:val="none"/>
        </w:rPr>
      </w:pPr>
      <w:r>
        <w:rPr>
          <w:rFonts w:hint="eastAsia" w:ascii="宋体" w:hAnsi="宋体" w:eastAsia="宋体" w:cs="宋体"/>
          <w:color w:val="auto"/>
          <w:sz w:val="24"/>
          <w:szCs w:val="24"/>
          <w:highlight w:val="none"/>
        </w:rPr>
        <w:t>（二）学期考核</w:t>
      </w:r>
    </w:p>
    <w:p w14:paraId="746ED096">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采购人每学期在食堂内线下组织一次满意度测评，填写“餐饮服务满意度测评表”（见下表），每个项目参加测评人数不低于</w:t>
      </w:r>
      <w:r>
        <w:rPr>
          <w:rFonts w:ascii="宋体" w:hAnsi="宋体" w:cs="宋体"/>
          <w:color w:val="auto"/>
          <w:sz w:val="24"/>
          <w:szCs w:val="24"/>
          <w:highlight w:val="none"/>
          <w:u w:val="single"/>
        </w:rPr>
        <w:t>200人：</w:t>
      </w:r>
    </w:p>
    <w:p w14:paraId="72CEADF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餐饮服务学期满意度测评表（</w:t>
      </w:r>
      <w:r>
        <w:rPr>
          <w:rFonts w:ascii="宋体" w:hAnsi="宋体" w:cs="宋体"/>
          <w:color w:val="auto"/>
          <w:sz w:val="24"/>
          <w:szCs w:val="24"/>
          <w:highlight w:val="none"/>
        </w:rPr>
        <w:t>100分，得分保留一位小数）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87"/>
        <w:gridCol w:w="727"/>
        <w:gridCol w:w="917"/>
        <w:gridCol w:w="927"/>
        <w:gridCol w:w="953"/>
        <w:gridCol w:w="950"/>
        <w:gridCol w:w="912"/>
        <w:gridCol w:w="865"/>
        <w:gridCol w:w="1199"/>
      </w:tblGrid>
      <w:tr w14:paraId="0C90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54" w:type="dxa"/>
            <w:vAlign w:val="center"/>
          </w:tcPr>
          <w:p w14:paraId="77A3BFB8">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887" w:type="dxa"/>
            <w:vAlign w:val="center"/>
          </w:tcPr>
          <w:p w14:paraId="6B15584C">
            <w:pPr>
              <w:snapToGrid w:val="0"/>
              <w:spacing w:line="400" w:lineRule="exact"/>
              <w:jc w:val="center"/>
              <w:rPr>
                <w:rFonts w:ascii="宋体" w:hAnsi="宋体" w:cs="宋体"/>
                <w:color w:val="auto"/>
                <w:sz w:val="18"/>
                <w:szCs w:val="18"/>
                <w:highlight w:val="none"/>
              </w:rPr>
            </w:pPr>
            <w:r>
              <w:rPr>
                <w:rFonts w:hint="eastAsia" w:ascii="宋体" w:hAnsi="宋体" w:cs="宋体"/>
                <w:color w:val="auto"/>
                <w:sz w:val="24"/>
                <w:szCs w:val="24"/>
                <w:highlight w:val="none"/>
              </w:rPr>
              <w:t>就餐环境</w:t>
            </w:r>
          </w:p>
        </w:tc>
        <w:tc>
          <w:tcPr>
            <w:tcW w:w="727" w:type="dxa"/>
            <w:vAlign w:val="center"/>
          </w:tcPr>
          <w:p w14:paraId="0874C4A9">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食堂卫生</w:t>
            </w:r>
          </w:p>
        </w:tc>
        <w:tc>
          <w:tcPr>
            <w:tcW w:w="917" w:type="dxa"/>
            <w:vAlign w:val="center"/>
          </w:tcPr>
          <w:p w14:paraId="4DAA1A1B">
            <w:pPr>
              <w:snapToGrid w:val="0"/>
              <w:spacing w:line="400" w:lineRule="exact"/>
              <w:jc w:val="center"/>
              <w:rPr>
                <w:rFonts w:ascii="宋体" w:hAnsi="宋体" w:cs="宋体"/>
                <w:color w:val="auto"/>
                <w:sz w:val="18"/>
                <w:szCs w:val="18"/>
                <w:highlight w:val="none"/>
              </w:rPr>
            </w:pPr>
            <w:r>
              <w:rPr>
                <w:rFonts w:hint="eastAsia" w:ascii="宋体" w:hAnsi="宋体" w:cs="宋体"/>
                <w:color w:val="auto"/>
                <w:sz w:val="24"/>
                <w:szCs w:val="24"/>
                <w:highlight w:val="none"/>
              </w:rPr>
              <w:t>餐具清洁</w:t>
            </w:r>
          </w:p>
        </w:tc>
        <w:tc>
          <w:tcPr>
            <w:tcW w:w="927" w:type="dxa"/>
            <w:vAlign w:val="center"/>
          </w:tcPr>
          <w:p w14:paraId="65A1DC5C">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菜品</w:t>
            </w:r>
          </w:p>
          <w:p w14:paraId="01E41E79">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味道</w:t>
            </w:r>
          </w:p>
        </w:tc>
        <w:tc>
          <w:tcPr>
            <w:tcW w:w="953" w:type="dxa"/>
            <w:vAlign w:val="center"/>
          </w:tcPr>
          <w:p w14:paraId="091438A5">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菜品</w:t>
            </w:r>
          </w:p>
          <w:p w14:paraId="6E14709D">
            <w:pPr>
              <w:snapToGrid w:val="0"/>
              <w:spacing w:line="400" w:lineRule="exact"/>
              <w:jc w:val="center"/>
              <w:rPr>
                <w:rFonts w:ascii="宋体" w:hAnsi="宋体" w:cs="宋体"/>
                <w:color w:val="auto"/>
                <w:sz w:val="18"/>
                <w:szCs w:val="18"/>
                <w:highlight w:val="none"/>
              </w:rPr>
            </w:pPr>
            <w:r>
              <w:rPr>
                <w:rFonts w:hint="eastAsia" w:ascii="宋体" w:hAnsi="宋体" w:cs="宋体"/>
                <w:color w:val="auto"/>
                <w:sz w:val="24"/>
                <w:szCs w:val="24"/>
                <w:highlight w:val="none"/>
              </w:rPr>
              <w:t>变化</w:t>
            </w:r>
          </w:p>
        </w:tc>
        <w:tc>
          <w:tcPr>
            <w:tcW w:w="950" w:type="dxa"/>
            <w:vAlign w:val="center"/>
          </w:tcPr>
          <w:p w14:paraId="0A7B9142">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菜品</w:t>
            </w:r>
          </w:p>
          <w:p w14:paraId="12B2A99F">
            <w:pPr>
              <w:snapToGrid w:val="0"/>
              <w:spacing w:line="400" w:lineRule="exact"/>
              <w:jc w:val="center"/>
              <w:rPr>
                <w:rFonts w:ascii="宋体" w:hAnsi="宋体" w:cs="宋体"/>
                <w:color w:val="auto"/>
                <w:sz w:val="18"/>
                <w:szCs w:val="18"/>
                <w:highlight w:val="none"/>
              </w:rPr>
            </w:pPr>
            <w:r>
              <w:rPr>
                <w:rFonts w:hint="eastAsia" w:ascii="宋体" w:hAnsi="宋体" w:cs="宋体"/>
                <w:color w:val="auto"/>
                <w:sz w:val="24"/>
                <w:szCs w:val="24"/>
                <w:highlight w:val="none"/>
              </w:rPr>
              <w:t>质量</w:t>
            </w:r>
          </w:p>
        </w:tc>
        <w:tc>
          <w:tcPr>
            <w:tcW w:w="912" w:type="dxa"/>
            <w:vAlign w:val="center"/>
          </w:tcPr>
          <w:p w14:paraId="1EAB49B8">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服务</w:t>
            </w:r>
          </w:p>
          <w:p w14:paraId="611601DC">
            <w:pPr>
              <w:snapToGrid w:val="0"/>
              <w:spacing w:line="400" w:lineRule="exact"/>
              <w:jc w:val="center"/>
              <w:rPr>
                <w:rFonts w:ascii="宋体" w:hAnsi="宋体" w:cs="宋体"/>
                <w:color w:val="auto"/>
                <w:sz w:val="18"/>
                <w:szCs w:val="18"/>
                <w:highlight w:val="none"/>
              </w:rPr>
            </w:pPr>
            <w:r>
              <w:rPr>
                <w:rFonts w:hint="eastAsia" w:ascii="宋体" w:hAnsi="宋体" w:cs="宋体"/>
                <w:color w:val="auto"/>
                <w:sz w:val="24"/>
                <w:szCs w:val="24"/>
                <w:highlight w:val="none"/>
              </w:rPr>
              <w:t>态度</w:t>
            </w:r>
          </w:p>
        </w:tc>
        <w:tc>
          <w:tcPr>
            <w:tcW w:w="865" w:type="dxa"/>
            <w:vAlign w:val="center"/>
          </w:tcPr>
          <w:p w14:paraId="34BA176D">
            <w:pPr>
              <w:snapToGrid w:val="0"/>
              <w:spacing w:line="400" w:lineRule="exact"/>
              <w:jc w:val="center"/>
              <w:rPr>
                <w:rFonts w:ascii="宋体" w:hAnsi="宋体" w:cs="宋体"/>
                <w:color w:val="auto"/>
                <w:sz w:val="18"/>
                <w:szCs w:val="18"/>
                <w:highlight w:val="none"/>
              </w:rPr>
            </w:pPr>
            <w:r>
              <w:rPr>
                <w:rFonts w:hint="eastAsia" w:ascii="宋体" w:hAnsi="宋体" w:cs="宋体"/>
                <w:color w:val="auto"/>
                <w:sz w:val="24"/>
                <w:szCs w:val="24"/>
                <w:highlight w:val="none"/>
              </w:rPr>
              <w:t>米饭品质</w:t>
            </w:r>
          </w:p>
        </w:tc>
        <w:tc>
          <w:tcPr>
            <w:tcW w:w="1199" w:type="dxa"/>
            <w:vAlign w:val="center"/>
          </w:tcPr>
          <w:p w14:paraId="444FBF15">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得分</w:t>
            </w:r>
          </w:p>
        </w:tc>
      </w:tr>
      <w:tr w14:paraId="7E22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14:paraId="02FAFA45">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分值</w:t>
            </w:r>
          </w:p>
        </w:tc>
        <w:tc>
          <w:tcPr>
            <w:tcW w:w="887" w:type="dxa"/>
            <w:shd w:val="clear" w:color="auto" w:fill="auto"/>
            <w:vAlign w:val="center"/>
          </w:tcPr>
          <w:p w14:paraId="54DA3C14">
            <w:pPr>
              <w:jc w:val="center"/>
              <w:rPr>
                <w:rFonts w:ascii="宋体" w:hAnsi="宋体" w:cs="宋体"/>
                <w:color w:val="auto"/>
                <w:sz w:val="24"/>
                <w:szCs w:val="24"/>
                <w:highlight w:val="none"/>
              </w:rPr>
            </w:pPr>
            <w:r>
              <w:rPr>
                <w:rFonts w:ascii="宋体" w:hAnsi="宋体" w:cs="宋体"/>
                <w:color w:val="auto"/>
                <w:sz w:val="24"/>
                <w:szCs w:val="24"/>
                <w:highlight w:val="none"/>
              </w:rPr>
              <w:t>10</w:t>
            </w:r>
          </w:p>
        </w:tc>
        <w:tc>
          <w:tcPr>
            <w:tcW w:w="727" w:type="dxa"/>
            <w:shd w:val="clear" w:color="auto" w:fill="auto"/>
            <w:vAlign w:val="center"/>
          </w:tcPr>
          <w:p w14:paraId="772157AA">
            <w:pPr>
              <w:jc w:val="center"/>
              <w:rPr>
                <w:rFonts w:ascii="宋体" w:hAnsi="宋体" w:cs="宋体"/>
                <w:color w:val="auto"/>
                <w:highlight w:val="none"/>
              </w:rPr>
            </w:pPr>
            <w:r>
              <w:rPr>
                <w:rFonts w:ascii="宋体" w:hAnsi="宋体" w:cs="宋体"/>
                <w:color w:val="auto"/>
                <w:highlight w:val="none"/>
              </w:rPr>
              <w:t>10</w:t>
            </w:r>
          </w:p>
        </w:tc>
        <w:tc>
          <w:tcPr>
            <w:tcW w:w="917" w:type="dxa"/>
            <w:shd w:val="clear" w:color="auto" w:fill="auto"/>
            <w:vAlign w:val="center"/>
          </w:tcPr>
          <w:p w14:paraId="7DC214A4">
            <w:pPr>
              <w:jc w:val="center"/>
              <w:rPr>
                <w:rFonts w:ascii="宋体" w:hAnsi="宋体" w:cs="宋体"/>
                <w:color w:val="auto"/>
                <w:sz w:val="24"/>
                <w:szCs w:val="24"/>
                <w:highlight w:val="none"/>
              </w:rPr>
            </w:pPr>
            <w:r>
              <w:rPr>
                <w:rFonts w:ascii="宋体" w:hAnsi="宋体" w:cs="宋体"/>
                <w:color w:val="auto"/>
                <w:highlight w:val="none"/>
              </w:rPr>
              <w:t>10</w:t>
            </w:r>
          </w:p>
        </w:tc>
        <w:tc>
          <w:tcPr>
            <w:tcW w:w="927" w:type="dxa"/>
            <w:shd w:val="clear" w:color="auto" w:fill="auto"/>
            <w:vAlign w:val="center"/>
          </w:tcPr>
          <w:p w14:paraId="2F1D7F13">
            <w:pPr>
              <w:jc w:val="center"/>
              <w:rPr>
                <w:rFonts w:ascii="宋体" w:hAnsi="宋体" w:cs="宋体"/>
                <w:color w:val="auto"/>
                <w:highlight w:val="none"/>
              </w:rPr>
            </w:pPr>
            <w:r>
              <w:rPr>
                <w:rFonts w:ascii="宋体" w:hAnsi="宋体" w:cs="宋体"/>
                <w:color w:val="auto"/>
                <w:highlight w:val="none"/>
              </w:rPr>
              <w:t>10</w:t>
            </w:r>
          </w:p>
        </w:tc>
        <w:tc>
          <w:tcPr>
            <w:tcW w:w="953" w:type="dxa"/>
            <w:shd w:val="clear" w:color="auto" w:fill="auto"/>
            <w:vAlign w:val="center"/>
          </w:tcPr>
          <w:p w14:paraId="275FA9BA">
            <w:pPr>
              <w:jc w:val="center"/>
              <w:rPr>
                <w:rFonts w:ascii="宋体" w:hAnsi="宋体" w:cs="宋体"/>
                <w:color w:val="auto"/>
                <w:sz w:val="24"/>
                <w:szCs w:val="24"/>
                <w:highlight w:val="none"/>
              </w:rPr>
            </w:pPr>
            <w:r>
              <w:rPr>
                <w:rFonts w:ascii="宋体" w:hAnsi="宋体" w:cs="宋体"/>
                <w:color w:val="auto"/>
                <w:highlight w:val="none"/>
              </w:rPr>
              <w:t>10</w:t>
            </w:r>
          </w:p>
        </w:tc>
        <w:tc>
          <w:tcPr>
            <w:tcW w:w="950" w:type="dxa"/>
            <w:shd w:val="clear" w:color="auto" w:fill="auto"/>
            <w:vAlign w:val="center"/>
          </w:tcPr>
          <w:p w14:paraId="14F9A2ED">
            <w:pPr>
              <w:jc w:val="center"/>
              <w:rPr>
                <w:rFonts w:ascii="宋体" w:hAnsi="宋体" w:cs="宋体"/>
                <w:color w:val="auto"/>
                <w:sz w:val="24"/>
                <w:szCs w:val="24"/>
                <w:highlight w:val="none"/>
              </w:rPr>
            </w:pPr>
            <w:r>
              <w:rPr>
                <w:rFonts w:ascii="宋体" w:hAnsi="宋体" w:cs="宋体"/>
                <w:color w:val="auto"/>
                <w:highlight w:val="none"/>
              </w:rPr>
              <w:t>20</w:t>
            </w:r>
          </w:p>
        </w:tc>
        <w:tc>
          <w:tcPr>
            <w:tcW w:w="912" w:type="dxa"/>
            <w:shd w:val="clear" w:color="auto" w:fill="auto"/>
            <w:vAlign w:val="center"/>
          </w:tcPr>
          <w:p w14:paraId="45D69F69">
            <w:pPr>
              <w:jc w:val="center"/>
              <w:rPr>
                <w:rFonts w:ascii="宋体" w:hAnsi="宋体" w:cs="宋体"/>
                <w:color w:val="auto"/>
                <w:sz w:val="24"/>
                <w:szCs w:val="24"/>
                <w:highlight w:val="none"/>
              </w:rPr>
            </w:pPr>
            <w:r>
              <w:rPr>
                <w:rFonts w:ascii="宋体" w:hAnsi="宋体" w:cs="宋体"/>
                <w:color w:val="auto"/>
                <w:highlight w:val="none"/>
              </w:rPr>
              <w:t>20</w:t>
            </w:r>
          </w:p>
        </w:tc>
        <w:tc>
          <w:tcPr>
            <w:tcW w:w="865" w:type="dxa"/>
            <w:shd w:val="clear" w:color="auto" w:fill="auto"/>
            <w:vAlign w:val="center"/>
          </w:tcPr>
          <w:p w14:paraId="56FD83D6">
            <w:pPr>
              <w:jc w:val="center"/>
              <w:rPr>
                <w:rFonts w:ascii="宋体" w:hAnsi="宋体" w:cs="宋体"/>
                <w:color w:val="auto"/>
                <w:sz w:val="24"/>
                <w:szCs w:val="24"/>
                <w:highlight w:val="none"/>
              </w:rPr>
            </w:pPr>
            <w:r>
              <w:rPr>
                <w:rFonts w:ascii="宋体" w:hAnsi="宋体" w:cs="宋体"/>
                <w:color w:val="auto"/>
                <w:highlight w:val="none"/>
              </w:rPr>
              <w:t>10</w:t>
            </w:r>
          </w:p>
        </w:tc>
        <w:tc>
          <w:tcPr>
            <w:tcW w:w="1199" w:type="dxa"/>
            <w:vAlign w:val="center"/>
          </w:tcPr>
          <w:p w14:paraId="17295E78">
            <w:pPr>
              <w:snapToGrid w:val="0"/>
              <w:spacing w:line="400" w:lineRule="exact"/>
              <w:ind w:firstLine="480" w:firstLineChars="200"/>
              <w:rPr>
                <w:rFonts w:ascii="宋体" w:hAnsi="宋体" w:cs="宋体"/>
                <w:color w:val="auto"/>
                <w:sz w:val="24"/>
                <w:szCs w:val="24"/>
                <w:highlight w:val="none"/>
              </w:rPr>
            </w:pPr>
          </w:p>
        </w:tc>
      </w:tr>
      <w:tr w14:paraId="20B8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14:paraId="25B2B403">
            <w:p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意见</w:t>
            </w:r>
          </w:p>
        </w:tc>
        <w:tc>
          <w:tcPr>
            <w:tcW w:w="8337" w:type="dxa"/>
            <w:gridSpan w:val="9"/>
          </w:tcPr>
          <w:p w14:paraId="04D8C209">
            <w:pPr>
              <w:snapToGrid w:val="0"/>
              <w:spacing w:line="400" w:lineRule="exact"/>
              <w:ind w:firstLine="480" w:firstLineChars="200"/>
              <w:rPr>
                <w:rFonts w:ascii="宋体" w:hAnsi="宋体" w:cs="宋体"/>
                <w:color w:val="auto"/>
                <w:sz w:val="24"/>
                <w:szCs w:val="24"/>
                <w:highlight w:val="none"/>
              </w:rPr>
            </w:pPr>
          </w:p>
        </w:tc>
      </w:tr>
    </w:tbl>
    <w:p w14:paraId="00D0034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r>
        <w:rPr>
          <w:rFonts w:ascii="宋体" w:hAnsi="宋体" w:cs="宋体"/>
          <w:color w:val="auto"/>
          <w:sz w:val="24"/>
          <w:szCs w:val="24"/>
          <w:highlight w:val="none"/>
        </w:rPr>
        <w:t>1、学期满意度测评与日常考核相结合，发生较大消防安全事故、食品卫生安全事故、员工群体性事件等对采购人造成重大负面影响的事件，学期考核直接为不合格。</w:t>
      </w:r>
    </w:p>
    <w:p w14:paraId="18EBD757">
      <w:pPr>
        <w:numPr>
          <w:ilvl w:val="0"/>
          <w:numId w:val="137"/>
        </w:num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学期满意度测评成绩与日常考核相结合，</w:t>
      </w:r>
      <w:r>
        <w:rPr>
          <w:rFonts w:hint="eastAsia" w:ascii="宋体" w:hAnsi="宋体" w:cs="宋体"/>
          <w:color w:val="auto"/>
          <w:sz w:val="24"/>
          <w:szCs w:val="24"/>
          <w:highlight w:val="none"/>
          <w:u w:val="single"/>
        </w:rPr>
        <w:t>学期满意度测评成绩</w:t>
      </w:r>
      <w:r>
        <w:rPr>
          <w:rFonts w:ascii="宋体" w:hAnsi="宋体" w:cs="宋体"/>
          <w:color w:val="auto"/>
          <w:sz w:val="24"/>
          <w:szCs w:val="24"/>
          <w:highlight w:val="none"/>
          <w:u w:val="single"/>
        </w:rPr>
        <w:t>=餐饮服务学期满意度测评*40%，日常考核成绩=（100-学期日常考核扣分）*60%，</w:t>
      </w:r>
      <w:r>
        <w:rPr>
          <w:rFonts w:hint="eastAsia" w:ascii="宋体" w:hAnsi="宋体" w:cs="宋体"/>
          <w:color w:val="auto"/>
          <w:sz w:val="24"/>
          <w:szCs w:val="24"/>
          <w:highlight w:val="none"/>
        </w:rPr>
        <w:t>除发生备注第</w:t>
      </w:r>
      <w:r>
        <w:rPr>
          <w:rFonts w:ascii="宋体" w:hAnsi="宋体" w:cs="宋体"/>
          <w:color w:val="auto"/>
          <w:sz w:val="24"/>
          <w:szCs w:val="24"/>
          <w:highlight w:val="none"/>
        </w:rPr>
        <w:t>1条外，</w:t>
      </w:r>
      <w:r>
        <w:rPr>
          <w:rFonts w:hint="eastAsia" w:ascii="宋体" w:hAnsi="宋体" w:cs="宋体"/>
          <w:color w:val="auto"/>
          <w:sz w:val="24"/>
          <w:szCs w:val="24"/>
          <w:highlight w:val="none"/>
          <w:u w:val="single"/>
        </w:rPr>
        <w:t>学期考核成绩</w:t>
      </w:r>
      <w:r>
        <w:rPr>
          <w:rFonts w:ascii="宋体" w:hAnsi="宋体" w:cs="宋体"/>
          <w:color w:val="auto"/>
          <w:sz w:val="24"/>
          <w:szCs w:val="24"/>
          <w:highlight w:val="none"/>
          <w:u w:val="single"/>
        </w:rPr>
        <w:t>=学期满意度测评成绩+日常考核成绩。</w:t>
      </w:r>
    </w:p>
    <w:p w14:paraId="432A778E">
      <w:pPr>
        <w:snapToGrid w:val="0"/>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3.以上测评表，采购人每学期可以根据上级机关和学校管理要求，结合实际情况对测评项目及细则予以调整。</w:t>
      </w:r>
    </w:p>
    <w:p w14:paraId="7A9AD4D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（三）考核结果运用：</w:t>
      </w:r>
    </w:p>
    <w:p w14:paraId="6DC36DEB">
      <w:pPr>
        <w:spacing w:line="580" w:lineRule="atLeast"/>
        <w:ind w:left="213" w:leftChars="76"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学期考核成绩≥</w:t>
      </w:r>
      <w:r>
        <w:rPr>
          <w:rFonts w:ascii="宋体" w:hAnsi="宋体" w:cs="宋体"/>
          <w:color w:val="auto"/>
          <w:sz w:val="24"/>
          <w:szCs w:val="24"/>
          <w:highlight w:val="none"/>
        </w:rPr>
        <w:t>95分为非常优秀，全额返还当学期所提取考核费；95分＞学期考核成绩≥90分为基本优秀，</w:t>
      </w:r>
      <w:r>
        <w:rPr>
          <w:rFonts w:hint="eastAsia" w:ascii="宋体" w:hAnsi="宋体" w:cs="宋体"/>
          <w:color w:val="auto"/>
          <w:sz w:val="24"/>
          <w:szCs w:val="24"/>
          <w:highlight w:val="none"/>
        </w:rPr>
        <w:t>返还当学期所提取考核费</w:t>
      </w:r>
      <w:r>
        <w:rPr>
          <w:rFonts w:ascii="宋体" w:hAnsi="宋体" w:cs="宋体"/>
          <w:color w:val="auto"/>
          <w:sz w:val="24"/>
          <w:szCs w:val="24"/>
          <w:highlight w:val="none"/>
        </w:rPr>
        <w:t>50%；90分＞学期考核成绩≥85分为良好，返还当学期所提取考核费40%； 85分＞学期考核成绩≥80分为合格，返还当学期所提取考核费30%；80分＞学期考核成绩≥70分为合格，</w:t>
      </w:r>
      <w:r>
        <w:rPr>
          <w:rFonts w:hint="eastAsia" w:ascii="宋体" w:hAnsi="宋体" w:cs="宋体"/>
          <w:color w:val="auto"/>
          <w:sz w:val="24"/>
          <w:szCs w:val="24"/>
          <w:highlight w:val="none"/>
        </w:rPr>
        <w:t>不返还当学期所提取考核费；学期考核成绩</w:t>
      </w:r>
      <w:r>
        <w:rPr>
          <w:rFonts w:ascii="宋体" w:hAnsi="宋体" w:cs="宋体"/>
          <w:color w:val="auto"/>
          <w:sz w:val="24"/>
          <w:szCs w:val="24"/>
          <w:highlight w:val="none"/>
        </w:rPr>
        <w:t>&lt;70分为不合格，</w:t>
      </w:r>
      <w:r>
        <w:rPr>
          <w:rFonts w:hint="eastAsia" w:ascii="宋体" w:hAnsi="宋体" w:cs="宋体"/>
          <w:color w:val="auto"/>
          <w:sz w:val="24"/>
          <w:szCs w:val="28"/>
          <w:highlight w:val="none"/>
          <w:lang w:val="zh-CN"/>
        </w:rPr>
        <w:t>对其诫勉谈话，</w:t>
      </w:r>
      <w:r>
        <w:rPr>
          <w:rFonts w:hint="eastAsia" w:ascii="宋体" w:hAnsi="宋体" w:cs="宋体"/>
          <w:color w:val="auto"/>
          <w:sz w:val="24"/>
          <w:szCs w:val="28"/>
          <w:highlight w:val="none"/>
        </w:rPr>
        <w:t>按合同违约处理，</w:t>
      </w:r>
      <w:r>
        <w:rPr>
          <w:rFonts w:hint="eastAsia" w:ascii="宋体" w:hAnsi="宋体" w:cs="宋体"/>
          <w:color w:val="auto"/>
          <w:sz w:val="24"/>
          <w:szCs w:val="24"/>
          <w:highlight w:val="none"/>
        </w:rPr>
        <w:t>成交商须向采购人支付违约金</w:t>
      </w:r>
      <w:r>
        <w:rPr>
          <w:rFonts w:ascii="宋体" w:hAnsi="宋体" w:cs="宋体"/>
          <w:color w:val="auto"/>
          <w:sz w:val="24"/>
          <w:szCs w:val="24"/>
          <w:highlight w:val="none"/>
        </w:rPr>
        <w:t>200000元，且</w:t>
      </w:r>
      <w:r>
        <w:rPr>
          <w:rFonts w:hint="eastAsia" w:ascii="宋体" w:hAnsi="宋体" w:cs="宋体"/>
          <w:color w:val="auto"/>
          <w:sz w:val="24"/>
          <w:szCs w:val="28"/>
          <w:highlight w:val="none"/>
        </w:rPr>
        <w:t>下一个考核期每月营业款再原有考核费提取的基础上再增加</w:t>
      </w:r>
      <w:r>
        <w:rPr>
          <w:rFonts w:ascii="宋体" w:hAnsi="宋体" w:cs="宋体"/>
          <w:color w:val="auto"/>
          <w:sz w:val="24"/>
          <w:szCs w:val="28"/>
          <w:highlight w:val="none"/>
        </w:rPr>
        <w:t>1%提取每月考核费</w:t>
      </w:r>
      <w:r>
        <w:rPr>
          <w:rFonts w:hint="eastAsia" w:ascii="宋体" w:hAnsi="宋体" w:cs="宋体"/>
          <w:color w:val="auto"/>
          <w:sz w:val="24"/>
          <w:szCs w:val="24"/>
          <w:highlight w:val="none"/>
        </w:rPr>
        <w:t>，出现一切经济和法律责任由成交商自行承担，采购人不承担任何责任和做任何补偿。未返还完的考核费用于学生奖助贷、合理承担食堂在编在岗监管人员的薪资、食品安全管理及学生活动等公益性支出，惠及全校学生。</w:t>
      </w:r>
    </w:p>
    <w:p w14:paraId="0C29BD0E">
      <w:pPr>
        <w:pStyle w:val="3"/>
        <w:tabs>
          <w:tab w:val="left" w:pos="2443"/>
        </w:tabs>
        <w:spacing w:line="400" w:lineRule="exact"/>
        <w:rPr>
          <w:b w:val="0"/>
          <w:color w:val="auto"/>
          <w:highlight w:val="none"/>
        </w:rPr>
      </w:pPr>
      <w:bookmarkStart w:id="83" w:name="_Toc31092"/>
      <w:r>
        <w:rPr>
          <w:b w:val="0"/>
          <w:color w:val="auto"/>
          <w:highlight w:val="none"/>
        </w:rPr>
        <w:t>*</w:t>
      </w:r>
      <w:r>
        <w:rPr>
          <w:rFonts w:hint="eastAsia"/>
          <w:b w:val="0"/>
          <w:color w:val="auto"/>
          <w:highlight w:val="none"/>
        </w:rPr>
        <w:t>八、特别要求</w:t>
      </w:r>
      <w:bookmarkEnd w:id="72"/>
      <w:bookmarkEnd w:id="73"/>
      <w:bookmarkEnd w:id="74"/>
      <w:bookmarkEnd w:id="75"/>
      <w:bookmarkEnd w:id="76"/>
      <w:bookmarkEnd w:id="77"/>
      <w:bookmarkEnd w:id="83"/>
      <w:r>
        <w:rPr>
          <w:rFonts w:hint="eastAsia"/>
          <w:b w:val="0"/>
          <w:color w:val="auto"/>
          <w:highlight w:val="none"/>
        </w:rPr>
        <w:tab/>
      </w:r>
    </w:p>
    <w:p w14:paraId="7FD0DB71">
      <w:pPr>
        <w:numPr>
          <w:ilvl w:val="0"/>
          <w:numId w:val="138"/>
        </w:num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成交商必须服从采购人的工作安排和服务要求。</w:t>
      </w:r>
    </w:p>
    <w:p w14:paraId="15C1E494">
      <w:pPr>
        <w:numPr>
          <w:ilvl w:val="0"/>
          <w:numId w:val="138"/>
        </w:num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供应商承诺投保最低额为</w:t>
      </w:r>
      <w:r>
        <w:rPr>
          <w:rFonts w:ascii="宋体" w:hAnsi="宋体" w:cs="宋体"/>
          <w:color w:val="auto"/>
          <w:sz w:val="24"/>
          <w:szCs w:val="24"/>
          <w:highlight w:val="none"/>
        </w:rPr>
        <w:t>1000万元人民币的食品安全责任险</w:t>
      </w:r>
      <w:r>
        <w:rPr>
          <w:rFonts w:hint="eastAsia" w:ascii="宋体" w:hAnsi="宋体" w:cs="宋体"/>
          <w:color w:val="auto"/>
          <w:sz w:val="24"/>
          <w:szCs w:val="24"/>
          <w:highlight w:val="none"/>
        </w:rPr>
        <w:t>（含公众责任险），且每人财产损失险保额不低于</w:t>
      </w:r>
      <w:r>
        <w:rPr>
          <w:rFonts w:ascii="宋体" w:hAnsi="宋体" w:cs="宋体"/>
          <w:color w:val="auto"/>
          <w:sz w:val="24"/>
          <w:szCs w:val="24"/>
          <w:highlight w:val="none"/>
        </w:rPr>
        <w:t>10万和人身伤害每人不低于50万</w:t>
      </w:r>
      <w:r>
        <w:rPr>
          <w:rFonts w:hint="eastAsia" w:ascii="宋体" w:hAnsi="宋体" w:cs="宋体"/>
          <w:color w:val="auto"/>
          <w:sz w:val="24"/>
          <w:szCs w:val="24"/>
          <w:highlight w:val="none"/>
        </w:rPr>
        <w:t>。</w:t>
      </w:r>
    </w:p>
    <w:p w14:paraId="06E59E2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（三）采购文件中</w:t>
      </w:r>
      <w:bookmarkStart w:id="84" w:name="_Hlk101963034"/>
      <w:r>
        <w:rPr>
          <w:rFonts w:hint="eastAsia" w:ascii="宋体" w:hAnsi="宋体" w:cs="宋体"/>
          <w:color w:val="auto"/>
          <w:sz w:val="24"/>
          <w:szCs w:val="24"/>
          <w:highlight w:val="none"/>
        </w:rPr>
        <w:t>未尽条款按国家《食品安全法》、《重庆市食品安全管理办法》、《重庆文理学院食堂监管办法》等最新文件相关要求执行。</w:t>
      </w:r>
      <w:bookmarkEnd w:id="84"/>
    </w:p>
    <w:p w14:paraId="26FC257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（四）未尽事宜，凡是有利于提升餐饮服务质量，有利于提升食品安全管理能力，有利于保障学校正常教育教学秩序，须以采购人要求为准。</w:t>
      </w:r>
    </w:p>
    <w:p w14:paraId="484A9FC7">
      <w:pPr>
        <w:pStyle w:val="3"/>
        <w:spacing w:line="400" w:lineRule="exact"/>
        <w:rPr>
          <w:b w:val="0"/>
          <w:color w:val="auto"/>
          <w:highlight w:val="none"/>
        </w:rPr>
      </w:pPr>
      <w:bookmarkStart w:id="85" w:name="_Toc19837"/>
      <w:r>
        <w:rPr>
          <w:rFonts w:hint="eastAsia"/>
          <w:b w:val="0"/>
          <w:color w:val="auto"/>
          <w:highlight w:val="none"/>
        </w:rPr>
        <w:t>九、现场查勘</w:t>
      </w:r>
      <w:bookmarkEnd w:id="85"/>
    </w:p>
    <w:p w14:paraId="543530DE">
      <w:pPr>
        <w:spacing w:line="400" w:lineRule="exact"/>
        <w:ind w:firstLine="480" w:firstLineChars="200"/>
        <w:jc w:val="left"/>
        <w:rPr>
          <w:color w:val="auto"/>
          <w:sz w:val="24"/>
          <w:szCs w:val="24"/>
          <w:highlight w:val="none"/>
          <w:u w:val="single"/>
        </w:rPr>
      </w:pPr>
      <w:r>
        <w:rPr>
          <w:color w:val="auto"/>
          <w:sz w:val="24"/>
          <w:szCs w:val="24"/>
          <w:highlight w:val="none"/>
        </w:rPr>
        <w:t>1</w:t>
      </w:r>
      <w:r>
        <w:rPr>
          <w:rFonts w:hint="eastAsia"/>
          <w:color w:val="auto"/>
          <w:sz w:val="24"/>
          <w:szCs w:val="24"/>
          <w:highlight w:val="none"/>
        </w:rPr>
        <w:t>、为保证报价准确，参与磋商的各供应商可到现场进行查勘，需提供公司函（包括商家名称、进校车辆车牌号码、查勘人员姓名、性别、身份证号、联系电话提交采购报备），现场查勘时间：在采购信息公告日起第二天和第三天（周末、节假日不顺延）上午</w:t>
      </w:r>
      <w:r>
        <w:rPr>
          <w:color w:val="auto"/>
          <w:sz w:val="24"/>
          <w:szCs w:val="24"/>
          <w:highlight w:val="none"/>
        </w:rPr>
        <w:t>9</w:t>
      </w:r>
      <w:r>
        <w:rPr>
          <w:rFonts w:hint="eastAsia"/>
          <w:color w:val="auto"/>
          <w:sz w:val="24"/>
          <w:szCs w:val="24"/>
          <w:highlight w:val="none"/>
        </w:rPr>
        <w:t>：</w:t>
      </w:r>
      <w:r>
        <w:rPr>
          <w:color w:val="auto"/>
          <w:sz w:val="24"/>
          <w:szCs w:val="24"/>
          <w:highlight w:val="none"/>
        </w:rPr>
        <w:t>30-11</w:t>
      </w:r>
      <w:r>
        <w:rPr>
          <w:rFonts w:hint="eastAsia"/>
          <w:color w:val="auto"/>
          <w:sz w:val="24"/>
          <w:szCs w:val="24"/>
          <w:highlight w:val="none"/>
        </w:rPr>
        <w:t>：</w:t>
      </w:r>
      <w:r>
        <w:rPr>
          <w:color w:val="auto"/>
          <w:sz w:val="24"/>
          <w:szCs w:val="24"/>
          <w:highlight w:val="none"/>
        </w:rPr>
        <w:t>30</w:t>
      </w:r>
      <w:r>
        <w:rPr>
          <w:rFonts w:hint="eastAsia"/>
          <w:color w:val="auto"/>
          <w:sz w:val="24"/>
          <w:szCs w:val="24"/>
          <w:highlight w:val="none"/>
        </w:rPr>
        <w:t>。现场踏勘联系方式：程老师，</w:t>
      </w:r>
      <w:r>
        <w:rPr>
          <w:color w:val="auto"/>
          <w:sz w:val="24"/>
          <w:szCs w:val="24"/>
          <w:highlight w:val="none"/>
        </w:rPr>
        <w:t>13996199936</w:t>
      </w:r>
      <w:r>
        <w:rPr>
          <w:rFonts w:hint="eastAsia"/>
          <w:color w:val="auto"/>
          <w:sz w:val="24"/>
          <w:szCs w:val="24"/>
          <w:highlight w:val="none"/>
        </w:rPr>
        <w:t>。</w:t>
      </w:r>
    </w:p>
    <w:p w14:paraId="7E845982">
      <w:pPr>
        <w:spacing w:line="400" w:lineRule="exact"/>
        <w:ind w:firstLine="480" w:firstLineChars="200"/>
        <w:jc w:val="left"/>
        <w:rPr>
          <w:color w:val="auto"/>
          <w:sz w:val="24"/>
          <w:szCs w:val="24"/>
          <w:highlight w:val="none"/>
        </w:rPr>
      </w:pPr>
      <w:r>
        <w:rPr>
          <w:color w:val="auto"/>
          <w:sz w:val="24"/>
          <w:szCs w:val="24"/>
          <w:highlight w:val="none"/>
        </w:rPr>
        <w:t>2</w:t>
      </w:r>
      <w:r>
        <w:rPr>
          <w:rFonts w:hint="eastAsia"/>
          <w:color w:val="auto"/>
          <w:sz w:val="24"/>
          <w:szCs w:val="24"/>
          <w:highlight w:val="none"/>
        </w:rPr>
        <w:t>、无论供应商踏勘与否，均视供应商已知晓本项目经营现场的全部内容并知晓相关风险。踏勘费用、安全等由供应商自行负责。</w:t>
      </w:r>
    </w:p>
    <w:p w14:paraId="38897E26">
      <w:pPr>
        <w:pStyle w:val="3"/>
        <w:spacing w:line="400" w:lineRule="exact"/>
        <w:rPr>
          <w:b w:val="0"/>
          <w:color w:val="auto"/>
          <w:highlight w:val="none"/>
        </w:rPr>
      </w:pPr>
      <w:bookmarkStart w:id="86" w:name="_Toc42780317"/>
      <w:bookmarkStart w:id="87" w:name="_Toc29640"/>
      <w:bookmarkStart w:id="88" w:name="_Toc186919401"/>
      <w:bookmarkStart w:id="89" w:name="_Toc31466"/>
      <w:bookmarkStart w:id="90" w:name="_Toc41457499"/>
      <w:bookmarkStart w:id="91" w:name="_Toc41986737"/>
      <w:bookmarkStart w:id="92" w:name="_Toc29853"/>
      <w:r>
        <w:rPr>
          <w:rFonts w:hint="eastAsia"/>
          <w:b w:val="0"/>
          <w:color w:val="auto"/>
          <w:highlight w:val="none"/>
        </w:rPr>
        <w:t>十、其他</w:t>
      </w:r>
      <w:bookmarkEnd w:id="86"/>
      <w:bookmarkEnd w:id="87"/>
      <w:bookmarkEnd w:id="88"/>
      <w:bookmarkEnd w:id="89"/>
      <w:bookmarkEnd w:id="90"/>
      <w:bookmarkEnd w:id="91"/>
      <w:bookmarkEnd w:id="92"/>
    </w:p>
    <w:p w14:paraId="51EB070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（一）供应商必须在投标文件中对以上条款明确列出承诺，承诺内容必须达到本篇及招标文件其他条款的要求。</w:t>
      </w:r>
    </w:p>
    <w:p w14:paraId="2EEDF92A">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（二）其他未尽事宜在采购合同中详细约定。</w:t>
      </w:r>
    </w:p>
    <w:p w14:paraId="1E9438AE">
      <w:pPr>
        <w:rPr>
          <w:rFonts w:ascii="宋体" w:hAnsi="宋体" w:cs="宋体"/>
          <w:color w:val="auto"/>
          <w:sz w:val="24"/>
          <w:szCs w:val="24"/>
          <w:highlight w:val="none"/>
        </w:rPr>
      </w:pPr>
      <w:r>
        <w:rPr>
          <w:rFonts w:ascii="宋体" w:hAnsi="宋体" w:cs="宋体"/>
          <w:color w:val="auto"/>
          <w:sz w:val="24"/>
          <w:szCs w:val="24"/>
          <w:highlight w:val="none"/>
        </w:rPr>
        <w:br w:type="page"/>
      </w:r>
    </w:p>
    <w:p w14:paraId="38F68BA0">
      <w:pPr>
        <w:pStyle w:val="2"/>
        <w:jc w:val="center"/>
        <w:rPr>
          <w:rFonts w:hAnsi="宋体" w:cs="宋体"/>
          <w:bCs/>
          <w:color w:val="auto"/>
          <w:sz w:val="32"/>
          <w:szCs w:val="32"/>
          <w:highlight w:val="none"/>
        </w:rPr>
      </w:pPr>
      <w:bookmarkStart w:id="93" w:name="_Toc6327"/>
      <w:r>
        <w:rPr>
          <w:rFonts w:hint="eastAsia"/>
          <w:bCs/>
          <w:color w:val="auto"/>
          <w:sz w:val="32"/>
          <w:szCs w:val="32"/>
          <w:highlight w:val="none"/>
        </w:rPr>
        <w:t>第三篇</w:t>
      </w:r>
      <w:r>
        <w:rPr>
          <w:bCs/>
          <w:color w:val="auto"/>
          <w:sz w:val="32"/>
          <w:szCs w:val="32"/>
          <w:highlight w:val="none"/>
        </w:rPr>
        <w:t xml:space="preserve">  </w:t>
      </w:r>
      <w:r>
        <w:rPr>
          <w:rFonts w:hint="eastAsia"/>
          <w:bCs/>
          <w:color w:val="auto"/>
          <w:sz w:val="32"/>
          <w:szCs w:val="32"/>
          <w:highlight w:val="none"/>
        </w:rPr>
        <w:t>采购商务需求</w:t>
      </w:r>
      <w:bookmarkEnd w:id="34"/>
      <w:bookmarkEnd w:id="35"/>
      <w:bookmarkEnd w:id="36"/>
      <w:bookmarkEnd w:id="37"/>
      <w:bookmarkEnd w:id="93"/>
    </w:p>
    <w:p w14:paraId="6717BF59">
      <w:pPr>
        <w:pStyle w:val="3"/>
        <w:spacing w:line="400" w:lineRule="exact"/>
        <w:rPr>
          <w:rFonts w:ascii="宋体" w:hAnsi="宋体" w:eastAsia="宋体" w:cs="宋体"/>
          <w:b w:val="0"/>
          <w:color w:val="auto"/>
          <w:szCs w:val="24"/>
          <w:highlight w:val="none"/>
        </w:rPr>
      </w:pPr>
      <w:bookmarkStart w:id="94" w:name="_Toc344475120"/>
      <w:bookmarkStart w:id="95" w:name="_Toc9474"/>
      <w:bookmarkStart w:id="96" w:name="_Toc9710"/>
      <w:r>
        <w:rPr>
          <w:rFonts w:hint="eastAsia"/>
          <w:b w:val="0"/>
          <w:color w:val="auto"/>
          <w:sz w:val="28"/>
          <w:szCs w:val="28"/>
          <w:highlight w:val="none"/>
        </w:rPr>
        <w:t>一、时间、地点要求，</w:t>
      </w:r>
      <w:bookmarkEnd w:id="94"/>
      <w:r>
        <w:rPr>
          <w:rFonts w:hint="eastAsia"/>
          <w:b w:val="0"/>
          <w:color w:val="auto"/>
          <w:sz w:val="28"/>
          <w:szCs w:val="28"/>
          <w:highlight w:val="none"/>
        </w:rPr>
        <w:t>人员要求及验收方式</w:t>
      </w:r>
      <w:bookmarkEnd w:id="95"/>
      <w:bookmarkEnd w:id="96"/>
    </w:p>
    <w:p w14:paraId="0206A9AC">
      <w:pPr>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（一）服务期：</w:t>
      </w:r>
      <w:r>
        <w:rPr>
          <w:rFonts w:ascii="宋体" w:hAnsi="宋体" w:cs="宋体"/>
          <w:color w:val="auto"/>
          <w:sz w:val="24"/>
          <w:szCs w:val="24"/>
          <w:highlight w:val="none"/>
          <w:u w:val="single"/>
        </w:rPr>
        <w:t>(发放成交通知之日)</w:t>
      </w:r>
      <w:r>
        <w:rPr>
          <w:rFonts w:hint="eastAsia" w:ascii="宋体" w:hAnsi="宋体" w:cs="宋体"/>
          <w:color w:val="auto"/>
          <w:sz w:val="24"/>
          <w:szCs w:val="24"/>
          <w:highlight w:val="none"/>
        </w:rPr>
        <w:t>至</w:t>
      </w:r>
      <w:r>
        <w:rPr>
          <w:rFonts w:ascii="宋体" w:hAnsi="宋体" w:cs="宋体"/>
          <w:color w:val="auto"/>
          <w:sz w:val="24"/>
          <w:szCs w:val="24"/>
          <w:highlight w:val="none"/>
        </w:rPr>
        <w:t xml:space="preserve">2030年7月10日。 </w:t>
      </w:r>
    </w:p>
    <w:p w14:paraId="58F5062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（二）服务地点：包</w:t>
      </w:r>
      <w:r>
        <w:rPr>
          <w:rFonts w:ascii="宋体" w:hAnsi="宋体" w:cs="宋体"/>
          <w:color w:val="auto"/>
          <w:sz w:val="24"/>
          <w:szCs w:val="24"/>
          <w:highlight w:val="none"/>
        </w:rPr>
        <w:t>4红河A校区三食堂（含教工餐厅）；包5星湖校区知和楼一、二楼食堂（含教工餐厅）及</w:t>
      </w:r>
      <w:r>
        <w:rPr>
          <w:rFonts w:hint="eastAsia" w:ascii="宋体" w:hAnsi="宋体" w:cs="宋体"/>
          <w:color w:val="auto"/>
          <w:sz w:val="24"/>
          <w:szCs w:val="24"/>
          <w:highlight w:val="none"/>
        </w:rPr>
        <w:t>学聚苑食堂；</w:t>
      </w:r>
    </w:p>
    <w:p w14:paraId="55F5AC2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（三）验收方式：采购人依照成交商响应及合同执行情况进行现场验收。</w:t>
      </w:r>
    </w:p>
    <w:p w14:paraId="44656E7D">
      <w:pPr>
        <w:pStyle w:val="3"/>
        <w:spacing w:line="400" w:lineRule="exact"/>
        <w:rPr>
          <w:b w:val="0"/>
          <w:color w:val="auto"/>
          <w:sz w:val="28"/>
          <w:szCs w:val="28"/>
          <w:highlight w:val="none"/>
        </w:rPr>
      </w:pPr>
      <w:bookmarkStart w:id="97" w:name="_Toc344475121"/>
      <w:bookmarkStart w:id="98" w:name="_Toc1854"/>
      <w:bookmarkStart w:id="99" w:name="_Toc23326"/>
      <w:r>
        <w:rPr>
          <w:rFonts w:hint="eastAsia"/>
          <w:b w:val="0"/>
          <w:color w:val="auto"/>
          <w:sz w:val="28"/>
          <w:szCs w:val="28"/>
          <w:highlight w:val="none"/>
        </w:rPr>
        <w:t>二、</w:t>
      </w:r>
      <w:bookmarkEnd w:id="97"/>
      <w:r>
        <w:rPr>
          <w:rFonts w:hint="eastAsia"/>
          <w:b w:val="0"/>
          <w:color w:val="auto"/>
          <w:sz w:val="28"/>
          <w:szCs w:val="28"/>
          <w:highlight w:val="none"/>
        </w:rPr>
        <w:t>报价要求</w:t>
      </w:r>
      <w:bookmarkEnd w:id="98"/>
      <w:bookmarkEnd w:id="99"/>
    </w:p>
    <w:p w14:paraId="6EFF01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供应商应充分考察学校周边经营环境和校园整体规划布局、经营现状，充分了解所面临的风险及义务，综合考虑各种因素，结合自身实力自主报价。</w:t>
      </w:r>
    </w:p>
    <w:p w14:paraId="0B4AD6A8">
      <w:pPr>
        <w:spacing w:line="400" w:lineRule="exact"/>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本项目按营业收入的一定比例暂扣考核费，考核费报价为</w:t>
      </w:r>
      <w:r>
        <w:rPr>
          <w:rFonts w:ascii="宋体" w:hAnsi="宋体" w:cs="宋体"/>
          <w:color w:val="auto"/>
          <w:sz w:val="24"/>
          <w:szCs w:val="24"/>
          <w:highlight w:val="none"/>
        </w:rPr>
        <w:t>:按百分比报价</w:t>
      </w:r>
      <w:r>
        <w:rPr>
          <w:rFonts w:hint="eastAsia" w:ascii="宋体" w:hAnsi="宋体" w:cs="宋体"/>
          <w:bCs/>
          <w:color w:val="auto"/>
          <w:sz w:val="24"/>
          <w:szCs w:val="24"/>
          <w:highlight w:val="none"/>
        </w:rPr>
        <w:t>。</w:t>
      </w:r>
    </w:p>
    <w:p w14:paraId="66CADE2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供应商报价仅是暂扣考核费，不包含成交商对其它用房、食堂经营环境改善投入及设备设施投入、使用、运行维护过程中所产生的人工费、材料费、税费、水电气费、垃圾清运费、网络费、维修维护等费用。</w:t>
      </w:r>
    </w:p>
    <w:p w14:paraId="1E4E0358">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成交商对其它用房、食堂经营环境改善投入及设备设施投入、使用、运行维护过程中所产生的人工费、材料费、税费、水电气费、垃圾清运费、网络费、维修维护费等费用由成交商自行承担，采购人不作任何补偿。</w:t>
      </w:r>
    </w:p>
    <w:p w14:paraId="712B9BBE">
      <w:pPr>
        <w:pStyle w:val="3"/>
        <w:spacing w:line="400" w:lineRule="exact"/>
        <w:rPr>
          <w:b w:val="0"/>
          <w:color w:val="auto"/>
          <w:sz w:val="28"/>
          <w:szCs w:val="28"/>
          <w:highlight w:val="none"/>
        </w:rPr>
      </w:pPr>
      <w:bookmarkStart w:id="100" w:name="_Toc25245"/>
      <w:bookmarkStart w:id="101" w:name="_Toc29430"/>
      <w:bookmarkStart w:id="102" w:name="_Toc344475122"/>
      <w:r>
        <w:rPr>
          <w:rStyle w:val="67"/>
          <w:color w:val="auto"/>
          <w:highlight w:val="none"/>
        </w:rPr>
        <w:t>*</w:t>
      </w:r>
      <w:r>
        <w:rPr>
          <w:rFonts w:hint="eastAsia"/>
          <w:b w:val="0"/>
          <w:color w:val="auto"/>
          <w:sz w:val="28"/>
          <w:szCs w:val="28"/>
          <w:highlight w:val="none"/>
        </w:rPr>
        <w:t>三、履约保证金</w:t>
      </w:r>
      <w:bookmarkEnd w:id="100"/>
      <w:bookmarkEnd w:id="101"/>
    </w:p>
    <w:p w14:paraId="64664690">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本项目履约保证金：各包均为</w:t>
      </w:r>
      <w:r>
        <w:rPr>
          <w:rFonts w:ascii="宋体" w:hAnsi="宋体" w:cs="宋体"/>
          <w:bCs/>
          <w:color w:val="auto"/>
          <w:sz w:val="24"/>
          <w:szCs w:val="24"/>
          <w:highlight w:val="none"/>
        </w:rPr>
        <w:t>100万元人民币。</w:t>
      </w:r>
      <w:r>
        <w:rPr>
          <w:rFonts w:hint="eastAsia" w:ascii="宋体" w:hAnsi="宋体" w:cs="宋体"/>
          <w:color w:val="auto"/>
          <w:sz w:val="24"/>
          <w:szCs w:val="24"/>
          <w:highlight w:val="none"/>
        </w:rPr>
        <w:t>成交商在合同签订前必须向采购人缴纳。服务期内如有扣减，成交商必须随时补足履约保证金。合同服务期满结束后，成交商应保证房屋及设施设备、装修等完好，经营区内无生活垃圾、建筑垃圾和其它废弃物，成交商履行完合同义务且无遗留问题</w:t>
      </w:r>
      <w:r>
        <w:rPr>
          <w:rFonts w:ascii="宋体" w:hAnsi="宋体" w:cs="宋体"/>
          <w:color w:val="auto"/>
          <w:sz w:val="24"/>
          <w:szCs w:val="24"/>
          <w:highlight w:val="none"/>
        </w:rPr>
        <w:t>(如劳资纠纷、供货纠纷等)，经采购人验收合格并办理完书面移交手续后，采购人10日内无息退还履约保证金。</w:t>
      </w:r>
    </w:p>
    <w:p w14:paraId="63252BF3">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装修保证金：中标人在结果公告起5个工作日内向采购人缴纳10万元的环境改造保证金，以确保环境改造按期、按质进行，验收合格后无息退还。</w:t>
      </w:r>
    </w:p>
    <w:p w14:paraId="66FE794F">
      <w:pPr>
        <w:pStyle w:val="3"/>
        <w:spacing w:line="400" w:lineRule="exact"/>
        <w:rPr>
          <w:b w:val="0"/>
          <w:color w:val="auto"/>
          <w:sz w:val="28"/>
          <w:szCs w:val="28"/>
          <w:highlight w:val="none"/>
        </w:rPr>
      </w:pPr>
      <w:bookmarkStart w:id="103" w:name="_Toc17402"/>
      <w:bookmarkStart w:id="104" w:name="_Toc16228"/>
      <w:r>
        <w:rPr>
          <w:rStyle w:val="67"/>
          <w:color w:val="auto"/>
          <w:highlight w:val="none"/>
        </w:rPr>
        <w:t>*</w:t>
      </w:r>
      <w:r>
        <w:rPr>
          <w:rFonts w:hint="eastAsia"/>
          <w:b w:val="0"/>
          <w:color w:val="auto"/>
          <w:sz w:val="28"/>
          <w:szCs w:val="28"/>
          <w:highlight w:val="none"/>
        </w:rPr>
        <w:t>四、费用结算及支付</w:t>
      </w:r>
      <w:bookmarkEnd w:id="103"/>
      <w:bookmarkEnd w:id="104"/>
    </w:p>
    <w:bookmarkEnd w:id="102"/>
    <w:p w14:paraId="4947B710">
      <w:pPr>
        <w:tabs>
          <w:tab w:val="left" w:pos="0"/>
          <w:tab w:val="left" w:pos="312"/>
        </w:tabs>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（一）成交商自行承担建设运营期间所需的水电气费，按采购人所在地物价局水、电、气供给部门所公布的居民收费标准执行，由采购人在成交商营业款中直接扣除。</w:t>
      </w:r>
    </w:p>
    <w:p w14:paraId="722F4152">
      <w:pPr>
        <w:snapToGrid w:val="0"/>
        <w:spacing w:line="400" w:lineRule="exact"/>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（二）考核费（暂扣）：按成交商的中标报价，采购人在成交商每月的</w:t>
      </w:r>
      <w:r>
        <w:rPr>
          <w:rFonts w:hint="eastAsia" w:ascii="宋体" w:hAnsi="宋体" w:cs="宋体"/>
          <w:color w:val="auto"/>
          <w:sz w:val="24"/>
          <w:szCs w:val="24"/>
          <w:highlight w:val="none"/>
        </w:rPr>
        <w:t>一卡通</w:t>
      </w:r>
      <w:r>
        <w:rPr>
          <w:rFonts w:hint="eastAsia" w:ascii="宋体" w:hAnsi="宋体" w:cs="宋体"/>
          <w:bCs/>
          <w:color w:val="auto"/>
          <w:sz w:val="24"/>
          <w:szCs w:val="24"/>
          <w:highlight w:val="none"/>
          <w:u w:val="single"/>
        </w:rPr>
        <w:t>营业款中扣除。</w:t>
      </w:r>
    </w:p>
    <w:p w14:paraId="4ECB882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（三）成交商应向采购人支付的物业费（含生活垃圾处置费）金额：成交商营业额</w:t>
      </w:r>
      <w:r>
        <w:rPr>
          <w:rFonts w:ascii="宋体" w:hAnsi="宋体" w:cs="宋体"/>
          <w:color w:val="auto"/>
          <w:sz w:val="24"/>
          <w:szCs w:val="24"/>
          <w:highlight w:val="none"/>
        </w:rPr>
        <w:t>*7‰。由采购人在成交商</w:t>
      </w:r>
      <w:r>
        <w:rPr>
          <w:rFonts w:hint="eastAsia" w:ascii="宋体" w:hAnsi="宋体" w:cs="宋体"/>
          <w:color w:val="auto"/>
          <w:sz w:val="24"/>
          <w:szCs w:val="24"/>
          <w:highlight w:val="none"/>
        </w:rPr>
        <w:t>一卡通营业款中直接扣除。</w:t>
      </w:r>
    </w:p>
    <w:p w14:paraId="2368094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（四）成交商应向采购人支付一卡通使用维护费用金额：成交商营业额</w:t>
      </w:r>
      <w:r>
        <w:rPr>
          <w:rFonts w:ascii="宋体" w:hAnsi="宋体" w:cs="宋体"/>
          <w:color w:val="auto"/>
          <w:sz w:val="24"/>
          <w:szCs w:val="24"/>
          <w:highlight w:val="none"/>
        </w:rPr>
        <w:t>*3‰。由采购人在成交商</w:t>
      </w:r>
      <w:r>
        <w:rPr>
          <w:rFonts w:hint="eastAsia" w:ascii="宋体" w:hAnsi="宋体" w:cs="宋体"/>
          <w:color w:val="auto"/>
          <w:sz w:val="24"/>
          <w:szCs w:val="24"/>
          <w:highlight w:val="none"/>
        </w:rPr>
        <w:t>一卡通营业款中直接扣除。</w:t>
      </w:r>
    </w:p>
    <w:p w14:paraId="648A76D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（五）成交商的报价和各种承诺作为与采购人的结算依据，据实结算。</w:t>
      </w:r>
    </w:p>
    <w:p w14:paraId="007C8E4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bCs/>
          <w:color w:val="auto"/>
          <w:sz w:val="24"/>
          <w:szCs w:val="24"/>
          <w:highlight w:val="none"/>
        </w:rPr>
        <w:t>成交商的营收款直接进入采购人的财务收费系统，与采购人实施月结制度（应扣除成交商应向采购人支付的水电气费、物业费（含生活垃圾处置费）和</w:t>
      </w:r>
      <w:r>
        <w:rPr>
          <w:rFonts w:hint="eastAsia" w:ascii="宋体" w:hAnsi="宋体" w:cs="宋体"/>
          <w:color w:val="auto"/>
          <w:sz w:val="24"/>
          <w:szCs w:val="24"/>
          <w:highlight w:val="none"/>
        </w:rPr>
        <w:t>其他应支付的费用），成交商申请支付第一次每月营业款前，</w:t>
      </w:r>
      <w:r>
        <w:rPr>
          <w:rFonts w:hint="eastAsia" w:ascii="宋体" w:hAnsi="宋体" w:cs="宋体"/>
          <w:color w:val="auto"/>
          <w:sz w:val="24"/>
          <w:szCs w:val="24"/>
          <w:highlight w:val="none"/>
          <w:lang w:val="zh-CN"/>
        </w:rPr>
        <w:t>必须提供有效的施工图（含技术审查报告）、消防技术检测报告、营业所需的所有有效手续、装修结算审核报告、验收报告（含人员配备及资质情况、现场改造情况、视频监控情况等本采购文件要求达到的内容）</w:t>
      </w:r>
      <w:r>
        <w:rPr>
          <w:rFonts w:hint="eastAsia" w:ascii="宋体" w:hAnsi="宋体" w:cs="宋体"/>
          <w:color w:val="auto"/>
          <w:sz w:val="24"/>
          <w:szCs w:val="24"/>
          <w:highlight w:val="none"/>
        </w:rPr>
        <w:t>及采购人每月营业款支付前成交商应支付的员工工资、保险、供货商货款和其他合作商款项等支付证明</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u w:val="single"/>
        </w:rPr>
        <w:t>包</w:t>
      </w:r>
      <w:r>
        <w:rPr>
          <w:rFonts w:ascii="宋体" w:hAnsi="宋体" w:cs="宋体"/>
          <w:color w:val="auto"/>
          <w:sz w:val="24"/>
          <w:szCs w:val="24"/>
          <w:highlight w:val="none"/>
          <w:u w:val="single"/>
        </w:rPr>
        <w:t>4的</w:t>
      </w:r>
      <w:r>
        <w:rPr>
          <w:rFonts w:hint="eastAsia" w:ascii="宋体" w:hAnsi="宋体" w:cs="宋体"/>
          <w:color w:val="auto"/>
          <w:sz w:val="24"/>
          <w:szCs w:val="24"/>
          <w:highlight w:val="none"/>
          <w:u w:val="single"/>
        </w:rPr>
        <w:t>成交商还须</w:t>
      </w:r>
      <w:r>
        <w:rPr>
          <w:rFonts w:hint="eastAsia" w:ascii="宋体" w:hAnsi="宋体" w:cs="宋体"/>
          <w:color w:val="auto"/>
          <w:sz w:val="24"/>
          <w:szCs w:val="24"/>
          <w:highlight w:val="none"/>
          <w:u w:val="single"/>
          <w:lang w:val="en-US" w:eastAsia="zh-CN"/>
        </w:rPr>
        <w:t>在开餐前</w:t>
      </w:r>
      <w:r>
        <w:rPr>
          <w:rFonts w:hint="eastAsia" w:ascii="宋体" w:hAnsi="宋体" w:cs="宋体"/>
          <w:color w:val="auto"/>
          <w:sz w:val="24"/>
          <w:szCs w:val="24"/>
          <w:highlight w:val="none"/>
          <w:u w:val="single"/>
        </w:rPr>
        <w:t>提供大厅（隔层）和屋顶现有的钢架结构的专业性安全监测报告，</w:t>
      </w:r>
      <w:r>
        <w:rPr>
          <w:rFonts w:hint="eastAsia" w:ascii="宋体" w:hAnsi="宋体" w:cs="宋体"/>
          <w:color w:val="auto"/>
          <w:sz w:val="24"/>
          <w:szCs w:val="24"/>
          <w:highlight w:val="none"/>
        </w:rPr>
        <w:t>最后一次的营业款支付前除应提交员工工资、保险，供货商货款和其他合作商款项等支付证明外，还应在采购人和成交商办理完书面移交手续后</w:t>
      </w:r>
      <w:r>
        <w:rPr>
          <w:rFonts w:ascii="宋体" w:hAnsi="宋体" w:cs="宋体"/>
          <w:color w:val="auto"/>
          <w:sz w:val="24"/>
          <w:szCs w:val="24"/>
          <w:highlight w:val="none"/>
        </w:rPr>
        <w:t>10日内支付。</w:t>
      </w:r>
    </w:p>
    <w:p w14:paraId="24562C2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成交商当月的营业收入和其他相关费用结算。在下月初经成交商与学校财务等相关部门核对无误后，采购人按照其内部管理程序完成审批，学校财务部门按成交商营业收入扣除成交商应支付的费用的净额，由成交商开具票据后，采购人划转到成交商账户。如营业额不足以扣除取相应费用，成交商应及时自行到学校财务部门缴纳。</w:t>
      </w:r>
    </w:p>
    <w:p w14:paraId="271F0F9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采购人如发现成交商每月营业款支付前有应支未支的员工工资、保险、供货商货款和其他合作商款项的，发现一次，给予严重警告并补齐相关支付款项再发放营业款。情节严重者，采购人有权终止合同并扣发全部履约保证金。</w:t>
      </w:r>
    </w:p>
    <w:p w14:paraId="6614FFE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（九）成交商自行申办高校服务的免税事宜，营业款涉及税务等有关责任由成交商自行承担。</w:t>
      </w:r>
    </w:p>
    <w:p w14:paraId="64EA35A2">
      <w:pPr>
        <w:pStyle w:val="3"/>
        <w:spacing w:line="400" w:lineRule="exact"/>
        <w:rPr>
          <w:b w:val="0"/>
          <w:color w:val="auto"/>
          <w:sz w:val="28"/>
          <w:szCs w:val="28"/>
          <w:highlight w:val="none"/>
        </w:rPr>
      </w:pPr>
      <w:bookmarkStart w:id="105" w:name="_Toc344475123"/>
      <w:bookmarkStart w:id="106" w:name="_Toc6250"/>
      <w:bookmarkStart w:id="107" w:name="_Toc12201"/>
      <w:r>
        <w:rPr>
          <w:rStyle w:val="67"/>
          <w:color w:val="auto"/>
          <w:highlight w:val="none"/>
        </w:rPr>
        <w:t>*</w:t>
      </w:r>
      <w:r>
        <w:rPr>
          <w:rFonts w:hint="eastAsia"/>
          <w:b w:val="0"/>
          <w:color w:val="auto"/>
          <w:sz w:val="28"/>
          <w:szCs w:val="28"/>
          <w:highlight w:val="none"/>
        </w:rPr>
        <w:t>五、知识产权</w:t>
      </w:r>
      <w:bookmarkEnd w:id="105"/>
      <w:bookmarkEnd w:id="106"/>
      <w:bookmarkEnd w:id="107"/>
    </w:p>
    <w:p w14:paraId="356312D2">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采购人在中华人民共和国境内使用成交商提供的货物及服务时免受第三方提出的侵犯其专利权或其它知识产权的起诉。如果第三方提出侵权指控，成交商应承担由此而引起的一切法律责任和费用。</w:t>
      </w:r>
    </w:p>
    <w:p w14:paraId="460E0892">
      <w:pPr>
        <w:snapToGrid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注：若项目涉及软件开发等服务类项目知识产权的，采购人享有永久免费使用权。</w:t>
      </w:r>
      <w:bookmarkStart w:id="108" w:name="_Toc29654183"/>
    </w:p>
    <w:p w14:paraId="2613E59F">
      <w:pPr>
        <w:pStyle w:val="3"/>
        <w:spacing w:line="400" w:lineRule="exact"/>
        <w:rPr>
          <w:b w:val="0"/>
          <w:color w:val="auto"/>
          <w:sz w:val="28"/>
          <w:szCs w:val="28"/>
          <w:highlight w:val="none"/>
        </w:rPr>
      </w:pPr>
      <w:bookmarkStart w:id="109" w:name="_Toc27099"/>
      <w:bookmarkStart w:id="110" w:name="_Toc30899"/>
      <w:r>
        <w:rPr>
          <w:rStyle w:val="67"/>
          <w:color w:val="auto"/>
          <w:highlight w:val="none"/>
        </w:rPr>
        <w:t>*</w:t>
      </w:r>
      <w:r>
        <w:rPr>
          <w:rFonts w:hint="eastAsia"/>
          <w:b w:val="0"/>
          <w:color w:val="auto"/>
          <w:sz w:val="28"/>
          <w:szCs w:val="28"/>
          <w:highlight w:val="none"/>
        </w:rPr>
        <w:t>六、退出机制</w:t>
      </w:r>
      <w:bookmarkEnd w:id="108"/>
      <w:bookmarkEnd w:id="109"/>
      <w:bookmarkEnd w:id="110"/>
      <w:r>
        <w:rPr>
          <w:b w:val="0"/>
          <w:color w:val="auto"/>
          <w:sz w:val="28"/>
          <w:szCs w:val="28"/>
          <w:highlight w:val="none"/>
        </w:rPr>
        <w:t xml:space="preserve"> </w:t>
      </w:r>
    </w:p>
    <w:p w14:paraId="3ADF962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商必须严格履约，非法律规定或者自然灾害等不可抗力因素不得无故停止经营或退场，否则采购人有权不退还履约保证金。成交商确实有特殊原因需要提前解约，必须在学期结束的前一个月告知采购人，</w:t>
      </w:r>
      <w:r>
        <w:rPr>
          <w:rFonts w:ascii="宋体" w:hAnsi="宋体" w:cs="宋体"/>
          <w:color w:val="auto"/>
          <w:sz w:val="24"/>
          <w:szCs w:val="24"/>
          <w:highlight w:val="none"/>
        </w:rPr>
        <w:t>，经采购人批准后方可终止协议书。</w:t>
      </w:r>
    </w:p>
    <w:p w14:paraId="5E0E488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（二）成交商退出时，须在</w:t>
      </w:r>
      <w:r>
        <w:rPr>
          <w:rFonts w:ascii="宋体" w:hAnsi="宋体" w:cs="宋体"/>
          <w:color w:val="auto"/>
          <w:sz w:val="24"/>
          <w:szCs w:val="24"/>
          <w:highlight w:val="none"/>
        </w:rPr>
        <w:t>3天内无条件完成撤场并完成所有移交工作，形成书面移交手续，</w:t>
      </w:r>
      <w:r>
        <w:rPr>
          <w:rFonts w:hint="eastAsia" w:ascii="宋体" w:hAnsi="宋体" w:cs="宋体"/>
          <w:color w:val="auto"/>
          <w:sz w:val="24"/>
          <w:szCs w:val="24"/>
          <w:highlight w:val="none"/>
        </w:rPr>
        <w:t>由成交商投资的装修及设备设施不得拆除和损坏，无偿交由采购人处置且采购人不作任何补偿。否则，采购人有权不退还全部履约保证金，并列入学校黑名单，并上报相关部分纳入失信名单，所有责任由成交商自负。</w:t>
      </w:r>
    </w:p>
    <w:p w14:paraId="146D39F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（三）若成交商借故拖延移交时间，采购人有权不退还全部履约保证金；同时，超过协议期满</w:t>
      </w:r>
      <w:r>
        <w:rPr>
          <w:rFonts w:ascii="宋体" w:hAnsi="宋体" w:cs="宋体"/>
          <w:color w:val="auto"/>
          <w:sz w:val="24"/>
          <w:szCs w:val="24"/>
          <w:highlight w:val="none"/>
        </w:rPr>
        <w:t>3天后采购人认为</w:t>
      </w:r>
      <w:r>
        <w:rPr>
          <w:rFonts w:hint="eastAsia" w:ascii="宋体" w:hAnsi="宋体" w:cs="宋体"/>
          <w:color w:val="auto"/>
          <w:sz w:val="24"/>
          <w:szCs w:val="24"/>
          <w:highlight w:val="none"/>
        </w:rPr>
        <w:t>成交商已经进行了撤场处理，并视成交商经营场地里的所有物品为退还或转交给采购人的设施设备，或属于成交商废弃物，采购人有权以任何方式处置所有物品，责任由成交商自负，相关清理、处理费用由成交商负责，并从其最后一个月营业款中扣除。</w:t>
      </w:r>
    </w:p>
    <w:p w14:paraId="3201978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（四）对于成交商无偿使用的属于采购人的资产设备，成交商在撤场时未归还采购人或非正常</w:t>
      </w:r>
      <w:r>
        <w:rPr>
          <w:rFonts w:hint="eastAsia" w:ascii="宋体" w:hAnsi="宋体" w:cs="宋体"/>
          <w:color w:val="auto"/>
          <w:kern w:val="0"/>
          <w:sz w:val="24"/>
          <w:szCs w:val="24"/>
          <w:highlight w:val="none"/>
        </w:rPr>
        <w:t>损失的</w:t>
      </w:r>
      <w:r>
        <w:rPr>
          <w:rFonts w:hint="eastAsia" w:ascii="宋体" w:hAnsi="宋体" w:cs="宋体"/>
          <w:color w:val="auto"/>
          <w:sz w:val="24"/>
          <w:szCs w:val="24"/>
          <w:highlight w:val="none"/>
        </w:rPr>
        <w:t>，采购人有权从履约保证金或营业款中扣抵，具体设备设施清单详见双方确定后的移交清单。</w:t>
      </w:r>
    </w:p>
    <w:p w14:paraId="335AC6B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（五）协议期内如成交商发生严重生产安全事故，或发生食品安全事故，或发生</w:t>
      </w:r>
      <w:r>
        <w:rPr>
          <w:rFonts w:hint="eastAsia" w:ascii="宋体" w:hAnsi="宋体" w:cs="宋体"/>
          <w:color w:val="auto"/>
          <w:kern w:val="0"/>
          <w:sz w:val="24"/>
          <w:szCs w:val="24"/>
          <w:highlight w:val="none"/>
        </w:rPr>
        <w:t>较大</w:t>
      </w:r>
      <w:r>
        <w:rPr>
          <w:rFonts w:hint="eastAsia" w:ascii="宋体" w:hAnsi="宋体" w:cs="宋体"/>
          <w:color w:val="auto"/>
          <w:sz w:val="24"/>
          <w:szCs w:val="24"/>
          <w:highlight w:val="none"/>
        </w:rPr>
        <w:t>消防安全事故，或和就餐者发生冲突造成严重后果，或楼层间经营关系紧张不能主动改善，或因伙食工作引起师生或成交商内部员工（或供应商以及其他合作方）群体不满意事件等（包括“违约责任”规定的终止协议书条款），</w:t>
      </w:r>
      <w:bookmarkStart w:id="111" w:name="OLE_LINK16"/>
      <w:bookmarkStart w:id="112" w:name="OLE_LINK15"/>
      <w:r>
        <w:rPr>
          <w:rFonts w:hint="eastAsia" w:ascii="宋体" w:hAnsi="宋体" w:cs="宋体"/>
          <w:color w:val="auto"/>
          <w:sz w:val="24"/>
          <w:szCs w:val="24"/>
          <w:highlight w:val="none"/>
        </w:rPr>
        <w:t>学校有权立即终止本协议，由此产生的一切经济和法律责任一律由成交商承担，且采购人有权不退还履约保证金</w:t>
      </w:r>
      <w:bookmarkEnd w:id="111"/>
      <w:bookmarkEnd w:id="112"/>
      <w:r>
        <w:rPr>
          <w:rFonts w:hint="eastAsia" w:ascii="宋体" w:hAnsi="宋体" w:cs="宋体"/>
          <w:color w:val="auto"/>
          <w:sz w:val="24"/>
          <w:szCs w:val="24"/>
          <w:highlight w:val="none"/>
        </w:rPr>
        <w:t>。</w:t>
      </w:r>
    </w:p>
    <w:p w14:paraId="05F5FA3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（六）成交商员工擅自通过线上、线下等方式发布与采购人有关的负面信息给采购人带来重大经济或名誉损失的，</w:t>
      </w:r>
      <w:bookmarkStart w:id="113" w:name="OLE_LINK22"/>
      <w:bookmarkStart w:id="114" w:name="OLE_LINK19"/>
      <w:r>
        <w:rPr>
          <w:rFonts w:hint="eastAsia" w:ascii="宋体" w:hAnsi="宋体" w:cs="宋体"/>
          <w:color w:val="auto"/>
          <w:sz w:val="24"/>
          <w:szCs w:val="24"/>
          <w:highlight w:val="none"/>
        </w:rPr>
        <w:t>采购人有权立即终止本协议，由此产生的一切经济和法律责任一律由成交商承担，且采购人有权不退还履约保证金。</w:t>
      </w:r>
    </w:p>
    <w:p w14:paraId="6278E71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成交商在经营期内，如被采购人、行政主管部门、行业主管部门提出安全整改要求拒不整改或多次整改不达标的，采购人有权终止本协议，由此产生的一切经济和法律责任一律由成交商承担，且采购人有权不退还履约保证金。</w:t>
      </w:r>
    </w:p>
    <w:p w14:paraId="472968F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（八）采购人因机构调整，学校规划布局改变带来的校区人数发生变化等问题，由此带来的经营风险由成交商自行承担。</w:t>
      </w:r>
    </w:p>
    <w:bookmarkEnd w:id="113"/>
    <w:bookmarkEnd w:id="114"/>
    <w:p w14:paraId="766A4F21">
      <w:pPr>
        <w:pStyle w:val="22"/>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(九) </w:t>
      </w:r>
      <w:r>
        <w:rPr>
          <w:rFonts w:hint="eastAsia" w:ascii="宋体" w:hAnsi="宋体" w:eastAsia="宋体" w:cs="宋体"/>
          <w:color w:val="auto"/>
          <w:sz w:val="24"/>
          <w:szCs w:val="24"/>
          <w:highlight w:val="none"/>
        </w:rPr>
        <w:t>法律、法规规定的其它解除合同的情形。</w:t>
      </w:r>
    </w:p>
    <w:p w14:paraId="04660EDC">
      <w:pPr>
        <w:pStyle w:val="3"/>
        <w:spacing w:line="400" w:lineRule="exact"/>
        <w:rPr>
          <w:b w:val="0"/>
          <w:color w:val="auto"/>
          <w:sz w:val="28"/>
          <w:szCs w:val="28"/>
          <w:highlight w:val="none"/>
        </w:rPr>
      </w:pPr>
      <w:bookmarkStart w:id="115" w:name="_Toc10623"/>
      <w:bookmarkStart w:id="116" w:name="_Toc17755"/>
      <w:bookmarkStart w:id="117" w:name="_Toc21810"/>
      <w:r>
        <w:rPr>
          <w:rStyle w:val="67"/>
          <w:color w:val="auto"/>
          <w:highlight w:val="none"/>
        </w:rPr>
        <w:t>*</w:t>
      </w:r>
      <w:r>
        <w:rPr>
          <w:rFonts w:hint="eastAsia"/>
          <w:b w:val="0"/>
          <w:color w:val="auto"/>
          <w:sz w:val="28"/>
          <w:szCs w:val="28"/>
          <w:highlight w:val="none"/>
        </w:rPr>
        <w:t>七、违约责任</w:t>
      </w:r>
      <w:bookmarkEnd w:id="115"/>
      <w:bookmarkEnd w:id="116"/>
      <w:bookmarkEnd w:id="117"/>
    </w:p>
    <w:p w14:paraId="1A390A17">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（一）成交商提供的服务质量、服务标准不符合采购文件及合同要求的、或履约过程中有违约行为的，采购人保留追究由此给采购人造成损失责任的权力。</w:t>
      </w:r>
    </w:p>
    <w:p w14:paraId="5F60EA92">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（二）本项目一律为一卡通刷卡消费的方式结算，新增</w:t>
      </w:r>
      <w:r>
        <w:rPr>
          <w:rFonts w:hint="eastAsia" w:ascii="宋体" w:hAnsi="宋体" w:cs="宋体"/>
          <w:bCs/>
          <w:color w:val="auto"/>
          <w:sz w:val="24"/>
          <w:szCs w:val="24"/>
          <w:highlight w:val="none"/>
        </w:rPr>
        <w:t>校园一卡通设备购置和安装费由成交供应商承担，</w:t>
      </w:r>
      <w:r>
        <w:rPr>
          <w:rFonts w:hint="eastAsia" w:ascii="宋体" w:hAnsi="宋体" w:cs="宋体"/>
          <w:color w:val="auto"/>
          <w:sz w:val="24"/>
          <w:szCs w:val="24"/>
          <w:highlight w:val="none"/>
        </w:rPr>
        <w:t>不得以任何非一卡通方式进行交易，否则经查实后中标方向采购人每次支付违约金</w:t>
      </w:r>
      <w:r>
        <w:rPr>
          <w:rFonts w:ascii="宋体" w:hAnsi="宋体" w:cs="宋体"/>
          <w:color w:val="auto"/>
          <w:sz w:val="24"/>
          <w:szCs w:val="24"/>
          <w:highlight w:val="none"/>
        </w:rPr>
        <w:t>20000元，若当月发现三次以上（含本数）违规交易的情况，按当月营业额的20%支付违约金，一年累计发现5次及以上，采购人有权解除合同。</w:t>
      </w:r>
    </w:p>
    <w:p w14:paraId="688997C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（三）除不可抗力外或采购人书面同意外，成交商在经营过程中不得以任何理由擅自停止供餐，否则每次按每档口支付违约金</w:t>
      </w:r>
      <w:r>
        <w:rPr>
          <w:rFonts w:ascii="宋体" w:hAnsi="宋体" w:cs="宋体"/>
          <w:color w:val="auto"/>
          <w:sz w:val="24"/>
          <w:szCs w:val="24"/>
          <w:highlight w:val="none"/>
        </w:rPr>
        <w:t>20000</w:t>
      </w:r>
      <w:r>
        <w:rPr>
          <w:rFonts w:hint="eastAsia" w:ascii="宋体" w:hAnsi="宋体" w:cs="宋体"/>
          <w:color w:val="auto"/>
          <w:sz w:val="24"/>
          <w:szCs w:val="24"/>
          <w:highlight w:val="none"/>
        </w:rPr>
        <w:t>元。</w:t>
      </w:r>
    </w:p>
    <w:p w14:paraId="598BA300">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（四）若成交商擅自变更食品售价，则按每个品种支付违约金</w:t>
      </w:r>
      <w:r>
        <w:rPr>
          <w:rFonts w:ascii="宋体" w:hAnsi="宋体" w:cs="宋体"/>
          <w:color w:val="auto"/>
          <w:sz w:val="24"/>
          <w:szCs w:val="24"/>
          <w:highlight w:val="none"/>
        </w:rPr>
        <w:t>5000元/次。</w:t>
      </w:r>
    </w:p>
    <w:p w14:paraId="39CC7892">
      <w:pPr>
        <w:spacing w:line="400" w:lineRule="exact"/>
        <w:jc w:val="left"/>
        <w:rPr>
          <w:rFonts w:ascii="宋体" w:hAnsi="宋体" w:cs="宋体"/>
          <w:color w:val="auto"/>
          <w:sz w:val="24"/>
          <w:szCs w:val="24"/>
          <w:highlight w:val="none"/>
        </w:rPr>
      </w:pPr>
      <w:r>
        <w:rPr>
          <w:rFonts w:ascii="宋体" w:hAnsi="宋体" w:cs="宋体"/>
          <w:color w:val="auto"/>
          <w:sz w:val="24"/>
          <w:szCs w:val="24"/>
          <w:highlight w:val="none"/>
        </w:rPr>
        <w:t>（五）若</w:t>
      </w:r>
      <w:r>
        <w:rPr>
          <w:rFonts w:hint="eastAsia" w:ascii="宋体" w:hAnsi="宋体" w:cs="宋体"/>
          <w:color w:val="auto"/>
          <w:sz w:val="24"/>
          <w:szCs w:val="24"/>
          <w:highlight w:val="none"/>
        </w:rPr>
        <w:t>成交商采购转基因食材或外国进口类食材，则按每个食材品种支付违约金</w:t>
      </w:r>
      <w:r>
        <w:rPr>
          <w:rFonts w:ascii="宋体" w:hAnsi="宋体" w:cs="宋体"/>
          <w:color w:val="auto"/>
          <w:sz w:val="24"/>
          <w:szCs w:val="24"/>
          <w:highlight w:val="none"/>
        </w:rPr>
        <w:t>10000元/次。</w:t>
      </w:r>
    </w:p>
    <w:p w14:paraId="21078A0F">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（六）若发生师生有效投诉，视其情况支付违约金</w:t>
      </w:r>
      <w:r>
        <w:rPr>
          <w:rFonts w:ascii="宋体" w:hAnsi="宋体" w:cs="宋体"/>
          <w:color w:val="auto"/>
          <w:sz w:val="24"/>
          <w:szCs w:val="24"/>
          <w:highlight w:val="none"/>
        </w:rPr>
        <w:t>500元及以上/次。</w:t>
      </w:r>
    </w:p>
    <w:p w14:paraId="00516F5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（七）若发现各类食材存在食品安全隐患的，视其情况支付违约金</w:t>
      </w:r>
      <w:r>
        <w:rPr>
          <w:rFonts w:ascii="宋体" w:hAnsi="宋体" w:cs="宋体"/>
          <w:color w:val="auto"/>
          <w:sz w:val="24"/>
          <w:szCs w:val="24"/>
          <w:highlight w:val="none"/>
        </w:rPr>
        <w:t>5000元-10000元/</w:t>
      </w:r>
      <w:r>
        <w:rPr>
          <w:rFonts w:hint="eastAsia" w:ascii="宋体" w:hAnsi="宋体" w:cs="宋体"/>
          <w:color w:val="auto"/>
          <w:sz w:val="24"/>
          <w:szCs w:val="24"/>
          <w:highlight w:val="none"/>
        </w:rPr>
        <w:t>次。</w:t>
      </w:r>
    </w:p>
    <w:p w14:paraId="7932E2E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（八）若成交商不服从采购人管理，不及时按照采购人的要求及时进行整改的，每次支付违约金</w:t>
      </w:r>
      <w:r>
        <w:rPr>
          <w:rFonts w:ascii="宋体" w:hAnsi="宋体" w:cs="宋体"/>
          <w:color w:val="auto"/>
          <w:sz w:val="24"/>
          <w:szCs w:val="24"/>
          <w:highlight w:val="none"/>
        </w:rPr>
        <w:t>10000元至50000元。</w:t>
      </w:r>
    </w:p>
    <w:p w14:paraId="3FBA57B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（九）成交商在接受市场监督管理局等有关职能部门以及上级机关等各级各类检查时，给采购人造成不良影响的，视其情节每发生一次支付违约金</w:t>
      </w:r>
      <w:r>
        <w:rPr>
          <w:rFonts w:ascii="宋体" w:hAnsi="宋体" w:cs="宋体"/>
          <w:color w:val="auto"/>
          <w:sz w:val="24"/>
          <w:szCs w:val="24"/>
          <w:highlight w:val="none"/>
        </w:rPr>
        <w:t>2000元及</w:t>
      </w:r>
      <w:r>
        <w:rPr>
          <w:rFonts w:hint="eastAsia" w:ascii="宋体" w:hAnsi="宋体" w:cs="宋体"/>
          <w:color w:val="auto"/>
          <w:sz w:val="24"/>
          <w:szCs w:val="24"/>
          <w:highlight w:val="none"/>
        </w:rPr>
        <w:t>以上；成交商提供霉烂变质食物（包括库存中有过期或霉变货物）等，每发生一次支付违约金10000元。</w:t>
      </w:r>
    </w:p>
    <w:p w14:paraId="1B1C585F">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成交商在经营过程中发生投毒或食物中毒等食品安全事故、消防安全事故时，由成交商承担一切经济责任（包括采购人及采购人相关管理人员受到的经济处罚）和法律责任，情节严重者，采购人除不退还成交商履约保证金外，还应承担</w:t>
      </w:r>
      <w:r>
        <w:rPr>
          <w:rFonts w:ascii="宋体" w:hAnsi="宋体" w:cs="宋体"/>
          <w:color w:val="auto"/>
          <w:sz w:val="24"/>
          <w:szCs w:val="24"/>
          <w:highlight w:val="none"/>
        </w:rPr>
        <w:t>50000元/次的合同违约金，且采购人有权解除合同。</w:t>
      </w:r>
    </w:p>
    <w:p w14:paraId="5FF91838">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一）合同期满或经营期内解除合同时，成交商逾期未撤离，由此造成的一切后果与损失由成交商承担。成交商在合同期内可以对食堂进行再次装修，其装修费用均由成交商自行承担，同时，成交商再次装修方案必须经采购人书面书面同意后方可进行，否则每次支付违约金</w:t>
      </w:r>
      <w:r>
        <w:rPr>
          <w:rFonts w:ascii="宋体" w:hAnsi="宋体" w:cs="宋体"/>
          <w:color w:val="auto"/>
          <w:sz w:val="24"/>
          <w:szCs w:val="24"/>
          <w:highlight w:val="none"/>
        </w:rPr>
        <w:t>50000元。</w:t>
      </w:r>
    </w:p>
    <w:p w14:paraId="3ACDB79D">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（十二）成交商因饭菜质量、价格和卫生等问题造成学生集体上</w:t>
      </w:r>
      <w:r>
        <w:rPr>
          <w:rFonts w:hint="eastAsia" w:ascii="宋体" w:hAnsi="宋体" w:cs="宋体"/>
          <w:bCs/>
          <w:color w:val="auto"/>
          <w:sz w:val="24"/>
          <w:szCs w:val="24"/>
          <w:highlight w:val="none"/>
        </w:rPr>
        <w:t>访或</w:t>
      </w:r>
      <w:r>
        <w:rPr>
          <w:rFonts w:ascii="宋体" w:hAnsi="宋体" w:cs="宋体"/>
          <w:bCs/>
          <w:color w:val="auto"/>
          <w:sz w:val="24"/>
          <w:szCs w:val="24"/>
          <w:highlight w:val="none"/>
        </w:rPr>
        <w:t>10人及其以上</w:t>
      </w:r>
      <w:r>
        <w:rPr>
          <w:rFonts w:hint="eastAsia" w:ascii="宋体" w:hAnsi="宋体" w:cs="宋体"/>
          <w:color w:val="auto"/>
          <w:sz w:val="24"/>
          <w:szCs w:val="24"/>
          <w:highlight w:val="none"/>
        </w:rPr>
        <w:t>集体签名反映问题的，经检查、检测情况属实，则每次向采购人支付违约金</w:t>
      </w:r>
      <w:r>
        <w:rPr>
          <w:rFonts w:ascii="宋体" w:hAnsi="宋体" w:cs="宋体"/>
          <w:color w:val="auto"/>
          <w:sz w:val="24"/>
          <w:szCs w:val="24"/>
          <w:highlight w:val="none"/>
        </w:rPr>
        <w:t>50000元，情节严重者采购人有权不退还全部履约保证金直至解除委托经营合同。</w:t>
      </w:r>
    </w:p>
    <w:p w14:paraId="602CB932">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（十三）成交商在合同期内如果没有向采购人进行书面申请并获得书面同意，而擅自关闭食堂的全部或部分经营窗口的，按每档口每关闭一餐支付违约金</w:t>
      </w:r>
      <w:r>
        <w:rPr>
          <w:rFonts w:ascii="宋体" w:hAnsi="宋体" w:cs="宋体"/>
          <w:color w:val="auto"/>
          <w:sz w:val="24"/>
          <w:szCs w:val="24"/>
          <w:highlight w:val="none"/>
        </w:rPr>
        <w:t>20000</w:t>
      </w:r>
      <w:r>
        <w:rPr>
          <w:rFonts w:hint="eastAsia" w:ascii="宋体" w:hAnsi="宋体" w:cs="宋体"/>
          <w:color w:val="auto"/>
          <w:sz w:val="24"/>
          <w:szCs w:val="24"/>
          <w:highlight w:val="none"/>
        </w:rPr>
        <w:t>元。情节严重者采购人有权解除合同，并且不承担任何违约责任。</w:t>
      </w:r>
    </w:p>
    <w:p w14:paraId="1AC7DD5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（十四）成交商采购、销售、库房中存放“三无”食品或商品、不合格品及过期食品或商品、销售腐烂、变质食品及水果，如经查实，每发现一次成交商向采购人支付违约金</w:t>
      </w:r>
      <w:r>
        <w:rPr>
          <w:rFonts w:ascii="宋体" w:hAnsi="宋体" w:cs="宋体"/>
          <w:color w:val="auto"/>
          <w:sz w:val="24"/>
          <w:szCs w:val="24"/>
          <w:highlight w:val="none"/>
        </w:rPr>
        <w:t>10000元。情节严重者，采购人有权扣除全部履约保证金并终止合同。</w:t>
      </w:r>
    </w:p>
    <w:p w14:paraId="665ED94A">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（十五）成交商必须做好内部人员管理，包括安全和稳定的管理。</w:t>
      </w:r>
      <w:r>
        <w:rPr>
          <w:rFonts w:hint="eastAsia" w:ascii="宋体" w:hAnsi="宋体"/>
          <w:color w:val="auto"/>
          <w:sz w:val="24"/>
          <w:szCs w:val="24"/>
          <w:highlight w:val="none"/>
        </w:rPr>
        <w:t>若因成交商资金链接断裂、内部员工工伤、工资报酬、供货商、合作商、贷款等纠纷情况出现上访或投诉事件，一经查实，成交商每次向采购人支付违约金</w:t>
      </w:r>
      <w:r>
        <w:rPr>
          <w:rFonts w:ascii="宋体" w:hAnsi="宋体"/>
          <w:color w:val="auto"/>
          <w:sz w:val="24"/>
          <w:szCs w:val="24"/>
          <w:highlight w:val="none"/>
          <w:u w:val="single"/>
        </w:rPr>
        <w:t>500000元，</w:t>
      </w:r>
      <w:r>
        <w:rPr>
          <w:rFonts w:hint="eastAsia" w:ascii="宋体" w:hAnsi="宋体"/>
          <w:color w:val="auto"/>
          <w:sz w:val="24"/>
          <w:szCs w:val="24"/>
          <w:highlight w:val="none"/>
        </w:rPr>
        <w:t>造成重大不良影响的，采购人有权单方面解除合同，并不退还全部履约保证金。</w:t>
      </w:r>
    </w:p>
    <w:p w14:paraId="583A5AD6">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六）成交商在合同期内提出提前解除合同的，放弃经营资格的，必须在学期结束的前一个月告知采购人，征得采购人书面同意后方可解除本合同，所有装修及设备设施必须完好无损且无偿归采购人处置，否则成交商必须承担违约责任,采购人不退还履约保证金。</w:t>
      </w:r>
    </w:p>
    <w:p w14:paraId="14684737">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（十七）成交商在合同期内，存在违法行为或者较为严重的违规等行为，不再适宜继续经营的，采购人有权单方提前解除本合同，不用承担任何责任。</w:t>
      </w:r>
    </w:p>
    <w:p w14:paraId="36A3294D">
      <w:pPr>
        <w:snapToGrid w:val="0"/>
        <w:spacing w:line="400" w:lineRule="exact"/>
        <w:ind w:firstLine="540"/>
        <w:rPr>
          <w:rFonts w:ascii="宋体" w:hAnsi="宋体" w:cs="宋体"/>
          <w:color w:val="auto"/>
          <w:sz w:val="24"/>
          <w:szCs w:val="24"/>
          <w:highlight w:val="none"/>
          <w:u w:val="single"/>
        </w:rPr>
      </w:pPr>
      <w:r>
        <w:rPr>
          <w:rFonts w:hint="eastAsia" w:ascii="宋体" w:hAnsi="宋体" w:cs="宋体"/>
          <w:color w:val="auto"/>
          <w:sz w:val="24"/>
          <w:szCs w:val="24"/>
          <w:highlight w:val="none"/>
        </w:rPr>
        <w:t>（十八）</w:t>
      </w:r>
      <w:r>
        <w:rPr>
          <w:rFonts w:hint="eastAsia" w:ascii="宋体" w:hAnsi="宋体" w:cs="宋体"/>
          <w:color w:val="auto"/>
          <w:sz w:val="24"/>
          <w:szCs w:val="24"/>
          <w:highlight w:val="none"/>
          <w:u w:val="single"/>
        </w:rPr>
        <w:t>成交商在投标时所有的承诺必须按照采购人的要求及时兑现，未能及时兑现的视为违约，采购人将对成交商扣罚违约金</w:t>
      </w:r>
      <w:r>
        <w:rPr>
          <w:rFonts w:ascii="宋体" w:hAnsi="宋体" w:cs="宋体"/>
          <w:color w:val="auto"/>
          <w:sz w:val="24"/>
          <w:szCs w:val="24"/>
          <w:highlight w:val="none"/>
          <w:u w:val="single"/>
        </w:rPr>
        <w:t>10万-50万元每项。情节严重者，采购人有权扣除全部履约保证金并终止合同。</w:t>
      </w:r>
    </w:p>
    <w:p w14:paraId="3F271026">
      <w:pPr>
        <w:pStyle w:val="3"/>
        <w:spacing w:line="400" w:lineRule="exact"/>
        <w:rPr>
          <w:b w:val="0"/>
          <w:color w:val="auto"/>
          <w:sz w:val="28"/>
          <w:szCs w:val="28"/>
          <w:highlight w:val="none"/>
        </w:rPr>
      </w:pPr>
      <w:bookmarkStart w:id="118" w:name="_Toc29951"/>
      <w:bookmarkStart w:id="119" w:name="_Toc8915"/>
      <w:bookmarkStart w:id="120" w:name="_Toc30032"/>
      <w:r>
        <w:rPr>
          <w:rFonts w:hint="eastAsia"/>
          <w:b w:val="0"/>
          <w:color w:val="auto"/>
          <w:sz w:val="28"/>
          <w:szCs w:val="28"/>
          <w:highlight w:val="none"/>
        </w:rPr>
        <w:t>八、保密</w:t>
      </w:r>
      <w:bookmarkEnd w:id="118"/>
      <w:bookmarkEnd w:id="119"/>
      <w:bookmarkEnd w:id="120"/>
    </w:p>
    <w:p w14:paraId="59AEED4D">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成交商必须对采购人所涉及的用户工作秘密、业务需求、协议等内容和相关事务保密。并严格遵守保密法规和采购人工作要求，成交商若违反以上条款，采购人有权单方面解除合同并不予退还履约保证金，同时保留追究由此给采购人造成损失责任的权利。</w:t>
      </w:r>
    </w:p>
    <w:p w14:paraId="6E112574">
      <w:pPr>
        <w:pStyle w:val="3"/>
        <w:spacing w:line="400" w:lineRule="exact"/>
        <w:rPr>
          <w:b w:val="0"/>
          <w:color w:val="auto"/>
          <w:sz w:val="28"/>
          <w:szCs w:val="28"/>
          <w:highlight w:val="none"/>
        </w:rPr>
      </w:pPr>
      <w:bookmarkStart w:id="121" w:name="_Toc344475124"/>
      <w:bookmarkStart w:id="122" w:name="_Toc17323"/>
      <w:bookmarkStart w:id="123" w:name="_Toc20899"/>
      <w:r>
        <w:rPr>
          <w:rFonts w:hint="eastAsia"/>
          <w:b w:val="0"/>
          <w:color w:val="auto"/>
          <w:sz w:val="28"/>
          <w:szCs w:val="28"/>
          <w:highlight w:val="none"/>
        </w:rPr>
        <w:t>九、</w:t>
      </w:r>
      <w:bookmarkEnd w:id="121"/>
      <w:bookmarkStart w:id="124" w:name="_Toc344475125"/>
      <w:r>
        <w:rPr>
          <w:rFonts w:hint="eastAsia"/>
          <w:b w:val="0"/>
          <w:color w:val="auto"/>
          <w:sz w:val="28"/>
          <w:szCs w:val="28"/>
          <w:highlight w:val="none"/>
        </w:rPr>
        <w:t>风险提示</w:t>
      </w:r>
      <w:bookmarkEnd w:id="122"/>
      <w:bookmarkEnd w:id="123"/>
    </w:p>
    <w:bookmarkEnd w:id="124"/>
    <w:p w14:paraId="139C8ABF">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（一）成交商在经营中无论盈亏不得减少合同约定的应缴纳的费用，并不得降低合同约定的服务品质。</w:t>
      </w:r>
    </w:p>
    <w:p w14:paraId="016A8E6A">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（二）本项目因教育主管部门或学校建设、校区发展需要等政策因素规定须提前解除合同或终止部分食堂委托经营的，采购人提前</w:t>
      </w:r>
      <w:r>
        <w:rPr>
          <w:rFonts w:ascii="宋体" w:hAnsi="宋体" w:cs="宋体"/>
          <w:color w:val="auto"/>
          <w:sz w:val="24"/>
          <w:szCs w:val="24"/>
          <w:highlight w:val="none"/>
        </w:rPr>
        <w:t>30天通知成交商，</w:t>
      </w:r>
      <w:r>
        <w:rPr>
          <w:rFonts w:hint="eastAsia" w:ascii="宋体" w:hAnsi="宋体" w:cs="宋体"/>
          <w:color w:val="auto"/>
          <w:sz w:val="24"/>
          <w:szCs w:val="24"/>
          <w:highlight w:val="none"/>
        </w:rPr>
        <w:t>由成交商独立承担一切经济和法律责任，学校不承担任何责任。</w:t>
      </w:r>
    </w:p>
    <w:p w14:paraId="15B01B42">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（三）本项目各食堂所在区域师生人数可能会因学校布局调整、招生计划调整等因素有所变化，供应商应自行承担相应风险。</w:t>
      </w:r>
    </w:p>
    <w:p w14:paraId="4805C73D">
      <w:pPr>
        <w:pStyle w:val="3"/>
        <w:spacing w:line="400" w:lineRule="exact"/>
        <w:rPr>
          <w:b w:val="0"/>
          <w:color w:val="auto"/>
          <w:sz w:val="28"/>
          <w:szCs w:val="28"/>
          <w:highlight w:val="none"/>
        </w:rPr>
      </w:pPr>
      <w:bookmarkStart w:id="125" w:name="_Toc10665"/>
      <w:bookmarkStart w:id="126" w:name="_Toc31486"/>
      <w:r>
        <w:rPr>
          <w:b w:val="0"/>
          <w:color w:val="auto"/>
          <w:sz w:val="28"/>
          <w:szCs w:val="28"/>
          <w:highlight w:val="none"/>
        </w:rPr>
        <w:t>*</w:t>
      </w:r>
      <w:r>
        <w:rPr>
          <w:rFonts w:hint="eastAsia"/>
          <w:b w:val="0"/>
          <w:color w:val="auto"/>
          <w:sz w:val="28"/>
          <w:szCs w:val="28"/>
          <w:highlight w:val="none"/>
        </w:rPr>
        <w:t>十、其他</w:t>
      </w:r>
      <w:bookmarkEnd w:id="125"/>
      <w:bookmarkEnd w:id="126"/>
    </w:p>
    <w:p w14:paraId="5DC37D1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（一）项目过程中的一切人身、财产安全问题全部由成交商负责。</w:t>
      </w:r>
    </w:p>
    <w:p w14:paraId="3C97826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（二）供应商必须在投标文件中对以上条款和服务承诺明确列出，承诺内容必须达到本篇及招标文件其他条款的要求。</w:t>
      </w:r>
    </w:p>
    <w:p w14:paraId="668AF11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（三）其他未尽事宜在本文件第六篇采购合同中详细约定。</w:t>
      </w:r>
    </w:p>
    <w:p w14:paraId="5041D31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（四）食堂原有设备设施见移交清单。</w:t>
      </w:r>
    </w:p>
    <w:p w14:paraId="4747B6A2">
      <w:pPr>
        <w:snapToGrid w:val="0"/>
        <w:spacing w:line="40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b w:val="0"/>
          <w:bCs w:val="0"/>
          <w:color w:val="auto"/>
          <w:sz w:val="24"/>
          <w:szCs w:val="24"/>
          <w:highlight w:val="none"/>
        </w:rPr>
        <w:t>同一供应商投标2个包的，</w:t>
      </w:r>
      <w:r>
        <w:rPr>
          <w:rFonts w:hint="eastAsia" w:ascii="宋体" w:hAnsi="宋体" w:eastAsia="宋体" w:cs="宋体"/>
          <w:color w:val="auto"/>
          <w:sz w:val="24"/>
          <w:szCs w:val="24"/>
          <w:highlight w:val="none"/>
        </w:rPr>
        <w:t>须提供书面承诺函（承诺如果不止一个包成为排名第一的中标人，我方将按照包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的先后顺序保留一个包），且各包书面承诺函必须一致。供应商投标1个包的无须提供此书面承诺函。</w:t>
      </w:r>
      <w:r>
        <w:rPr>
          <w:rFonts w:ascii="宋体" w:hAnsi="宋体" w:cs="宋体"/>
          <w:color w:val="auto"/>
          <w:sz w:val="24"/>
          <w:szCs w:val="24"/>
          <w:highlight w:val="none"/>
        </w:rPr>
        <w:br w:type="page"/>
      </w:r>
    </w:p>
    <w:p w14:paraId="1ED26011">
      <w:pPr>
        <w:snapToGrid w:val="0"/>
        <w:spacing w:line="400" w:lineRule="exact"/>
        <w:rPr>
          <w:rFonts w:ascii="宋体" w:hAnsi="宋体" w:cs="宋体"/>
          <w:color w:val="auto"/>
          <w:sz w:val="24"/>
          <w:szCs w:val="24"/>
          <w:highlight w:val="none"/>
        </w:rPr>
      </w:pPr>
    </w:p>
    <w:p w14:paraId="4D4177B2">
      <w:pPr>
        <w:pStyle w:val="3"/>
        <w:spacing w:before="0" w:after="0" w:line="360" w:lineRule="auto"/>
        <w:rPr>
          <w:rFonts w:ascii="宋体" w:hAnsi="宋体" w:eastAsia="宋体" w:cs="宋体"/>
          <w:b w:val="0"/>
          <w:color w:val="auto"/>
          <w:sz w:val="36"/>
          <w:szCs w:val="30"/>
          <w:highlight w:val="none"/>
        </w:rPr>
      </w:pPr>
      <w:bookmarkStart w:id="127" w:name="_Toc5600"/>
      <w:bookmarkStart w:id="128" w:name="_Toc12140"/>
      <w:bookmarkStart w:id="129" w:name="_Toc2807"/>
      <w:r>
        <w:rPr>
          <w:rFonts w:hint="eastAsia" w:ascii="宋体" w:hAnsi="宋体" w:eastAsia="宋体" w:cs="宋体"/>
          <w:b w:val="0"/>
          <w:color w:val="auto"/>
          <w:sz w:val="36"/>
          <w:szCs w:val="30"/>
          <w:highlight w:val="none"/>
        </w:rPr>
        <w:t>第四篇</w:t>
      </w:r>
      <w:r>
        <w:rPr>
          <w:rFonts w:ascii="宋体" w:hAnsi="宋体" w:eastAsia="宋体" w:cs="宋体"/>
          <w:b w:val="0"/>
          <w:color w:val="auto"/>
          <w:sz w:val="36"/>
          <w:szCs w:val="30"/>
          <w:highlight w:val="none"/>
        </w:rPr>
        <w:t xml:space="preserve">  </w:t>
      </w:r>
      <w:r>
        <w:rPr>
          <w:rFonts w:hint="eastAsia" w:ascii="宋体" w:hAnsi="宋体" w:eastAsia="宋体" w:cs="宋体"/>
          <w:b w:val="0"/>
          <w:color w:val="auto"/>
          <w:sz w:val="36"/>
          <w:szCs w:val="30"/>
          <w:highlight w:val="none"/>
        </w:rPr>
        <w:t>磋商程序及方法、评审标准、无效响应和采购终止</w:t>
      </w:r>
      <w:bookmarkEnd w:id="127"/>
      <w:bookmarkEnd w:id="128"/>
      <w:bookmarkEnd w:id="129"/>
    </w:p>
    <w:p w14:paraId="0FBEDF8D">
      <w:pPr>
        <w:pStyle w:val="4"/>
        <w:spacing w:before="0" w:after="0" w:line="440" w:lineRule="exact"/>
        <w:rPr>
          <w:rFonts w:ascii="宋体" w:hAnsi="宋体" w:cs="宋体"/>
          <w:b w:val="0"/>
          <w:color w:val="auto"/>
          <w:sz w:val="24"/>
          <w:szCs w:val="24"/>
          <w:highlight w:val="none"/>
        </w:rPr>
      </w:pPr>
      <w:bookmarkStart w:id="130" w:name="_Toc18677"/>
      <w:bookmarkStart w:id="131" w:name="_Toc6009"/>
      <w:bookmarkStart w:id="132" w:name="_Toc28319"/>
      <w:r>
        <w:rPr>
          <w:rFonts w:hint="eastAsia" w:ascii="宋体" w:hAnsi="宋体" w:cs="宋体"/>
          <w:b w:val="0"/>
          <w:color w:val="auto"/>
          <w:sz w:val="24"/>
          <w:szCs w:val="24"/>
          <w:highlight w:val="none"/>
        </w:rPr>
        <w:t>一、磋商程序及方法</w:t>
      </w:r>
      <w:bookmarkEnd w:id="130"/>
      <w:bookmarkEnd w:id="131"/>
      <w:bookmarkEnd w:id="132"/>
    </w:p>
    <w:p w14:paraId="2BBCEDF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1F8DCED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306C2A54">
      <w:pPr>
        <w:snapToGrid w:val="0"/>
        <w:spacing w:line="400" w:lineRule="exact"/>
        <w:ind w:firstLine="480" w:firstLineChars="200"/>
        <w:rPr>
          <w:rFonts w:ascii="宋体" w:hAnsi="宋体" w:cs="宋体"/>
          <w:color w:val="auto"/>
          <w:kern w:val="0"/>
          <w:sz w:val="24"/>
          <w:szCs w:val="24"/>
          <w:highlight w:val="none"/>
        </w:rPr>
      </w:pPr>
      <w:r>
        <w:rPr>
          <w:rFonts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资格性检查。依据法律法规和竞争性磋商文件的规定，对响应文件中的资格证明、等进行审查，以确定供应商是否具备磋商资格。资格性检查资料表如下：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9CD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F1CCCE2">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3F6B35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464B532">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检查内容</w:t>
            </w:r>
          </w:p>
        </w:tc>
      </w:tr>
      <w:tr w14:paraId="0F07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7632E69">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65A2B602">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18" w:type="dxa"/>
            <w:vAlign w:val="center"/>
          </w:tcPr>
          <w:p w14:paraId="381DE877">
            <w:pPr>
              <w:rPr>
                <w:rFonts w:ascii="宋体" w:hAnsi="宋体" w:cs="宋体"/>
                <w:color w:val="auto"/>
                <w:sz w:val="21"/>
                <w:szCs w:val="21"/>
                <w:highlight w:val="none"/>
              </w:rPr>
            </w:pPr>
            <w:r>
              <w:rPr>
                <w:rFonts w:ascii="宋体" w:hAnsi="宋体" w:cs="宋体"/>
                <w:color w:val="auto"/>
                <w:sz w:val="21"/>
                <w:szCs w:val="21"/>
                <w:highlight w:val="none"/>
              </w:rPr>
              <w:t>1.具有独立承担民事责任的能力</w:t>
            </w:r>
          </w:p>
        </w:tc>
        <w:tc>
          <w:tcPr>
            <w:tcW w:w="4984" w:type="dxa"/>
            <w:vAlign w:val="center"/>
          </w:tcPr>
          <w:p w14:paraId="231FB00F">
            <w:pPr>
              <w:rPr>
                <w:rFonts w:ascii="宋体" w:hAnsi="宋体" w:cs="宋体"/>
                <w:color w:val="auto"/>
                <w:sz w:val="21"/>
                <w:szCs w:val="21"/>
                <w:highlight w:val="none"/>
              </w:rPr>
            </w:pPr>
            <w:r>
              <w:rPr>
                <w:rFonts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AA6ABC8">
            <w:pPr>
              <w:rPr>
                <w:rFonts w:ascii="宋体" w:hAnsi="宋体" w:cs="宋体"/>
                <w:color w:val="auto"/>
                <w:sz w:val="21"/>
                <w:szCs w:val="21"/>
                <w:highlight w:val="none"/>
              </w:rPr>
            </w:pPr>
            <w:r>
              <w:rPr>
                <w:rFonts w:ascii="宋体" w:hAnsi="宋体" w:cs="宋体"/>
                <w:color w:val="auto"/>
                <w:sz w:val="21"/>
                <w:szCs w:val="21"/>
                <w:highlight w:val="none"/>
              </w:rPr>
              <w:t>2.供应</w:t>
            </w:r>
            <w:r>
              <w:rPr>
                <w:rFonts w:hint="eastAsia" w:ascii="宋体" w:hAnsi="宋体" w:cs="宋体"/>
                <w:color w:val="auto"/>
                <w:sz w:val="21"/>
                <w:szCs w:val="21"/>
                <w:highlight w:val="none"/>
              </w:rPr>
              <w:t>商法定代表人身份证明和法定代表人授权代表委托书。</w:t>
            </w:r>
          </w:p>
        </w:tc>
      </w:tr>
      <w:tr w14:paraId="78B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DA470E2">
            <w:pPr>
              <w:jc w:val="center"/>
              <w:rPr>
                <w:rFonts w:ascii="宋体" w:hAnsi="宋体" w:cs="宋体"/>
                <w:color w:val="auto"/>
                <w:sz w:val="21"/>
                <w:szCs w:val="21"/>
                <w:highlight w:val="none"/>
              </w:rPr>
            </w:pPr>
          </w:p>
        </w:tc>
        <w:tc>
          <w:tcPr>
            <w:tcW w:w="709" w:type="dxa"/>
            <w:vMerge w:val="continue"/>
            <w:vAlign w:val="center"/>
          </w:tcPr>
          <w:p w14:paraId="233D338B">
            <w:pPr>
              <w:rPr>
                <w:rFonts w:ascii="宋体" w:hAnsi="宋体" w:cs="宋体"/>
                <w:color w:val="auto"/>
                <w:sz w:val="21"/>
                <w:szCs w:val="21"/>
                <w:highlight w:val="none"/>
                <w:lang w:val="zh-CN"/>
              </w:rPr>
            </w:pPr>
          </w:p>
        </w:tc>
        <w:tc>
          <w:tcPr>
            <w:tcW w:w="3118" w:type="dxa"/>
            <w:vAlign w:val="center"/>
          </w:tcPr>
          <w:p w14:paraId="18040056">
            <w:pPr>
              <w:rPr>
                <w:rFonts w:ascii="宋体" w:hAnsi="宋体" w:cs="宋体"/>
                <w:color w:val="auto"/>
                <w:sz w:val="21"/>
                <w:szCs w:val="21"/>
                <w:highlight w:val="none"/>
              </w:rPr>
            </w:pPr>
            <w:r>
              <w:rPr>
                <w:rFonts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84" w:type="dxa"/>
            <w:vMerge w:val="restart"/>
            <w:vAlign w:val="center"/>
          </w:tcPr>
          <w:p w14:paraId="033B79D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供应商提供“诚信声明”（格式详见第六篇）</w:t>
            </w:r>
            <w:r>
              <w:rPr>
                <w:rFonts w:hint="eastAsia" w:ascii="宋体" w:hAnsi="宋体" w:cs="宋体"/>
                <w:color w:val="auto"/>
                <w:sz w:val="21"/>
                <w:szCs w:val="21"/>
                <w:highlight w:val="none"/>
                <w:lang w:eastAsia="zh-CN"/>
              </w:rPr>
              <w:t>；</w:t>
            </w:r>
          </w:p>
          <w:p w14:paraId="58D8087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供应商提供上一年度资产负债表、利润表、现金流量表复印件，本年度新成立的公司提供投标截止时间前一个月的财务状况报告(资产负债表、利润表、现金流量表复印件)</w:t>
            </w:r>
            <w:r>
              <w:rPr>
                <w:rFonts w:hint="eastAsia" w:ascii="宋体" w:hAnsi="宋体" w:cs="宋体"/>
                <w:color w:val="auto"/>
                <w:sz w:val="21"/>
                <w:szCs w:val="21"/>
                <w:highlight w:val="none"/>
                <w:lang w:eastAsia="zh-CN"/>
              </w:rPr>
              <w:t>；</w:t>
            </w:r>
          </w:p>
          <w:p w14:paraId="706D82D7">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缴纳税收的证明材料和社会保险缴纳证明材料；</w:t>
            </w:r>
          </w:p>
          <w:p w14:paraId="4D47C250">
            <w:pP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4.诚信声明与</w:t>
            </w:r>
            <w:r>
              <w:rPr>
                <w:rFonts w:hint="eastAsia" w:ascii="宋体" w:hAnsi="宋体" w:cs="宋体"/>
                <w:color w:val="auto"/>
                <w:sz w:val="21"/>
                <w:szCs w:val="21"/>
                <w:highlight w:val="none"/>
                <w:lang w:eastAsia="zh-CN"/>
              </w:rPr>
              <w:t>信用中国网站(www.creditchina.gov.cn)“信用信息”(包括“失信被执行人”及“重大税收违法案件当事人名单”)及“行政处罚”查询结果以及中国政府采购网(wmw</w:t>
            </w:r>
            <w:r>
              <w:rPr>
                <w:rFonts w:hint="eastAsia" w:ascii="宋体" w:hAnsi="宋体" w:cs="宋体"/>
                <w:color w:val="auto"/>
                <w:sz w:val="21"/>
                <w:szCs w:val="21"/>
                <w:highlight w:val="none"/>
                <w:lang w:val="en-US" w:eastAsia="zh-CN"/>
              </w:rPr>
              <w:t>.cc</w:t>
            </w:r>
            <w:r>
              <w:rPr>
                <w:rFonts w:hint="eastAsia" w:ascii="宋体" w:hAnsi="宋体" w:cs="宋体"/>
                <w:color w:val="auto"/>
                <w:sz w:val="21"/>
                <w:szCs w:val="21"/>
                <w:highlight w:val="none"/>
                <w:lang w:eastAsia="zh-CN"/>
              </w:rPr>
              <w:t>gp. gov.m)“政府采购严重违法失信行为纪录名单”查询结果(上述两个网站查询结果网页打印件并加盖投标人公章)。查询结果为本项目采购公告发布之日起至投标截止时间前</w:t>
            </w:r>
            <w:r>
              <w:rPr>
                <w:rFonts w:hint="eastAsia" w:ascii="宋体" w:hAnsi="宋体" w:cs="宋体"/>
                <w:color w:val="auto"/>
                <w:sz w:val="21"/>
                <w:szCs w:val="21"/>
                <w:highlight w:val="none"/>
              </w:rPr>
              <w:t>。</w:t>
            </w:r>
          </w:p>
        </w:tc>
      </w:tr>
      <w:tr w14:paraId="27B7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53C0CB9">
            <w:pPr>
              <w:jc w:val="center"/>
              <w:rPr>
                <w:rFonts w:ascii="宋体" w:hAnsi="宋体" w:cs="宋体"/>
                <w:color w:val="auto"/>
                <w:sz w:val="21"/>
                <w:szCs w:val="21"/>
                <w:highlight w:val="none"/>
              </w:rPr>
            </w:pPr>
          </w:p>
        </w:tc>
        <w:tc>
          <w:tcPr>
            <w:tcW w:w="709" w:type="dxa"/>
            <w:vMerge w:val="continue"/>
            <w:vAlign w:val="center"/>
          </w:tcPr>
          <w:p w14:paraId="6AE49708">
            <w:pPr>
              <w:rPr>
                <w:rFonts w:ascii="宋体" w:hAnsi="宋体" w:cs="宋体"/>
                <w:color w:val="auto"/>
                <w:sz w:val="21"/>
                <w:szCs w:val="21"/>
                <w:highlight w:val="none"/>
                <w:lang w:val="zh-CN"/>
              </w:rPr>
            </w:pPr>
          </w:p>
        </w:tc>
        <w:tc>
          <w:tcPr>
            <w:tcW w:w="3118" w:type="dxa"/>
            <w:vAlign w:val="center"/>
          </w:tcPr>
          <w:p w14:paraId="322ABDF3">
            <w:pPr>
              <w:rPr>
                <w:rFonts w:ascii="宋体" w:hAnsi="宋体" w:cs="宋体"/>
                <w:color w:val="auto"/>
                <w:sz w:val="21"/>
                <w:szCs w:val="21"/>
                <w:highlight w:val="none"/>
                <w:lang w:val="zh-CN"/>
              </w:rPr>
            </w:pPr>
            <w:r>
              <w:rPr>
                <w:rFonts w:ascii="宋体" w:hAnsi="宋体" w:cs="宋体"/>
                <w:color w:val="auto"/>
                <w:sz w:val="21"/>
                <w:szCs w:val="21"/>
                <w:highlight w:val="none"/>
                <w:lang w:val="zh-CN"/>
              </w:rPr>
              <w:t>3.具有履行合同所必需的设备和专业技术能力</w:t>
            </w:r>
          </w:p>
        </w:tc>
        <w:tc>
          <w:tcPr>
            <w:tcW w:w="4984" w:type="dxa"/>
            <w:vMerge w:val="continue"/>
            <w:vAlign w:val="center"/>
          </w:tcPr>
          <w:p w14:paraId="5891A130">
            <w:pPr>
              <w:rPr>
                <w:rFonts w:ascii="宋体" w:hAnsi="宋体" w:cs="宋体"/>
                <w:color w:val="auto"/>
                <w:sz w:val="21"/>
                <w:szCs w:val="21"/>
                <w:highlight w:val="none"/>
              </w:rPr>
            </w:pPr>
          </w:p>
        </w:tc>
      </w:tr>
      <w:tr w14:paraId="265E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74CAD67">
            <w:pPr>
              <w:jc w:val="center"/>
              <w:rPr>
                <w:rFonts w:ascii="宋体" w:hAnsi="宋体" w:cs="宋体"/>
                <w:color w:val="auto"/>
                <w:sz w:val="21"/>
                <w:szCs w:val="21"/>
                <w:highlight w:val="none"/>
              </w:rPr>
            </w:pPr>
          </w:p>
        </w:tc>
        <w:tc>
          <w:tcPr>
            <w:tcW w:w="709" w:type="dxa"/>
            <w:vMerge w:val="continue"/>
            <w:vAlign w:val="center"/>
          </w:tcPr>
          <w:p w14:paraId="70280673">
            <w:pPr>
              <w:rPr>
                <w:rFonts w:ascii="宋体" w:hAnsi="宋体" w:cs="宋体"/>
                <w:color w:val="auto"/>
                <w:sz w:val="21"/>
                <w:szCs w:val="21"/>
                <w:highlight w:val="none"/>
                <w:lang w:val="zh-CN"/>
              </w:rPr>
            </w:pPr>
          </w:p>
        </w:tc>
        <w:tc>
          <w:tcPr>
            <w:tcW w:w="3118" w:type="dxa"/>
            <w:vAlign w:val="center"/>
          </w:tcPr>
          <w:p w14:paraId="06AED1BA">
            <w:pPr>
              <w:rPr>
                <w:rFonts w:ascii="宋体" w:hAnsi="宋体" w:cs="宋体"/>
                <w:color w:val="auto"/>
                <w:sz w:val="21"/>
                <w:szCs w:val="21"/>
                <w:highlight w:val="none"/>
                <w:lang w:val="zh-CN"/>
              </w:rPr>
            </w:pPr>
            <w:r>
              <w:rPr>
                <w:rFonts w:ascii="宋体" w:hAnsi="宋体" w:cs="宋体"/>
                <w:color w:val="auto"/>
                <w:sz w:val="21"/>
                <w:szCs w:val="21"/>
                <w:highlight w:val="none"/>
                <w:lang w:val="zh-CN"/>
              </w:rPr>
              <w:t>4.有依法缴纳税收和社会保障金的良好记录</w:t>
            </w:r>
          </w:p>
        </w:tc>
        <w:tc>
          <w:tcPr>
            <w:tcW w:w="4984" w:type="dxa"/>
            <w:vMerge w:val="continue"/>
            <w:vAlign w:val="center"/>
          </w:tcPr>
          <w:p w14:paraId="29B3A674">
            <w:pPr>
              <w:rPr>
                <w:rFonts w:ascii="宋体" w:hAnsi="宋体" w:cs="宋体"/>
                <w:color w:val="auto"/>
                <w:sz w:val="21"/>
                <w:szCs w:val="21"/>
                <w:highlight w:val="none"/>
              </w:rPr>
            </w:pPr>
          </w:p>
        </w:tc>
      </w:tr>
      <w:tr w14:paraId="7872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883CA17">
            <w:pPr>
              <w:jc w:val="center"/>
              <w:rPr>
                <w:rFonts w:ascii="宋体" w:hAnsi="宋体" w:cs="宋体"/>
                <w:color w:val="auto"/>
                <w:sz w:val="21"/>
                <w:szCs w:val="21"/>
                <w:highlight w:val="none"/>
              </w:rPr>
            </w:pPr>
          </w:p>
        </w:tc>
        <w:tc>
          <w:tcPr>
            <w:tcW w:w="709" w:type="dxa"/>
            <w:vMerge w:val="continue"/>
            <w:vAlign w:val="center"/>
          </w:tcPr>
          <w:p w14:paraId="7FF0C2B1">
            <w:pPr>
              <w:rPr>
                <w:rFonts w:ascii="宋体" w:hAnsi="宋体" w:cs="宋体"/>
                <w:color w:val="auto"/>
                <w:sz w:val="21"/>
                <w:szCs w:val="21"/>
                <w:highlight w:val="none"/>
                <w:lang w:val="zh-CN"/>
              </w:rPr>
            </w:pPr>
          </w:p>
        </w:tc>
        <w:tc>
          <w:tcPr>
            <w:tcW w:w="3118" w:type="dxa"/>
            <w:vAlign w:val="center"/>
          </w:tcPr>
          <w:p w14:paraId="3059B815">
            <w:pPr>
              <w:rPr>
                <w:rFonts w:ascii="宋体" w:hAnsi="宋体" w:cs="宋体"/>
                <w:color w:val="auto"/>
                <w:sz w:val="21"/>
                <w:szCs w:val="21"/>
                <w:highlight w:val="none"/>
                <w:lang w:val="zh-CN"/>
              </w:rPr>
            </w:pPr>
            <w:r>
              <w:rPr>
                <w:rFonts w:ascii="宋体" w:hAnsi="宋体" w:cs="宋体"/>
                <w:color w:val="auto"/>
                <w:sz w:val="21"/>
                <w:szCs w:val="21"/>
                <w:highlight w:val="none"/>
              </w:rPr>
              <w:t>5.参加政府采购活动前三年内，在经营活动中没有重大违法记录</w:t>
            </w:r>
          </w:p>
        </w:tc>
        <w:tc>
          <w:tcPr>
            <w:tcW w:w="4984" w:type="dxa"/>
            <w:vMerge w:val="continue"/>
            <w:vAlign w:val="center"/>
          </w:tcPr>
          <w:p w14:paraId="311D22FA">
            <w:pPr>
              <w:rPr>
                <w:rFonts w:ascii="宋体" w:hAnsi="宋体" w:cs="宋体"/>
                <w:color w:val="auto"/>
                <w:sz w:val="21"/>
                <w:szCs w:val="21"/>
                <w:highlight w:val="none"/>
              </w:rPr>
            </w:pPr>
          </w:p>
        </w:tc>
      </w:tr>
      <w:tr w14:paraId="1AAC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CE09653">
            <w:pPr>
              <w:jc w:val="center"/>
              <w:rPr>
                <w:rFonts w:ascii="宋体" w:hAnsi="宋体" w:cs="宋体"/>
                <w:color w:val="auto"/>
                <w:sz w:val="21"/>
                <w:szCs w:val="21"/>
                <w:highlight w:val="none"/>
              </w:rPr>
            </w:pPr>
          </w:p>
        </w:tc>
        <w:tc>
          <w:tcPr>
            <w:tcW w:w="709" w:type="dxa"/>
            <w:vMerge w:val="continue"/>
            <w:vAlign w:val="center"/>
          </w:tcPr>
          <w:p w14:paraId="0A7F8DCA">
            <w:pPr>
              <w:rPr>
                <w:rFonts w:ascii="宋体" w:hAnsi="宋体" w:cs="宋体"/>
                <w:color w:val="auto"/>
                <w:sz w:val="21"/>
                <w:szCs w:val="21"/>
                <w:highlight w:val="none"/>
              </w:rPr>
            </w:pPr>
          </w:p>
        </w:tc>
        <w:tc>
          <w:tcPr>
            <w:tcW w:w="3118" w:type="dxa"/>
            <w:vAlign w:val="center"/>
          </w:tcPr>
          <w:p w14:paraId="616AFB52">
            <w:pPr>
              <w:rPr>
                <w:rFonts w:ascii="宋体" w:hAnsi="宋体" w:cs="宋体"/>
                <w:color w:val="auto"/>
                <w:sz w:val="21"/>
                <w:szCs w:val="21"/>
                <w:highlight w:val="none"/>
              </w:rPr>
            </w:pPr>
            <w:r>
              <w:rPr>
                <w:rFonts w:ascii="宋体" w:hAnsi="宋体" w:cs="宋体"/>
                <w:color w:val="auto"/>
                <w:sz w:val="21"/>
                <w:szCs w:val="21"/>
                <w:highlight w:val="none"/>
              </w:rPr>
              <w:t>6.法律、行政法规规定的其他条件</w:t>
            </w:r>
          </w:p>
        </w:tc>
        <w:tc>
          <w:tcPr>
            <w:tcW w:w="4984" w:type="dxa"/>
            <w:vAlign w:val="center"/>
          </w:tcPr>
          <w:p w14:paraId="67B1FA78">
            <w:pPr>
              <w:rPr>
                <w:rFonts w:ascii="宋体" w:hAnsi="宋体" w:cs="宋体"/>
                <w:color w:val="auto"/>
                <w:sz w:val="21"/>
                <w:szCs w:val="21"/>
                <w:highlight w:val="none"/>
              </w:rPr>
            </w:pPr>
          </w:p>
        </w:tc>
      </w:tr>
      <w:tr w14:paraId="610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D546AF4">
            <w:pPr>
              <w:jc w:val="center"/>
              <w:rPr>
                <w:rFonts w:ascii="宋体" w:hAnsi="宋体" w:cs="宋体"/>
                <w:color w:val="auto"/>
                <w:sz w:val="21"/>
                <w:szCs w:val="21"/>
                <w:highlight w:val="none"/>
              </w:rPr>
            </w:pPr>
          </w:p>
        </w:tc>
        <w:tc>
          <w:tcPr>
            <w:tcW w:w="709" w:type="dxa"/>
            <w:vMerge w:val="continue"/>
            <w:vAlign w:val="center"/>
          </w:tcPr>
          <w:p w14:paraId="48399FAC">
            <w:pPr>
              <w:rPr>
                <w:rFonts w:ascii="宋体" w:hAnsi="宋体" w:cs="宋体"/>
                <w:color w:val="auto"/>
                <w:sz w:val="21"/>
                <w:szCs w:val="21"/>
                <w:highlight w:val="none"/>
              </w:rPr>
            </w:pPr>
          </w:p>
        </w:tc>
        <w:tc>
          <w:tcPr>
            <w:tcW w:w="3118" w:type="dxa"/>
            <w:vAlign w:val="center"/>
          </w:tcPr>
          <w:p w14:paraId="3D89928A">
            <w:pPr>
              <w:rPr>
                <w:rFonts w:ascii="宋体" w:hAnsi="宋体" w:cs="宋体"/>
                <w:color w:val="auto"/>
                <w:sz w:val="21"/>
                <w:szCs w:val="21"/>
                <w:highlight w:val="none"/>
              </w:rPr>
            </w:pPr>
            <w:r>
              <w:rPr>
                <w:rFonts w:ascii="宋体" w:hAnsi="宋体" w:cs="宋体"/>
                <w:color w:val="auto"/>
                <w:sz w:val="21"/>
                <w:szCs w:val="21"/>
                <w:highlight w:val="none"/>
              </w:rPr>
              <w:t>7.本项目的特定资格要求</w:t>
            </w:r>
          </w:p>
        </w:tc>
        <w:tc>
          <w:tcPr>
            <w:tcW w:w="4984" w:type="dxa"/>
            <w:vAlign w:val="center"/>
          </w:tcPr>
          <w:p w14:paraId="1FB06623">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09EA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094DCF">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827" w:type="dxa"/>
            <w:gridSpan w:val="2"/>
            <w:vAlign w:val="center"/>
          </w:tcPr>
          <w:p w14:paraId="52F94B7E">
            <w:pPr>
              <w:rPr>
                <w:rFonts w:ascii="宋体" w:hAnsi="宋体" w:cs="宋体"/>
                <w:color w:val="auto"/>
                <w:sz w:val="21"/>
                <w:szCs w:val="21"/>
                <w:highlight w:val="none"/>
              </w:rPr>
            </w:pPr>
            <w:r>
              <w:rPr>
                <w:rFonts w:hint="eastAsia" w:ascii="宋体" w:hAnsi="宋体" w:cs="宋体"/>
                <w:color w:val="auto"/>
                <w:sz w:val="21"/>
                <w:szCs w:val="21"/>
                <w:highlight w:val="none"/>
              </w:rPr>
              <w:t>保证金</w:t>
            </w:r>
          </w:p>
        </w:tc>
        <w:tc>
          <w:tcPr>
            <w:tcW w:w="4984" w:type="dxa"/>
            <w:vAlign w:val="center"/>
          </w:tcPr>
          <w:p w14:paraId="3542F028">
            <w:pPr>
              <w:rPr>
                <w:rFonts w:ascii="宋体" w:hAnsi="宋体" w:cs="宋体"/>
                <w:color w:val="auto"/>
                <w:sz w:val="21"/>
                <w:szCs w:val="21"/>
                <w:highlight w:val="none"/>
              </w:rPr>
            </w:pPr>
            <w:r>
              <w:rPr>
                <w:rFonts w:hint="eastAsia" w:ascii="宋体" w:hAnsi="宋体" w:cs="宋体"/>
                <w:color w:val="auto"/>
                <w:sz w:val="21"/>
                <w:szCs w:val="21"/>
                <w:highlight w:val="none"/>
              </w:rPr>
              <w:t>按照竞争性</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文件要求足额交纳所参与包的保证金。</w:t>
            </w:r>
          </w:p>
        </w:tc>
      </w:tr>
    </w:tbl>
    <w:p w14:paraId="1CC20FB8">
      <w:pPr>
        <w:snapToGrid w:val="0"/>
        <w:spacing w:line="400" w:lineRule="exact"/>
        <w:ind w:firstLine="480" w:firstLineChars="200"/>
        <w:rPr>
          <w:rFonts w:ascii="宋体" w:hAnsi="宋体" w:cs="宋体"/>
          <w:bCs/>
          <w:color w:val="auto"/>
          <w:kern w:val="0"/>
          <w:sz w:val="24"/>
          <w:szCs w:val="24"/>
          <w:highlight w:val="none"/>
          <w:u w:val="single"/>
        </w:rPr>
      </w:pPr>
      <w:r>
        <w:rPr>
          <w:rFonts w:hint="eastAsia" w:ascii="宋体" w:hAnsi="宋体" w:cs="宋体"/>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ascii="宋体" w:hAnsi="宋体" w:cs="宋体"/>
          <w:color w:val="auto"/>
          <w:kern w:val="0"/>
          <w:sz w:val="24"/>
          <w:szCs w:val="24"/>
          <w:highlight w:val="none"/>
        </w:rPr>
        <w:t xml:space="preserve">2022〕3 </w:t>
      </w:r>
      <w:r>
        <w:rPr>
          <w:rFonts w:hint="eastAsia" w:ascii="宋体" w:hAnsi="宋体" w:cs="宋体"/>
          <w:color w:val="auto"/>
          <w:kern w:val="0"/>
          <w:sz w:val="24"/>
          <w:szCs w:val="24"/>
          <w:highlight w:val="none"/>
        </w:rPr>
        <w:t>号）”执行。</w:t>
      </w:r>
      <w:r>
        <w:rPr>
          <w:rFonts w:hint="eastAsia" w:ascii="宋体" w:hAnsi="宋体" w:cs="宋体"/>
          <w:bCs/>
          <w:color w:val="auto"/>
          <w:kern w:val="0"/>
          <w:sz w:val="24"/>
          <w:szCs w:val="24"/>
          <w:highlight w:val="none"/>
          <w:u w:val="single"/>
        </w:rPr>
        <w:t>供应商可于响应文件递交截止时间前通过</w:t>
      </w:r>
      <w:r>
        <w:rPr>
          <w:rFonts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rPr>
        <w:t>“信用中国”网站</w:t>
      </w:r>
      <w:r>
        <w:rPr>
          <w:rFonts w:ascii="宋体" w:hAnsi="宋体" w:cs="宋体"/>
          <w:bCs/>
          <w:color w:val="auto"/>
          <w:kern w:val="0"/>
          <w:sz w:val="24"/>
          <w:szCs w:val="24"/>
          <w:highlight w:val="none"/>
          <w:u w:val="single"/>
        </w:rPr>
        <w:t>(www.creditchina.gov.cn)、"中国政府采购网"(www.ccgp.gov.cn)等渠道查询信用记录并提交查询结果截图。</w:t>
      </w:r>
    </w:p>
    <w:p w14:paraId="2973397F">
      <w:pPr>
        <w:spacing w:line="40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w:t>
      </w:r>
      <w:r>
        <w:rPr>
          <w:rFonts w:hint="eastAsia" w:ascii="宋体" w:hAnsi="宋体" w:cs="宋体"/>
          <w:color w:val="auto"/>
          <w:kern w:val="0"/>
          <w:sz w:val="24"/>
          <w:szCs w:val="24"/>
          <w:highlight w:val="none"/>
        </w:rPr>
        <w:t>作出响应。符合性审查资料表如下：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1C4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11FA55F">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3544" w:type="dxa"/>
            <w:gridSpan w:val="2"/>
            <w:vAlign w:val="center"/>
          </w:tcPr>
          <w:p w14:paraId="2DA0688E">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评审因素</w:t>
            </w:r>
          </w:p>
        </w:tc>
        <w:tc>
          <w:tcPr>
            <w:tcW w:w="5409" w:type="dxa"/>
            <w:vAlign w:val="center"/>
          </w:tcPr>
          <w:p w14:paraId="0F51851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评审标准</w:t>
            </w:r>
          </w:p>
        </w:tc>
      </w:tr>
      <w:tr w14:paraId="69DF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573E6D5">
            <w:pPr>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1560" w:type="dxa"/>
            <w:vMerge w:val="restart"/>
            <w:vAlign w:val="center"/>
          </w:tcPr>
          <w:p w14:paraId="41845088">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vAlign w:val="center"/>
          </w:tcPr>
          <w:p w14:paraId="7D70942D">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vAlign w:val="center"/>
          </w:tcPr>
          <w:p w14:paraId="63B7E171">
            <w:pPr>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3E4F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D23BA2F">
            <w:pPr>
              <w:jc w:val="center"/>
              <w:rPr>
                <w:rFonts w:ascii="宋体" w:hAnsi="宋体" w:cs="宋体"/>
                <w:color w:val="auto"/>
                <w:kern w:val="0"/>
                <w:sz w:val="21"/>
                <w:szCs w:val="21"/>
                <w:highlight w:val="none"/>
              </w:rPr>
            </w:pPr>
          </w:p>
        </w:tc>
        <w:tc>
          <w:tcPr>
            <w:tcW w:w="1560" w:type="dxa"/>
            <w:vMerge w:val="continue"/>
            <w:vAlign w:val="center"/>
          </w:tcPr>
          <w:p w14:paraId="2CDCC5B0">
            <w:pPr>
              <w:rPr>
                <w:rFonts w:ascii="宋体" w:hAnsi="宋体" w:cs="宋体"/>
                <w:color w:val="auto"/>
                <w:kern w:val="0"/>
                <w:sz w:val="21"/>
                <w:szCs w:val="21"/>
                <w:highlight w:val="none"/>
              </w:rPr>
            </w:pPr>
          </w:p>
        </w:tc>
        <w:tc>
          <w:tcPr>
            <w:tcW w:w="1984" w:type="dxa"/>
            <w:vAlign w:val="center"/>
          </w:tcPr>
          <w:p w14:paraId="714F61F0">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vAlign w:val="center"/>
          </w:tcPr>
          <w:p w14:paraId="44085267">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3AB8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660A7E9">
            <w:pPr>
              <w:jc w:val="center"/>
              <w:rPr>
                <w:rFonts w:ascii="宋体" w:hAnsi="宋体" w:cs="宋体"/>
                <w:color w:val="auto"/>
                <w:kern w:val="0"/>
                <w:sz w:val="21"/>
                <w:szCs w:val="21"/>
                <w:highlight w:val="none"/>
              </w:rPr>
            </w:pPr>
          </w:p>
        </w:tc>
        <w:tc>
          <w:tcPr>
            <w:tcW w:w="1560" w:type="dxa"/>
            <w:vMerge w:val="continue"/>
            <w:vAlign w:val="center"/>
          </w:tcPr>
          <w:p w14:paraId="32178361">
            <w:pPr>
              <w:rPr>
                <w:rFonts w:ascii="宋体" w:hAnsi="宋体" w:cs="宋体"/>
                <w:color w:val="auto"/>
                <w:kern w:val="0"/>
                <w:sz w:val="21"/>
                <w:szCs w:val="21"/>
                <w:highlight w:val="none"/>
              </w:rPr>
            </w:pPr>
          </w:p>
        </w:tc>
        <w:tc>
          <w:tcPr>
            <w:tcW w:w="1984" w:type="dxa"/>
            <w:vAlign w:val="center"/>
          </w:tcPr>
          <w:p w14:paraId="70D66E24">
            <w:pPr>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9" w:type="dxa"/>
            <w:vAlign w:val="center"/>
          </w:tcPr>
          <w:p w14:paraId="29ED746B">
            <w:pPr>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7244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1FB19A5">
            <w:pPr>
              <w:jc w:val="center"/>
              <w:rPr>
                <w:rFonts w:ascii="宋体" w:hAnsi="宋体" w:cs="宋体"/>
                <w:color w:val="auto"/>
                <w:kern w:val="0"/>
                <w:sz w:val="21"/>
                <w:szCs w:val="21"/>
                <w:highlight w:val="none"/>
              </w:rPr>
            </w:pPr>
          </w:p>
        </w:tc>
        <w:tc>
          <w:tcPr>
            <w:tcW w:w="1560" w:type="dxa"/>
            <w:vMerge w:val="continue"/>
            <w:vAlign w:val="center"/>
          </w:tcPr>
          <w:p w14:paraId="4CADD197">
            <w:pPr>
              <w:rPr>
                <w:rFonts w:ascii="宋体" w:hAnsi="宋体" w:cs="宋体"/>
                <w:color w:val="auto"/>
                <w:kern w:val="0"/>
                <w:sz w:val="21"/>
                <w:szCs w:val="21"/>
                <w:highlight w:val="none"/>
              </w:rPr>
            </w:pPr>
          </w:p>
        </w:tc>
        <w:tc>
          <w:tcPr>
            <w:tcW w:w="1984" w:type="dxa"/>
            <w:vAlign w:val="center"/>
          </w:tcPr>
          <w:p w14:paraId="6AA263E8">
            <w:pPr>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9" w:type="dxa"/>
            <w:vAlign w:val="center"/>
          </w:tcPr>
          <w:p w14:paraId="7EF3E9DC">
            <w:pPr>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249E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910E051">
            <w:pPr>
              <w:jc w:val="center"/>
              <w:rPr>
                <w:rFonts w:ascii="宋体" w:hAnsi="宋体" w:cs="宋体"/>
                <w:color w:val="auto"/>
                <w:kern w:val="0"/>
                <w:sz w:val="21"/>
                <w:szCs w:val="21"/>
                <w:highlight w:val="none"/>
              </w:rPr>
            </w:pPr>
            <w:r>
              <w:rPr>
                <w:rFonts w:ascii="宋体" w:hAnsi="宋体" w:cs="宋体"/>
                <w:color w:val="auto"/>
                <w:kern w:val="0"/>
                <w:sz w:val="21"/>
                <w:szCs w:val="21"/>
                <w:highlight w:val="none"/>
              </w:rPr>
              <w:t>2</w:t>
            </w:r>
          </w:p>
        </w:tc>
        <w:tc>
          <w:tcPr>
            <w:tcW w:w="1560" w:type="dxa"/>
            <w:vAlign w:val="center"/>
          </w:tcPr>
          <w:p w14:paraId="7D66A3DE">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vAlign w:val="center"/>
          </w:tcPr>
          <w:p w14:paraId="77644682">
            <w:pPr>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9" w:type="dxa"/>
            <w:vAlign w:val="center"/>
          </w:tcPr>
          <w:p w14:paraId="71648890">
            <w:pPr>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2C0E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9B6B782">
            <w:pPr>
              <w:jc w:val="center"/>
              <w:rPr>
                <w:rFonts w:ascii="宋体" w:hAnsi="宋体" w:cs="宋体"/>
                <w:color w:val="auto"/>
                <w:kern w:val="0"/>
                <w:sz w:val="21"/>
                <w:szCs w:val="21"/>
                <w:highlight w:val="none"/>
              </w:rPr>
            </w:pPr>
            <w:r>
              <w:rPr>
                <w:rFonts w:ascii="宋体" w:hAnsi="宋体" w:cs="宋体"/>
                <w:color w:val="auto"/>
                <w:kern w:val="0"/>
                <w:sz w:val="21"/>
                <w:szCs w:val="21"/>
                <w:highlight w:val="none"/>
              </w:rPr>
              <w:t>3</w:t>
            </w:r>
          </w:p>
        </w:tc>
        <w:tc>
          <w:tcPr>
            <w:tcW w:w="1560" w:type="dxa"/>
            <w:vMerge w:val="restart"/>
            <w:vAlign w:val="center"/>
          </w:tcPr>
          <w:p w14:paraId="2766A87C">
            <w:pPr>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4" w:type="dxa"/>
            <w:vAlign w:val="center"/>
          </w:tcPr>
          <w:p w14:paraId="400633FD">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vAlign w:val="center"/>
          </w:tcPr>
          <w:p w14:paraId="1CA51155">
            <w:pPr>
              <w:pStyle w:val="32"/>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竞争性磋商文件第二篇、第三篇“</w:t>
            </w:r>
            <w:r>
              <w:rPr>
                <w:rFonts w:ascii="宋体" w:hAnsi="宋体" w:cs="宋体"/>
                <w:color w:val="auto"/>
                <w:sz w:val="24"/>
                <w:szCs w:val="24"/>
                <w:highlight w:val="none"/>
              </w:rPr>
              <w:t>*</w:t>
            </w:r>
            <w:r>
              <w:rPr>
                <w:rFonts w:hint="eastAsia" w:ascii="宋体" w:hAnsi="宋体" w:cs="宋体"/>
                <w:color w:val="auto"/>
                <w:kern w:val="0"/>
                <w:sz w:val="21"/>
                <w:szCs w:val="21"/>
                <w:highlight w:val="none"/>
              </w:rPr>
              <w:t>”标注部分。</w:t>
            </w:r>
          </w:p>
        </w:tc>
      </w:tr>
      <w:tr w14:paraId="6287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3FDD86FB">
            <w:pPr>
              <w:jc w:val="center"/>
              <w:rPr>
                <w:rFonts w:ascii="宋体" w:hAnsi="宋体" w:cs="宋体"/>
                <w:color w:val="auto"/>
                <w:kern w:val="0"/>
                <w:sz w:val="21"/>
                <w:szCs w:val="21"/>
                <w:highlight w:val="none"/>
              </w:rPr>
            </w:pPr>
          </w:p>
        </w:tc>
        <w:tc>
          <w:tcPr>
            <w:tcW w:w="1560" w:type="dxa"/>
            <w:vMerge w:val="continue"/>
            <w:vAlign w:val="center"/>
          </w:tcPr>
          <w:p w14:paraId="2490F597">
            <w:pPr>
              <w:rPr>
                <w:rFonts w:ascii="宋体" w:hAnsi="宋体" w:cs="宋体"/>
                <w:color w:val="auto"/>
                <w:sz w:val="21"/>
                <w:szCs w:val="21"/>
                <w:highlight w:val="none"/>
                <w:lang w:val="zh-CN"/>
              </w:rPr>
            </w:pPr>
          </w:p>
        </w:tc>
        <w:tc>
          <w:tcPr>
            <w:tcW w:w="1984" w:type="dxa"/>
            <w:vAlign w:val="center"/>
          </w:tcPr>
          <w:p w14:paraId="083D5B67">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vAlign w:val="center"/>
          </w:tcPr>
          <w:p w14:paraId="57B65367">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w:t>
            </w:r>
            <w:r>
              <w:rPr>
                <w:rFonts w:ascii="宋体" w:hAnsi="宋体" w:cs="宋体"/>
                <w:color w:val="auto"/>
                <w:kern w:val="0"/>
                <w:sz w:val="21"/>
                <w:szCs w:val="21"/>
                <w:highlight w:val="none"/>
              </w:rPr>
              <w:t>90天。</w:t>
            </w:r>
          </w:p>
        </w:tc>
      </w:tr>
    </w:tbl>
    <w:p w14:paraId="724FF25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318FC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9EA38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76E4AFF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515631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288A5D3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1027B1C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w:t>
      </w:r>
      <w:r>
        <w:rPr>
          <w:rFonts w:ascii="宋体" w:hAnsi="宋体" w:cs="宋体"/>
          <w:color w:val="auto"/>
          <w:kern w:val="0"/>
          <w:sz w:val="24"/>
          <w:szCs w:val="24"/>
          <w:highlight w:val="none"/>
        </w:rPr>
        <w:t>100分</w:t>
      </w:r>
      <w:r>
        <w:rPr>
          <w:rFonts w:hint="eastAsia" w:ascii="宋体" w:hAnsi="宋体" w:cs="宋体"/>
          <w:color w:val="auto"/>
          <w:sz w:val="24"/>
          <w:szCs w:val="24"/>
          <w:highlight w:val="none"/>
        </w:rPr>
        <w:t>。</w:t>
      </w:r>
    </w:p>
    <w:p w14:paraId="06C712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w:t>
      </w:r>
      <w:r>
        <w:rPr>
          <w:rFonts w:ascii="宋体" w:hAnsi="宋体" w:cs="宋体"/>
          <w:color w:val="auto"/>
          <w:sz w:val="24"/>
          <w:szCs w:val="24"/>
          <w:highlight w:val="none"/>
        </w:rPr>
        <w:t>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w:t>
      </w:r>
      <w:r>
        <w:rPr>
          <w:rFonts w:hint="eastAsia" w:ascii="宋体" w:hAnsi="宋体" w:cs="宋体"/>
          <w:color w:val="auto"/>
          <w:kern w:val="0"/>
          <w:sz w:val="24"/>
          <w:szCs w:val="24"/>
          <w:highlight w:val="none"/>
        </w:rPr>
        <w:t>竞争性磋商文件</w:t>
      </w:r>
      <w:r>
        <w:rPr>
          <w:rFonts w:hint="eastAsia" w:ascii="宋体" w:hAnsi="宋体" w:cs="宋体"/>
          <w:color w:val="auto"/>
          <w:sz w:val="24"/>
          <w:szCs w:val="24"/>
          <w:highlight w:val="none"/>
        </w:rPr>
        <w:t>中对该种情况的处理方式予以明确。）</w:t>
      </w:r>
    </w:p>
    <w:p w14:paraId="1DEAF4DE">
      <w:pPr>
        <w:pStyle w:val="4"/>
        <w:spacing w:before="0" w:after="0" w:line="440" w:lineRule="exact"/>
        <w:rPr>
          <w:rFonts w:hint="eastAsia" w:ascii="宋体" w:hAnsi="宋体" w:eastAsia="宋体" w:cs="宋体"/>
          <w:b w:val="0"/>
          <w:color w:val="auto"/>
          <w:sz w:val="24"/>
          <w:szCs w:val="24"/>
          <w:highlight w:val="none"/>
          <w:lang w:eastAsia="zh-CN"/>
        </w:rPr>
      </w:pPr>
      <w:bookmarkStart w:id="133" w:name="_Toc21379"/>
      <w:bookmarkStart w:id="134" w:name="_Toc8673"/>
      <w:bookmarkStart w:id="135" w:name="_Toc102227320"/>
      <w:bookmarkStart w:id="136" w:name="_Toc342913394"/>
      <w:r>
        <w:rPr>
          <w:rFonts w:hint="eastAsia" w:ascii="宋体" w:hAnsi="宋体" w:cs="宋体"/>
          <w:b w:val="0"/>
          <w:color w:val="auto"/>
          <w:sz w:val="24"/>
          <w:szCs w:val="24"/>
          <w:highlight w:val="none"/>
        </w:rPr>
        <w:t>二、评审标准</w:t>
      </w:r>
      <w:bookmarkEnd w:id="133"/>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适用于包4</w:t>
      </w:r>
      <w:r>
        <w:rPr>
          <w:rFonts w:hint="eastAsia" w:ascii="微软雅黑" w:hAnsi="微软雅黑" w:eastAsia="微软雅黑" w:cs="微软雅黑"/>
          <w:b w:val="0"/>
          <w:color w:val="auto"/>
          <w:sz w:val="24"/>
          <w:szCs w:val="24"/>
          <w:highlight w:val="none"/>
          <w:lang w:val="en-US" w:eastAsia="zh-CN"/>
        </w:rPr>
        <w:t>～</w:t>
      </w:r>
      <w:r>
        <w:rPr>
          <w:rFonts w:hint="eastAsia" w:ascii="宋体" w:hAnsi="宋体" w:cs="宋体"/>
          <w:b w:val="0"/>
          <w:color w:val="auto"/>
          <w:sz w:val="24"/>
          <w:szCs w:val="24"/>
          <w:highlight w:val="none"/>
          <w:lang w:val="en-US" w:eastAsia="zh-CN"/>
        </w:rPr>
        <w:t>包5</w:t>
      </w:r>
      <w:r>
        <w:rPr>
          <w:rFonts w:hint="eastAsia" w:ascii="宋体" w:hAnsi="宋体" w:cs="宋体"/>
          <w:b w:val="0"/>
          <w:color w:val="auto"/>
          <w:sz w:val="24"/>
          <w:szCs w:val="24"/>
          <w:highlight w:val="none"/>
          <w:lang w:eastAsia="zh-CN"/>
        </w:rPr>
        <w:t>）</w:t>
      </w:r>
      <w:bookmarkEnd w:id="134"/>
    </w:p>
    <w:tbl>
      <w:tblPr>
        <w:tblStyle w:val="5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6"/>
        <w:gridCol w:w="688"/>
        <w:gridCol w:w="5361"/>
        <w:gridCol w:w="1995"/>
      </w:tblGrid>
      <w:tr w14:paraId="3888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9259563">
            <w:pP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134" w:type="dxa"/>
            <w:vAlign w:val="center"/>
          </w:tcPr>
          <w:p w14:paraId="446A16CB">
            <w:pP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评分因素及权值</w:t>
            </w:r>
          </w:p>
        </w:tc>
        <w:tc>
          <w:tcPr>
            <w:tcW w:w="724" w:type="dxa"/>
            <w:gridSpan w:val="2"/>
            <w:vAlign w:val="center"/>
          </w:tcPr>
          <w:p w14:paraId="4A76D565">
            <w:pP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361" w:type="dxa"/>
            <w:vAlign w:val="center"/>
          </w:tcPr>
          <w:p w14:paraId="1D6FB57B">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1995" w:type="dxa"/>
            <w:vAlign w:val="center"/>
          </w:tcPr>
          <w:p w14:paraId="72F0703B">
            <w:pPr>
              <w:snapToGrid w:val="0"/>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5303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jc w:val="center"/>
        </w:trPr>
        <w:tc>
          <w:tcPr>
            <w:tcW w:w="675" w:type="dxa"/>
            <w:vAlign w:val="center"/>
          </w:tcPr>
          <w:p w14:paraId="142C825A">
            <w:pPr>
              <w:snapToGrid w:val="0"/>
              <w:spacing w:line="40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1</w:t>
            </w:r>
          </w:p>
        </w:tc>
        <w:tc>
          <w:tcPr>
            <w:tcW w:w="1134" w:type="dxa"/>
            <w:vAlign w:val="center"/>
          </w:tcPr>
          <w:p w14:paraId="780BB9CE">
            <w:pPr>
              <w:snapToGrid w:val="0"/>
              <w:spacing w:line="40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考核费（</w:t>
            </w:r>
            <w:r>
              <w:rPr>
                <w:rFonts w:ascii="宋体" w:hAnsi="宋体" w:cs="宋体"/>
                <w:b/>
                <w:bCs/>
                <w:color w:val="auto"/>
                <w:sz w:val="21"/>
                <w:szCs w:val="21"/>
                <w:highlight w:val="none"/>
              </w:rPr>
              <w:t>75%</w:t>
            </w:r>
            <w:r>
              <w:rPr>
                <w:rFonts w:hint="eastAsia" w:ascii="宋体" w:hAnsi="宋体" w:cs="宋体"/>
                <w:b/>
                <w:bCs/>
                <w:color w:val="auto"/>
                <w:sz w:val="21"/>
                <w:szCs w:val="21"/>
                <w:highlight w:val="none"/>
              </w:rPr>
              <w:t>）</w:t>
            </w:r>
          </w:p>
        </w:tc>
        <w:tc>
          <w:tcPr>
            <w:tcW w:w="724" w:type="dxa"/>
            <w:gridSpan w:val="2"/>
            <w:vAlign w:val="center"/>
          </w:tcPr>
          <w:p w14:paraId="01DE318D">
            <w:pPr>
              <w:widowControl/>
              <w:jc w:val="left"/>
              <w:rPr>
                <w:rFonts w:ascii="宋体" w:hAnsi="宋体" w:cs="宋体"/>
                <w:b/>
                <w:bCs/>
                <w:color w:val="auto"/>
                <w:sz w:val="21"/>
                <w:szCs w:val="21"/>
                <w:highlight w:val="none"/>
              </w:rPr>
            </w:pPr>
          </w:p>
          <w:p w14:paraId="3B31C8A2">
            <w:pPr>
              <w:snapToGrid w:val="0"/>
              <w:spacing w:line="400" w:lineRule="exact"/>
              <w:rPr>
                <w:rFonts w:ascii="宋体" w:hAnsi="宋体" w:cs="宋体"/>
                <w:b/>
                <w:bCs/>
                <w:color w:val="auto"/>
                <w:sz w:val="21"/>
                <w:szCs w:val="21"/>
                <w:highlight w:val="none"/>
              </w:rPr>
            </w:pPr>
            <w:r>
              <w:rPr>
                <w:rFonts w:ascii="宋体" w:hAnsi="宋体" w:cs="宋体"/>
                <w:b/>
                <w:bCs/>
                <w:color w:val="auto"/>
                <w:sz w:val="21"/>
                <w:szCs w:val="21"/>
                <w:highlight w:val="none"/>
              </w:rPr>
              <w:t>75</w:t>
            </w:r>
            <w:r>
              <w:rPr>
                <w:rFonts w:hint="eastAsia" w:ascii="宋体" w:hAnsi="宋体" w:cs="宋体"/>
                <w:b/>
                <w:bCs/>
                <w:color w:val="auto"/>
                <w:sz w:val="21"/>
                <w:szCs w:val="21"/>
                <w:highlight w:val="none"/>
              </w:rPr>
              <w:t>分</w:t>
            </w:r>
          </w:p>
        </w:tc>
        <w:tc>
          <w:tcPr>
            <w:tcW w:w="5361" w:type="dxa"/>
            <w:vAlign w:val="center"/>
          </w:tcPr>
          <w:p w14:paraId="14D181ED">
            <w:pPr>
              <w:snapToGrid w:val="0"/>
              <w:spacing w:line="24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本项目按营业收入的一定比例暂扣考核费，考核费报价为</w:t>
            </w:r>
            <w:r>
              <w:rPr>
                <w:rFonts w:ascii="宋体" w:hAnsi="宋体" w:cs="宋体"/>
                <w:bCs/>
                <w:color w:val="auto"/>
                <w:sz w:val="21"/>
                <w:szCs w:val="21"/>
                <w:highlight w:val="none"/>
              </w:rPr>
              <w:t>:</w:t>
            </w:r>
            <w:r>
              <w:rPr>
                <w:rFonts w:hint="eastAsia" w:ascii="宋体" w:hAnsi="宋体" w:cs="宋体"/>
                <w:bCs/>
                <w:color w:val="auto"/>
                <w:sz w:val="21"/>
                <w:szCs w:val="21"/>
                <w:highlight w:val="none"/>
              </w:rPr>
              <w:t>按百分比报价。</w:t>
            </w:r>
          </w:p>
          <w:p w14:paraId="472024F6">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评分规则说明：</w:t>
            </w:r>
            <w:r>
              <w:rPr>
                <w:rFonts w:ascii="宋体" w:hAnsi="宋体" w:cs="宋体"/>
                <w:bCs/>
                <w:color w:val="auto"/>
                <w:sz w:val="21"/>
                <w:szCs w:val="21"/>
                <w:highlight w:val="none"/>
              </w:rPr>
              <w:t xml:space="preserve">  </w:t>
            </w:r>
          </w:p>
          <w:p w14:paraId="5CA3176C">
            <w:pPr>
              <w:snapToGrid w:val="0"/>
              <w:spacing w:line="24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满足资格性、符合性要求且最后报价最高的供应商的价格为磋商基准价，价格评分采用反向计分法，报价越高得分越高。最低报价得</w:t>
            </w:r>
            <w:r>
              <w:rPr>
                <w:rFonts w:ascii="宋体" w:hAnsi="宋体" w:cs="宋体"/>
                <w:bCs/>
                <w:color w:val="auto"/>
                <w:sz w:val="21"/>
                <w:szCs w:val="21"/>
                <w:highlight w:val="none"/>
              </w:rPr>
              <w:t>60</w:t>
            </w:r>
            <w:r>
              <w:rPr>
                <w:rFonts w:hint="eastAsia" w:ascii="宋体" w:hAnsi="宋体" w:cs="宋体"/>
                <w:bCs/>
                <w:color w:val="auto"/>
                <w:sz w:val="21"/>
                <w:szCs w:val="21"/>
                <w:highlight w:val="none"/>
              </w:rPr>
              <w:t>分，最高报价得</w:t>
            </w:r>
            <w:r>
              <w:rPr>
                <w:rFonts w:ascii="宋体" w:hAnsi="宋体" w:cs="宋体"/>
                <w:bCs/>
                <w:color w:val="auto"/>
                <w:sz w:val="21"/>
                <w:szCs w:val="21"/>
                <w:highlight w:val="none"/>
              </w:rPr>
              <w:t>75</w:t>
            </w:r>
            <w:r>
              <w:rPr>
                <w:rFonts w:hint="eastAsia" w:ascii="宋体" w:hAnsi="宋体" w:cs="宋体"/>
                <w:bCs/>
                <w:color w:val="auto"/>
                <w:sz w:val="21"/>
                <w:szCs w:val="21"/>
                <w:highlight w:val="none"/>
              </w:rPr>
              <w:t>分，中间报价按线性插值法计算。</w:t>
            </w:r>
          </w:p>
          <w:p w14:paraId="0ABA3A8A">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价格得分计算公式：</w:t>
            </w:r>
            <w:r>
              <w:rPr>
                <w:rFonts w:ascii="宋体" w:hAnsi="宋体" w:cs="宋体"/>
                <w:bCs/>
                <w:color w:val="auto"/>
                <w:sz w:val="21"/>
                <w:szCs w:val="21"/>
                <w:highlight w:val="none"/>
              </w:rPr>
              <w:t xml:space="preserve">  </w:t>
            </w:r>
          </w:p>
          <w:p w14:paraId="01C80966">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价格得分</w:t>
            </w:r>
            <w:r>
              <w:rPr>
                <w:rFonts w:ascii="宋体" w:hAnsi="宋体" w:cs="宋体"/>
                <w:bCs/>
                <w:color w:val="auto"/>
                <w:sz w:val="21"/>
                <w:szCs w:val="21"/>
                <w:highlight w:val="none"/>
              </w:rPr>
              <w:t>=60+15</w:t>
            </w:r>
            <w:r>
              <w:rPr>
                <w:rFonts w:hint="eastAsia" w:ascii="宋体" w:hAnsi="宋体" w:cs="宋体"/>
                <w:bCs/>
                <w:color w:val="auto"/>
                <w:sz w:val="21"/>
                <w:szCs w:val="21"/>
                <w:highlight w:val="none"/>
              </w:rPr>
              <w:t>×</w:t>
            </w:r>
            <w:r>
              <w:rPr>
                <w:rFonts w:ascii="宋体" w:hAnsi="宋体" w:cs="宋体"/>
                <w:bCs/>
                <w:color w:val="auto"/>
                <w:sz w:val="21"/>
                <w:szCs w:val="21"/>
                <w:highlight w:val="none"/>
              </w:rPr>
              <w:t>[(</w:t>
            </w:r>
            <w:r>
              <w:rPr>
                <w:rFonts w:hint="eastAsia" w:ascii="宋体" w:hAnsi="宋体" w:cs="宋体"/>
                <w:bCs/>
                <w:color w:val="auto"/>
                <w:sz w:val="21"/>
                <w:szCs w:val="21"/>
                <w:highlight w:val="none"/>
              </w:rPr>
              <w:t>投标报价</w:t>
            </w:r>
            <w:r>
              <w:rPr>
                <w:rFonts w:ascii="宋体" w:hAnsi="宋体" w:cs="宋体"/>
                <w:bCs/>
                <w:color w:val="auto"/>
                <w:sz w:val="21"/>
                <w:szCs w:val="21"/>
                <w:highlight w:val="none"/>
              </w:rPr>
              <w:t>-</w:t>
            </w:r>
            <w:r>
              <w:rPr>
                <w:rFonts w:hint="eastAsia" w:ascii="宋体" w:hAnsi="宋体" w:cs="宋体"/>
                <w:bCs/>
                <w:color w:val="auto"/>
                <w:sz w:val="21"/>
                <w:szCs w:val="21"/>
                <w:highlight w:val="none"/>
              </w:rPr>
              <w:t>最低报价</w:t>
            </w:r>
            <w:r>
              <w:rPr>
                <w:rFonts w:ascii="宋体" w:hAnsi="宋体" w:cs="宋体"/>
                <w:bCs/>
                <w:color w:val="auto"/>
                <w:sz w:val="21"/>
                <w:szCs w:val="21"/>
                <w:highlight w:val="none"/>
              </w:rPr>
              <w:t>)/(</w:t>
            </w:r>
            <w:r>
              <w:rPr>
                <w:rFonts w:hint="eastAsia" w:ascii="宋体" w:hAnsi="宋体" w:cs="宋体"/>
                <w:bCs/>
                <w:color w:val="auto"/>
                <w:sz w:val="21"/>
                <w:szCs w:val="21"/>
                <w:highlight w:val="none"/>
              </w:rPr>
              <w:t>最高报价</w:t>
            </w:r>
            <w:r>
              <w:rPr>
                <w:rFonts w:ascii="宋体" w:hAnsi="宋体" w:cs="宋体"/>
                <w:bCs/>
                <w:color w:val="auto"/>
                <w:sz w:val="21"/>
                <w:szCs w:val="21"/>
                <w:highlight w:val="none"/>
              </w:rPr>
              <w:t>-</w:t>
            </w:r>
            <w:r>
              <w:rPr>
                <w:rFonts w:hint="eastAsia" w:ascii="宋体" w:hAnsi="宋体" w:cs="宋体"/>
                <w:bCs/>
                <w:color w:val="auto"/>
                <w:sz w:val="21"/>
                <w:szCs w:val="21"/>
                <w:highlight w:val="none"/>
              </w:rPr>
              <w:t>最低报价</w:t>
            </w:r>
            <w:r>
              <w:rPr>
                <w:rFonts w:ascii="宋体" w:hAnsi="宋体" w:cs="宋体"/>
                <w:bCs/>
                <w:color w:val="auto"/>
                <w:sz w:val="21"/>
                <w:szCs w:val="21"/>
                <w:highlight w:val="none"/>
              </w:rPr>
              <w:t xml:space="preserve">)] </w:t>
            </w:r>
          </w:p>
          <w:p w14:paraId="54E38019">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1.</w:t>
            </w:r>
            <w:r>
              <w:rPr>
                <w:rFonts w:hint="eastAsia" w:ascii="宋体" w:hAnsi="宋体" w:cs="宋体"/>
                <w:bCs/>
                <w:color w:val="auto"/>
                <w:sz w:val="21"/>
                <w:szCs w:val="21"/>
                <w:highlight w:val="none"/>
              </w:rPr>
              <w:t>异常处理：所有报价相同时：均得</w:t>
            </w:r>
            <w:r>
              <w:rPr>
                <w:rFonts w:ascii="宋体" w:hAnsi="宋体" w:cs="宋体"/>
                <w:bCs/>
                <w:color w:val="auto"/>
                <w:sz w:val="21"/>
                <w:szCs w:val="21"/>
                <w:highlight w:val="none"/>
              </w:rPr>
              <w:t>67.5</w:t>
            </w:r>
            <w:r>
              <w:rPr>
                <w:rFonts w:hint="eastAsia" w:ascii="宋体" w:hAnsi="宋体" w:cs="宋体"/>
                <w:bCs/>
                <w:color w:val="auto"/>
                <w:sz w:val="21"/>
                <w:szCs w:val="21"/>
                <w:highlight w:val="none"/>
              </w:rPr>
              <w:t>分（区间中值）</w:t>
            </w:r>
            <w:r>
              <w:rPr>
                <w:rFonts w:ascii="宋体" w:hAnsi="宋体" w:cs="宋体"/>
                <w:bCs/>
                <w:color w:val="auto"/>
                <w:sz w:val="21"/>
                <w:szCs w:val="21"/>
                <w:highlight w:val="none"/>
              </w:rPr>
              <w:t xml:space="preserve">  </w:t>
            </w:r>
          </w:p>
          <w:p w14:paraId="3A189D4B">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2.</w:t>
            </w:r>
            <w:r>
              <w:rPr>
                <w:rFonts w:hint="eastAsia" w:ascii="宋体" w:hAnsi="宋体" w:cs="宋体"/>
                <w:bCs/>
                <w:color w:val="auto"/>
                <w:sz w:val="21"/>
                <w:szCs w:val="21"/>
                <w:highlight w:val="none"/>
              </w:rPr>
              <w:t>数据修正：计算结果保留两位小数，小数点后第三位四舍五入。</w:t>
            </w:r>
            <w:r>
              <w:rPr>
                <w:rFonts w:ascii="宋体" w:hAnsi="宋体" w:cs="宋体"/>
                <w:bCs/>
                <w:color w:val="auto"/>
                <w:sz w:val="21"/>
                <w:szCs w:val="21"/>
                <w:highlight w:val="none"/>
              </w:rPr>
              <w:t xml:space="preserve"> </w:t>
            </w:r>
          </w:p>
          <w:p w14:paraId="668CF97D">
            <w:pPr>
              <w:snapToGrid w:val="0"/>
              <w:spacing w:line="240" w:lineRule="exact"/>
              <w:rPr>
                <w:rFonts w:hint="eastAsia" w:ascii="宋体" w:hAnsi="宋体" w:eastAsia="宋体" w:cs="宋体"/>
                <w:bCs/>
                <w:color w:val="auto"/>
                <w:sz w:val="21"/>
                <w:szCs w:val="21"/>
                <w:highlight w:val="none"/>
                <w:lang w:eastAsia="zh-CN"/>
              </w:rPr>
            </w:pPr>
            <w:r>
              <w:rPr>
                <w:rFonts w:ascii="宋体" w:hAnsi="宋体" w:cs="宋体"/>
                <w:bCs/>
                <w:color w:val="auto"/>
                <w:sz w:val="21"/>
                <w:szCs w:val="21"/>
                <w:highlight w:val="none"/>
              </w:rPr>
              <w:t>3.</w:t>
            </w:r>
            <w:r>
              <w:rPr>
                <w:rFonts w:hint="eastAsia" w:ascii="宋体" w:hAnsi="宋体" w:cs="宋体"/>
                <w:bCs/>
                <w:color w:val="auto"/>
                <w:sz w:val="21"/>
                <w:szCs w:val="21"/>
                <w:highlight w:val="none"/>
              </w:rPr>
              <w:t>举例：假定</w:t>
            </w:r>
            <w:r>
              <w:rPr>
                <w:rFonts w:ascii="宋体" w:hAnsi="宋体" w:cs="宋体"/>
                <w:bCs/>
                <w:color w:val="auto"/>
                <w:sz w:val="21"/>
                <w:szCs w:val="21"/>
                <w:highlight w:val="none"/>
              </w:rPr>
              <w:t>4</w:t>
            </w:r>
            <w:r>
              <w:rPr>
                <w:rFonts w:hint="eastAsia" w:ascii="宋体" w:hAnsi="宋体" w:cs="宋体"/>
                <w:bCs/>
                <w:color w:val="auto"/>
                <w:sz w:val="21"/>
                <w:szCs w:val="21"/>
                <w:highlight w:val="none"/>
              </w:rPr>
              <w:t>人投标，投标人</w:t>
            </w:r>
            <w:r>
              <w:rPr>
                <w:rFonts w:ascii="宋体" w:hAnsi="宋体" w:cs="宋体"/>
                <w:bCs/>
                <w:color w:val="auto"/>
                <w:sz w:val="21"/>
                <w:szCs w:val="21"/>
                <w:highlight w:val="none"/>
              </w:rPr>
              <w:t>1</w:t>
            </w:r>
            <w:r>
              <w:rPr>
                <w:rFonts w:hint="eastAsia" w:ascii="宋体" w:hAnsi="宋体" w:cs="宋体"/>
                <w:bCs/>
                <w:color w:val="auto"/>
                <w:sz w:val="21"/>
                <w:szCs w:val="21"/>
                <w:highlight w:val="none"/>
              </w:rPr>
              <w:t>报价</w:t>
            </w:r>
            <w:r>
              <w:rPr>
                <w:rFonts w:ascii="宋体" w:hAnsi="宋体" w:cs="宋体"/>
                <w:bCs/>
                <w:color w:val="auto"/>
                <w:sz w:val="21"/>
                <w:szCs w:val="21"/>
                <w:highlight w:val="none"/>
              </w:rPr>
              <w:t>8%</w:t>
            </w:r>
            <w:r>
              <w:rPr>
                <w:rFonts w:hint="eastAsia" w:ascii="宋体" w:hAnsi="宋体" w:cs="宋体"/>
                <w:bCs/>
                <w:color w:val="auto"/>
                <w:sz w:val="21"/>
                <w:szCs w:val="21"/>
                <w:highlight w:val="none"/>
              </w:rPr>
              <w:t>，投标人</w:t>
            </w:r>
            <w:r>
              <w:rPr>
                <w:rFonts w:ascii="宋体" w:hAnsi="宋体" w:cs="宋体"/>
                <w:bCs/>
                <w:color w:val="auto"/>
                <w:sz w:val="21"/>
                <w:szCs w:val="21"/>
                <w:highlight w:val="none"/>
              </w:rPr>
              <w:t>2</w:t>
            </w:r>
            <w:r>
              <w:rPr>
                <w:rFonts w:hint="eastAsia" w:ascii="宋体" w:hAnsi="宋体" w:cs="宋体"/>
                <w:bCs/>
                <w:color w:val="auto"/>
                <w:sz w:val="21"/>
                <w:szCs w:val="21"/>
                <w:highlight w:val="none"/>
              </w:rPr>
              <w:t>报价</w:t>
            </w:r>
            <w:r>
              <w:rPr>
                <w:rFonts w:ascii="宋体" w:hAnsi="宋体" w:cs="宋体"/>
                <w:bCs/>
                <w:color w:val="auto"/>
                <w:sz w:val="21"/>
                <w:szCs w:val="21"/>
                <w:highlight w:val="none"/>
              </w:rPr>
              <w:t>10%</w:t>
            </w:r>
            <w:r>
              <w:rPr>
                <w:rFonts w:hint="eastAsia" w:ascii="宋体" w:hAnsi="宋体" w:cs="宋体"/>
                <w:bCs/>
                <w:color w:val="auto"/>
                <w:sz w:val="21"/>
                <w:szCs w:val="21"/>
                <w:highlight w:val="none"/>
              </w:rPr>
              <w:t>，投标人</w:t>
            </w:r>
            <w:r>
              <w:rPr>
                <w:rFonts w:ascii="宋体" w:hAnsi="宋体" w:cs="宋体"/>
                <w:bCs/>
                <w:color w:val="auto"/>
                <w:sz w:val="21"/>
                <w:szCs w:val="21"/>
                <w:highlight w:val="none"/>
              </w:rPr>
              <w:t>3</w:t>
            </w:r>
            <w:r>
              <w:rPr>
                <w:rFonts w:hint="eastAsia" w:ascii="宋体" w:hAnsi="宋体" w:cs="宋体"/>
                <w:bCs/>
                <w:color w:val="auto"/>
                <w:sz w:val="21"/>
                <w:szCs w:val="21"/>
                <w:highlight w:val="none"/>
              </w:rPr>
              <w:t>报价</w:t>
            </w:r>
            <w:r>
              <w:rPr>
                <w:rFonts w:ascii="宋体" w:hAnsi="宋体" w:cs="宋体"/>
                <w:bCs/>
                <w:color w:val="auto"/>
                <w:sz w:val="21"/>
                <w:szCs w:val="21"/>
                <w:highlight w:val="none"/>
              </w:rPr>
              <w:t>12%</w:t>
            </w:r>
            <w:r>
              <w:rPr>
                <w:rFonts w:hint="eastAsia" w:ascii="宋体" w:hAnsi="宋体" w:cs="宋体"/>
                <w:bCs/>
                <w:color w:val="auto"/>
                <w:sz w:val="21"/>
                <w:szCs w:val="21"/>
                <w:highlight w:val="none"/>
              </w:rPr>
              <w:t>，投标人</w:t>
            </w:r>
            <w:r>
              <w:rPr>
                <w:rFonts w:ascii="宋体" w:hAnsi="宋体" w:cs="宋体"/>
                <w:bCs/>
                <w:color w:val="auto"/>
                <w:sz w:val="21"/>
                <w:szCs w:val="21"/>
                <w:highlight w:val="none"/>
              </w:rPr>
              <w:t>4</w:t>
            </w:r>
            <w:r>
              <w:rPr>
                <w:rFonts w:hint="eastAsia" w:ascii="宋体" w:hAnsi="宋体" w:cs="宋体"/>
                <w:bCs/>
                <w:color w:val="auto"/>
                <w:sz w:val="21"/>
                <w:szCs w:val="21"/>
                <w:highlight w:val="none"/>
              </w:rPr>
              <w:t>报价</w:t>
            </w:r>
            <w:r>
              <w:rPr>
                <w:rFonts w:ascii="宋体" w:hAnsi="宋体" w:cs="宋体"/>
                <w:bCs/>
                <w:color w:val="auto"/>
                <w:sz w:val="21"/>
                <w:szCs w:val="21"/>
                <w:highlight w:val="none"/>
              </w:rPr>
              <w:t>15%</w:t>
            </w:r>
            <w:r>
              <w:rPr>
                <w:rFonts w:hint="eastAsia" w:ascii="宋体" w:hAnsi="宋体" w:cs="宋体"/>
                <w:bCs/>
                <w:color w:val="auto"/>
                <w:sz w:val="21"/>
                <w:szCs w:val="21"/>
                <w:highlight w:val="none"/>
                <w:lang w:eastAsia="zh-CN"/>
              </w:rPr>
              <w:t>。</w:t>
            </w:r>
          </w:p>
          <w:p w14:paraId="7B1150C2">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投标人</w:t>
            </w:r>
            <w:r>
              <w:rPr>
                <w:rFonts w:ascii="宋体" w:hAnsi="宋体" w:cs="宋体"/>
                <w:bCs/>
                <w:color w:val="auto"/>
                <w:sz w:val="21"/>
                <w:szCs w:val="21"/>
                <w:highlight w:val="none"/>
              </w:rPr>
              <w:t>1</w:t>
            </w:r>
            <w:r>
              <w:rPr>
                <w:rFonts w:hint="eastAsia" w:ascii="宋体" w:hAnsi="宋体" w:cs="宋体"/>
                <w:bCs/>
                <w:color w:val="auto"/>
                <w:sz w:val="21"/>
                <w:szCs w:val="21"/>
                <w:highlight w:val="none"/>
              </w:rPr>
              <w:t>报价得分</w:t>
            </w:r>
            <w:r>
              <w:rPr>
                <w:rFonts w:ascii="宋体" w:hAnsi="宋体" w:cs="宋体"/>
                <w:bCs/>
                <w:color w:val="auto"/>
                <w:sz w:val="21"/>
                <w:szCs w:val="21"/>
                <w:highlight w:val="none"/>
              </w:rPr>
              <w:t>=60+15*[(8%-8%)/(15%-8%)]=60</w:t>
            </w:r>
            <w:r>
              <w:rPr>
                <w:rFonts w:hint="eastAsia" w:ascii="宋体" w:hAnsi="宋体" w:cs="宋体"/>
                <w:bCs/>
                <w:color w:val="auto"/>
                <w:sz w:val="21"/>
                <w:szCs w:val="21"/>
                <w:highlight w:val="none"/>
              </w:rPr>
              <w:t>分</w:t>
            </w:r>
          </w:p>
          <w:p w14:paraId="4E3FBA18">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投标人</w:t>
            </w:r>
            <w:r>
              <w:rPr>
                <w:rFonts w:ascii="宋体" w:hAnsi="宋体" w:cs="宋体"/>
                <w:bCs/>
                <w:color w:val="auto"/>
                <w:sz w:val="21"/>
                <w:szCs w:val="21"/>
                <w:highlight w:val="none"/>
              </w:rPr>
              <w:t>2</w:t>
            </w:r>
            <w:r>
              <w:rPr>
                <w:rFonts w:hint="eastAsia" w:ascii="宋体" w:hAnsi="宋体" w:cs="宋体"/>
                <w:bCs/>
                <w:color w:val="auto"/>
                <w:sz w:val="21"/>
                <w:szCs w:val="21"/>
                <w:highlight w:val="none"/>
              </w:rPr>
              <w:t>报价得分</w:t>
            </w:r>
            <w:r>
              <w:rPr>
                <w:rFonts w:ascii="宋体" w:hAnsi="宋体" w:cs="宋体"/>
                <w:bCs/>
                <w:color w:val="auto"/>
                <w:sz w:val="21"/>
                <w:szCs w:val="21"/>
                <w:highlight w:val="none"/>
              </w:rPr>
              <w:t>=60+15*[(10%-8%)/(15%-8%)]=64.29</w:t>
            </w:r>
            <w:r>
              <w:rPr>
                <w:rFonts w:hint="eastAsia" w:ascii="宋体" w:hAnsi="宋体" w:cs="宋体"/>
                <w:bCs/>
                <w:color w:val="auto"/>
                <w:sz w:val="21"/>
                <w:szCs w:val="21"/>
                <w:highlight w:val="none"/>
              </w:rPr>
              <w:t>分</w:t>
            </w:r>
          </w:p>
          <w:p w14:paraId="58E205C7">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投标人</w:t>
            </w:r>
            <w:r>
              <w:rPr>
                <w:rFonts w:ascii="宋体" w:hAnsi="宋体" w:cs="宋体"/>
                <w:bCs/>
                <w:color w:val="auto"/>
                <w:sz w:val="21"/>
                <w:szCs w:val="21"/>
                <w:highlight w:val="none"/>
              </w:rPr>
              <w:t>3</w:t>
            </w:r>
            <w:r>
              <w:rPr>
                <w:rFonts w:hint="eastAsia" w:ascii="宋体" w:hAnsi="宋体" w:cs="宋体"/>
                <w:bCs/>
                <w:color w:val="auto"/>
                <w:sz w:val="21"/>
                <w:szCs w:val="21"/>
                <w:highlight w:val="none"/>
              </w:rPr>
              <w:t>报价得分</w:t>
            </w:r>
            <w:r>
              <w:rPr>
                <w:rFonts w:ascii="宋体" w:hAnsi="宋体" w:cs="宋体"/>
                <w:bCs/>
                <w:color w:val="auto"/>
                <w:sz w:val="21"/>
                <w:szCs w:val="21"/>
                <w:highlight w:val="none"/>
              </w:rPr>
              <w:t>=60+15*[(12%-8%)/(15%-8%)]=68.57</w:t>
            </w:r>
            <w:r>
              <w:rPr>
                <w:rFonts w:hint="eastAsia" w:ascii="宋体" w:hAnsi="宋体" w:cs="宋体"/>
                <w:bCs/>
                <w:color w:val="auto"/>
                <w:sz w:val="21"/>
                <w:szCs w:val="21"/>
                <w:highlight w:val="none"/>
              </w:rPr>
              <w:t>分</w:t>
            </w:r>
          </w:p>
          <w:p w14:paraId="35FB7671">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投标人</w:t>
            </w:r>
            <w:r>
              <w:rPr>
                <w:rFonts w:ascii="宋体" w:hAnsi="宋体" w:cs="宋体"/>
                <w:bCs/>
                <w:color w:val="auto"/>
                <w:sz w:val="21"/>
                <w:szCs w:val="21"/>
                <w:highlight w:val="none"/>
              </w:rPr>
              <w:t>4</w:t>
            </w:r>
            <w:r>
              <w:rPr>
                <w:rFonts w:hint="eastAsia" w:ascii="宋体" w:hAnsi="宋体" w:cs="宋体"/>
                <w:bCs/>
                <w:color w:val="auto"/>
                <w:sz w:val="21"/>
                <w:szCs w:val="21"/>
                <w:highlight w:val="none"/>
              </w:rPr>
              <w:t>报价得分</w:t>
            </w:r>
            <w:r>
              <w:rPr>
                <w:rFonts w:ascii="宋体" w:hAnsi="宋体" w:cs="宋体"/>
                <w:bCs/>
                <w:color w:val="auto"/>
                <w:sz w:val="21"/>
                <w:szCs w:val="21"/>
                <w:highlight w:val="none"/>
              </w:rPr>
              <w:t>=60+15*[(15%-8%)/(15%-8%)]=75</w:t>
            </w:r>
            <w:r>
              <w:rPr>
                <w:rFonts w:hint="eastAsia" w:ascii="宋体" w:hAnsi="宋体" w:cs="宋体"/>
                <w:bCs/>
                <w:color w:val="auto"/>
                <w:sz w:val="21"/>
                <w:szCs w:val="21"/>
                <w:highlight w:val="none"/>
              </w:rPr>
              <w:t>分</w:t>
            </w:r>
          </w:p>
        </w:tc>
        <w:tc>
          <w:tcPr>
            <w:tcW w:w="1995" w:type="dxa"/>
            <w:vAlign w:val="center"/>
          </w:tcPr>
          <w:p w14:paraId="2B53605F">
            <w:pPr>
              <w:snapToGrid w:val="0"/>
              <w:spacing w:line="240" w:lineRule="exact"/>
              <w:rPr>
                <w:rFonts w:ascii="宋体" w:hAnsi="宋体" w:cs="宋体"/>
                <w:bCs/>
                <w:color w:val="auto"/>
                <w:sz w:val="21"/>
                <w:szCs w:val="21"/>
                <w:highlight w:val="none"/>
              </w:rPr>
            </w:pPr>
          </w:p>
        </w:tc>
      </w:tr>
      <w:tr w14:paraId="16C3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75" w:type="dxa"/>
            <w:vMerge w:val="restart"/>
            <w:vAlign w:val="center"/>
          </w:tcPr>
          <w:p w14:paraId="61D49A03">
            <w:pPr>
              <w:snapToGrid w:val="0"/>
              <w:spacing w:line="400" w:lineRule="exact"/>
              <w:rPr>
                <w:rFonts w:ascii="宋体" w:hAnsi="宋体" w:cs="宋体"/>
                <w:color w:val="auto"/>
                <w:sz w:val="21"/>
                <w:szCs w:val="21"/>
                <w:highlight w:val="none"/>
              </w:rPr>
            </w:pPr>
            <w:r>
              <w:rPr>
                <w:rFonts w:hint="eastAsia" w:ascii="宋体" w:hAnsi="宋体" w:cs="宋体"/>
                <w:b/>
                <w:bCs/>
                <w:color w:val="auto"/>
                <w:sz w:val="21"/>
                <w:szCs w:val="21"/>
                <w:highlight w:val="none"/>
              </w:rPr>
              <w:t>2</w:t>
            </w:r>
          </w:p>
        </w:tc>
        <w:tc>
          <w:tcPr>
            <w:tcW w:w="1134" w:type="dxa"/>
            <w:vMerge w:val="restart"/>
            <w:vAlign w:val="center"/>
          </w:tcPr>
          <w:p w14:paraId="68E00008">
            <w:pPr>
              <w:snapToGrid w:val="0"/>
              <w:spacing w:line="40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技术标得分</w:t>
            </w:r>
          </w:p>
          <w:p w14:paraId="05BA7EDE">
            <w:pPr>
              <w:snapToGrid w:val="0"/>
              <w:spacing w:line="400" w:lineRule="exact"/>
              <w:rPr>
                <w:rFonts w:ascii="宋体" w:hAnsi="宋体" w:cs="宋体"/>
                <w:color w:val="auto"/>
                <w:sz w:val="21"/>
                <w:szCs w:val="21"/>
                <w:highlight w:val="none"/>
              </w:rPr>
            </w:pPr>
            <w:r>
              <w:rPr>
                <w:rFonts w:ascii="宋体" w:hAnsi="宋体" w:cs="宋体"/>
                <w:b/>
                <w:bCs/>
                <w:color w:val="auto"/>
                <w:sz w:val="21"/>
                <w:szCs w:val="21"/>
                <w:highlight w:val="none"/>
              </w:rPr>
              <w:t>(5%)</w:t>
            </w:r>
          </w:p>
        </w:tc>
        <w:tc>
          <w:tcPr>
            <w:tcW w:w="724" w:type="dxa"/>
            <w:gridSpan w:val="2"/>
            <w:vMerge w:val="restart"/>
            <w:vAlign w:val="center"/>
          </w:tcPr>
          <w:p w14:paraId="58EF6A2B">
            <w:pPr>
              <w:widowControl/>
              <w:jc w:val="left"/>
              <w:rPr>
                <w:rFonts w:ascii="宋体" w:hAnsi="宋体" w:cs="宋体"/>
                <w:color w:val="auto"/>
                <w:sz w:val="21"/>
                <w:szCs w:val="21"/>
                <w:highlight w:val="none"/>
              </w:rPr>
            </w:pPr>
            <w:r>
              <w:rPr>
                <w:rFonts w:ascii="宋体" w:hAnsi="宋体" w:cs="宋体"/>
                <w:b/>
                <w:bCs/>
                <w:color w:val="auto"/>
                <w:sz w:val="21"/>
                <w:szCs w:val="21"/>
                <w:highlight w:val="none"/>
              </w:rPr>
              <w:t>5</w:t>
            </w:r>
            <w:r>
              <w:rPr>
                <w:rFonts w:hint="eastAsia" w:ascii="宋体" w:hAnsi="宋体" w:cs="宋体"/>
                <w:b/>
                <w:bCs/>
                <w:color w:val="auto"/>
                <w:sz w:val="21"/>
                <w:szCs w:val="21"/>
                <w:highlight w:val="none"/>
              </w:rPr>
              <w:t>分</w:t>
            </w:r>
          </w:p>
        </w:tc>
        <w:tc>
          <w:tcPr>
            <w:tcW w:w="5361" w:type="dxa"/>
          </w:tcPr>
          <w:p w14:paraId="51BF73A5">
            <w:pPr>
              <w:numPr>
                <w:ilvl w:val="-1"/>
                <w:numId w:val="0"/>
              </w:num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技术参数</w:t>
            </w:r>
            <w:r>
              <w:rPr>
                <w:rFonts w:ascii="宋体" w:hAnsi="宋体" w:cs="宋体"/>
                <w:bCs/>
                <w:color w:val="auto"/>
                <w:sz w:val="21"/>
                <w:szCs w:val="21"/>
                <w:highlight w:val="none"/>
              </w:rPr>
              <w:t>1.5</w:t>
            </w:r>
            <w:r>
              <w:rPr>
                <w:rFonts w:hint="eastAsia" w:ascii="宋体" w:hAnsi="宋体" w:cs="宋体"/>
                <w:bCs/>
                <w:color w:val="auto"/>
                <w:sz w:val="21"/>
                <w:szCs w:val="21"/>
                <w:highlight w:val="none"/>
              </w:rPr>
              <w:t>分</w:t>
            </w:r>
          </w:p>
          <w:p w14:paraId="767FFBB5">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有效供应商的起评分为</w:t>
            </w:r>
            <w:r>
              <w:rPr>
                <w:rFonts w:ascii="宋体" w:hAnsi="宋体" w:cs="宋体"/>
                <w:bCs/>
                <w:color w:val="auto"/>
                <w:sz w:val="21"/>
                <w:szCs w:val="21"/>
                <w:highlight w:val="none"/>
              </w:rPr>
              <w:t>1.5</w:t>
            </w:r>
            <w:r>
              <w:rPr>
                <w:rFonts w:hint="eastAsia" w:ascii="宋体" w:hAnsi="宋体" w:cs="宋体"/>
                <w:bCs/>
                <w:color w:val="auto"/>
                <w:sz w:val="21"/>
                <w:szCs w:val="21"/>
                <w:highlight w:val="none"/>
              </w:rPr>
              <w:t>分。</w:t>
            </w:r>
          </w:p>
          <w:p w14:paraId="609C4334">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扣分条款：</w:t>
            </w:r>
          </w:p>
          <w:p w14:paraId="0F53E84E">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重要参数【本招标文件第二篇中带</w:t>
            </w:r>
            <w:r>
              <w:rPr>
                <w:rFonts w:ascii="宋体" w:hAnsi="宋体" w:cs="宋体"/>
                <w:bCs/>
                <w:color w:val="auto"/>
                <w:sz w:val="21"/>
                <w:szCs w:val="21"/>
                <w:highlight w:val="none"/>
              </w:rPr>
              <w:t>*</w:t>
            </w:r>
            <w:r>
              <w:rPr>
                <w:rFonts w:hint="eastAsia" w:ascii="宋体" w:hAnsi="宋体" w:cs="宋体"/>
                <w:bCs/>
                <w:color w:val="auto"/>
                <w:sz w:val="21"/>
                <w:szCs w:val="21"/>
                <w:highlight w:val="none"/>
              </w:rPr>
              <w:t>号标注的部分】，必须全部达到招标文件要求，如有负偏离，技术标得分为</w:t>
            </w:r>
            <w:r>
              <w:rPr>
                <w:rFonts w:ascii="宋体" w:hAnsi="宋体" w:cs="宋体"/>
                <w:bCs/>
                <w:color w:val="auto"/>
                <w:sz w:val="21"/>
                <w:szCs w:val="21"/>
                <w:highlight w:val="none"/>
              </w:rPr>
              <w:t>0</w:t>
            </w:r>
            <w:r>
              <w:rPr>
                <w:rFonts w:hint="eastAsia" w:ascii="宋体" w:hAnsi="宋体" w:cs="宋体"/>
                <w:bCs/>
                <w:color w:val="auto"/>
                <w:sz w:val="21"/>
                <w:szCs w:val="21"/>
                <w:highlight w:val="none"/>
              </w:rPr>
              <w:t>分，该标作为废标处理。</w:t>
            </w:r>
          </w:p>
          <w:p w14:paraId="79354C14">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一般参数【本招标文件第二篇中未带</w:t>
            </w:r>
            <w:r>
              <w:rPr>
                <w:rFonts w:ascii="宋体" w:hAnsi="宋体" w:cs="宋体"/>
                <w:bCs/>
                <w:color w:val="auto"/>
                <w:sz w:val="21"/>
                <w:szCs w:val="21"/>
                <w:highlight w:val="none"/>
              </w:rPr>
              <w:t>*</w:t>
            </w:r>
            <w:r>
              <w:rPr>
                <w:rFonts w:hint="eastAsia" w:ascii="宋体" w:hAnsi="宋体" w:cs="宋体"/>
                <w:bCs/>
                <w:color w:val="auto"/>
                <w:sz w:val="21"/>
                <w:szCs w:val="21"/>
                <w:highlight w:val="none"/>
              </w:rPr>
              <w:t>号标注的部分】达不到招标文件要求的，每负偏离一条从起评分中扣除</w:t>
            </w:r>
            <w:r>
              <w:rPr>
                <w:rFonts w:ascii="宋体" w:hAnsi="宋体" w:cs="宋体"/>
                <w:bCs/>
                <w:color w:val="auto"/>
                <w:sz w:val="21"/>
                <w:szCs w:val="21"/>
                <w:highlight w:val="none"/>
              </w:rPr>
              <w:t>0.5</w:t>
            </w:r>
            <w:r>
              <w:rPr>
                <w:rFonts w:hint="eastAsia" w:ascii="宋体" w:hAnsi="宋体" w:cs="宋体"/>
                <w:bCs/>
                <w:color w:val="auto"/>
                <w:sz w:val="21"/>
                <w:szCs w:val="21"/>
                <w:highlight w:val="none"/>
              </w:rPr>
              <w:t>分，起评分</w:t>
            </w:r>
            <w:r>
              <w:rPr>
                <w:rFonts w:ascii="宋体" w:hAnsi="宋体" w:cs="宋体"/>
                <w:bCs/>
                <w:color w:val="auto"/>
                <w:sz w:val="21"/>
                <w:szCs w:val="21"/>
                <w:highlight w:val="none"/>
              </w:rPr>
              <w:t>1.5</w:t>
            </w:r>
            <w:r>
              <w:rPr>
                <w:rFonts w:hint="eastAsia" w:ascii="宋体" w:hAnsi="宋体" w:cs="宋体"/>
                <w:bCs/>
                <w:color w:val="auto"/>
                <w:sz w:val="21"/>
                <w:szCs w:val="21"/>
                <w:highlight w:val="none"/>
              </w:rPr>
              <w:t>分扣完为止。</w:t>
            </w:r>
          </w:p>
        </w:tc>
        <w:tc>
          <w:tcPr>
            <w:tcW w:w="1995" w:type="dxa"/>
          </w:tcPr>
          <w:p w14:paraId="450A8AE3">
            <w:pPr>
              <w:snapToGrid w:val="0"/>
              <w:spacing w:line="240" w:lineRule="exact"/>
              <w:rPr>
                <w:rFonts w:ascii="宋体" w:hAnsi="宋体" w:cs="宋体"/>
                <w:bCs/>
                <w:color w:val="auto"/>
                <w:sz w:val="21"/>
                <w:szCs w:val="21"/>
                <w:highlight w:val="none"/>
              </w:rPr>
            </w:pPr>
          </w:p>
        </w:tc>
      </w:tr>
      <w:tr w14:paraId="464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75" w:type="dxa"/>
            <w:vMerge w:val="continue"/>
            <w:vAlign w:val="center"/>
          </w:tcPr>
          <w:p w14:paraId="22C36787">
            <w:pPr>
              <w:snapToGrid w:val="0"/>
              <w:spacing w:line="400" w:lineRule="exact"/>
              <w:rPr>
                <w:rFonts w:ascii="宋体" w:hAnsi="宋体" w:cs="宋体"/>
                <w:b/>
                <w:bCs/>
                <w:color w:val="auto"/>
                <w:sz w:val="21"/>
                <w:szCs w:val="21"/>
                <w:highlight w:val="none"/>
              </w:rPr>
            </w:pPr>
          </w:p>
        </w:tc>
        <w:tc>
          <w:tcPr>
            <w:tcW w:w="1134" w:type="dxa"/>
            <w:vMerge w:val="continue"/>
            <w:vAlign w:val="center"/>
          </w:tcPr>
          <w:p w14:paraId="24C27FD4">
            <w:pPr>
              <w:snapToGrid w:val="0"/>
              <w:spacing w:line="400" w:lineRule="exact"/>
              <w:rPr>
                <w:rFonts w:ascii="宋体" w:hAnsi="宋体" w:cs="宋体"/>
                <w:b/>
                <w:bCs/>
                <w:color w:val="auto"/>
                <w:sz w:val="21"/>
                <w:szCs w:val="21"/>
                <w:highlight w:val="none"/>
              </w:rPr>
            </w:pPr>
          </w:p>
        </w:tc>
        <w:tc>
          <w:tcPr>
            <w:tcW w:w="724" w:type="dxa"/>
            <w:gridSpan w:val="2"/>
            <w:vMerge w:val="continue"/>
            <w:vAlign w:val="center"/>
          </w:tcPr>
          <w:p w14:paraId="7120A811">
            <w:pPr>
              <w:widowControl/>
              <w:jc w:val="left"/>
              <w:rPr>
                <w:rFonts w:ascii="宋体" w:hAnsi="宋体" w:cs="宋体"/>
                <w:b/>
                <w:bCs/>
                <w:color w:val="auto"/>
                <w:sz w:val="21"/>
                <w:szCs w:val="21"/>
                <w:highlight w:val="none"/>
              </w:rPr>
            </w:pPr>
          </w:p>
        </w:tc>
        <w:tc>
          <w:tcPr>
            <w:tcW w:w="5361" w:type="dxa"/>
          </w:tcPr>
          <w:p w14:paraId="1451557A">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二、项目管理班子人员配备（</w:t>
            </w:r>
            <w:r>
              <w:rPr>
                <w:rFonts w:ascii="宋体" w:hAnsi="宋体" w:cs="宋体"/>
                <w:bCs/>
                <w:color w:val="auto"/>
                <w:sz w:val="21"/>
                <w:szCs w:val="21"/>
                <w:highlight w:val="none"/>
              </w:rPr>
              <w:t>3.5</w:t>
            </w:r>
            <w:r>
              <w:rPr>
                <w:rFonts w:hint="eastAsia" w:ascii="宋体" w:hAnsi="宋体" w:cs="宋体"/>
                <w:bCs/>
                <w:color w:val="auto"/>
                <w:sz w:val="21"/>
                <w:szCs w:val="21"/>
                <w:highlight w:val="none"/>
              </w:rPr>
              <w:t>分）</w:t>
            </w:r>
          </w:p>
          <w:p w14:paraId="6BD13F46">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1.</w:t>
            </w:r>
            <w:r>
              <w:rPr>
                <w:rFonts w:hint="eastAsia" w:ascii="宋体" w:hAnsi="宋体" w:cs="宋体"/>
                <w:bCs/>
                <w:color w:val="auto"/>
                <w:sz w:val="21"/>
                <w:szCs w:val="21"/>
                <w:highlight w:val="none"/>
              </w:rPr>
              <w:t>项目负责人素质、经验（</w:t>
            </w:r>
            <w:r>
              <w:rPr>
                <w:rFonts w:ascii="宋体" w:hAnsi="宋体" w:cs="宋体"/>
                <w:bCs/>
                <w:color w:val="auto"/>
                <w:sz w:val="21"/>
                <w:szCs w:val="21"/>
                <w:highlight w:val="none"/>
              </w:rPr>
              <w:t>2</w:t>
            </w:r>
            <w:r>
              <w:rPr>
                <w:rFonts w:hint="eastAsia" w:ascii="宋体" w:hAnsi="宋体" w:cs="宋体"/>
                <w:bCs/>
                <w:color w:val="auto"/>
                <w:sz w:val="21"/>
                <w:szCs w:val="21"/>
                <w:highlight w:val="none"/>
              </w:rPr>
              <w:t>分）</w:t>
            </w:r>
          </w:p>
          <w:p w14:paraId="525DE22E">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项目负责人经验丰富，同一人同时满足以下条件（取得相关证书日期应在公告发布日期之前）得分</w:t>
            </w:r>
            <w:r>
              <w:rPr>
                <w:rFonts w:ascii="宋体" w:hAnsi="宋体" w:cs="宋体"/>
                <w:bCs/>
                <w:color w:val="auto"/>
                <w:sz w:val="21"/>
                <w:szCs w:val="21"/>
                <w:highlight w:val="none"/>
              </w:rPr>
              <w:t>2</w:t>
            </w:r>
            <w:r>
              <w:rPr>
                <w:rFonts w:hint="eastAsia" w:ascii="宋体" w:hAnsi="宋体" w:cs="宋体"/>
                <w:bCs/>
                <w:color w:val="auto"/>
                <w:sz w:val="21"/>
                <w:szCs w:val="21"/>
                <w:highlight w:val="none"/>
              </w:rPr>
              <w:t>分，不同时满足不得分：</w:t>
            </w:r>
          </w:p>
          <w:p w14:paraId="39A09D76">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a.</w:t>
            </w:r>
            <w:r>
              <w:rPr>
                <w:rFonts w:hint="eastAsia" w:ascii="宋体" w:hAnsi="宋体" w:cs="宋体"/>
                <w:bCs/>
                <w:color w:val="auto"/>
                <w:sz w:val="21"/>
                <w:szCs w:val="21"/>
                <w:highlight w:val="none"/>
              </w:rPr>
              <w:t>具有专科及以上学历</w:t>
            </w:r>
            <w:r>
              <w:rPr>
                <w:rFonts w:ascii="宋体" w:hAnsi="宋体" w:cs="宋体"/>
                <w:bCs/>
                <w:color w:val="auto"/>
                <w:sz w:val="21"/>
                <w:szCs w:val="21"/>
                <w:highlight w:val="none"/>
              </w:rPr>
              <w:t>(</w:t>
            </w:r>
            <w:r>
              <w:rPr>
                <w:rFonts w:hint="eastAsia" w:ascii="宋体" w:hAnsi="宋体" w:cs="宋体"/>
                <w:bCs/>
                <w:color w:val="auto"/>
                <w:sz w:val="21"/>
                <w:szCs w:val="21"/>
                <w:highlight w:val="none"/>
              </w:rPr>
              <w:t>提供毕业证书复印件和学信网查询截图）。</w:t>
            </w:r>
          </w:p>
          <w:p w14:paraId="612E73E1">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b.</w:t>
            </w:r>
            <w:r>
              <w:rPr>
                <w:rFonts w:hint="eastAsia" w:ascii="宋体" w:hAnsi="宋体" w:cs="宋体"/>
                <w:bCs/>
                <w:color w:val="auto"/>
                <w:sz w:val="21"/>
                <w:szCs w:val="21"/>
                <w:highlight w:val="none"/>
              </w:rPr>
              <w:t>具有连续</w:t>
            </w:r>
            <w:r>
              <w:rPr>
                <w:rFonts w:ascii="宋体" w:hAnsi="宋体" w:cs="宋体"/>
                <w:bCs/>
                <w:color w:val="auto"/>
                <w:sz w:val="21"/>
                <w:szCs w:val="21"/>
                <w:highlight w:val="none"/>
              </w:rPr>
              <w:t>5</w:t>
            </w:r>
            <w:r>
              <w:rPr>
                <w:rFonts w:hint="eastAsia" w:ascii="宋体" w:hAnsi="宋体" w:cs="宋体"/>
                <w:bCs/>
                <w:color w:val="auto"/>
                <w:sz w:val="21"/>
                <w:szCs w:val="21"/>
                <w:highlight w:val="none"/>
              </w:rPr>
              <w:t>年高校食堂餐饮管理经验。（提供供应商所服务高校的正式合同复印件加盖供应商鲜章、任职经历证明并加盖供应商所服务高校公章，提供供应商社保缴纳证明材料，连续</w:t>
            </w:r>
            <w:r>
              <w:rPr>
                <w:rFonts w:ascii="宋体" w:hAnsi="宋体" w:cs="宋体"/>
                <w:bCs/>
                <w:color w:val="auto"/>
                <w:sz w:val="21"/>
                <w:szCs w:val="21"/>
                <w:highlight w:val="none"/>
              </w:rPr>
              <w:t>5</w:t>
            </w:r>
            <w:r>
              <w:rPr>
                <w:rFonts w:hint="eastAsia" w:ascii="宋体" w:hAnsi="宋体" w:cs="宋体"/>
                <w:bCs/>
                <w:color w:val="auto"/>
                <w:sz w:val="21"/>
                <w:szCs w:val="21"/>
                <w:highlight w:val="none"/>
              </w:rPr>
              <w:t>年社保）</w:t>
            </w:r>
          </w:p>
          <w:p w14:paraId="60604FCF">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c.</w:t>
            </w:r>
            <w:r>
              <w:rPr>
                <w:rFonts w:hint="eastAsia" w:ascii="宋体" w:hAnsi="宋体" w:cs="宋体"/>
                <w:bCs/>
                <w:color w:val="auto"/>
                <w:sz w:val="21"/>
                <w:szCs w:val="21"/>
                <w:highlight w:val="none"/>
              </w:rPr>
              <w:t>具有高级餐饮职业经理人资格证书（提供证书复印件并加盖供应商公章）。</w:t>
            </w:r>
          </w:p>
          <w:p w14:paraId="690FA045">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d.</w:t>
            </w:r>
            <w:r>
              <w:rPr>
                <w:rFonts w:hint="eastAsia" w:ascii="宋体" w:hAnsi="宋体" w:cs="宋体"/>
                <w:bCs/>
                <w:color w:val="auto"/>
                <w:sz w:val="21"/>
                <w:szCs w:val="21"/>
                <w:highlight w:val="none"/>
                <w:lang w:val="en-US" w:eastAsia="zh-CN"/>
              </w:rPr>
              <w:t>具有省级及以上市场监督管理部门认证认可或颁发的有效的食品安全总监或者食品安全管理员证书（合格证书）。</w:t>
            </w:r>
            <w:r>
              <w:rPr>
                <w:rFonts w:hint="eastAsia" w:ascii="仿宋" w:hAnsi="仿宋" w:eastAsia="仿宋" w:cs="仿宋"/>
                <w:b w:val="0"/>
                <w:bCs w:val="0"/>
                <w:i w:val="0"/>
                <w:iCs w:val="0"/>
                <w:caps w:val="0"/>
                <w:color w:val="333333"/>
                <w:spacing w:val="0"/>
                <w:sz w:val="24"/>
                <w:szCs w:val="24"/>
                <w:highlight w:val="none"/>
                <w:shd w:val="clear" w:color="auto" w:fill="FFFFFF"/>
                <w:lang w:val="en-US" w:eastAsia="zh-CN"/>
              </w:rPr>
              <w:t>（提供证书复印件并加盖供应商公章）。”</w:t>
            </w:r>
            <w:r>
              <w:rPr>
                <w:rFonts w:hint="eastAsia" w:ascii="宋体" w:hAnsi="宋体" w:cs="宋体"/>
                <w:bCs/>
                <w:color w:val="auto"/>
                <w:sz w:val="21"/>
                <w:szCs w:val="21"/>
                <w:highlight w:val="none"/>
              </w:rPr>
              <w:t>。</w:t>
            </w:r>
          </w:p>
          <w:p w14:paraId="04A8B668">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2.</w:t>
            </w:r>
            <w:r>
              <w:rPr>
                <w:rFonts w:hint="eastAsia" w:ascii="宋体" w:hAnsi="宋体" w:cs="宋体"/>
                <w:bCs/>
                <w:color w:val="auto"/>
                <w:sz w:val="21"/>
                <w:szCs w:val="21"/>
                <w:highlight w:val="none"/>
              </w:rPr>
              <w:t>厨师长资质，供应商为本项目配备的厨师长具备人力资源和社会保障部门颁发的一级</w:t>
            </w:r>
            <w:r>
              <w:rPr>
                <w:rFonts w:ascii="宋体" w:hAnsi="宋体" w:cs="宋体"/>
                <w:bCs/>
                <w:color w:val="auto"/>
                <w:sz w:val="21"/>
                <w:szCs w:val="21"/>
                <w:highlight w:val="none"/>
              </w:rPr>
              <w:t>/</w:t>
            </w:r>
            <w:r>
              <w:rPr>
                <w:rFonts w:hint="eastAsia" w:ascii="宋体" w:hAnsi="宋体" w:cs="宋体"/>
                <w:bCs/>
                <w:color w:val="auto"/>
                <w:sz w:val="21"/>
                <w:szCs w:val="21"/>
                <w:highlight w:val="none"/>
              </w:rPr>
              <w:t>高级技师烹调师证书或者一级</w:t>
            </w:r>
            <w:r>
              <w:rPr>
                <w:rFonts w:ascii="宋体" w:hAnsi="宋体" w:cs="宋体"/>
                <w:bCs/>
                <w:color w:val="auto"/>
                <w:sz w:val="21"/>
                <w:szCs w:val="21"/>
                <w:highlight w:val="none"/>
              </w:rPr>
              <w:t>/</w:t>
            </w:r>
            <w:r>
              <w:rPr>
                <w:rFonts w:hint="eastAsia" w:ascii="宋体" w:hAnsi="宋体" w:cs="宋体"/>
                <w:bCs/>
                <w:color w:val="auto"/>
                <w:sz w:val="21"/>
                <w:szCs w:val="21"/>
                <w:highlight w:val="none"/>
              </w:rPr>
              <w:t>高级技师厨师证书，</w:t>
            </w:r>
            <w:r>
              <w:rPr>
                <w:rFonts w:ascii="宋体" w:hAnsi="宋体" w:cs="宋体"/>
                <w:bCs/>
                <w:color w:val="auto"/>
                <w:sz w:val="21"/>
                <w:szCs w:val="21"/>
                <w:highlight w:val="none"/>
              </w:rPr>
              <w:t>0.5</w:t>
            </w:r>
            <w:r>
              <w:rPr>
                <w:rFonts w:hint="eastAsia" w:ascii="宋体" w:hAnsi="宋体" w:cs="宋体"/>
                <w:bCs/>
                <w:color w:val="auto"/>
                <w:sz w:val="21"/>
                <w:szCs w:val="21"/>
                <w:highlight w:val="none"/>
              </w:rPr>
              <w:t>分。提供证书复印并加盖供应商公章。</w:t>
            </w:r>
          </w:p>
          <w:p w14:paraId="6C4F9709">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3.</w:t>
            </w:r>
            <w:r>
              <w:rPr>
                <w:rFonts w:hint="eastAsia" w:ascii="宋体" w:hAnsi="宋体" w:cs="宋体"/>
                <w:bCs/>
                <w:color w:val="auto"/>
                <w:sz w:val="21"/>
                <w:szCs w:val="21"/>
                <w:highlight w:val="none"/>
                <w:lang w:val="en-US" w:eastAsia="zh-CN"/>
              </w:rPr>
              <w:t>供应商为本项目配备的安全员为专科及以上学历同时具备省级及以上市场监督管理部门认证认可或颁发的有效的食品安全员证书（合格证书）得0.5分</w:t>
            </w:r>
            <w:r>
              <w:rPr>
                <w:rFonts w:hint="eastAsia" w:ascii="宋体" w:hAnsi="宋体" w:cs="宋体"/>
                <w:bCs/>
                <w:color w:val="auto"/>
                <w:sz w:val="21"/>
                <w:szCs w:val="21"/>
                <w:highlight w:val="none"/>
              </w:rPr>
              <w:t>。</w:t>
            </w:r>
            <w:r>
              <w:rPr>
                <w:rFonts w:hint="eastAsia" w:ascii="仿宋" w:hAnsi="仿宋" w:eastAsia="仿宋" w:cs="仿宋"/>
                <w:b w:val="0"/>
                <w:bCs w:val="0"/>
                <w:i w:val="0"/>
                <w:iCs w:val="0"/>
                <w:caps w:val="0"/>
                <w:color w:val="333333"/>
                <w:spacing w:val="0"/>
                <w:sz w:val="24"/>
                <w:szCs w:val="24"/>
                <w:highlight w:val="none"/>
                <w:shd w:val="clear" w:color="auto" w:fill="FFFFFF"/>
                <w:lang w:val="en-US" w:eastAsia="zh-CN"/>
              </w:rPr>
              <w:t>提供证书复印并加盖供应商公章。</w:t>
            </w:r>
          </w:p>
          <w:p w14:paraId="050C463B">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4.</w:t>
            </w:r>
            <w:r>
              <w:rPr>
                <w:rFonts w:hint="eastAsia" w:ascii="宋体" w:hAnsi="宋体" w:cs="宋体"/>
                <w:bCs/>
                <w:color w:val="auto"/>
                <w:sz w:val="21"/>
                <w:szCs w:val="21"/>
                <w:highlight w:val="none"/>
              </w:rPr>
              <w:t>供应商承诺投保最低额为</w:t>
            </w:r>
            <w:r>
              <w:rPr>
                <w:rFonts w:ascii="宋体" w:hAnsi="宋体" w:cs="宋体"/>
                <w:bCs/>
                <w:color w:val="auto"/>
                <w:sz w:val="21"/>
                <w:szCs w:val="21"/>
                <w:highlight w:val="none"/>
              </w:rPr>
              <w:t>1000</w:t>
            </w:r>
            <w:r>
              <w:rPr>
                <w:rFonts w:hint="eastAsia" w:ascii="宋体" w:hAnsi="宋体" w:cs="宋体"/>
                <w:bCs/>
                <w:color w:val="auto"/>
                <w:sz w:val="21"/>
                <w:szCs w:val="21"/>
                <w:highlight w:val="none"/>
              </w:rPr>
              <w:t>万元人民币的食品安全责任险（含公众责任险），且每人财产损失险保额不低于</w:t>
            </w:r>
            <w:r>
              <w:rPr>
                <w:rFonts w:ascii="宋体" w:hAnsi="宋体" w:cs="宋体"/>
                <w:bCs/>
                <w:color w:val="auto"/>
                <w:sz w:val="21"/>
                <w:szCs w:val="21"/>
                <w:highlight w:val="none"/>
              </w:rPr>
              <w:t>10</w:t>
            </w:r>
            <w:r>
              <w:rPr>
                <w:rFonts w:hint="eastAsia" w:ascii="宋体" w:hAnsi="宋体" w:cs="宋体"/>
                <w:bCs/>
                <w:color w:val="auto"/>
                <w:sz w:val="21"/>
                <w:szCs w:val="21"/>
                <w:highlight w:val="none"/>
              </w:rPr>
              <w:t>万和人身伤害每人不低于</w:t>
            </w:r>
            <w:r>
              <w:rPr>
                <w:rFonts w:ascii="宋体" w:hAnsi="宋体" w:cs="宋体"/>
                <w:bCs/>
                <w:color w:val="auto"/>
                <w:sz w:val="21"/>
                <w:szCs w:val="21"/>
                <w:highlight w:val="none"/>
              </w:rPr>
              <w:t>50</w:t>
            </w:r>
            <w:r>
              <w:rPr>
                <w:rFonts w:hint="eastAsia" w:ascii="宋体" w:hAnsi="宋体" w:cs="宋体"/>
                <w:bCs/>
                <w:color w:val="auto"/>
                <w:sz w:val="21"/>
                <w:szCs w:val="21"/>
                <w:highlight w:val="none"/>
              </w:rPr>
              <w:t>万，得</w:t>
            </w:r>
            <w:r>
              <w:rPr>
                <w:rFonts w:ascii="宋体" w:hAnsi="宋体" w:cs="宋体"/>
                <w:bCs/>
                <w:color w:val="auto"/>
                <w:sz w:val="21"/>
                <w:szCs w:val="21"/>
                <w:highlight w:val="none"/>
              </w:rPr>
              <w:t>0.5</w:t>
            </w:r>
            <w:r>
              <w:rPr>
                <w:rFonts w:hint="eastAsia" w:ascii="宋体" w:hAnsi="宋体" w:cs="宋体"/>
                <w:bCs/>
                <w:color w:val="auto"/>
                <w:sz w:val="21"/>
                <w:szCs w:val="21"/>
                <w:highlight w:val="none"/>
              </w:rPr>
              <w:t>分。无承诺的，该项得</w:t>
            </w:r>
            <w:r>
              <w:rPr>
                <w:rFonts w:ascii="宋体" w:hAnsi="宋体" w:cs="宋体"/>
                <w:bCs/>
                <w:color w:val="auto"/>
                <w:sz w:val="21"/>
                <w:szCs w:val="21"/>
                <w:highlight w:val="none"/>
              </w:rPr>
              <w:t>0</w:t>
            </w:r>
            <w:r>
              <w:rPr>
                <w:rFonts w:hint="eastAsia" w:ascii="宋体" w:hAnsi="宋体" w:cs="宋体"/>
                <w:bCs/>
                <w:color w:val="auto"/>
                <w:sz w:val="21"/>
                <w:szCs w:val="21"/>
                <w:highlight w:val="none"/>
              </w:rPr>
              <w:t>分。（提供承诺书加盖供应商公章，格式自定）。若开业前成交商未按承诺购买，则由采购人代购，费用由成交商承担（采购人从最近一次营业款中扣除）</w:t>
            </w:r>
          </w:p>
          <w:p w14:paraId="41F2D42F">
            <w:pPr>
              <w:snapToGrid w:val="0"/>
              <w:spacing w:line="240" w:lineRule="exact"/>
              <w:ind w:firstLine="420" w:firstLineChars="200"/>
              <w:rPr>
                <w:rFonts w:ascii="宋体" w:hAnsi="宋体" w:cs="宋体"/>
                <w:bCs/>
                <w:color w:val="auto"/>
                <w:sz w:val="21"/>
                <w:szCs w:val="21"/>
                <w:highlight w:val="none"/>
              </w:rPr>
            </w:pPr>
          </w:p>
        </w:tc>
        <w:tc>
          <w:tcPr>
            <w:tcW w:w="1995" w:type="dxa"/>
          </w:tcPr>
          <w:p w14:paraId="7A7F317F">
            <w:pPr>
              <w:snapToGrid w:val="0"/>
              <w:spacing w:line="240" w:lineRule="exact"/>
              <w:rPr>
                <w:rFonts w:ascii="宋体" w:hAnsi="宋体" w:cs="宋体"/>
                <w:bCs/>
                <w:color w:val="auto"/>
                <w:sz w:val="21"/>
                <w:szCs w:val="21"/>
                <w:highlight w:val="none"/>
              </w:rPr>
            </w:pPr>
          </w:p>
          <w:p w14:paraId="78D1F511">
            <w:pPr>
              <w:snapToGrid w:val="0"/>
              <w:spacing w:line="240" w:lineRule="exact"/>
              <w:rPr>
                <w:rFonts w:ascii="宋体" w:hAnsi="宋体" w:cs="宋体"/>
                <w:bCs/>
                <w:color w:val="auto"/>
                <w:sz w:val="21"/>
                <w:szCs w:val="21"/>
                <w:highlight w:val="none"/>
              </w:rPr>
            </w:pPr>
          </w:p>
          <w:p w14:paraId="415F0BB1">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提供项目管理班子人员劳动合同复印件加盖供应商公章和2025年1月至2025年5月期间连续5个月的养老保险证明材料（复印件加盖供应商公章，原件现场备查）。 提供购买本项目食品安全责任险承诺书原件。</w:t>
            </w:r>
          </w:p>
          <w:p w14:paraId="155463FC">
            <w:pPr>
              <w:snapToGrid w:val="0"/>
              <w:spacing w:line="240" w:lineRule="exact"/>
              <w:rPr>
                <w:rFonts w:ascii="宋体" w:hAnsi="宋体" w:cs="宋体"/>
                <w:color w:val="auto"/>
                <w:sz w:val="21"/>
                <w:szCs w:val="21"/>
                <w:highlight w:val="none"/>
              </w:rPr>
            </w:pPr>
          </w:p>
        </w:tc>
      </w:tr>
      <w:tr w14:paraId="5C61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6"/>
            <w:vAlign w:val="center"/>
          </w:tcPr>
          <w:p w14:paraId="4DBA2648">
            <w:pPr>
              <w:snapToGrid w:val="0"/>
              <w:spacing w:line="400" w:lineRule="exact"/>
              <w:rPr>
                <w:rFonts w:ascii="宋体" w:hAnsi="宋体" w:cs="宋体"/>
                <w:bCs/>
                <w:color w:val="auto"/>
                <w:sz w:val="21"/>
                <w:szCs w:val="21"/>
                <w:highlight w:val="none"/>
              </w:rPr>
            </w:pPr>
            <w:bookmarkStart w:id="137" w:name="OLE_LINK23"/>
            <w:r>
              <w:rPr>
                <w:rFonts w:hint="eastAsia" w:ascii="宋体" w:hAnsi="宋体" w:cs="宋体"/>
                <w:b/>
                <w:color w:val="auto"/>
                <w:sz w:val="21"/>
                <w:szCs w:val="21"/>
                <w:highlight w:val="none"/>
              </w:rPr>
              <w:t>供应商的应答应满足招标文件“第三篇 项目商务要求”，有一条不满足的，商务标分（20分）为0分，且不再进入商务部分的评审。</w:t>
            </w:r>
            <w:bookmarkEnd w:id="137"/>
          </w:p>
        </w:tc>
      </w:tr>
      <w:tr w14:paraId="57DF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75" w:type="dxa"/>
            <w:vMerge w:val="restart"/>
            <w:vAlign w:val="center"/>
          </w:tcPr>
          <w:p w14:paraId="0AD6CCDD">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3</w:t>
            </w:r>
          </w:p>
        </w:tc>
        <w:tc>
          <w:tcPr>
            <w:tcW w:w="1170" w:type="dxa"/>
            <w:gridSpan w:val="2"/>
            <w:vMerge w:val="restart"/>
            <w:vAlign w:val="center"/>
          </w:tcPr>
          <w:p w14:paraId="20C6EEAC">
            <w:pPr>
              <w:ind w:firstLine="28"/>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商务标</w:t>
            </w:r>
          </w:p>
          <w:p w14:paraId="3B33C12B">
            <w:pPr>
              <w:ind w:firstLine="28"/>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得分</w:t>
            </w:r>
          </w:p>
          <w:p w14:paraId="4C9F9AD7">
            <w:pPr>
              <w:ind w:firstLine="28"/>
              <w:jc w:val="center"/>
              <w:rPr>
                <w:rFonts w:ascii="宋体" w:hAnsi="宋体" w:cs="宋体"/>
                <w:color w:val="auto"/>
                <w:sz w:val="21"/>
                <w:szCs w:val="21"/>
                <w:highlight w:val="none"/>
              </w:rPr>
            </w:pPr>
            <w:r>
              <w:rPr>
                <w:rFonts w:hint="eastAsia" w:ascii="宋体" w:hAnsi="宋体" w:cs="宋体"/>
                <w:b/>
                <w:bCs/>
                <w:color w:val="auto"/>
                <w:sz w:val="21"/>
                <w:szCs w:val="21"/>
                <w:highlight w:val="none"/>
              </w:rPr>
              <w:t>(20%)</w:t>
            </w:r>
          </w:p>
        </w:tc>
        <w:tc>
          <w:tcPr>
            <w:tcW w:w="688" w:type="dxa"/>
            <w:vMerge w:val="restart"/>
            <w:vAlign w:val="center"/>
          </w:tcPr>
          <w:p w14:paraId="41E0FF9E">
            <w:pPr>
              <w:ind w:firstLine="28"/>
              <w:jc w:val="center"/>
              <w:rPr>
                <w:rFonts w:ascii="宋体" w:hAnsi="宋体" w:cs="宋体"/>
                <w:color w:val="auto"/>
                <w:sz w:val="21"/>
                <w:szCs w:val="21"/>
                <w:highlight w:val="none"/>
              </w:rPr>
            </w:pPr>
            <w:r>
              <w:rPr>
                <w:rFonts w:hint="eastAsia" w:ascii="宋体" w:hAnsi="宋体" w:cs="宋体"/>
                <w:b/>
                <w:bCs/>
                <w:color w:val="auto"/>
                <w:sz w:val="21"/>
                <w:szCs w:val="21"/>
                <w:highlight w:val="none"/>
              </w:rPr>
              <w:t>20分</w:t>
            </w:r>
          </w:p>
        </w:tc>
        <w:tc>
          <w:tcPr>
            <w:tcW w:w="5361" w:type="dxa"/>
          </w:tcPr>
          <w:p w14:paraId="6FDA3AEE">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一、企业实力（</w:t>
            </w:r>
            <w:r>
              <w:rPr>
                <w:rFonts w:ascii="宋体" w:hAnsi="宋体" w:cs="宋体"/>
                <w:bCs/>
                <w:color w:val="auto"/>
                <w:sz w:val="21"/>
                <w:szCs w:val="21"/>
                <w:highlight w:val="none"/>
              </w:rPr>
              <w:t>2.5</w:t>
            </w:r>
            <w:r>
              <w:rPr>
                <w:rFonts w:hint="eastAsia" w:ascii="宋体" w:hAnsi="宋体" w:cs="宋体"/>
                <w:bCs/>
                <w:color w:val="auto"/>
                <w:sz w:val="21"/>
                <w:szCs w:val="21"/>
                <w:highlight w:val="none"/>
              </w:rPr>
              <w:t>分）</w:t>
            </w:r>
          </w:p>
          <w:p w14:paraId="50455E28">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1.</w:t>
            </w:r>
            <w:r>
              <w:rPr>
                <w:rFonts w:hint="eastAsia" w:ascii="宋体" w:hAnsi="宋体" w:cs="宋体"/>
                <w:bCs/>
                <w:color w:val="auto"/>
                <w:sz w:val="21"/>
                <w:szCs w:val="21"/>
                <w:highlight w:val="none"/>
              </w:rPr>
              <w:t>本招标文件发布之日前通过</w:t>
            </w:r>
            <w:r>
              <w:rPr>
                <w:rFonts w:ascii="宋体" w:hAnsi="宋体" w:cs="宋体"/>
                <w:bCs/>
                <w:color w:val="auto"/>
                <w:sz w:val="21"/>
                <w:szCs w:val="21"/>
                <w:highlight w:val="none"/>
              </w:rPr>
              <w:t xml:space="preserve">IS09001 </w:t>
            </w:r>
            <w:r>
              <w:rPr>
                <w:rFonts w:hint="eastAsia" w:ascii="宋体" w:hAnsi="宋体" w:cs="宋体"/>
                <w:bCs/>
                <w:color w:val="auto"/>
                <w:sz w:val="21"/>
                <w:szCs w:val="21"/>
                <w:highlight w:val="none"/>
              </w:rPr>
              <w:t>质量管理体系认证并承诺按此规范管理的得</w:t>
            </w:r>
            <w:r>
              <w:rPr>
                <w:rFonts w:ascii="宋体" w:hAnsi="宋体" w:cs="宋体"/>
                <w:bCs/>
                <w:color w:val="auto"/>
                <w:sz w:val="21"/>
                <w:szCs w:val="21"/>
                <w:highlight w:val="none"/>
              </w:rPr>
              <w:t>0.1</w:t>
            </w:r>
            <w:r>
              <w:rPr>
                <w:rFonts w:hint="eastAsia" w:ascii="宋体" w:hAnsi="宋体" w:cs="宋体"/>
                <w:bCs/>
                <w:color w:val="auto"/>
                <w:sz w:val="21"/>
                <w:szCs w:val="21"/>
                <w:highlight w:val="none"/>
              </w:rPr>
              <w:t>分。</w:t>
            </w:r>
          </w:p>
          <w:p w14:paraId="560B339A">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2.</w:t>
            </w:r>
            <w:r>
              <w:rPr>
                <w:rFonts w:hint="eastAsia" w:ascii="宋体" w:hAnsi="宋体" w:cs="宋体"/>
                <w:bCs/>
                <w:color w:val="auto"/>
                <w:sz w:val="21"/>
                <w:szCs w:val="21"/>
                <w:highlight w:val="none"/>
              </w:rPr>
              <w:t>本招标文件发布之日前通过</w:t>
            </w:r>
            <w:r>
              <w:rPr>
                <w:rFonts w:ascii="宋体" w:hAnsi="宋体" w:cs="宋体"/>
                <w:bCs/>
                <w:color w:val="auto"/>
                <w:sz w:val="21"/>
                <w:szCs w:val="21"/>
                <w:highlight w:val="none"/>
              </w:rPr>
              <w:t>IS014001</w:t>
            </w:r>
            <w:r>
              <w:rPr>
                <w:rFonts w:hint="eastAsia" w:ascii="宋体" w:hAnsi="宋体" w:cs="宋体"/>
                <w:bCs/>
                <w:color w:val="auto"/>
                <w:sz w:val="21"/>
                <w:szCs w:val="21"/>
                <w:highlight w:val="none"/>
              </w:rPr>
              <w:t>环境管理体系认证并承诺按此规范管理的得</w:t>
            </w:r>
            <w:r>
              <w:rPr>
                <w:rFonts w:ascii="宋体" w:hAnsi="宋体" w:cs="宋体"/>
                <w:bCs/>
                <w:color w:val="auto"/>
                <w:sz w:val="21"/>
                <w:szCs w:val="21"/>
                <w:highlight w:val="none"/>
              </w:rPr>
              <w:t>0.1</w:t>
            </w:r>
            <w:r>
              <w:rPr>
                <w:rFonts w:hint="eastAsia" w:ascii="宋体" w:hAnsi="宋体" w:cs="宋体"/>
                <w:bCs/>
                <w:color w:val="auto"/>
                <w:sz w:val="21"/>
                <w:szCs w:val="21"/>
                <w:highlight w:val="none"/>
              </w:rPr>
              <w:t>分。</w:t>
            </w:r>
          </w:p>
          <w:p w14:paraId="2B3C9A2D">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3.</w:t>
            </w:r>
            <w:r>
              <w:rPr>
                <w:rFonts w:hint="eastAsia" w:ascii="宋体" w:hAnsi="宋体" w:cs="宋体"/>
                <w:bCs/>
                <w:color w:val="auto"/>
                <w:sz w:val="21"/>
                <w:szCs w:val="21"/>
                <w:highlight w:val="none"/>
              </w:rPr>
              <w:t>本招标文件发布之日前通过</w:t>
            </w:r>
            <w:r>
              <w:rPr>
                <w:rFonts w:ascii="宋体" w:hAnsi="宋体" w:cs="宋体"/>
                <w:bCs/>
                <w:color w:val="auto"/>
                <w:sz w:val="21"/>
                <w:szCs w:val="21"/>
                <w:highlight w:val="none"/>
              </w:rPr>
              <w:t>IS045001</w:t>
            </w:r>
            <w:r>
              <w:rPr>
                <w:rFonts w:hint="eastAsia" w:ascii="宋体" w:hAnsi="宋体" w:cs="宋体"/>
                <w:bCs/>
                <w:color w:val="auto"/>
                <w:sz w:val="21"/>
                <w:szCs w:val="21"/>
                <w:highlight w:val="none"/>
              </w:rPr>
              <w:t>职业健康安全管理体系认证并承诺按此规范管理的得</w:t>
            </w:r>
            <w:r>
              <w:rPr>
                <w:rFonts w:ascii="宋体" w:hAnsi="宋体" w:cs="宋体"/>
                <w:bCs/>
                <w:color w:val="auto"/>
                <w:sz w:val="21"/>
                <w:szCs w:val="21"/>
                <w:highlight w:val="none"/>
              </w:rPr>
              <w:t>0.1</w:t>
            </w:r>
            <w:r>
              <w:rPr>
                <w:rFonts w:hint="eastAsia" w:ascii="宋体" w:hAnsi="宋体" w:cs="宋体"/>
                <w:bCs/>
                <w:color w:val="auto"/>
                <w:sz w:val="21"/>
                <w:szCs w:val="21"/>
                <w:highlight w:val="none"/>
              </w:rPr>
              <w:t>分。</w:t>
            </w:r>
          </w:p>
          <w:p w14:paraId="3F8C68F6">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4.</w:t>
            </w:r>
            <w:r>
              <w:rPr>
                <w:rFonts w:hint="eastAsia" w:ascii="宋体" w:hAnsi="宋体" w:cs="宋体"/>
                <w:bCs/>
                <w:color w:val="auto"/>
                <w:sz w:val="21"/>
                <w:szCs w:val="21"/>
                <w:highlight w:val="none"/>
              </w:rPr>
              <w:t>本招标文件发布之日前通过</w:t>
            </w:r>
            <w:r>
              <w:rPr>
                <w:rFonts w:ascii="宋体" w:hAnsi="宋体" w:cs="宋体"/>
                <w:bCs/>
                <w:color w:val="auto"/>
                <w:sz w:val="21"/>
                <w:szCs w:val="21"/>
                <w:highlight w:val="none"/>
              </w:rPr>
              <w:t>GB/T27306/IS022000</w:t>
            </w:r>
            <w:r>
              <w:rPr>
                <w:rFonts w:hint="eastAsia" w:ascii="宋体" w:hAnsi="宋体" w:cs="宋体"/>
                <w:bCs/>
                <w:color w:val="auto"/>
                <w:sz w:val="21"/>
                <w:szCs w:val="21"/>
                <w:highlight w:val="none"/>
              </w:rPr>
              <w:t>食品安全管理体系认证并承诺按此规范管理的得</w:t>
            </w:r>
            <w:r>
              <w:rPr>
                <w:rFonts w:ascii="宋体" w:hAnsi="宋体" w:cs="宋体"/>
                <w:bCs/>
                <w:color w:val="auto"/>
                <w:sz w:val="21"/>
                <w:szCs w:val="21"/>
                <w:highlight w:val="none"/>
              </w:rPr>
              <w:t>0.1</w:t>
            </w:r>
            <w:r>
              <w:rPr>
                <w:rFonts w:hint="eastAsia" w:ascii="宋体" w:hAnsi="宋体" w:cs="宋体"/>
                <w:bCs/>
                <w:color w:val="auto"/>
                <w:sz w:val="21"/>
                <w:szCs w:val="21"/>
                <w:highlight w:val="none"/>
              </w:rPr>
              <w:t>分。</w:t>
            </w:r>
          </w:p>
          <w:p w14:paraId="2C6E393E">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5.</w:t>
            </w:r>
            <w:r>
              <w:rPr>
                <w:rFonts w:hint="eastAsia" w:ascii="宋体" w:hAnsi="宋体" w:cs="宋体"/>
                <w:bCs/>
                <w:color w:val="auto"/>
                <w:sz w:val="21"/>
                <w:szCs w:val="21"/>
                <w:highlight w:val="none"/>
              </w:rPr>
              <w:t>招标文件发布之日前通过</w:t>
            </w:r>
            <w:r>
              <w:rPr>
                <w:rFonts w:ascii="宋体" w:hAnsi="宋体" w:cs="宋体"/>
                <w:bCs/>
                <w:color w:val="auto"/>
                <w:sz w:val="21"/>
                <w:szCs w:val="21"/>
                <w:highlight w:val="none"/>
              </w:rPr>
              <w:t>HACCP</w:t>
            </w:r>
            <w:r>
              <w:rPr>
                <w:rFonts w:hint="eastAsia" w:ascii="宋体" w:hAnsi="宋体" w:cs="宋体"/>
                <w:bCs/>
                <w:color w:val="auto"/>
                <w:sz w:val="21"/>
                <w:szCs w:val="21"/>
                <w:highlight w:val="none"/>
              </w:rPr>
              <w:t>危害分析与关键控制点体系认证并承诺按此规范管理的得</w:t>
            </w:r>
            <w:r>
              <w:rPr>
                <w:rFonts w:ascii="宋体" w:hAnsi="宋体" w:cs="宋体"/>
                <w:bCs/>
                <w:color w:val="auto"/>
                <w:sz w:val="21"/>
                <w:szCs w:val="21"/>
                <w:highlight w:val="none"/>
              </w:rPr>
              <w:t>0.1</w:t>
            </w:r>
            <w:r>
              <w:rPr>
                <w:rFonts w:hint="eastAsia" w:ascii="宋体" w:hAnsi="宋体" w:cs="宋体"/>
                <w:bCs/>
                <w:color w:val="auto"/>
                <w:sz w:val="21"/>
                <w:szCs w:val="21"/>
                <w:highlight w:val="none"/>
              </w:rPr>
              <w:t>分。</w:t>
            </w:r>
          </w:p>
          <w:p w14:paraId="156668F9">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6.</w:t>
            </w:r>
            <w:r>
              <w:rPr>
                <w:rFonts w:hint="eastAsia" w:ascii="宋体" w:hAnsi="宋体" w:cs="宋体"/>
                <w:bCs/>
                <w:color w:val="auto"/>
                <w:sz w:val="21"/>
                <w:szCs w:val="21"/>
                <w:highlight w:val="none"/>
              </w:rPr>
              <w:t>投标人与员工直接签订劳动合同并直接为员工购买社保人数小于</w:t>
            </w:r>
            <w:r>
              <w:rPr>
                <w:rFonts w:ascii="宋体" w:hAnsi="宋体" w:cs="宋体"/>
                <w:bCs/>
                <w:color w:val="auto"/>
                <w:sz w:val="21"/>
                <w:szCs w:val="21"/>
                <w:highlight w:val="none"/>
              </w:rPr>
              <w:t>40</w:t>
            </w:r>
            <w:r>
              <w:rPr>
                <w:rFonts w:hint="eastAsia" w:ascii="宋体" w:hAnsi="宋体" w:cs="宋体"/>
                <w:bCs/>
                <w:color w:val="auto"/>
                <w:sz w:val="21"/>
                <w:szCs w:val="21"/>
                <w:highlight w:val="none"/>
              </w:rPr>
              <w:t>人的</w:t>
            </w:r>
            <w:bookmarkStart w:id="138" w:name="OLE_LINK24"/>
            <w:r>
              <w:rPr>
                <w:rFonts w:hint="eastAsia" w:ascii="宋体" w:hAnsi="宋体" w:cs="宋体"/>
                <w:bCs/>
                <w:color w:val="auto"/>
                <w:sz w:val="21"/>
                <w:szCs w:val="21"/>
                <w:highlight w:val="none"/>
              </w:rPr>
              <w:t>得</w:t>
            </w:r>
            <w:r>
              <w:rPr>
                <w:rFonts w:ascii="宋体" w:hAnsi="宋体" w:cs="宋体"/>
                <w:bCs/>
                <w:color w:val="auto"/>
                <w:sz w:val="21"/>
                <w:szCs w:val="21"/>
                <w:highlight w:val="none"/>
              </w:rPr>
              <w:t>0</w:t>
            </w:r>
            <w:r>
              <w:rPr>
                <w:rFonts w:hint="eastAsia" w:ascii="宋体" w:hAnsi="宋体" w:cs="宋体"/>
                <w:bCs/>
                <w:color w:val="auto"/>
                <w:sz w:val="21"/>
                <w:szCs w:val="21"/>
                <w:highlight w:val="none"/>
              </w:rPr>
              <w:t>分</w:t>
            </w:r>
            <w:bookmarkEnd w:id="138"/>
            <w:r>
              <w:rPr>
                <w:rFonts w:hint="eastAsia" w:ascii="宋体" w:hAnsi="宋体" w:cs="宋体"/>
                <w:bCs/>
                <w:color w:val="auto"/>
                <w:sz w:val="21"/>
                <w:szCs w:val="21"/>
                <w:highlight w:val="none"/>
              </w:rPr>
              <w:t>，</w:t>
            </w:r>
            <w:r>
              <w:rPr>
                <w:rFonts w:ascii="宋体" w:hAnsi="宋体" w:cs="宋体"/>
                <w:bCs/>
                <w:color w:val="auto"/>
                <w:sz w:val="21"/>
                <w:szCs w:val="21"/>
                <w:highlight w:val="none"/>
              </w:rPr>
              <w:t>41</w:t>
            </w:r>
            <w:r>
              <w:rPr>
                <w:rFonts w:hint="eastAsia" w:ascii="宋体" w:hAnsi="宋体" w:cs="宋体"/>
                <w:bCs/>
                <w:color w:val="auto"/>
                <w:sz w:val="21"/>
                <w:szCs w:val="21"/>
                <w:highlight w:val="none"/>
              </w:rPr>
              <w:t>人（含）</w:t>
            </w:r>
            <w:r>
              <w:rPr>
                <w:rFonts w:ascii="宋体" w:hAnsi="宋体" w:cs="宋体"/>
                <w:bCs/>
                <w:color w:val="auto"/>
                <w:sz w:val="21"/>
                <w:szCs w:val="21"/>
                <w:highlight w:val="none"/>
              </w:rPr>
              <w:t>-80</w:t>
            </w:r>
            <w:r>
              <w:rPr>
                <w:rFonts w:hint="eastAsia" w:ascii="宋体" w:hAnsi="宋体" w:cs="宋体"/>
                <w:bCs/>
                <w:color w:val="auto"/>
                <w:sz w:val="21"/>
                <w:szCs w:val="21"/>
                <w:highlight w:val="none"/>
              </w:rPr>
              <w:t>人（不含）得</w:t>
            </w:r>
            <w:r>
              <w:rPr>
                <w:rFonts w:ascii="宋体" w:hAnsi="宋体" w:cs="宋体"/>
                <w:bCs/>
                <w:color w:val="auto"/>
                <w:sz w:val="21"/>
                <w:szCs w:val="21"/>
                <w:highlight w:val="none"/>
              </w:rPr>
              <w:t>0.5</w:t>
            </w:r>
            <w:r>
              <w:rPr>
                <w:rFonts w:hint="eastAsia" w:ascii="宋体" w:hAnsi="宋体" w:cs="宋体"/>
                <w:bCs/>
                <w:color w:val="auto"/>
                <w:sz w:val="21"/>
                <w:szCs w:val="21"/>
                <w:highlight w:val="none"/>
              </w:rPr>
              <w:t>分，</w:t>
            </w:r>
            <w:r>
              <w:rPr>
                <w:rFonts w:ascii="宋体" w:hAnsi="宋体" w:cs="宋体"/>
                <w:bCs/>
                <w:color w:val="auto"/>
                <w:sz w:val="21"/>
                <w:szCs w:val="21"/>
                <w:highlight w:val="none"/>
              </w:rPr>
              <w:t>80</w:t>
            </w:r>
            <w:r>
              <w:rPr>
                <w:rFonts w:hint="eastAsia" w:ascii="宋体" w:hAnsi="宋体" w:cs="宋体"/>
                <w:bCs/>
                <w:color w:val="auto"/>
                <w:sz w:val="21"/>
                <w:szCs w:val="21"/>
                <w:highlight w:val="none"/>
              </w:rPr>
              <w:t>人（含）</w:t>
            </w:r>
            <w:r>
              <w:rPr>
                <w:rFonts w:ascii="宋体" w:hAnsi="宋体" w:cs="宋体"/>
                <w:bCs/>
                <w:color w:val="auto"/>
                <w:sz w:val="21"/>
                <w:szCs w:val="21"/>
                <w:highlight w:val="none"/>
              </w:rPr>
              <w:t>-120</w:t>
            </w:r>
            <w:r>
              <w:rPr>
                <w:rFonts w:hint="eastAsia" w:ascii="宋体" w:hAnsi="宋体" w:cs="宋体"/>
                <w:bCs/>
                <w:color w:val="auto"/>
                <w:sz w:val="21"/>
                <w:szCs w:val="21"/>
                <w:highlight w:val="none"/>
              </w:rPr>
              <w:t>人（不含）得</w:t>
            </w:r>
            <w:r>
              <w:rPr>
                <w:rFonts w:ascii="宋体" w:hAnsi="宋体" w:cs="宋体"/>
                <w:bCs/>
                <w:color w:val="auto"/>
                <w:sz w:val="21"/>
                <w:szCs w:val="21"/>
                <w:highlight w:val="none"/>
              </w:rPr>
              <w:t>1</w:t>
            </w:r>
            <w:r>
              <w:rPr>
                <w:rFonts w:hint="eastAsia" w:ascii="宋体" w:hAnsi="宋体" w:cs="宋体"/>
                <w:bCs/>
                <w:color w:val="auto"/>
                <w:sz w:val="21"/>
                <w:szCs w:val="21"/>
                <w:highlight w:val="none"/>
              </w:rPr>
              <w:t>分，</w:t>
            </w:r>
            <w:r>
              <w:rPr>
                <w:rFonts w:ascii="宋体" w:hAnsi="宋体" w:cs="宋体"/>
                <w:bCs/>
                <w:color w:val="auto"/>
                <w:sz w:val="21"/>
                <w:szCs w:val="21"/>
                <w:highlight w:val="none"/>
              </w:rPr>
              <w:t>120</w:t>
            </w:r>
            <w:r>
              <w:rPr>
                <w:rFonts w:hint="eastAsia" w:ascii="宋体" w:hAnsi="宋体" w:cs="宋体"/>
                <w:bCs/>
                <w:color w:val="auto"/>
                <w:sz w:val="21"/>
                <w:szCs w:val="21"/>
                <w:highlight w:val="none"/>
              </w:rPr>
              <w:t>人（含）</w:t>
            </w:r>
            <w:r>
              <w:rPr>
                <w:rFonts w:ascii="宋体" w:hAnsi="宋体" w:cs="宋体"/>
                <w:bCs/>
                <w:color w:val="auto"/>
                <w:sz w:val="21"/>
                <w:szCs w:val="21"/>
                <w:highlight w:val="none"/>
              </w:rPr>
              <w:t>-200</w:t>
            </w:r>
            <w:r>
              <w:rPr>
                <w:rFonts w:hint="eastAsia" w:ascii="宋体" w:hAnsi="宋体" w:cs="宋体"/>
                <w:bCs/>
                <w:color w:val="auto"/>
                <w:sz w:val="21"/>
                <w:szCs w:val="21"/>
                <w:highlight w:val="none"/>
              </w:rPr>
              <w:t>人（不含）得</w:t>
            </w:r>
            <w:r>
              <w:rPr>
                <w:rFonts w:ascii="宋体" w:hAnsi="宋体" w:cs="宋体"/>
                <w:bCs/>
                <w:color w:val="auto"/>
                <w:sz w:val="21"/>
                <w:szCs w:val="21"/>
                <w:highlight w:val="none"/>
              </w:rPr>
              <w:t>1.5</w:t>
            </w:r>
            <w:r>
              <w:rPr>
                <w:rFonts w:hint="eastAsia" w:ascii="宋体" w:hAnsi="宋体" w:cs="宋体"/>
                <w:bCs/>
                <w:color w:val="auto"/>
                <w:sz w:val="21"/>
                <w:szCs w:val="21"/>
                <w:highlight w:val="none"/>
              </w:rPr>
              <w:t>分，</w:t>
            </w:r>
            <w:r>
              <w:rPr>
                <w:rFonts w:ascii="宋体" w:hAnsi="宋体" w:cs="宋体"/>
                <w:bCs/>
                <w:color w:val="auto"/>
                <w:sz w:val="21"/>
                <w:szCs w:val="21"/>
                <w:highlight w:val="none"/>
              </w:rPr>
              <w:t>200</w:t>
            </w:r>
            <w:r>
              <w:rPr>
                <w:rFonts w:hint="eastAsia" w:ascii="宋体" w:hAnsi="宋体" w:cs="宋体"/>
                <w:bCs/>
                <w:color w:val="auto"/>
                <w:sz w:val="21"/>
                <w:szCs w:val="21"/>
                <w:highlight w:val="none"/>
              </w:rPr>
              <w:t>人及以上的得</w:t>
            </w:r>
            <w:r>
              <w:rPr>
                <w:rFonts w:ascii="宋体" w:hAnsi="宋体" w:cs="宋体"/>
                <w:bCs/>
                <w:color w:val="auto"/>
                <w:sz w:val="21"/>
                <w:szCs w:val="21"/>
                <w:highlight w:val="none"/>
              </w:rPr>
              <w:t>2</w:t>
            </w:r>
            <w:r>
              <w:rPr>
                <w:rFonts w:hint="eastAsia" w:ascii="宋体" w:hAnsi="宋体" w:cs="宋体"/>
                <w:bCs/>
                <w:color w:val="auto"/>
                <w:sz w:val="21"/>
                <w:szCs w:val="21"/>
                <w:highlight w:val="none"/>
              </w:rPr>
              <w:t>分。</w:t>
            </w:r>
            <w:r>
              <w:rPr>
                <w:rFonts w:ascii="宋体" w:hAnsi="宋体" w:cs="宋体"/>
                <w:bCs/>
                <w:color w:val="auto"/>
                <w:sz w:val="21"/>
                <w:szCs w:val="21"/>
                <w:highlight w:val="none"/>
              </w:rPr>
              <w:t>(</w:t>
            </w:r>
            <w:r>
              <w:rPr>
                <w:rFonts w:hint="eastAsia" w:ascii="宋体" w:hAnsi="宋体" w:cs="宋体"/>
                <w:bCs/>
                <w:color w:val="auto"/>
                <w:sz w:val="21"/>
                <w:szCs w:val="21"/>
                <w:highlight w:val="none"/>
              </w:rPr>
              <w:t>提供参保员工名单并加盖公章，提供</w:t>
            </w:r>
            <w:r>
              <w:rPr>
                <w:rFonts w:ascii="宋体" w:hAnsi="宋体" w:cs="宋体"/>
                <w:bCs/>
                <w:color w:val="auto"/>
                <w:sz w:val="21"/>
                <w:szCs w:val="21"/>
                <w:highlight w:val="none"/>
              </w:rPr>
              <w:t>2025</w:t>
            </w:r>
            <w:r>
              <w:rPr>
                <w:rFonts w:hint="eastAsia" w:ascii="宋体" w:hAnsi="宋体" w:cs="宋体"/>
                <w:bCs/>
                <w:color w:val="auto"/>
                <w:sz w:val="21"/>
                <w:szCs w:val="21"/>
                <w:highlight w:val="none"/>
              </w:rPr>
              <w:t>年</w:t>
            </w:r>
            <w:r>
              <w:rPr>
                <w:rFonts w:ascii="宋体" w:hAnsi="宋体" w:cs="宋体"/>
                <w:bCs/>
                <w:color w:val="auto"/>
                <w:sz w:val="21"/>
                <w:szCs w:val="21"/>
                <w:highlight w:val="none"/>
              </w:rPr>
              <w:t>1</w:t>
            </w:r>
            <w:r>
              <w:rPr>
                <w:rFonts w:hint="eastAsia" w:ascii="宋体" w:hAnsi="宋体" w:cs="宋体"/>
                <w:bCs/>
                <w:color w:val="auto"/>
                <w:sz w:val="21"/>
                <w:szCs w:val="21"/>
                <w:highlight w:val="none"/>
              </w:rPr>
              <w:t>月</w:t>
            </w:r>
            <w:r>
              <w:rPr>
                <w:rFonts w:ascii="宋体" w:hAnsi="宋体" w:cs="宋体"/>
                <w:bCs/>
                <w:color w:val="auto"/>
                <w:sz w:val="21"/>
                <w:szCs w:val="21"/>
                <w:highlight w:val="none"/>
              </w:rPr>
              <w:t>-5</w:t>
            </w:r>
            <w:r>
              <w:rPr>
                <w:rFonts w:hint="eastAsia" w:ascii="宋体" w:hAnsi="宋体" w:cs="宋体"/>
                <w:bCs/>
                <w:color w:val="auto"/>
                <w:sz w:val="21"/>
                <w:szCs w:val="21"/>
                <w:highlight w:val="none"/>
              </w:rPr>
              <w:t>月的每月社保缴纳的银行转账证明</w:t>
            </w:r>
            <w:r>
              <w:rPr>
                <w:rFonts w:ascii="宋体" w:hAnsi="宋体" w:cs="宋体"/>
                <w:bCs/>
                <w:color w:val="auto"/>
                <w:sz w:val="21"/>
                <w:szCs w:val="21"/>
                <w:highlight w:val="none"/>
              </w:rPr>
              <w:t>)</w:t>
            </w:r>
          </w:p>
        </w:tc>
        <w:tc>
          <w:tcPr>
            <w:tcW w:w="1995" w:type="dxa"/>
          </w:tcPr>
          <w:p w14:paraId="5E0171A5">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除提供以上证书复印件（加盖供应商公章）和按相关体系认证规范管理承诺书外，还需提供“国家认证认可监督管理委员会”官方网站公布的信息资料截图（加盖供应商公章）作为佐证</w:t>
            </w:r>
          </w:p>
          <w:p w14:paraId="27F8986B">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【以</w:t>
            </w:r>
          </w:p>
          <w:p w14:paraId="3727866A">
            <w:pPr>
              <w:snapToGrid w:val="0"/>
              <w:spacing w:line="240" w:lineRule="exact"/>
              <w:rPr>
                <w:rFonts w:ascii="宋体" w:hAnsi="宋体" w:cs="宋体"/>
                <w:color w:val="auto"/>
                <w:sz w:val="21"/>
                <w:szCs w:val="21"/>
                <w:highlight w:val="none"/>
              </w:rPr>
            </w:pPr>
            <w:r>
              <w:rPr>
                <w:rFonts w:hint="eastAsia" w:ascii="宋体" w:hAnsi="宋体" w:cs="宋体"/>
                <w:bCs/>
                <w:color w:val="auto"/>
                <w:sz w:val="21"/>
                <w:szCs w:val="21"/>
                <w:highlight w:val="none"/>
              </w:rPr>
              <w:t>http://www.cnca.gov.cn/网站公布为准】，已失效或撤销或暂停或不一致的不得分。</w:t>
            </w:r>
          </w:p>
          <w:p w14:paraId="5480A631">
            <w:pPr>
              <w:snapToGrid w:val="0"/>
              <w:spacing w:line="240" w:lineRule="exact"/>
              <w:rPr>
                <w:rFonts w:ascii="宋体" w:hAnsi="宋体" w:cs="宋体"/>
                <w:bCs/>
                <w:color w:val="auto"/>
                <w:sz w:val="21"/>
                <w:szCs w:val="21"/>
                <w:highlight w:val="none"/>
              </w:rPr>
            </w:pPr>
          </w:p>
        </w:tc>
      </w:tr>
      <w:tr w14:paraId="373E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75" w:type="dxa"/>
            <w:vMerge w:val="continue"/>
            <w:vAlign w:val="center"/>
          </w:tcPr>
          <w:p w14:paraId="4C506917">
            <w:pPr>
              <w:jc w:val="center"/>
              <w:rPr>
                <w:rFonts w:ascii="宋体" w:hAnsi="宋体" w:cs="宋体"/>
                <w:b/>
                <w:bCs/>
                <w:color w:val="auto"/>
                <w:sz w:val="21"/>
                <w:szCs w:val="21"/>
                <w:highlight w:val="none"/>
              </w:rPr>
            </w:pPr>
          </w:p>
        </w:tc>
        <w:tc>
          <w:tcPr>
            <w:tcW w:w="1170" w:type="dxa"/>
            <w:gridSpan w:val="2"/>
            <w:vMerge w:val="continue"/>
            <w:vAlign w:val="center"/>
          </w:tcPr>
          <w:p w14:paraId="5BA5F6C9">
            <w:pPr>
              <w:ind w:firstLine="28"/>
              <w:jc w:val="center"/>
              <w:rPr>
                <w:rFonts w:ascii="宋体" w:hAnsi="宋体" w:cs="宋体"/>
                <w:b/>
                <w:bCs/>
                <w:color w:val="auto"/>
                <w:sz w:val="21"/>
                <w:szCs w:val="21"/>
                <w:highlight w:val="none"/>
              </w:rPr>
            </w:pPr>
          </w:p>
        </w:tc>
        <w:tc>
          <w:tcPr>
            <w:tcW w:w="688" w:type="dxa"/>
            <w:vMerge w:val="continue"/>
            <w:vAlign w:val="center"/>
          </w:tcPr>
          <w:p w14:paraId="0ED635A3">
            <w:pPr>
              <w:ind w:firstLine="28"/>
              <w:jc w:val="center"/>
              <w:rPr>
                <w:rFonts w:ascii="宋体" w:hAnsi="宋体" w:cs="宋体"/>
                <w:b/>
                <w:bCs/>
                <w:color w:val="auto"/>
                <w:sz w:val="21"/>
                <w:szCs w:val="21"/>
                <w:highlight w:val="none"/>
              </w:rPr>
            </w:pPr>
          </w:p>
        </w:tc>
        <w:tc>
          <w:tcPr>
            <w:tcW w:w="5361" w:type="dxa"/>
            <w:tcBorders>
              <w:top w:val="single" w:color="auto" w:sz="4" w:space="0"/>
            </w:tcBorders>
          </w:tcPr>
          <w:p w14:paraId="0476A8B1">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二</w:t>
            </w:r>
            <w:r>
              <w:rPr>
                <w:rFonts w:hint="eastAsia" w:ascii="宋体" w:hAnsi="宋体" w:cs="宋体"/>
                <w:bCs/>
                <w:color w:val="auto"/>
                <w:sz w:val="21"/>
                <w:szCs w:val="21"/>
                <w:highlight w:val="none"/>
              </w:rPr>
              <w:t>、供应商经济实力和财务状况（</w:t>
            </w:r>
            <w:r>
              <w:rPr>
                <w:rFonts w:ascii="宋体" w:hAnsi="宋体" w:cs="宋体"/>
                <w:bCs/>
                <w:color w:val="auto"/>
                <w:sz w:val="21"/>
                <w:szCs w:val="21"/>
                <w:highlight w:val="none"/>
              </w:rPr>
              <w:t>5.5</w:t>
            </w:r>
            <w:r>
              <w:rPr>
                <w:rFonts w:hint="eastAsia" w:ascii="宋体" w:hAnsi="宋体" w:cs="宋体"/>
                <w:bCs/>
                <w:color w:val="auto"/>
                <w:sz w:val="21"/>
                <w:szCs w:val="21"/>
                <w:highlight w:val="none"/>
              </w:rPr>
              <w:t>分）</w:t>
            </w:r>
          </w:p>
          <w:p w14:paraId="656B2E2C">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1.</w:t>
            </w:r>
            <w:r>
              <w:rPr>
                <w:rFonts w:hint="eastAsia" w:ascii="宋体" w:hAnsi="宋体" w:cs="宋体"/>
                <w:bCs/>
                <w:color w:val="auto"/>
                <w:sz w:val="21"/>
                <w:szCs w:val="21"/>
                <w:highlight w:val="none"/>
              </w:rPr>
              <w:t>供应商</w:t>
            </w:r>
            <w:r>
              <w:rPr>
                <w:rFonts w:ascii="宋体" w:hAnsi="宋体" w:cs="宋体"/>
                <w:bCs/>
                <w:color w:val="auto"/>
                <w:sz w:val="21"/>
                <w:szCs w:val="21"/>
                <w:highlight w:val="none"/>
              </w:rPr>
              <w:t>2022-2024</w:t>
            </w:r>
            <w:r>
              <w:rPr>
                <w:rFonts w:hint="eastAsia" w:ascii="宋体" w:hAnsi="宋体" w:cs="宋体"/>
                <w:bCs/>
                <w:color w:val="auto"/>
                <w:sz w:val="21"/>
                <w:szCs w:val="21"/>
                <w:highlight w:val="none"/>
              </w:rPr>
              <w:t>年度财务报表为盈利，得</w:t>
            </w:r>
            <w:r>
              <w:rPr>
                <w:rFonts w:ascii="宋体" w:hAnsi="宋体" w:cs="宋体"/>
                <w:bCs/>
                <w:color w:val="auto"/>
                <w:sz w:val="21"/>
                <w:szCs w:val="21"/>
                <w:highlight w:val="none"/>
              </w:rPr>
              <w:t>0.5</w:t>
            </w:r>
            <w:r>
              <w:rPr>
                <w:rFonts w:hint="eastAsia" w:ascii="宋体" w:hAnsi="宋体" w:cs="宋体"/>
                <w:bCs/>
                <w:color w:val="auto"/>
                <w:sz w:val="21"/>
                <w:szCs w:val="21"/>
                <w:highlight w:val="none"/>
              </w:rPr>
              <w:t>分。</w:t>
            </w:r>
          </w:p>
          <w:p w14:paraId="29F29FC6">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提供</w:t>
            </w:r>
            <w:r>
              <w:rPr>
                <w:rFonts w:ascii="宋体" w:hAnsi="宋体" w:cs="宋体"/>
                <w:bCs/>
                <w:color w:val="auto"/>
                <w:sz w:val="21"/>
                <w:szCs w:val="21"/>
                <w:highlight w:val="none"/>
              </w:rPr>
              <w:t>2022</w:t>
            </w:r>
            <w:r>
              <w:rPr>
                <w:rFonts w:hint="eastAsia" w:ascii="宋体" w:hAnsi="宋体" w:cs="宋体"/>
                <w:bCs/>
                <w:color w:val="auto"/>
                <w:sz w:val="21"/>
                <w:szCs w:val="21"/>
                <w:highlight w:val="none"/>
              </w:rPr>
              <w:t>、</w:t>
            </w:r>
            <w:r>
              <w:rPr>
                <w:rFonts w:ascii="宋体" w:hAnsi="宋体" w:cs="宋体"/>
                <w:bCs/>
                <w:color w:val="auto"/>
                <w:sz w:val="21"/>
                <w:szCs w:val="21"/>
                <w:highlight w:val="none"/>
              </w:rPr>
              <w:t>2023</w:t>
            </w:r>
            <w:r>
              <w:rPr>
                <w:rFonts w:hint="eastAsia" w:ascii="宋体" w:hAnsi="宋体" w:cs="宋体"/>
                <w:bCs/>
                <w:color w:val="auto"/>
                <w:sz w:val="21"/>
                <w:szCs w:val="21"/>
                <w:highlight w:val="none"/>
              </w:rPr>
              <w:t>、</w:t>
            </w:r>
            <w:r>
              <w:rPr>
                <w:rFonts w:ascii="宋体" w:hAnsi="宋体" w:cs="宋体"/>
                <w:bCs/>
                <w:color w:val="auto"/>
                <w:sz w:val="21"/>
                <w:szCs w:val="21"/>
                <w:highlight w:val="none"/>
              </w:rPr>
              <w:t>2024</w:t>
            </w:r>
            <w:r>
              <w:rPr>
                <w:rFonts w:hint="eastAsia" w:ascii="宋体" w:hAnsi="宋体" w:cs="宋体"/>
                <w:bCs/>
                <w:color w:val="auto"/>
                <w:sz w:val="21"/>
                <w:szCs w:val="21"/>
                <w:highlight w:val="none"/>
              </w:rPr>
              <w:t>年第三方专业机构提供的财务审计报告扫描件加盖公章，核查原件；未提供或不满足不得分。</w:t>
            </w:r>
          </w:p>
          <w:p w14:paraId="3EE8BC96">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2.</w:t>
            </w:r>
            <w:r>
              <w:rPr>
                <w:rFonts w:hint="eastAsia" w:ascii="宋体" w:hAnsi="宋体" w:cs="宋体"/>
                <w:bCs/>
                <w:color w:val="auto"/>
                <w:sz w:val="21"/>
                <w:szCs w:val="21"/>
                <w:highlight w:val="none"/>
              </w:rPr>
              <w:t>企业纳税：投标人应守法经营，具有良好的纳税信用记录，投标人最近三年获得过国家税务部门</w:t>
            </w:r>
            <w:r>
              <w:rPr>
                <w:rFonts w:ascii="宋体" w:hAnsi="宋体" w:cs="宋体"/>
                <w:bCs/>
                <w:color w:val="auto"/>
                <w:sz w:val="21"/>
                <w:szCs w:val="21"/>
                <w:highlight w:val="none"/>
              </w:rPr>
              <w:t>A</w:t>
            </w:r>
            <w:r>
              <w:rPr>
                <w:rFonts w:hint="eastAsia" w:ascii="宋体" w:hAnsi="宋体" w:cs="宋体"/>
                <w:bCs/>
                <w:color w:val="auto"/>
                <w:sz w:val="21"/>
                <w:szCs w:val="21"/>
                <w:highlight w:val="none"/>
              </w:rPr>
              <w:t>级纳税人荣誉的得</w:t>
            </w:r>
            <w:r>
              <w:rPr>
                <w:rFonts w:ascii="宋体" w:hAnsi="宋体" w:cs="宋体"/>
                <w:bCs/>
                <w:color w:val="auto"/>
                <w:sz w:val="21"/>
                <w:szCs w:val="21"/>
                <w:highlight w:val="none"/>
              </w:rPr>
              <w:t>2</w:t>
            </w:r>
            <w:r>
              <w:rPr>
                <w:rFonts w:hint="eastAsia" w:ascii="宋体" w:hAnsi="宋体" w:cs="宋体"/>
                <w:bCs/>
                <w:color w:val="auto"/>
                <w:sz w:val="21"/>
                <w:szCs w:val="21"/>
                <w:highlight w:val="none"/>
              </w:rPr>
              <w:t>分；证明材料：投标人需提供国家税务部门官网公示的纳税信用等级情况查询结果截图作证明；</w:t>
            </w:r>
          </w:p>
          <w:p w14:paraId="74F78C37">
            <w:pPr>
              <w:snapToGrid w:val="0"/>
              <w:spacing w:line="240" w:lineRule="exact"/>
              <w:rPr>
                <w:rFonts w:ascii="宋体" w:hAnsi="宋体" w:cs="宋体"/>
                <w:bCs/>
                <w:color w:val="auto"/>
                <w:sz w:val="21"/>
                <w:szCs w:val="21"/>
                <w:highlight w:val="none"/>
              </w:rPr>
            </w:pPr>
            <w:r>
              <w:rPr>
                <w:rFonts w:ascii="宋体" w:hAnsi="宋体" w:cs="宋体"/>
                <w:bCs/>
                <w:color w:val="auto"/>
                <w:sz w:val="21"/>
                <w:szCs w:val="21"/>
                <w:highlight w:val="none"/>
              </w:rPr>
              <w:t>3.</w:t>
            </w:r>
            <w:r>
              <w:rPr>
                <w:rFonts w:hint="eastAsia" w:ascii="宋体" w:hAnsi="宋体" w:cs="宋体"/>
                <w:bCs/>
                <w:color w:val="auto"/>
                <w:sz w:val="21"/>
                <w:szCs w:val="21"/>
                <w:highlight w:val="none"/>
              </w:rPr>
              <w:t>注册资金。实缴</w:t>
            </w:r>
            <w:r>
              <w:rPr>
                <w:rFonts w:ascii="宋体" w:hAnsi="宋体" w:cs="宋体"/>
                <w:bCs/>
                <w:color w:val="auto"/>
                <w:sz w:val="21"/>
                <w:szCs w:val="21"/>
                <w:highlight w:val="none"/>
              </w:rPr>
              <w:t>100</w:t>
            </w:r>
            <w:r>
              <w:rPr>
                <w:rFonts w:hint="eastAsia" w:ascii="宋体" w:hAnsi="宋体" w:cs="宋体"/>
                <w:bCs/>
                <w:color w:val="auto"/>
                <w:sz w:val="21"/>
                <w:szCs w:val="21"/>
                <w:highlight w:val="none"/>
              </w:rPr>
              <w:t>万以下的不得分，实缴</w:t>
            </w:r>
            <w:r>
              <w:rPr>
                <w:rFonts w:ascii="宋体" w:hAnsi="宋体" w:cs="宋体"/>
                <w:bCs/>
                <w:color w:val="auto"/>
                <w:sz w:val="21"/>
                <w:szCs w:val="21"/>
                <w:highlight w:val="none"/>
              </w:rPr>
              <w:t>100</w:t>
            </w:r>
            <w:r>
              <w:rPr>
                <w:rFonts w:hint="eastAsia" w:ascii="宋体" w:hAnsi="宋体" w:cs="宋体"/>
                <w:bCs/>
                <w:color w:val="auto"/>
                <w:sz w:val="21"/>
                <w:szCs w:val="21"/>
                <w:highlight w:val="none"/>
              </w:rPr>
              <w:t>万（含）</w:t>
            </w:r>
            <w:r>
              <w:rPr>
                <w:rFonts w:ascii="宋体" w:hAnsi="宋体" w:cs="宋体"/>
                <w:bCs/>
                <w:color w:val="auto"/>
                <w:sz w:val="21"/>
                <w:szCs w:val="21"/>
                <w:highlight w:val="none"/>
              </w:rPr>
              <w:t>-500</w:t>
            </w:r>
            <w:r>
              <w:rPr>
                <w:rFonts w:hint="eastAsia" w:ascii="宋体" w:hAnsi="宋体" w:cs="宋体"/>
                <w:bCs/>
                <w:color w:val="auto"/>
                <w:sz w:val="21"/>
                <w:szCs w:val="21"/>
                <w:highlight w:val="none"/>
              </w:rPr>
              <w:t>万（不含）的得</w:t>
            </w:r>
            <w:r>
              <w:rPr>
                <w:rFonts w:ascii="宋体" w:hAnsi="宋体" w:cs="宋体"/>
                <w:bCs/>
                <w:color w:val="auto"/>
                <w:sz w:val="21"/>
                <w:szCs w:val="21"/>
                <w:highlight w:val="none"/>
              </w:rPr>
              <w:t>0.5</w:t>
            </w:r>
            <w:r>
              <w:rPr>
                <w:rFonts w:hint="eastAsia" w:ascii="宋体" w:hAnsi="宋体" w:cs="宋体"/>
                <w:bCs/>
                <w:color w:val="auto"/>
                <w:sz w:val="21"/>
                <w:szCs w:val="21"/>
                <w:highlight w:val="none"/>
              </w:rPr>
              <w:t>分，实缴</w:t>
            </w:r>
            <w:r>
              <w:rPr>
                <w:rFonts w:ascii="宋体" w:hAnsi="宋体" w:cs="宋体"/>
                <w:bCs/>
                <w:color w:val="auto"/>
                <w:sz w:val="21"/>
                <w:szCs w:val="21"/>
                <w:highlight w:val="none"/>
              </w:rPr>
              <w:t>500</w:t>
            </w:r>
            <w:r>
              <w:rPr>
                <w:rFonts w:hint="eastAsia" w:ascii="宋体" w:hAnsi="宋体" w:cs="宋体"/>
                <w:bCs/>
                <w:color w:val="auto"/>
                <w:sz w:val="21"/>
                <w:szCs w:val="21"/>
                <w:highlight w:val="none"/>
              </w:rPr>
              <w:t>万（含）</w:t>
            </w:r>
            <w:r>
              <w:rPr>
                <w:rFonts w:ascii="宋体" w:hAnsi="宋体" w:cs="宋体"/>
                <w:bCs/>
                <w:color w:val="auto"/>
                <w:sz w:val="21"/>
                <w:szCs w:val="21"/>
                <w:highlight w:val="none"/>
              </w:rPr>
              <w:t>-1000</w:t>
            </w:r>
            <w:r>
              <w:rPr>
                <w:rFonts w:hint="eastAsia" w:ascii="宋体" w:hAnsi="宋体" w:cs="宋体"/>
                <w:bCs/>
                <w:color w:val="auto"/>
                <w:sz w:val="21"/>
                <w:szCs w:val="21"/>
                <w:highlight w:val="none"/>
              </w:rPr>
              <w:t>万（不含）得</w:t>
            </w:r>
            <w:r>
              <w:rPr>
                <w:rFonts w:ascii="宋体" w:hAnsi="宋体" w:cs="宋体"/>
                <w:bCs/>
                <w:color w:val="auto"/>
                <w:sz w:val="21"/>
                <w:szCs w:val="21"/>
                <w:highlight w:val="none"/>
              </w:rPr>
              <w:t>1</w:t>
            </w:r>
            <w:r>
              <w:rPr>
                <w:rFonts w:hint="eastAsia" w:ascii="宋体" w:hAnsi="宋体" w:cs="宋体"/>
                <w:bCs/>
                <w:color w:val="auto"/>
                <w:sz w:val="21"/>
                <w:szCs w:val="21"/>
                <w:highlight w:val="none"/>
              </w:rPr>
              <w:t>分，实缴</w:t>
            </w:r>
            <w:r>
              <w:rPr>
                <w:rFonts w:ascii="宋体" w:hAnsi="宋体" w:cs="宋体"/>
                <w:bCs/>
                <w:color w:val="auto"/>
                <w:sz w:val="21"/>
                <w:szCs w:val="21"/>
                <w:highlight w:val="none"/>
              </w:rPr>
              <w:t>1000</w:t>
            </w:r>
            <w:r>
              <w:rPr>
                <w:rFonts w:hint="eastAsia" w:ascii="宋体" w:hAnsi="宋体" w:cs="宋体"/>
                <w:bCs/>
                <w:color w:val="auto"/>
                <w:sz w:val="21"/>
                <w:szCs w:val="21"/>
                <w:highlight w:val="none"/>
              </w:rPr>
              <w:t>万（含）</w:t>
            </w:r>
            <w:r>
              <w:rPr>
                <w:rFonts w:ascii="宋体" w:hAnsi="宋体" w:cs="宋体"/>
                <w:bCs/>
                <w:color w:val="auto"/>
                <w:sz w:val="21"/>
                <w:szCs w:val="21"/>
                <w:highlight w:val="none"/>
              </w:rPr>
              <w:t>-2000</w:t>
            </w:r>
            <w:r>
              <w:rPr>
                <w:rFonts w:hint="eastAsia" w:ascii="宋体" w:hAnsi="宋体" w:cs="宋体"/>
                <w:bCs/>
                <w:color w:val="auto"/>
                <w:sz w:val="21"/>
                <w:szCs w:val="21"/>
                <w:highlight w:val="none"/>
              </w:rPr>
              <w:t>万（不含）的得</w:t>
            </w:r>
            <w:r>
              <w:rPr>
                <w:rFonts w:ascii="宋体" w:hAnsi="宋体" w:cs="宋体"/>
                <w:bCs/>
                <w:color w:val="auto"/>
                <w:sz w:val="21"/>
                <w:szCs w:val="21"/>
                <w:highlight w:val="none"/>
              </w:rPr>
              <w:t>2</w:t>
            </w:r>
            <w:r>
              <w:rPr>
                <w:rFonts w:hint="eastAsia" w:ascii="宋体" w:hAnsi="宋体" w:cs="宋体"/>
                <w:bCs/>
                <w:color w:val="auto"/>
                <w:sz w:val="21"/>
                <w:szCs w:val="21"/>
                <w:highlight w:val="none"/>
              </w:rPr>
              <w:t>分，</w:t>
            </w:r>
            <w:r>
              <w:rPr>
                <w:rFonts w:ascii="宋体" w:hAnsi="宋体" w:cs="宋体"/>
                <w:bCs/>
                <w:color w:val="auto"/>
                <w:sz w:val="21"/>
                <w:szCs w:val="21"/>
                <w:highlight w:val="none"/>
              </w:rPr>
              <w:t>2000</w:t>
            </w:r>
            <w:r>
              <w:rPr>
                <w:rFonts w:hint="eastAsia" w:ascii="宋体" w:hAnsi="宋体" w:cs="宋体"/>
                <w:bCs/>
                <w:color w:val="auto"/>
                <w:sz w:val="21"/>
                <w:szCs w:val="21"/>
                <w:highlight w:val="none"/>
              </w:rPr>
              <w:t>万及以上的得</w:t>
            </w:r>
            <w:r>
              <w:rPr>
                <w:rFonts w:ascii="宋体" w:hAnsi="宋体" w:cs="宋体"/>
                <w:bCs/>
                <w:color w:val="auto"/>
                <w:sz w:val="21"/>
                <w:szCs w:val="21"/>
                <w:highlight w:val="none"/>
              </w:rPr>
              <w:t>3</w:t>
            </w:r>
            <w:r>
              <w:rPr>
                <w:rFonts w:hint="eastAsia" w:ascii="宋体" w:hAnsi="宋体" w:cs="宋体"/>
                <w:bCs/>
                <w:color w:val="auto"/>
                <w:sz w:val="21"/>
                <w:szCs w:val="21"/>
                <w:highlight w:val="none"/>
              </w:rPr>
              <w:t>分。提供证明材料：须提供有效的营业执照复印件并加盖参与人单位公章；提供国家企业信用信息公示系统查询记录证明材料，否则不计分。</w:t>
            </w:r>
          </w:p>
        </w:tc>
        <w:tc>
          <w:tcPr>
            <w:tcW w:w="1995" w:type="dxa"/>
          </w:tcPr>
          <w:p w14:paraId="5EC948F8">
            <w:pPr>
              <w:snapToGrid w:val="0"/>
              <w:spacing w:line="240" w:lineRule="exact"/>
              <w:rPr>
                <w:rFonts w:ascii="宋体" w:hAnsi="宋体" w:cs="宋体"/>
                <w:bCs/>
                <w:color w:val="auto"/>
                <w:sz w:val="21"/>
                <w:szCs w:val="21"/>
                <w:highlight w:val="none"/>
              </w:rPr>
            </w:pPr>
          </w:p>
        </w:tc>
      </w:tr>
      <w:tr w14:paraId="46D3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75" w:type="dxa"/>
            <w:vMerge w:val="continue"/>
            <w:vAlign w:val="center"/>
          </w:tcPr>
          <w:p w14:paraId="68AC7582">
            <w:pPr>
              <w:jc w:val="center"/>
              <w:rPr>
                <w:rFonts w:ascii="宋体" w:hAnsi="宋体" w:cs="宋体"/>
                <w:b/>
                <w:bCs/>
                <w:color w:val="auto"/>
                <w:sz w:val="21"/>
                <w:szCs w:val="21"/>
                <w:highlight w:val="none"/>
              </w:rPr>
            </w:pPr>
          </w:p>
        </w:tc>
        <w:tc>
          <w:tcPr>
            <w:tcW w:w="1170" w:type="dxa"/>
            <w:gridSpan w:val="2"/>
            <w:vMerge w:val="continue"/>
            <w:vAlign w:val="center"/>
          </w:tcPr>
          <w:p w14:paraId="2F49EA7B">
            <w:pPr>
              <w:ind w:firstLine="28"/>
              <w:jc w:val="center"/>
              <w:rPr>
                <w:rFonts w:ascii="宋体" w:hAnsi="宋体" w:cs="宋体"/>
                <w:b/>
                <w:bCs/>
                <w:color w:val="auto"/>
                <w:sz w:val="21"/>
                <w:szCs w:val="21"/>
                <w:highlight w:val="none"/>
              </w:rPr>
            </w:pPr>
          </w:p>
        </w:tc>
        <w:tc>
          <w:tcPr>
            <w:tcW w:w="688" w:type="dxa"/>
            <w:vMerge w:val="continue"/>
            <w:vAlign w:val="center"/>
          </w:tcPr>
          <w:p w14:paraId="39D22E7B">
            <w:pPr>
              <w:ind w:firstLine="28"/>
              <w:jc w:val="center"/>
              <w:rPr>
                <w:rFonts w:ascii="宋体" w:hAnsi="宋体" w:cs="宋体"/>
                <w:b/>
                <w:bCs/>
                <w:color w:val="auto"/>
                <w:sz w:val="21"/>
                <w:szCs w:val="21"/>
                <w:highlight w:val="none"/>
              </w:rPr>
            </w:pPr>
          </w:p>
        </w:tc>
        <w:tc>
          <w:tcPr>
            <w:tcW w:w="5361" w:type="dxa"/>
            <w:tcBorders>
              <w:top w:val="single" w:color="auto" w:sz="4" w:space="0"/>
              <w:bottom w:val="single" w:color="auto" w:sz="4" w:space="0"/>
            </w:tcBorders>
          </w:tcPr>
          <w:p w14:paraId="14901C9B">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三</w:t>
            </w:r>
            <w:r>
              <w:rPr>
                <w:rFonts w:hint="eastAsia" w:ascii="宋体" w:hAnsi="宋体" w:cs="宋体"/>
                <w:bCs/>
                <w:color w:val="auto"/>
                <w:sz w:val="21"/>
                <w:szCs w:val="21"/>
                <w:highlight w:val="none"/>
              </w:rPr>
              <w:t>、供应商经营业绩（12分）</w:t>
            </w:r>
          </w:p>
          <w:p w14:paraId="1DAB879C">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目前在经营的高校同类型食堂（服务合同三年及以上）,经营面积2000（含）-4000（不含）平方米，每份合同得1分；经营面积4000（含）-6000（不含）平方米每份合同得2分；6000（含）-8000（不含）平方米每份合同得3分，经营面积8000（含）平方米以上每份合同得4分。（本项累计最高不超过12分）</w:t>
            </w:r>
          </w:p>
          <w:p w14:paraId="1061B633">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（提供：提供汇总一览表，完整的合同复印件，原件备查。不满足上述要求的业绩无效）。</w:t>
            </w:r>
          </w:p>
        </w:tc>
        <w:tc>
          <w:tcPr>
            <w:tcW w:w="1995" w:type="dxa"/>
          </w:tcPr>
          <w:p w14:paraId="7AF8DD0E">
            <w:pPr>
              <w:snapToGrid w:val="0"/>
              <w:spacing w:line="24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提供合同复印件及2025年以来至少3个月与合同一致的经营高校转账流水并加盖银行公章（原件备查）。合同上未标明面积的不得分；服务同一高校的，</w:t>
            </w:r>
            <w:r>
              <w:rPr>
                <w:rFonts w:hint="eastAsia" w:ascii="宋体" w:hAnsi="宋体" w:cs="宋体"/>
                <w:bCs/>
                <w:color w:val="auto"/>
                <w:sz w:val="21"/>
                <w:szCs w:val="21"/>
                <w:highlight w:val="none"/>
                <w:lang w:val="en-US" w:eastAsia="zh-CN"/>
              </w:rPr>
              <w:t>有多个承包合同的，</w:t>
            </w:r>
            <w:r>
              <w:rPr>
                <w:rFonts w:hint="eastAsia" w:ascii="宋体" w:hAnsi="宋体" w:cs="宋体"/>
                <w:bCs/>
                <w:color w:val="auto"/>
                <w:sz w:val="21"/>
                <w:szCs w:val="21"/>
                <w:highlight w:val="none"/>
              </w:rPr>
              <w:t>只</w:t>
            </w:r>
            <w:r>
              <w:rPr>
                <w:rFonts w:hint="eastAsia" w:ascii="宋体" w:hAnsi="宋体" w:cs="宋体"/>
                <w:bCs/>
                <w:color w:val="auto"/>
                <w:sz w:val="21"/>
                <w:szCs w:val="21"/>
                <w:highlight w:val="none"/>
                <w:lang w:val="en-US" w:eastAsia="zh-CN"/>
              </w:rPr>
              <w:t>计</w:t>
            </w:r>
            <w:r>
              <w:rPr>
                <w:rFonts w:hint="eastAsia" w:ascii="宋体" w:hAnsi="宋体" w:cs="宋体"/>
                <w:bCs/>
                <w:color w:val="auto"/>
                <w:sz w:val="21"/>
                <w:szCs w:val="21"/>
                <w:highlight w:val="none"/>
              </w:rPr>
              <w:t>算承包面积最大的合同</w:t>
            </w:r>
            <w:r>
              <w:rPr>
                <w:rFonts w:hint="eastAsia" w:ascii="宋体" w:hAnsi="宋体" w:cs="宋体"/>
                <w:bCs/>
                <w:color w:val="auto"/>
                <w:sz w:val="21"/>
                <w:szCs w:val="21"/>
                <w:highlight w:val="none"/>
                <w:lang w:val="en-US" w:eastAsia="zh-CN"/>
              </w:rPr>
              <w:t>，该高校的其他合同不再计算</w:t>
            </w:r>
            <w:r>
              <w:rPr>
                <w:rFonts w:hint="eastAsia" w:ascii="宋体" w:hAnsi="宋体" w:cs="宋体"/>
                <w:bCs/>
                <w:color w:val="auto"/>
                <w:sz w:val="21"/>
                <w:szCs w:val="21"/>
                <w:highlight w:val="none"/>
              </w:rPr>
              <w:t>。</w:t>
            </w:r>
          </w:p>
        </w:tc>
      </w:tr>
    </w:tbl>
    <w:p w14:paraId="3A91EA5D">
      <w:pPr>
        <w:rPr>
          <w:rFonts w:ascii="宋体" w:hAnsi="宋体" w:cs="宋体"/>
          <w:color w:val="auto"/>
          <w:sz w:val="24"/>
          <w:szCs w:val="24"/>
          <w:highlight w:val="none"/>
        </w:rPr>
      </w:pPr>
    </w:p>
    <w:p w14:paraId="35C788D5">
      <w:pPr>
        <w:rPr>
          <w:rFonts w:ascii="宋体" w:hAnsi="宋体" w:cs="宋体"/>
          <w:color w:val="auto"/>
          <w:sz w:val="24"/>
          <w:szCs w:val="24"/>
          <w:highlight w:val="none"/>
        </w:rPr>
      </w:pPr>
    </w:p>
    <w:bookmarkEnd w:id="135"/>
    <w:bookmarkEnd w:id="136"/>
    <w:p w14:paraId="483FD417">
      <w:pPr>
        <w:pStyle w:val="4"/>
        <w:spacing w:before="0" w:after="0" w:line="400" w:lineRule="exact"/>
        <w:rPr>
          <w:rFonts w:ascii="宋体" w:hAnsi="宋体" w:cs="宋体"/>
          <w:b w:val="0"/>
          <w:color w:val="auto"/>
          <w:sz w:val="24"/>
          <w:szCs w:val="24"/>
          <w:highlight w:val="none"/>
        </w:rPr>
      </w:pPr>
      <w:bookmarkStart w:id="139" w:name="_Toc8405"/>
      <w:bookmarkStart w:id="140" w:name="_Toc25240"/>
      <w:r>
        <w:rPr>
          <w:rFonts w:hint="eastAsia" w:ascii="宋体" w:hAnsi="宋体" w:cs="宋体"/>
          <w:b w:val="0"/>
          <w:color w:val="auto"/>
          <w:sz w:val="24"/>
          <w:szCs w:val="24"/>
          <w:highlight w:val="none"/>
        </w:rPr>
        <w:t>三、无效响应</w:t>
      </w:r>
      <w:bookmarkEnd w:id="139"/>
      <w:bookmarkEnd w:id="140"/>
    </w:p>
    <w:p w14:paraId="3B90EDC3">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53DC063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（一）供应商不符合规定的基本资格条件或特定资格条件的；</w:t>
      </w:r>
    </w:p>
    <w:p w14:paraId="55F8DD1C">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（二）供应商的法定代表人或其授权代表未参加磋商；</w:t>
      </w:r>
    </w:p>
    <w:p w14:paraId="1CE5ECD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（三）供应商未按照竞争性磋商文件的要求缴纳磋商保证金；</w:t>
      </w:r>
    </w:p>
    <w:p w14:paraId="72B6277A">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（四）供应商所提交的响应文件不按第六篇“响应文件编制要求”规定签字、盖章；</w:t>
      </w:r>
    </w:p>
    <w:p w14:paraId="0DF2A078">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（五）供应商的最后报价低于采购预算的最低限价或最高限价的；</w:t>
      </w:r>
    </w:p>
    <w:p w14:paraId="5D5004FE">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（六）法定代表人为同一个人的两个及两个以上法人，母公司、全资子公司及其控股公司，在同一分包采购中同时参与磋商；</w:t>
      </w:r>
    </w:p>
    <w:p w14:paraId="0DB59C47">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（七）单位负责人为同一人或者存在直接控股、管理关系的不同供应商，参加同一合同项下的政府采购活动的；</w:t>
      </w:r>
    </w:p>
    <w:p w14:paraId="08F1BF69">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52B43FE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（九）供应商磋商服务期、质量保证期及磋商有效期不满足竞争性磋商文件要求的；</w:t>
      </w:r>
    </w:p>
    <w:p w14:paraId="6DD2CB0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03B084FA">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（十一）供应商以联合体形式参与磋商的；</w:t>
      </w:r>
    </w:p>
    <w:p w14:paraId="134DA72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（十二）供应商被列入失信被执行人、发生过重大食品安全事故、重大税收违法案件当事人名单、政府采购严重违法失信行为记录名单及其他不符合《中华人民共和国政府采购法》第二十二条规定条件的。</w:t>
      </w:r>
    </w:p>
    <w:p w14:paraId="2B32549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（十三）采购人基建后勤处须核对所有成交商提供的资质与业绩相关的所有原始材料，不能按采购人基建后勤处通知要求提交或者材料有问题的，取消中标资格。</w:t>
      </w:r>
    </w:p>
    <w:p w14:paraId="323357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（十四）所有投标人必须是投标公司自主独立经营，不得有转包、分包、挂靠等行为，否则，取消中标资格。</w:t>
      </w:r>
    </w:p>
    <w:p w14:paraId="436D963C">
      <w:pPr>
        <w:pStyle w:val="4"/>
        <w:spacing w:before="0" w:after="0" w:line="400" w:lineRule="exact"/>
        <w:rPr>
          <w:rFonts w:ascii="宋体" w:hAnsi="宋体" w:cs="宋体"/>
          <w:b w:val="0"/>
          <w:color w:val="auto"/>
          <w:sz w:val="24"/>
          <w:szCs w:val="24"/>
          <w:highlight w:val="none"/>
        </w:rPr>
      </w:pPr>
      <w:bookmarkStart w:id="141" w:name="_Toc29037"/>
      <w:bookmarkStart w:id="142" w:name="_Toc959"/>
      <w:r>
        <w:rPr>
          <w:rFonts w:hint="eastAsia" w:ascii="宋体" w:hAnsi="宋体" w:cs="宋体"/>
          <w:b w:val="0"/>
          <w:color w:val="auto"/>
          <w:sz w:val="24"/>
          <w:szCs w:val="24"/>
          <w:highlight w:val="none"/>
        </w:rPr>
        <w:t>四、采购终止</w:t>
      </w:r>
      <w:bookmarkEnd w:id="141"/>
      <w:bookmarkEnd w:id="142"/>
    </w:p>
    <w:p w14:paraId="3707746F">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出现下列情形之一的，采购人应当终止竞争性磋商采购活动，发布项目终止公告并说明原因，重新开展采购活动：</w:t>
      </w:r>
    </w:p>
    <w:p w14:paraId="49A3F64E">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4F91A058">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0498729A">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w:t>
      </w:r>
      <w:r>
        <w:rPr>
          <w:rFonts w:ascii="宋体" w:hAnsi="宋体" w:cs="宋体"/>
          <w:color w:val="auto"/>
          <w:sz w:val="24"/>
          <w:szCs w:val="24"/>
          <w:highlight w:val="none"/>
        </w:rPr>
        <w:t>3家的，但《政府采购竞争性磋商采购方式管理暂行办法》第二十一条第三款规定的情形除外。</w:t>
      </w:r>
    </w:p>
    <w:p w14:paraId="14A1FE4F">
      <w:pPr>
        <w:snapToGrid w:val="0"/>
        <w:spacing w:line="400" w:lineRule="exact"/>
        <w:ind w:firstLine="465"/>
        <w:rPr>
          <w:rFonts w:ascii="宋体" w:hAnsi="宋体" w:cs="宋体"/>
          <w:color w:val="auto"/>
          <w:sz w:val="24"/>
          <w:szCs w:val="24"/>
          <w:highlight w:val="none"/>
        </w:rPr>
      </w:pPr>
    </w:p>
    <w:p w14:paraId="5F70384A">
      <w:pPr>
        <w:snapToGrid w:val="0"/>
        <w:spacing w:line="400" w:lineRule="exact"/>
        <w:ind w:firstLine="465"/>
        <w:rPr>
          <w:rFonts w:ascii="宋体" w:hAnsi="宋体" w:cs="宋体"/>
          <w:color w:val="auto"/>
          <w:sz w:val="24"/>
          <w:szCs w:val="24"/>
          <w:highlight w:val="none"/>
        </w:rPr>
      </w:pPr>
    </w:p>
    <w:p w14:paraId="7032A75B">
      <w:pPr>
        <w:snapToGrid w:val="0"/>
        <w:spacing w:line="400" w:lineRule="exact"/>
        <w:ind w:firstLine="465"/>
        <w:rPr>
          <w:rFonts w:ascii="宋体" w:hAnsi="宋体" w:cs="宋体"/>
          <w:color w:val="auto"/>
          <w:sz w:val="24"/>
          <w:szCs w:val="24"/>
          <w:highlight w:val="none"/>
        </w:rPr>
      </w:pPr>
    </w:p>
    <w:p w14:paraId="2E352EE2">
      <w:pPr>
        <w:jc w:val="center"/>
        <w:rPr>
          <w:rFonts w:hint="eastAsia" w:ascii="宋体" w:hAnsi="宋体" w:eastAsia="宋体" w:cs="宋体"/>
          <w:b w:val="0"/>
          <w:color w:val="auto"/>
          <w:sz w:val="36"/>
          <w:szCs w:val="30"/>
          <w:highlight w:val="none"/>
        </w:rPr>
      </w:pPr>
      <w:bookmarkStart w:id="143" w:name="_Toc31376"/>
      <w:bookmarkStart w:id="144" w:name="_Toc30322"/>
      <w:bookmarkStart w:id="145" w:name="_Toc102227313"/>
      <w:r>
        <w:rPr>
          <w:rFonts w:hint="eastAsia" w:ascii="宋体" w:hAnsi="宋体" w:eastAsia="宋体" w:cs="宋体"/>
          <w:b w:val="0"/>
          <w:color w:val="auto"/>
          <w:sz w:val="36"/>
          <w:szCs w:val="30"/>
          <w:highlight w:val="none"/>
        </w:rPr>
        <w:br w:type="page"/>
      </w:r>
    </w:p>
    <w:p w14:paraId="11F800E8">
      <w:pPr>
        <w:pStyle w:val="3"/>
        <w:spacing w:line="360" w:lineRule="auto"/>
        <w:jc w:val="center"/>
        <w:rPr>
          <w:rFonts w:ascii="宋体" w:hAnsi="宋体" w:eastAsia="宋体" w:cs="宋体"/>
          <w:b w:val="0"/>
          <w:color w:val="auto"/>
          <w:szCs w:val="30"/>
          <w:highlight w:val="none"/>
        </w:rPr>
      </w:pPr>
      <w:bookmarkStart w:id="146" w:name="_Toc28853"/>
      <w:r>
        <w:rPr>
          <w:rFonts w:hint="eastAsia" w:ascii="宋体" w:hAnsi="宋体" w:eastAsia="宋体" w:cs="宋体"/>
          <w:b w:val="0"/>
          <w:color w:val="auto"/>
          <w:sz w:val="36"/>
          <w:szCs w:val="30"/>
          <w:highlight w:val="none"/>
        </w:rPr>
        <w:t>第五篇  供应商须知</w:t>
      </w:r>
      <w:bookmarkEnd w:id="143"/>
      <w:bookmarkEnd w:id="144"/>
      <w:bookmarkEnd w:id="145"/>
      <w:bookmarkEnd w:id="146"/>
    </w:p>
    <w:p w14:paraId="47914189">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47" w:name="_Toc21365"/>
      <w:bookmarkStart w:id="148" w:name="_Toc76462338"/>
      <w:bookmarkStart w:id="149" w:name="_Toc32173"/>
      <w:bookmarkStart w:id="150" w:name="_Toc342913389"/>
      <w:bookmarkStart w:id="151" w:name="_Toc9147"/>
      <w:bookmarkStart w:id="152" w:name="_Toc11171"/>
      <w:r>
        <w:rPr>
          <w:rFonts w:hint="eastAsia" w:ascii="宋体" w:hAnsi="宋体" w:eastAsia="宋体" w:cs="宋体"/>
          <w:color w:val="auto"/>
          <w:sz w:val="24"/>
          <w:highlight w:val="none"/>
        </w:rPr>
        <w:t>一、磋商费用</w:t>
      </w:r>
      <w:bookmarkEnd w:id="147"/>
      <w:bookmarkEnd w:id="148"/>
      <w:bookmarkEnd w:id="149"/>
    </w:p>
    <w:p w14:paraId="14C2F857">
      <w:pPr>
        <w:pStyle w:val="147"/>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DD25CFC">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53" w:name="_Toc18087"/>
      <w:bookmarkStart w:id="154" w:name="_Toc76462339"/>
      <w:bookmarkStart w:id="155" w:name="_Toc7583"/>
      <w:r>
        <w:rPr>
          <w:rFonts w:hint="eastAsia" w:ascii="宋体" w:hAnsi="宋体" w:eastAsia="宋体" w:cs="宋体"/>
          <w:color w:val="auto"/>
          <w:sz w:val="24"/>
          <w:highlight w:val="none"/>
        </w:rPr>
        <w:t>二、竞争性磋商文件</w:t>
      </w:r>
      <w:bookmarkEnd w:id="153"/>
      <w:bookmarkEnd w:id="154"/>
      <w:bookmarkEnd w:id="155"/>
    </w:p>
    <w:p w14:paraId="1F19B3F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2F772DA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1FD5423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5FAA0E4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45E1784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7607CA0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31388EFB">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56" w:name="_Toc76462340"/>
      <w:bookmarkStart w:id="157" w:name="_Toc27474"/>
      <w:bookmarkStart w:id="158" w:name="_Toc32724"/>
      <w:r>
        <w:rPr>
          <w:rFonts w:hint="eastAsia" w:ascii="宋体" w:hAnsi="宋体" w:eastAsia="宋体" w:cs="宋体"/>
          <w:color w:val="auto"/>
          <w:sz w:val="24"/>
          <w:highlight w:val="none"/>
        </w:rPr>
        <w:t>三、磋商要求</w:t>
      </w:r>
      <w:bookmarkEnd w:id="156"/>
      <w:bookmarkEnd w:id="157"/>
      <w:bookmarkEnd w:id="158"/>
    </w:p>
    <w:p w14:paraId="23A535A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6CEC21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1C5F90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4655BDE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F0001B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34BE97A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本项目不接受联合体参与磋商，否则按无效处理。</w:t>
      </w:r>
    </w:p>
    <w:p w14:paraId="47DB51D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72D4E74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6A61336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44A5A99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2.磋商小组按上述修正错误的原则及方法修正供应商的报价，供应商同意并签字确认后，修正后的报价对供应商具有约束作用。如果供应商不接受修正后的价格，将失去成为成交商的资格。</w:t>
      </w:r>
    </w:p>
    <w:p w14:paraId="6F378FE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157BD2F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64684EC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highlight w:val="none"/>
        </w:rPr>
        <w:t>响应文件按竞争性磋商文件“第七篇响应文件编制要求”要求签署或盖章。</w:t>
      </w:r>
    </w:p>
    <w:p w14:paraId="6354F04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5208B8C3">
      <w:pPr>
        <w:pStyle w:val="30"/>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53FD045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64A017A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w:t>
      </w:r>
    </w:p>
    <w:p w14:paraId="75D2D1F2">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59" w:name="_Toc76462341"/>
      <w:bookmarkStart w:id="160" w:name="_Toc13140"/>
      <w:bookmarkStart w:id="161" w:name="_Toc29425"/>
      <w:r>
        <w:rPr>
          <w:rFonts w:hint="eastAsia" w:ascii="宋体" w:hAnsi="宋体" w:eastAsia="宋体" w:cs="宋体"/>
          <w:color w:val="auto"/>
          <w:sz w:val="24"/>
          <w:highlight w:val="none"/>
        </w:rPr>
        <w:t>四、成交商的确认和变更</w:t>
      </w:r>
      <w:bookmarkEnd w:id="159"/>
      <w:bookmarkEnd w:id="160"/>
      <w:bookmarkEnd w:id="161"/>
    </w:p>
    <w:p w14:paraId="382F147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（一）成交商的确认</w:t>
      </w:r>
    </w:p>
    <w:p w14:paraId="4ADC77B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商，也可以书面授权磋商小组直接确定成交商。采购人逾期未确定成交商且不提出异议的，视为确定评审报告提出的排序第一的供应商为成交商。</w:t>
      </w:r>
    </w:p>
    <w:p w14:paraId="60B3137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（二）成交商的变更</w:t>
      </w:r>
    </w:p>
    <w:p w14:paraId="6A53D7F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成交商拒绝与采购人签订合同的，采购人不退还磋商保证金，同时，采购人可以按照评标报告推荐的成交候选供应商顺序，确定排名下一位的候选人为成交商，也可以重新开展采购活动。</w:t>
      </w:r>
    </w:p>
    <w:p w14:paraId="74C766C3">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62" w:name="_Toc76462342"/>
      <w:bookmarkStart w:id="163" w:name="_Toc27875"/>
      <w:bookmarkStart w:id="164" w:name="_Toc26350"/>
      <w:r>
        <w:rPr>
          <w:rFonts w:hint="eastAsia" w:ascii="宋体" w:hAnsi="宋体" w:eastAsia="宋体" w:cs="宋体"/>
          <w:color w:val="auto"/>
          <w:sz w:val="24"/>
          <w:highlight w:val="none"/>
        </w:rPr>
        <w:t>五、成交通知</w:t>
      </w:r>
      <w:bookmarkEnd w:id="162"/>
      <w:bookmarkEnd w:id="163"/>
      <w:bookmarkEnd w:id="164"/>
    </w:p>
    <w:p w14:paraId="6BCA15B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（一）成交商确定后，采购代理机构将在“行采家”平台（http://www.gec123.com）上发布成交结果公告。</w:t>
      </w:r>
    </w:p>
    <w:p w14:paraId="46779DE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1CF88C6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3822BA16">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65" w:name="_Toc14239"/>
      <w:bookmarkStart w:id="166" w:name="_Toc76462343"/>
      <w:bookmarkStart w:id="167" w:name="_Toc3185"/>
      <w:r>
        <w:rPr>
          <w:rFonts w:hint="eastAsia" w:ascii="宋体" w:hAnsi="宋体" w:eastAsia="宋体" w:cs="宋体"/>
          <w:color w:val="auto"/>
          <w:sz w:val="24"/>
          <w:highlight w:val="none"/>
        </w:rPr>
        <w:t>六、关于质疑和投诉</w:t>
      </w:r>
      <w:bookmarkEnd w:id="165"/>
      <w:bookmarkEnd w:id="166"/>
      <w:bookmarkEnd w:id="167"/>
    </w:p>
    <w:p w14:paraId="3AFAB8D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4DA3875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2D12146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074F622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084C23E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个工作日内，以书面形式向采购人、采购代理机构提出质疑。</w:t>
      </w:r>
    </w:p>
    <w:p w14:paraId="64B88B1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3FD131B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4061FBD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16EC638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26C2E7E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542E93F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6C131E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1960B9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0303B01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00B1B85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70F6C9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14A9C1B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采购人、采购代理机构应当在收到供应商的书面质疑后</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个工作日内作出答复，并以书面形式通知质疑供应商和其他有关供应商。</w:t>
      </w:r>
    </w:p>
    <w:p w14:paraId="150BE13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0B34096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6DA648C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40D330A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0885D71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个工作日内按照相关法律法规向</w:t>
      </w:r>
      <w:r>
        <w:rPr>
          <w:rFonts w:hint="eastAsia" w:ascii="宋体" w:hAnsi="宋体" w:cs="宋体"/>
          <w:color w:val="auto"/>
          <w:sz w:val="24"/>
          <w:highlight w:val="none"/>
          <w:lang w:val="en-US" w:eastAsia="zh-CN"/>
        </w:rPr>
        <w:t>采购人相关</w:t>
      </w:r>
      <w:r>
        <w:rPr>
          <w:rFonts w:hint="eastAsia" w:ascii="宋体" w:hAnsi="宋体" w:cs="宋体"/>
          <w:color w:val="auto"/>
          <w:sz w:val="24"/>
          <w:highlight w:val="none"/>
        </w:rPr>
        <w:t>部门提起投诉。</w:t>
      </w:r>
    </w:p>
    <w:p w14:paraId="01549A0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73D87EB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F9F301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w:t>
      </w:r>
      <w:r>
        <w:rPr>
          <w:rFonts w:hint="eastAsia" w:ascii="宋体" w:hAnsi="宋体" w:cs="宋体"/>
          <w:color w:val="auto"/>
          <w:sz w:val="24"/>
          <w:highlight w:val="none"/>
          <w:lang w:val="en-US" w:eastAsia="zh-CN"/>
        </w:rPr>
        <w:t>采购人相关</w:t>
      </w:r>
      <w:r>
        <w:rPr>
          <w:rFonts w:hint="eastAsia" w:ascii="宋体" w:hAnsi="宋体" w:cs="宋体"/>
          <w:color w:val="auto"/>
          <w:sz w:val="24"/>
          <w:highlight w:val="none"/>
        </w:rPr>
        <w:t>部门自受理投诉之日起30个工作日内（需要检验、检测、鉴定、专家评审以及需要投诉人补正材料的，所需时间不计算在投诉处理期限内）对投诉事项做出处理决定。</w:t>
      </w:r>
    </w:p>
    <w:p w14:paraId="3D6864B7">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68" w:name="_Toc22117"/>
      <w:bookmarkStart w:id="169" w:name="_Toc29025"/>
      <w:bookmarkStart w:id="170" w:name="_Toc76462344"/>
      <w:r>
        <w:rPr>
          <w:rFonts w:hint="eastAsia" w:ascii="宋体" w:hAnsi="宋体" w:eastAsia="宋体" w:cs="宋体"/>
          <w:color w:val="auto"/>
          <w:sz w:val="24"/>
          <w:highlight w:val="none"/>
        </w:rPr>
        <w:t>七、采购代理服务费</w:t>
      </w:r>
      <w:bookmarkEnd w:id="168"/>
      <w:bookmarkEnd w:id="169"/>
      <w:bookmarkEnd w:id="170"/>
    </w:p>
    <w:p w14:paraId="2352FA55">
      <w:pPr>
        <w:spacing w:line="380" w:lineRule="exact"/>
        <w:ind w:firstLine="480" w:firstLineChars="200"/>
        <w:rPr>
          <w:rFonts w:ascii="宋体" w:hAnsi="宋体" w:cs="宋体"/>
          <w:color w:val="auto"/>
          <w:highlight w:val="none"/>
        </w:rPr>
      </w:pPr>
      <w:bookmarkStart w:id="171" w:name="OLE_LINK8"/>
      <w:bookmarkStart w:id="172" w:name="OLE_LINK7"/>
      <w:bookmarkStart w:id="173" w:name="_Toc76462345"/>
      <w:r>
        <w:rPr>
          <w:rFonts w:hint="eastAsia" w:ascii="宋体" w:hAnsi="宋体" w:cs="宋体"/>
          <w:color w:val="auto"/>
          <w:sz w:val="24"/>
          <w:szCs w:val="24"/>
          <w:highlight w:val="none"/>
        </w:rPr>
        <w:t>（一）</w:t>
      </w:r>
      <w:bookmarkEnd w:id="171"/>
      <w:bookmarkEnd w:id="172"/>
      <w:r>
        <w:rPr>
          <w:rFonts w:hint="eastAsia" w:ascii="宋体" w:hAnsi="宋体" w:cs="宋体"/>
          <w:color w:val="auto"/>
          <w:sz w:val="24"/>
          <w:highlight w:val="none"/>
        </w:rPr>
        <w:t>成交商在领取成交通知书的同时，向采购代理机构缴纳采购代理服务费。</w:t>
      </w:r>
      <w:r>
        <w:rPr>
          <w:rFonts w:hint="eastAsia" w:ascii="宋体" w:hAnsi="宋体" w:cs="宋体"/>
          <w:color w:val="auto"/>
          <w:sz w:val="24"/>
          <w:szCs w:val="24"/>
          <w:highlight w:val="none"/>
        </w:rPr>
        <w:t>本项目为服务采购，服务费的收取标准按照以下标准的70%执行（</w:t>
      </w:r>
      <w:r>
        <w:rPr>
          <w:rFonts w:hint="eastAsia" w:ascii="宋体" w:hAnsi="宋体" w:cs="宋体"/>
          <w:color w:val="auto"/>
          <w:sz w:val="24"/>
          <w:highlight w:val="none"/>
        </w:rPr>
        <w:t>当采购代理服务费低于人民币3000元时，采购代理服务费按人民币3000元计取</w:t>
      </w:r>
      <w:r>
        <w:rPr>
          <w:rFonts w:hint="eastAsia" w:ascii="宋体" w:hAnsi="宋体" w:cs="宋体"/>
          <w:color w:val="auto"/>
          <w:sz w:val="24"/>
          <w:szCs w:val="24"/>
          <w:highlight w:val="none"/>
        </w:rPr>
        <w:t>）</w:t>
      </w:r>
      <w:r>
        <w:rPr>
          <w:rFonts w:hint="eastAsia" w:ascii="宋体" w:hAnsi="宋体" w:cs="宋体"/>
          <w:color w:val="auto"/>
          <w:sz w:val="24"/>
          <w:highlight w:val="none"/>
        </w:rPr>
        <w:t>:</w:t>
      </w:r>
    </w:p>
    <w:tbl>
      <w:tblPr>
        <w:tblStyle w:val="5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240"/>
        <w:gridCol w:w="2273"/>
        <w:gridCol w:w="2272"/>
      </w:tblGrid>
      <w:tr w14:paraId="17EB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840" w:type="dxa"/>
            <w:tcBorders>
              <w:top w:val="single" w:color="auto" w:sz="4" w:space="0"/>
              <w:left w:val="single" w:color="auto" w:sz="4" w:space="0"/>
              <w:bottom w:val="single" w:color="auto" w:sz="4" w:space="0"/>
              <w:right w:val="single" w:color="auto" w:sz="4" w:space="0"/>
              <w:tl2br w:val="single" w:color="auto" w:sz="4" w:space="0"/>
            </w:tcBorders>
          </w:tcPr>
          <w:p w14:paraId="4EF43CC8">
            <w:pPr>
              <w:spacing w:line="240" w:lineRule="atLeast"/>
              <w:jc w:val="right"/>
              <w:rPr>
                <w:rFonts w:ascii="宋体" w:hAnsi="宋体" w:cs="宋体"/>
                <w:color w:val="auto"/>
                <w:sz w:val="24"/>
                <w:szCs w:val="24"/>
                <w:highlight w:val="none"/>
              </w:rPr>
            </w:pPr>
            <w:r>
              <w:rPr>
                <w:rFonts w:hint="eastAsia" w:ascii="宋体" w:hAnsi="宋体" w:cs="宋体"/>
                <w:color w:val="auto"/>
                <w:sz w:val="24"/>
                <w:szCs w:val="24"/>
                <w:highlight w:val="none"/>
              </w:rPr>
              <w:t>采购</w:t>
            </w: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DKvwaT&#10;5gEAALY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类型</w:t>
            </w:r>
          </w:p>
          <w:p w14:paraId="743088B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中标金额</w:t>
            </w:r>
            <w:r>
              <w:rPr>
                <w:rFonts w:hint="eastAsia" w:ascii="宋体" w:hAnsi="宋体" w:cs="宋体"/>
                <w:color w:val="auto"/>
                <w:sz w:val="24"/>
                <w:szCs w:val="24"/>
                <w:highlight w:val="none"/>
              </w:rPr>
              <w:t>（万元）</w:t>
            </w:r>
          </w:p>
        </w:tc>
        <w:tc>
          <w:tcPr>
            <w:tcW w:w="2240" w:type="dxa"/>
            <w:tcBorders>
              <w:top w:val="single" w:color="auto" w:sz="4" w:space="0"/>
              <w:left w:val="single" w:color="auto" w:sz="4" w:space="0"/>
              <w:bottom w:val="single" w:color="auto" w:sz="4" w:space="0"/>
              <w:right w:val="single" w:color="auto" w:sz="4" w:space="0"/>
            </w:tcBorders>
            <w:vAlign w:val="center"/>
          </w:tcPr>
          <w:p w14:paraId="5596C0FB">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货物采购</w:t>
            </w:r>
          </w:p>
        </w:tc>
        <w:tc>
          <w:tcPr>
            <w:tcW w:w="2273" w:type="dxa"/>
            <w:tcBorders>
              <w:top w:val="single" w:color="auto" w:sz="4" w:space="0"/>
              <w:left w:val="single" w:color="auto" w:sz="4" w:space="0"/>
              <w:bottom w:val="single" w:color="auto" w:sz="4" w:space="0"/>
              <w:right w:val="single" w:color="auto" w:sz="4" w:space="0"/>
            </w:tcBorders>
            <w:vAlign w:val="center"/>
          </w:tcPr>
          <w:p w14:paraId="1F9DBE15">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服务采购</w:t>
            </w:r>
          </w:p>
        </w:tc>
        <w:tc>
          <w:tcPr>
            <w:tcW w:w="2272" w:type="dxa"/>
            <w:tcBorders>
              <w:top w:val="single" w:color="auto" w:sz="4" w:space="0"/>
              <w:left w:val="single" w:color="auto" w:sz="4" w:space="0"/>
              <w:bottom w:val="single" w:color="auto" w:sz="4" w:space="0"/>
              <w:right w:val="single" w:color="auto" w:sz="4" w:space="0"/>
            </w:tcBorders>
            <w:vAlign w:val="center"/>
          </w:tcPr>
          <w:p w14:paraId="1FDA9C9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工程采购</w:t>
            </w:r>
          </w:p>
        </w:tc>
      </w:tr>
      <w:tr w14:paraId="7B48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0BA71552">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100以下</w:t>
            </w:r>
          </w:p>
        </w:tc>
        <w:tc>
          <w:tcPr>
            <w:tcW w:w="2240" w:type="dxa"/>
            <w:tcBorders>
              <w:top w:val="single" w:color="auto" w:sz="4" w:space="0"/>
              <w:left w:val="single" w:color="auto" w:sz="4" w:space="0"/>
              <w:bottom w:val="single" w:color="auto" w:sz="4" w:space="0"/>
              <w:right w:val="single" w:color="auto" w:sz="4" w:space="0"/>
            </w:tcBorders>
            <w:vAlign w:val="center"/>
          </w:tcPr>
          <w:p w14:paraId="5296D755">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2273" w:type="dxa"/>
            <w:tcBorders>
              <w:top w:val="single" w:color="auto" w:sz="4" w:space="0"/>
              <w:left w:val="single" w:color="auto" w:sz="4" w:space="0"/>
              <w:bottom w:val="single" w:color="auto" w:sz="4" w:space="0"/>
              <w:right w:val="single" w:color="auto" w:sz="4" w:space="0"/>
            </w:tcBorders>
            <w:vAlign w:val="center"/>
          </w:tcPr>
          <w:p w14:paraId="62FC12D4">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2272" w:type="dxa"/>
            <w:tcBorders>
              <w:top w:val="single" w:color="auto" w:sz="4" w:space="0"/>
              <w:left w:val="single" w:color="auto" w:sz="4" w:space="0"/>
              <w:bottom w:val="single" w:color="auto" w:sz="4" w:space="0"/>
              <w:right w:val="single" w:color="auto" w:sz="4" w:space="0"/>
            </w:tcBorders>
            <w:vAlign w:val="center"/>
          </w:tcPr>
          <w:p w14:paraId="29BD12D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r>
      <w:tr w14:paraId="7C03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1C1286A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100-200</w:t>
            </w:r>
          </w:p>
        </w:tc>
        <w:tc>
          <w:tcPr>
            <w:tcW w:w="2240" w:type="dxa"/>
            <w:tcBorders>
              <w:top w:val="single" w:color="auto" w:sz="4" w:space="0"/>
              <w:left w:val="single" w:color="auto" w:sz="4" w:space="0"/>
              <w:bottom w:val="single" w:color="auto" w:sz="4" w:space="0"/>
              <w:right w:val="single" w:color="auto" w:sz="4" w:space="0"/>
            </w:tcBorders>
            <w:vAlign w:val="center"/>
          </w:tcPr>
          <w:p w14:paraId="3EBC4E58">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2273" w:type="dxa"/>
            <w:tcBorders>
              <w:top w:val="single" w:color="auto" w:sz="4" w:space="0"/>
              <w:left w:val="single" w:color="auto" w:sz="4" w:space="0"/>
              <w:bottom w:val="single" w:color="auto" w:sz="4" w:space="0"/>
              <w:right w:val="single" w:color="auto" w:sz="4" w:space="0"/>
            </w:tcBorders>
            <w:vAlign w:val="center"/>
          </w:tcPr>
          <w:p w14:paraId="25FDC785">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0.8%</w:t>
            </w:r>
          </w:p>
        </w:tc>
        <w:tc>
          <w:tcPr>
            <w:tcW w:w="2272" w:type="dxa"/>
            <w:tcBorders>
              <w:top w:val="single" w:color="auto" w:sz="4" w:space="0"/>
              <w:left w:val="single" w:color="auto" w:sz="4" w:space="0"/>
              <w:bottom w:val="single" w:color="auto" w:sz="4" w:space="0"/>
              <w:right w:val="single" w:color="auto" w:sz="4" w:space="0"/>
            </w:tcBorders>
            <w:vAlign w:val="center"/>
          </w:tcPr>
          <w:p w14:paraId="22F0CBD9">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0.7%</w:t>
            </w:r>
          </w:p>
        </w:tc>
      </w:tr>
      <w:tr w14:paraId="182B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7EB29702">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200-500</w:t>
            </w:r>
          </w:p>
        </w:tc>
        <w:tc>
          <w:tcPr>
            <w:tcW w:w="2240" w:type="dxa"/>
            <w:tcBorders>
              <w:top w:val="single" w:color="auto" w:sz="4" w:space="0"/>
              <w:left w:val="single" w:color="auto" w:sz="4" w:space="0"/>
              <w:bottom w:val="single" w:color="auto" w:sz="4" w:space="0"/>
              <w:right w:val="single" w:color="auto" w:sz="4" w:space="0"/>
            </w:tcBorders>
            <w:vAlign w:val="center"/>
          </w:tcPr>
          <w:p w14:paraId="7B6E081D">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1.08%</w:t>
            </w:r>
          </w:p>
        </w:tc>
        <w:tc>
          <w:tcPr>
            <w:tcW w:w="2273" w:type="dxa"/>
            <w:tcBorders>
              <w:top w:val="single" w:color="auto" w:sz="4" w:space="0"/>
              <w:left w:val="single" w:color="auto" w:sz="4" w:space="0"/>
              <w:bottom w:val="single" w:color="auto" w:sz="4" w:space="0"/>
              <w:right w:val="single" w:color="auto" w:sz="4" w:space="0"/>
            </w:tcBorders>
            <w:vAlign w:val="center"/>
          </w:tcPr>
          <w:p w14:paraId="5779EB32">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0.78%</w:t>
            </w:r>
          </w:p>
        </w:tc>
        <w:tc>
          <w:tcPr>
            <w:tcW w:w="2272" w:type="dxa"/>
            <w:tcBorders>
              <w:top w:val="single" w:color="auto" w:sz="4" w:space="0"/>
              <w:left w:val="single" w:color="auto" w:sz="4" w:space="0"/>
              <w:bottom w:val="single" w:color="auto" w:sz="4" w:space="0"/>
              <w:right w:val="single" w:color="auto" w:sz="4" w:space="0"/>
            </w:tcBorders>
            <w:vAlign w:val="center"/>
          </w:tcPr>
          <w:p w14:paraId="3A2C36EA">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0.69%</w:t>
            </w:r>
          </w:p>
        </w:tc>
      </w:tr>
      <w:tr w14:paraId="6F2A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42B0FBC9">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500-1000</w:t>
            </w:r>
          </w:p>
        </w:tc>
        <w:tc>
          <w:tcPr>
            <w:tcW w:w="2240" w:type="dxa"/>
            <w:tcBorders>
              <w:top w:val="single" w:color="auto" w:sz="4" w:space="0"/>
              <w:left w:val="single" w:color="auto" w:sz="4" w:space="0"/>
              <w:bottom w:val="single" w:color="auto" w:sz="4" w:space="0"/>
              <w:right w:val="single" w:color="auto" w:sz="4" w:space="0"/>
            </w:tcBorders>
            <w:vAlign w:val="center"/>
          </w:tcPr>
          <w:p w14:paraId="66DF3184">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0.76%</w:t>
            </w:r>
          </w:p>
        </w:tc>
        <w:tc>
          <w:tcPr>
            <w:tcW w:w="2273" w:type="dxa"/>
            <w:tcBorders>
              <w:top w:val="single" w:color="auto" w:sz="4" w:space="0"/>
              <w:left w:val="single" w:color="auto" w:sz="4" w:space="0"/>
              <w:bottom w:val="single" w:color="auto" w:sz="4" w:space="0"/>
              <w:right w:val="single" w:color="auto" w:sz="4" w:space="0"/>
            </w:tcBorders>
            <w:vAlign w:val="center"/>
          </w:tcPr>
          <w:p w14:paraId="1F8C2BA7">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0.43%</w:t>
            </w:r>
          </w:p>
        </w:tc>
        <w:tc>
          <w:tcPr>
            <w:tcW w:w="2272" w:type="dxa"/>
            <w:tcBorders>
              <w:top w:val="single" w:color="auto" w:sz="4" w:space="0"/>
              <w:left w:val="single" w:color="auto" w:sz="4" w:space="0"/>
              <w:bottom w:val="single" w:color="auto" w:sz="4" w:space="0"/>
              <w:right w:val="single" w:color="auto" w:sz="4" w:space="0"/>
            </w:tcBorders>
            <w:vAlign w:val="center"/>
          </w:tcPr>
          <w:p w14:paraId="6E18153B">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0.52%</w:t>
            </w:r>
          </w:p>
        </w:tc>
      </w:tr>
      <w:tr w14:paraId="303D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62F9140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1000-5000</w:t>
            </w:r>
          </w:p>
        </w:tc>
        <w:tc>
          <w:tcPr>
            <w:tcW w:w="2240" w:type="dxa"/>
            <w:tcBorders>
              <w:top w:val="single" w:color="auto" w:sz="4" w:space="0"/>
              <w:left w:val="single" w:color="auto" w:sz="4" w:space="0"/>
              <w:bottom w:val="single" w:color="auto" w:sz="4" w:space="0"/>
              <w:right w:val="single" w:color="auto" w:sz="4" w:space="0"/>
            </w:tcBorders>
            <w:vAlign w:val="center"/>
          </w:tcPr>
          <w:p w14:paraId="7C45688D">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0.45%</w:t>
            </w:r>
          </w:p>
        </w:tc>
        <w:tc>
          <w:tcPr>
            <w:tcW w:w="2273" w:type="dxa"/>
            <w:tcBorders>
              <w:top w:val="single" w:color="auto" w:sz="4" w:space="0"/>
              <w:left w:val="single" w:color="auto" w:sz="4" w:space="0"/>
              <w:bottom w:val="single" w:color="auto" w:sz="4" w:space="0"/>
              <w:right w:val="single" w:color="auto" w:sz="4" w:space="0"/>
            </w:tcBorders>
            <w:vAlign w:val="center"/>
          </w:tcPr>
          <w:p w14:paraId="7B91A42F">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0.23%</w:t>
            </w:r>
          </w:p>
        </w:tc>
        <w:tc>
          <w:tcPr>
            <w:tcW w:w="2272" w:type="dxa"/>
            <w:tcBorders>
              <w:top w:val="single" w:color="auto" w:sz="4" w:space="0"/>
              <w:left w:val="single" w:color="auto" w:sz="4" w:space="0"/>
              <w:bottom w:val="single" w:color="auto" w:sz="4" w:space="0"/>
              <w:right w:val="single" w:color="auto" w:sz="4" w:space="0"/>
            </w:tcBorders>
            <w:vAlign w:val="center"/>
          </w:tcPr>
          <w:p w14:paraId="0C6B35AA">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0.32%</w:t>
            </w:r>
          </w:p>
        </w:tc>
      </w:tr>
      <w:tr w14:paraId="029D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5554A9C5">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5000-10000</w:t>
            </w:r>
          </w:p>
        </w:tc>
        <w:tc>
          <w:tcPr>
            <w:tcW w:w="2240" w:type="dxa"/>
            <w:tcBorders>
              <w:top w:val="single" w:color="auto" w:sz="4" w:space="0"/>
              <w:left w:val="single" w:color="auto" w:sz="4" w:space="0"/>
              <w:bottom w:val="single" w:color="auto" w:sz="4" w:space="0"/>
              <w:right w:val="single" w:color="auto" w:sz="4" w:space="0"/>
            </w:tcBorders>
            <w:vAlign w:val="center"/>
          </w:tcPr>
          <w:p w14:paraId="39B30424">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0.23%</w:t>
            </w:r>
          </w:p>
        </w:tc>
        <w:tc>
          <w:tcPr>
            <w:tcW w:w="2273" w:type="dxa"/>
            <w:tcBorders>
              <w:top w:val="single" w:color="auto" w:sz="4" w:space="0"/>
              <w:left w:val="single" w:color="auto" w:sz="4" w:space="0"/>
              <w:bottom w:val="single" w:color="auto" w:sz="4" w:space="0"/>
              <w:right w:val="single" w:color="auto" w:sz="4" w:space="0"/>
            </w:tcBorders>
            <w:vAlign w:val="center"/>
          </w:tcPr>
          <w:p w14:paraId="1B5A746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0.09%</w:t>
            </w:r>
          </w:p>
        </w:tc>
        <w:tc>
          <w:tcPr>
            <w:tcW w:w="2272" w:type="dxa"/>
            <w:tcBorders>
              <w:top w:val="single" w:color="auto" w:sz="4" w:space="0"/>
              <w:left w:val="single" w:color="auto" w:sz="4" w:space="0"/>
              <w:bottom w:val="single" w:color="auto" w:sz="4" w:space="0"/>
              <w:right w:val="single" w:color="auto" w:sz="4" w:space="0"/>
            </w:tcBorders>
            <w:vAlign w:val="center"/>
          </w:tcPr>
          <w:p w14:paraId="06EE20CA">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0.18%</w:t>
            </w:r>
          </w:p>
        </w:tc>
      </w:tr>
      <w:tr w14:paraId="60C5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43B43521">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2240" w:type="dxa"/>
            <w:tcBorders>
              <w:top w:val="single" w:color="auto" w:sz="4" w:space="0"/>
              <w:left w:val="single" w:color="auto" w:sz="4" w:space="0"/>
              <w:bottom w:val="single" w:color="auto" w:sz="4" w:space="0"/>
              <w:right w:val="single" w:color="auto" w:sz="4" w:space="0"/>
            </w:tcBorders>
            <w:vAlign w:val="center"/>
          </w:tcPr>
          <w:p w14:paraId="1A4440E2">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0.045%</w:t>
            </w:r>
          </w:p>
        </w:tc>
        <w:tc>
          <w:tcPr>
            <w:tcW w:w="2273" w:type="dxa"/>
            <w:tcBorders>
              <w:top w:val="single" w:color="auto" w:sz="4" w:space="0"/>
              <w:left w:val="single" w:color="auto" w:sz="4" w:space="0"/>
              <w:bottom w:val="single" w:color="auto" w:sz="4" w:space="0"/>
              <w:right w:val="single" w:color="auto" w:sz="4" w:space="0"/>
            </w:tcBorders>
            <w:vAlign w:val="center"/>
          </w:tcPr>
          <w:p w14:paraId="3FE8C68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0.045%</w:t>
            </w:r>
          </w:p>
        </w:tc>
        <w:tc>
          <w:tcPr>
            <w:tcW w:w="2272" w:type="dxa"/>
            <w:tcBorders>
              <w:top w:val="single" w:color="auto" w:sz="4" w:space="0"/>
              <w:left w:val="single" w:color="auto" w:sz="4" w:space="0"/>
              <w:bottom w:val="single" w:color="auto" w:sz="4" w:space="0"/>
              <w:right w:val="single" w:color="auto" w:sz="4" w:space="0"/>
            </w:tcBorders>
            <w:vAlign w:val="center"/>
          </w:tcPr>
          <w:p w14:paraId="7F5EFD39">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0.045%</w:t>
            </w:r>
          </w:p>
        </w:tc>
      </w:tr>
      <w:tr w14:paraId="7D87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689AE583">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100000以上</w:t>
            </w:r>
          </w:p>
        </w:tc>
        <w:tc>
          <w:tcPr>
            <w:tcW w:w="2240" w:type="dxa"/>
            <w:tcBorders>
              <w:top w:val="single" w:color="auto" w:sz="4" w:space="0"/>
              <w:left w:val="single" w:color="auto" w:sz="4" w:space="0"/>
              <w:bottom w:val="single" w:color="auto" w:sz="4" w:space="0"/>
              <w:right w:val="single" w:color="auto" w:sz="4" w:space="0"/>
            </w:tcBorders>
            <w:vAlign w:val="center"/>
          </w:tcPr>
          <w:p w14:paraId="72F630FF">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0.009%</w:t>
            </w:r>
          </w:p>
        </w:tc>
        <w:tc>
          <w:tcPr>
            <w:tcW w:w="2273" w:type="dxa"/>
            <w:tcBorders>
              <w:top w:val="single" w:color="auto" w:sz="4" w:space="0"/>
              <w:left w:val="single" w:color="auto" w:sz="4" w:space="0"/>
              <w:bottom w:val="single" w:color="auto" w:sz="4" w:space="0"/>
              <w:right w:val="single" w:color="auto" w:sz="4" w:space="0"/>
            </w:tcBorders>
            <w:vAlign w:val="center"/>
          </w:tcPr>
          <w:p w14:paraId="48095A9B">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0.009%</w:t>
            </w:r>
          </w:p>
        </w:tc>
        <w:tc>
          <w:tcPr>
            <w:tcW w:w="2272" w:type="dxa"/>
            <w:tcBorders>
              <w:top w:val="single" w:color="auto" w:sz="4" w:space="0"/>
              <w:left w:val="single" w:color="auto" w:sz="4" w:space="0"/>
              <w:bottom w:val="single" w:color="auto" w:sz="4" w:space="0"/>
              <w:right w:val="single" w:color="auto" w:sz="4" w:space="0"/>
            </w:tcBorders>
            <w:vAlign w:val="center"/>
          </w:tcPr>
          <w:p w14:paraId="1F2ACBF9">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0.009%</w:t>
            </w:r>
          </w:p>
        </w:tc>
      </w:tr>
    </w:tbl>
    <w:p w14:paraId="18B2334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注：代理服务收费按差额定率累进法计算。例如：某服务代理业务</w:t>
      </w:r>
      <w:r>
        <w:rPr>
          <w:rFonts w:hint="eastAsia" w:ascii="宋体" w:hAnsi="宋体" w:cs="宋体"/>
          <w:color w:val="auto"/>
          <w:sz w:val="24"/>
          <w:szCs w:val="24"/>
          <w:highlight w:val="none"/>
          <w:lang w:val="en-US" w:eastAsia="zh-CN"/>
        </w:rPr>
        <w:t>中标金额</w:t>
      </w:r>
      <w:r>
        <w:rPr>
          <w:rFonts w:hint="eastAsia" w:ascii="宋体" w:hAnsi="宋体" w:cs="宋体"/>
          <w:color w:val="auto"/>
          <w:sz w:val="24"/>
          <w:szCs w:val="24"/>
          <w:highlight w:val="none"/>
        </w:rPr>
        <w:t>为</w:t>
      </w:r>
      <w:r>
        <w:rPr>
          <w:rFonts w:hint="eastAsia" w:ascii="宋体" w:hAnsi="宋体" w:cs="宋体"/>
          <w:bCs/>
          <w:color w:val="auto"/>
          <w:kern w:val="0"/>
          <w:sz w:val="24"/>
          <w:highlight w:val="none"/>
        </w:rPr>
        <w:t>100</w:t>
      </w:r>
      <w:r>
        <w:rPr>
          <w:rFonts w:hint="eastAsia" w:ascii="宋体" w:hAnsi="宋体" w:cs="宋体"/>
          <w:color w:val="auto"/>
          <w:sz w:val="24"/>
          <w:szCs w:val="24"/>
          <w:highlight w:val="none"/>
        </w:rPr>
        <w:t>万元，计算代理服务收费额如下：</w:t>
      </w:r>
    </w:p>
    <w:p w14:paraId="4541C62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100万元×1.5%=1.5万元</w:t>
      </w:r>
    </w:p>
    <w:p w14:paraId="3521E94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采购代理服务费70%计算=1.5*70%=1.05万元</w:t>
      </w:r>
    </w:p>
    <w:p w14:paraId="26A36CC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中标供应商如未按上述规定缴付采购代理服务费，其保证金将不予退还</w:t>
      </w:r>
    </w:p>
    <w:p w14:paraId="274FB147">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（二）采购代理服务费缴纳账号：</w:t>
      </w:r>
    </w:p>
    <w:p w14:paraId="3D17D347">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  名：中捷通信有限公司</w:t>
      </w:r>
    </w:p>
    <w:p w14:paraId="448A5F95">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开户行：中信银行广州花园支行</w:t>
      </w:r>
    </w:p>
    <w:p w14:paraId="6EC31842">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账  号：3110910043850052406 </w:t>
      </w:r>
    </w:p>
    <w:bookmarkEnd w:id="173"/>
    <w:p w14:paraId="1407A7D1">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74" w:name="_Toc16089"/>
      <w:bookmarkStart w:id="175" w:name="_Toc76462346"/>
      <w:bookmarkStart w:id="176" w:name="_Toc4124"/>
      <w:r>
        <w:rPr>
          <w:rFonts w:hint="eastAsia" w:ascii="宋体" w:hAnsi="宋体" w:eastAsia="宋体" w:cs="宋体"/>
          <w:color w:val="auto"/>
          <w:sz w:val="24"/>
          <w:highlight w:val="none"/>
        </w:rPr>
        <w:t>八、签订合同</w:t>
      </w:r>
      <w:bookmarkEnd w:id="174"/>
      <w:bookmarkEnd w:id="175"/>
      <w:bookmarkEnd w:id="176"/>
    </w:p>
    <w:p w14:paraId="4A1CD9F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采购人原则上应在成交通知书发出之日起二十日内和成交商签订采购合同，无正当理由不得拒绝或拖延合同签订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。所签订的合同不得对竞争性磋商文件和供应商的响应文件作实质性修改。其他未尽事宜由采购人和成交商在采购合同中详细约定。</w:t>
      </w:r>
    </w:p>
    <w:p w14:paraId="6CE1BFD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）竞争性磋商文件、供应商的响应文件及澄清文件等，均为签订采购合同的依据。</w:t>
      </w:r>
    </w:p>
    <w:p w14:paraId="35F27C9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）合同生效条款由供需双方约定，法律、行政法规规定应当办理批准、登记等手续后生效的合同，依照其规定。</w:t>
      </w:r>
    </w:p>
    <w:p w14:paraId="42FAB40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）合同原则上应按照《采购合同》签订，相关单位要求适用合同通用格式版本的，应按其要求另行签订其他合同。</w:t>
      </w:r>
    </w:p>
    <w:p w14:paraId="3A0A144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）采购人要求成交商提供履约保证金的，应当在竞争性磋商文件中予以约定。成交商履约完毕后，采购人根据采购文件规定无息退还其履约保证金。</w:t>
      </w:r>
    </w:p>
    <w:p w14:paraId="6BB2ADA7">
      <w:pPr>
        <w:spacing w:line="400" w:lineRule="exact"/>
        <w:ind w:firstLine="361" w:firstLineChars="150"/>
        <w:rPr>
          <w:rFonts w:ascii="宋体" w:hAnsi="宋体" w:cs="宋体"/>
          <w:color w:val="auto"/>
          <w:sz w:val="24"/>
          <w:szCs w:val="24"/>
          <w:highlight w:val="none"/>
        </w:rPr>
      </w:pP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六</w:t>
      </w:r>
      <w:r>
        <w:rPr>
          <w:rFonts w:hint="eastAsia" w:ascii="宋体" w:hAnsi="宋体" w:cs="宋体"/>
          <w:b/>
          <w:bCs/>
          <w:color w:val="auto"/>
          <w:sz w:val="24"/>
          <w:szCs w:val="24"/>
          <w:highlight w:val="none"/>
          <w:u w:val="single"/>
        </w:rPr>
        <w:t>）采购人基建后勤处在合同签订前须核对所有成交商提供的资质与业绩相关的所有原始材料，不能按采购人基建后勤处通知要求提交或者材料有问题的，取消中标资格。</w:t>
      </w:r>
    </w:p>
    <w:p w14:paraId="1BF06BF6">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77" w:name="_Toc25893"/>
      <w:bookmarkStart w:id="178" w:name="_Toc11141"/>
      <w:r>
        <w:rPr>
          <w:rFonts w:hint="eastAsia" w:ascii="宋体" w:hAnsi="宋体" w:eastAsia="宋体" w:cs="宋体"/>
          <w:color w:val="auto"/>
          <w:sz w:val="24"/>
          <w:highlight w:val="none"/>
        </w:rPr>
        <w:t>九、项目验收</w:t>
      </w:r>
      <w:bookmarkEnd w:id="177"/>
      <w:bookmarkEnd w:id="178"/>
    </w:p>
    <w:p w14:paraId="4182354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合同执行完毕，采购人或采购代理机构原则上应在7个工作日内组织履约情况验收，不得无故拖延或附加额外条件。</w:t>
      </w:r>
      <w:bookmarkEnd w:id="150"/>
      <w:bookmarkEnd w:id="151"/>
      <w:bookmarkEnd w:id="152"/>
      <w:bookmarkStart w:id="179" w:name="_Toc12789059"/>
      <w:bookmarkStart w:id="180" w:name="_Toc11641055"/>
    </w:p>
    <w:p w14:paraId="0FFD01DA">
      <w:pPr>
        <w:pStyle w:val="3"/>
        <w:spacing w:before="0" w:after="0" w:line="360" w:lineRule="auto"/>
        <w:jc w:val="center"/>
        <w:rPr>
          <w:rFonts w:ascii="宋体" w:hAnsi="宋体" w:cs="宋体"/>
          <w:b/>
          <w:color w:val="auto"/>
          <w:sz w:val="36"/>
          <w:szCs w:val="30"/>
          <w:highlight w:val="none"/>
        </w:rPr>
      </w:pPr>
      <w:r>
        <w:rPr>
          <w:rFonts w:hint="eastAsia" w:ascii="宋体" w:hAnsi="宋体" w:cs="宋体"/>
          <w:color w:val="auto"/>
          <w:sz w:val="36"/>
          <w:szCs w:val="30"/>
          <w:highlight w:val="none"/>
        </w:rPr>
        <w:br w:type="page"/>
      </w:r>
      <w:bookmarkEnd w:id="179"/>
      <w:bookmarkEnd w:id="180"/>
      <w:bookmarkStart w:id="181" w:name="_Toc18553"/>
      <w:r>
        <w:rPr>
          <w:rFonts w:hint="eastAsia" w:ascii="宋体" w:hAnsi="宋体" w:eastAsia="宋体" w:cs="宋体"/>
          <w:b w:val="0"/>
          <w:color w:val="auto"/>
          <w:sz w:val="36"/>
          <w:szCs w:val="30"/>
          <w:highlight w:val="none"/>
          <w:lang w:val="en-US" w:eastAsia="zh-CN"/>
        </w:rPr>
        <w:t xml:space="preserve">第六篇  </w:t>
      </w:r>
      <w:r>
        <w:rPr>
          <w:rFonts w:hint="eastAsia" w:ascii="宋体" w:hAnsi="宋体" w:eastAsia="宋体" w:cs="宋体"/>
          <w:b w:val="0"/>
          <w:color w:val="auto"/>
          <w:sz w:val="36"/>
          <w:szCs w:val="30"/>
          <w:highlight w:val="none"/>
        </w:rPr>
        <w:t>采购合同</w:t>
      </w:r>
      <w:bookmarkEnd w:id="181"/>
    </w:p>
    <w:p w14:paraId="4FD74C61">
      <w:pPr>
        <w:pStyle w:val="256"/>
        <w:spacing w:before="156"/>
        <w:ind w:left="0" w:leftChars="0" w:firstLine="0" w:firstLineChars="0"/>
        <w:jc w:val="center"/>
        <w:rPr>
          <w:rFonts w:hint="eastAsia" w:ascii="方正公文小标宋" w:hAnsi="方正公文小标宋" w:eastAsia="方正公文小标宋" w:cs="方正公文小标宋"/>
          <w:color w:val="auto"/>
          <w:sz w:val="44"/>
          <w:szCs w:val="44"/>
          <w:highlight w:val="none"/>
        </w:rPr>
      </w:pPr>
      <w:bookmarkStart w:id="182" w:name="_Toc22149"/>
      <w:r>
        <w:rPr>
          <w:rFonts w:hint="eastAsia" w:ascii="方正公文小标宋" w:hAnsi="方正公文小标宋" w:eastAsia="方正公文小标宋" w:cs="方正公文小标宋"/>
          <w:color w:val="auto"/>
          <w:sz w:val="44"/>
          <w:szCs w:val="44"/>
          <w:highlight w:val="none"/>
        </w:rPr>
        <w:t>重庆文理学院学生食堂委托经营合同</w:t>
      </w:r>
      <w:bookmarkEnd w:id="182"/>
    </w:p>
    <w:p w14:paraId="278ABC4C">
      <w:pPr>
        <w:snapToGrid w:val="0"/>
        <w:spacing w:line="400" w:lineRule="exact"/>
        <w:ind w:firstLine="480" w:firstLineChars="20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合同编号：</w:t>
      </w:r>
    </w:p>
    <w:p w14:paraId="3A473F9A">
      <w:pPr>
        <w:pStyle w:val="256"/>
        <w:spacing w:before="156"/>
        <w:ind w:firstLine="640"/>
        <w:jc w:val="center"/>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以下标有下划线部分在签订正式合同时根据招标文件要求和各包实际情况作增减</w:t>
      </w:r>
      <w:r>
        <w:rPr>
          <w:rFonts w:hint="eastAsia"/>
          <w:color w:val="auto"/>
          <w:sz w:val="21"/>
          <w:szCs w:val="21"/>
          <w:highlight w:val="none"/>
          <w:lang w:eastAsia="zh-CN"/>
        </w:rPr>
        <w:t>）</w:t>
      </w:r>
    </w:p>
    <w:p w14:paraId="752D124C">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368692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甲方：重庆文理学院</w:t>
      </w:r>
    </w:p>
    <w:p w14:paraId="4B75618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乙方：</w:t>
      </w:r>
    </w:p>
    <w:p w14:paraId="78FF27F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甲、乙双方根据《中华人民共和国民典法》及有关法律法规规定，就重庆文理学</w:t>
      </w:r>
      <w:r>
        <w:rPr>
          <w:rFonts w:hint="eastAsia" w:ascii="华文仿宋" w:hAnsi="华文仿宋" w:eastAsia="华文仿宋" w:cs="华文仿宋"/>
          <w:color w:val="auto"/>
          <w:sz w:val="28"/>
          <w:szCs w:val="28"/>
          <w:highlight w:val="none"/>
          <w:lang w:val="en-US" w:eastAsia="zh-CN"/>
        </w:rPr>
        <w:t>院</w:t>
      </w:r>
      <w:r>
        <w:rPr>
          <w:rFonts w:hint="eastAsia" w:ascii="华文仿宋" w:hAnsi="华文仿宋" w:eastAsia="华文仿宋" w:cs="华文仿宋"/>
          <w:color w:val="auto"/>
          <w:sz w:val="28"/>
          <w:szCs w:val="28"/>
          <w:highlight w:val="none"/>
          <w:u w:val="single"/>
          <w:lang w:val="en-US" w:eastAsia="zh-CN"/>
        </w:rPr>
        <w:t xml:space="preserve">                 </w:t>
      </w:r>
      <w:r>
        <w:rPr>
          <w:rFonts w:hint="eastAsia" w:ascii="华文仿宋" w:hAnsi="华文仿宋" w:eastAsia="华文仿宋" w:cs="华文仿宋"/>
          <w:color w:val="auto"/>
          <w:sz w:val="28"/>
          <w:szCs w:val="28"/>
          <w:highlight w:val="none"/>
          <w:u w:val="single"/>
        </w:rPr>
        <w:t>食堂委托经营</w:t>
      </w:r>
      <w:r>
        <w:rPr>
          <w:rFonts w:hint="eastAsia" w:ascii="华文仿宋" w:hAnsi="华文仿宋" w:eastAsia="华文仿宋" w:cs="华文仿宋"/>
          <w:color w:val="auto"/>
          <w:sz w:val="28"/>
          <w:szCs w:val="28"/>
          <w:highlight w:val="none"/>
        </w:rPr>
        <w:t>管理的有关事宜达成如下合同并共同遵守。</w:t>
      </w:r>
    </w:p>
    <w:p w14:paraId="2646515B">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center"/>
        <w:textAlignment w:val="auto"/>
        <w:rPr>
          <w:rFonts w:hint="eastAsia" w:ascii="华文仿宋" w:hAnsi="华文仿宋" w:eastAsia="华文仿宋" w:cs="华文仿宋"/>
          <w:b/>
          <w:color w:val="auto"/>
          <w:sz w:val="28"/>
          <w:szCs w:val="28"/>
          <w:highlight w:val="none"/>
        </w:rPr>
      </w:pPr>
      <w:r>
        <w:rPr>
          <w:rFonts w:hint="eastAsia" w:ascii="华文仿宋" w:hAnsi="华文仿宋" w:eastAsia="华文仿宋" w:cs="华文仿宋"/>
          <w:b/>
          <w:color w:val="auto"/>
          <w:sz w:val="28"/>
          <w:szCs w:val="28"/>
          <w:highlight w:val="none"/>
        </w:rPr>
        <w:t>第一部分 基本内容</w:t>
      </w:r>
    </w:p>
    <w:p w14:paraId="486E943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第一条 委托经营地点：</w:t>
      </w:r>
      <w:r>
        <w:rPr>
          <w:rFonts w:hint="eastAsia" w:ascii="华文仿宋" w:hAnsi="华文仿宋" w:eastAsia="华文仿宋" w:cs="华文仿宋"/>
          <w:color w:val="auto"/>
          <w:sz w:val="28"/>
          <w:szCs w:val="28"/>
          <w:highlight w:val="none"/>
          <w:u w:val="single"/>
        </w:rPr>
        <w:t xml:space="preserve">                  </w:t>
      </w:r>
      <w:r>
        <w:rPr>
          <w:rFonts w:hint="eastAsia" w:ascii="华文仿宋" w:hAnsi="华文仿宋" w:eastAsia="华文仿宋" w:cs="华文仿宋"/>
          <w:color w:val="auto"/>
          <w:sz w:val="28"/>
          <w:szCs w:val="28"/>
          <w:highlight w:val="none"/>
        </w:rPr>
        <w:t>区域共计</w:t>
      </w:r>
      <w:r>
        <w:rPr>
          <w:rFonts w:hint="eastAsia" w:ascii="华文仿宋" w:hAnsi="华文仿宋" w:eastAsia="华文仿宋" w:cs="华文仿宋"/>
          <w:color w:val="auto"/>
          <w:sz w:val="28"/>
          <w:szCs w:val="28"/>
          <w:highlight w:val="none"/>
          <w:u w:val="single"/>
        </w:rPr>
        <w:t xml:space="preserve">       </w:t>
      </w:r>
      <w:r>
        <w:rPr>
          <w:rFonts w:hint="eastAsia" w:ascii="华文仿宋" w:hAnsi="华文仿宋" w:eastAsia="华文仿宋" w:cs="华文仿宋"/>
          <w:color w:val="auto"/>
          <w:sz w:val="28"/>
          <w:szCs w:val="28"/>
          <w:highlight w:val="none"/>
        </w:rPr>
        <w:t>平米（以甲方指定的经营区域及面积为准）。</w:t>
      </w:r>
    </w:p>
    <w:p w14:paraId="447FB72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 xml:space="preserve">第二条 </w:t>
      </w:r>
      <w:r>
        <w:rPr>
          <w:rFonts w:hint="eastAsia" w:ascii="华文仿宋" w:hAnsi="华文仿宋" w:eastAsia="华文仿宋" w:cs="华文仿宋"/>
          <w:bCs/>
          <w:color w:val="auto"/>
          <w:sz w:val="28"/>
          <w:szCs w:val="28"/>
          <w:highlight w:val="none"/>
        </w:rPr>
        <w:t>合同期限： 2025年</w:t>
      </w:r>
      <w:r>
        <w:rPr>
          <w:rFonts w:hint="eastAsia" w:ascii="华文仿宋" w:hAnsi="华文仿宋" w:eastAsia="华文仿宋" w:cs="华文仿宋"/>
          <w:bCs/>
          <w:color w:val="auto"/>
          <w:sz w:val="28"/>
          <w:szCs w:val="28"/>
          <w:highlight w:val="none"/>
          <w:u w:val="single"/>
        </w:rPr>
        <w:t xml:space="preserve">      </w:t>
      </w:r>
      <w:r>
        <w:rPr>
          <w:rFonts w:hint="eastAsia" w:ascii="华文仿宋" w:hAnsi="华文仿宋" w:eastAsia="华文仿宋" w:cs="华文仿宋"/>
          <w:bCs/>
          <w:color w:val="auto"/>
          <w:sz w:val="28"/>
          <w:szCs w:val="28"/>
          <w:highlight w:val="none"/>
        </w:rPr>
        <w:t xml:space="preserve"> 月</w:t>
      </w:r>
      <w:r>
        <w:rPr>
          <w:rFonts w:hint="eastAsia" w:ascii="华文仿宋" w:hAnsi="华文仿宋" w:eastAsia="华文仿宋" w:cs="华文仿宋"/>
          <w:bCs/>
          <w:color w:val="auto"/>
          <w:sz w:val="28"/>
          <w:szCs w:val="28"/>
          <w:highlight w:val="none"/>
          <w:u w:val="single"/>
        </w:rPr>
        <w:t xml:space="preserve">    </w:t>
      </w:r>
      <w:r>
        <w:rPr>
          <w:rFonts w:hint="eastAsia" w:ascii="华文仿宋" w:hAnsi="华文仿宋" w:eastAsia="华文仿宋" w:cs="华文仿宋"/>
          <w:bCs/>
          <w:color w:val="auto"/>
          <w:sz w:val="28"/>
          <w:szCs w:val="28"/>
          <w:highlight w:val="none"/>
        </w:rPr>
        <w:t>日至</w:t>
      </w:r>
      <w:r>
        <w:rPr>
          <w:rFonts w:hint="eastAsia" w:ascii="华文仿宋" w:hAnsi="华文仿宋" w:eastAsia="华文仿宋" w:cs="华文仿宋"/>
          <w:color w:val="auto"/>
          <w:sz w:val="28"/>
          <w:szCs w:val="28"/>
          <w:highlight w:val="none"/>
        </w:rPr>
        <w:t>2030年7月10日截止；</w:t>
      </w:r>
    </w:p>
    <w:p w14:paraId="07AFA28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第三条</w:t>
      </w:r>
      <w:bookmarkStart w:id="183" w:name="_Toc26838"/>
      <w:bookmarkStart w:id="184" w:name="_Toc26433"/>
      <w:r>
        <w:rPr>
          <w:rFonts w:hint="eastAsia" w:ascii="华文仿宋" w:hAnsi="华文仿宋" w:eastAsia="华文仿宋" w:cs="华文仿宋"/>
          <w:color w:val="auto"/>
          <w:sz w:val="28"/>
          <w:szCs w:val="28"/>
          <w:highlight w:val="none"/>
        </w:rPr>
        <w:t xml:space="preserve">  </w:t>
      </w:r>
      <w:r>
        <w:rPr>
          <w:rFonts w:hint="eastAsia" w:ascii="华文仿宋" w:hAnsi="华文仿宋" w:eastAsia="华文仿宋" w:cs="华文仿宋"/>
          <w:bCs/>
          <w:color w:val="auto"/>
          <w:sz w:val="28"/>
          <w:szCs w:val="28"/>
          <w:highlight w:val="none"/>
        </w:rPr>
        <w:t>经营范围和项目</w:t>
      </w:r>
      <w:bookmarkEnd w:id="183"/>
      <w:bookmarkEnd w:id="184"/>
    </w:p>
    <w:p w14:paraId="4BC56B9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基本大伙保障型食堂，为师生提供保障用餐。</w:t>
      </w:r>
    </w:p>
    <w:p w14:paraId="3D8081B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主营：</w:t>
      </w:r>
      <w:r>
        <w:rPr>
          <w:rFonts w:hint="eastAsia" w:ascii="华文仿宋" w:hAnsi="华文仿宋" w:eastAsia="华文仿宋" w:cs="华文仿宋"/>
          <w:color w:val="auto"/>
          <w:sz w:val="28"/>
          <w:szCs w:val="28"/>
          <w:highlight w:val="none"/>
          <w:u w:val="single"/>
        </w:rPr>
        <w:t xml:space="preserve">                        (招标文件中规定的范围)。</w:t>
      </w:r>
    </w:p>
    <w:p w14:paraId="1B6E27E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u w:val="none"/>
        </w:rPr>
        <w:t>乙方不得在食堂内使用、销售预制菜。饭菜价格，使用实行审核备案制，严禁随意涨价、调价。乙方不得超经营范围经营，不得经营酒类项目以及污染环境类的餐饮项目，不得经营百货、预包装食品（饮料除外）。</w:t>
      </w:r>
    </w:p>
    <w:p w14:paraId="2A5FE6AD">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第四条 履约保证金</w:t>
      </w:r>
    </w:p>
    <w:p w14:paraId="79EF50E8">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本项目履约保证金金额：100万元人民币。</w:t>
      </w:r>
    </w:p>
    <w:p w14:paraId="39C1F1E6">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在合同签订前必须向甲方缴纳。服务期内如有扣减，乙方必须随时补足履约保证金。合同服务期满结束后，乙方应保证房屋及设施设备、装修等完好，经营区内无生活垃圾、建筑垃圾和其它废弃物，乙方履行完合同义务且无遗留问题(如劳资纠纷、供货纠纷等)，经甲方验收合格并办理完书面移交手续后，甲方10日内无息退还履约保证金。</w:t>
      </w:r>
    </w:p>
    <w:p w14:paraId="23B7A71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环境改善</w:t>
      </w:r>
      <w:r>
        <w:rPr>
          <w:rFonts w:hint="eastAsia" w:ascii="华文仿宋" w:hAnsi="华文仿宋" w:eastAsia="华文仿宋" w:cs="华文仿宋"/>
          <w:color w:val="auto"/>
          <w:sz w:val="28"/>
          <w:szCs w:val="28"/>
          <w:highlight w:val="none"/>
        </w:rPr>
        <w:t>保证金：10万元人民币。</w:t>
      </w:r>
    </w:p>
    <w:p w14:paraId="62764CD6">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乙方在结果公告起5个工作日内向甲方缴纳10万元的环境</w:t>
      </w:r>
      <w:r>
        <w:rPr>
          <w:rFonts w:hint="eastAsia" w:ascii="华文仿宋" w:hAnsi="华文仿宋" w:eastAsia="华文仿宋" w:cs="华文仿宋"/>
          <w:color w:val="auto"/>
          <w:sz w:val="28"/>
          <w:szCs w:val="28"/>
          <w:highlight w:val="none"/>
          <w:lang w:val="en-US" w:eastAsia="zh-CN"/>
        </w:rPr>
        <w:t>改善</w:t>
      </w:r>
      <w:r>
        <w:rPr>
          <w:rFonts w:hint="eastAsia" w:ascii="华文仿宋" w:hAnsi="华文仿宋" w:eastAsia="华文仿宋" w:cs="华文仿宋"/>
          <w:color w:val="auto"/>
          <w:sz w:val="28"/>
          <w:szCs w:val="28"/>
          <w:highlight w:val="none"/>
        </w:rPr>
        <w:t>保证金，以确保环境</w:t>
      </w:r>
      <w:r>
        <w:rPr>
          <w:rFonts w:hint="eastAsia" w:ascii="华文仿宋" w:hAnsi="华文仿宋" w:eastAsia="华文仿宋" w:cs="华文仿宋"/>
          <w:color w:val="auto"/>
          <w:sz w:val="28"/>
          <w:szCs w:val="28"/>
          <w:highlight w:val="none"/>
          <w:lang w:val="en-US" w:eastAsia="zh-CN"/>
        </w:rPr>
        <w:t>改善、数智食堂建设、消防改造、设备设施购置等</w:t>
      </w:r>
      <w:r>
        <w:rPr>
          <w:rFonts w:hint="eastAsia" w:ascii="华文仿宋" w:hAnsi="华文仿宋" w:eastAsia="华文仿宋" w:cs="华文仿宋"/>
          <w:color w:val="auto"/>
          <w:sz w:val="28"/>
          <w:szCs w:val="28"/>
          <w:highlight w:val="none"/>
        </w:rPr>
        <w:t>按期、按质进行，验收合格后无息退还。</w:t>
      </w:r>
    </w:p>
    <w:p w14:paraId="3EB14506">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w:t>
      </w:r>
      <w:r>
        <w:rPr>
          <w:rFonts w:hint="eastAsia" w:ascii="华文仿宋" w:hAnsi="华文仿宋" w:eastAsia="华文仿宋" w:cs="华文仿宋"/>
          <w:color w:val="auto"/>
          <w:sz w:val="28"/>
          <w:szCs w:val="28"/>
          <w:highlight w:val="none"/>
          <w:lang w:val="en-US" w:eastAsia="zh-CN"/>
        </w:rPr>
        <w:t>五</w:t>
      </w:r>
      <w:r>
        <w:rPr>
          <w:rFonts w:hint="eastAsia" w:ascii="华文仿宋" w:hAnsi="华文仿宋" w:eastAsia="华文仿宋" w:cs="华文仿宋"/>
          <w:color w:val="auto"/>
          <w:sz w:val="28"/>
          <w:szCs w:val="28"/>
          <w:highlight w:val="none"/>
        </w:rPr>
        <w:t>条</w:t>
      </w:r>
      <w:bookmarkStart w:id="185" w:name="_Toc25600"/>
      <w:r>
        <w:rPr>
          <w:rFonts w:hint="eastAsia" w:ascii="华文仿宋" w:hAnsi="华文仿宋" w:eastAsia="华文仿宋" w:cs="华文仿宋"/>
          <w:color w:val="auto"/>
          <w:sz w:val="28"/>
          <w:szCs w:val="28"/>
          <w:highlight w:val="none"/>
        </w:rPr>
        <w:t xml:space="preserve"> 费用结算及支付</w:t>
      </w:r>
      <w:bookmarkEnd w:id="185"/>
    </w:p>
    <w:p w14:paraId="3CB256D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1.乙方自行承担建设运营期间所需的水电气费，按甲方所在地物价局水、电、气供给部门所公布的居民收费标准执行，由甲方在乙方营业款中直接扣除。</w:t>
      </w:r>
    </w:p>
    <w:p w14:paraId="1E1774F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2.考核费（暂扣）：</w:t>
      </w:r>
      <w:r>
        <w:rPr>
          <w:rFonts w:hint="eastAsia" w:ascii="华文仿宋" w:hAnsi="华文仿宋" w:eastAsia="华文仿宋" w:cs="华文仿宋"/>
          <w:color w:val="auto"/>
          <w:sz w:val="28"/>
          <w:szCs w:val="28"/>
          <w:highlight w:val="none"/>
          <w:u w:val="single"/>
        </w:rPr>
        <w:t>按乙方的中标报价</w:t>
      </w:r>
      <w:r>
        <w:rPr>
          <w:rFonts w:hint="eastAsia" w:ascii="华文仿宋" w:hAnsi="华文仿宋" w:eastAsia="华文仿宋" w:cs="华文仿宋"/>
          <w:color w:val="auto"/>
          <w:sz w:val="28"/>
          <w:szCs w:val="28"/>
          <w:highlight w:val="none"/>
          <w:u w:val="single"/>
          <w:lang w:eastAsia="zh-CN"/>
        </w:rPr>
        <w:t>：</w:t>
      </w:r>
      <w:r>
        <w:rPr>
          <w:rFonts w:hint="eastAsia" w:ascii="华文仿宋" w:hAnsi="华文仿宋" w:eastAsia="华文仿宋" w:cs="华文仿宋"/>
          <w:color w:val="auto"/>
          <w:sz w:val="28"/>
          <w:szCs w:val="28"/>
          <w:highlight w:val="none"/>
          <w:u w:val="single"/>
          <w:lang w:val="en-US" w:eastAsia="zh-CN"/>
        </w:rPr>
        <w:t xml:space="preserve">    </w:t>
      </w:r>
      <w:r>
        <w:rPr>
          <w:rFonts w:hint="eastAsia" w:ascii="华文仿宋" w:hAnsi="华文仿宋" w:eastAsia="华文仿宋" w:cs="华文仿宋"/>
          <w:color w:val="auto"/>
          <w:sz w:val="28"/>
          <w:szCs w:val="28"/>
          <w:highlight w:val="none"/>
        </w:rPr>
        <w:t>，甲方在乙方每月的一卡通营业款中扣除。</w:t>
      </w:r>
    </w:p>
    <w:p w14:paraId="21F9246C">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3.乙方应向甲方支付的物业费（含生活垃圾处置费）金额：乙方营业额*7‰。由甲方在乙方一卡通营业款中直接扣除。</w:t>
      </w:r>
    </w:p>
    <w:p w14:paraId="7A09F6D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4.乙方应向甲方支付一卡通使用维护费用金额：乙方营业额*3‰。由甲方在乙方一卡通营业款中直接扣除。</w:t>
      </w:r>
    </w:p>
    <w:p w14:paraId="61A367EB">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5.乙方的报价和各种承诺作为与甲方的结算依据，据实结算。</w:t>
      </w:r>
    </w:p>
    <w:p w14:paraId="5B183DC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6.乙方的营收款直接进入甲方的财务收费系统，与甲方实施月结制度（应扣除乙方应向甲方支付的水电气费、物业费（含生活垃圾处置费）和其他应支付的费用），乙方申请支付第一次每月营业款前，必须提供有效的施工图（含技术审查报告）、</w:t>
      </w:r>
      <w:bookmarkStart w:id="186" w:name="OLE_LINK20"/>
      <w:r>
        <w:rPr>
          <w:rFonts w:hint="eastAsia" w:ascii="华文仿宋" w:hAnsi="华文仿宋" w:eastAsia="华文仿宋" w:cs="华文仿宋"/>
          <w:color w:val="auto"/>
          <w:sz w:val="28"/>
          <w:szCs w:val="28"/>
          <w:highlight w:val="none"/>
        </w:rPr>
        <w:t>消防安全验收监测报告</w:t>
      </w:r>
      <w:bookmarkEnd w:id="186"/>
      <w:r>
        <w:rPr>
          <w:rFonts w:hint="eastAsia" w:ascii="华文仿宋" w:hAnsi="华文仿宋" w:eastAsia="华文仿宋" w:cs="华文仿宋"/>
          <w:color w:val="auto"/>
          <w:sz w:val="28"/>
          <w:szCs w:val="28"/>
          <w:highlight w:val="none"/>
        </w:rPr>
        <w:t>、营业所需的所有有效手续、装修结算审核报告、验收报告（含人员配备及资质情况、现场改造情况、视频监控情况等本采购文件要求达到的内容）及甲方每月营业款支付前乙方应支付的员工工资、保险、供货商货款和其他合作商款项等支付证明，（</w:t>
      </w:r>
      <w:r>
        <w:rPr>
          <w:rFonts w:hint="eastAsia" w:ascii="华文仿宋" w:hAnsi="华文仿宋" w:eastAsia="华文仿宋" w:cs="华文仿宋"/>
          <w:color w:val="auto"/>
          <w:sz w:val="28"/>
          <w:szCs w:val="28"/>
          <w:highlight w:val="none"/>
          <w:u w:val="single"/>
        </w:rPr>
        <w:t>包4的乙方还须提供大厅（隔层）和屋顶现有的钢架结构的专业性安全监测报告</w:t>
      </w:r>
      <w:r>
        <w:rPr>
          <w:rFonts w:hint="eastAsia" w:ascii="华文仿宋" w:hAnsi="华文仿宋" w:eastAsia="华文仿宋" w:cs="华文仿宋"/>
          <w:color w:val="auto"/>
          <w:sz w:val="28"/>
          <w:szCs w:val="28"/>
          <w:highlight w:val="none"/>
        </w:rPr>
        <w:t>），最后一次的营业款支付前除应提交员工工资、保险，供货商货款和其他合作商款项等支付证明外，还应在甲方和乙方办理完书面移交手续后10日内支付。</w:t>
      </w:r>
    </w:p>
    <w:p w14:paraId="3C682118">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7.乙方当月的营业收入和其他相关费用结算。在下月初经乙方与甲方财务等相关部门核对无误后，甲方按照其内部管理程序完成审批，学校财务部门按乙方营业收入扣除乙方应支付的费用的净额，由乙方开具票据后，甲方划转到乙方账户。如营业额不足以扣除取相应费用，乙方应及时自行到学校财务部门缴纳。</w:t>
      </w:r>
    </w:p>
    <w:p w14:paraId="080C6D3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8.甲方如发现乙方每月营业款支付前有应支未支的员工工资、保险、供货商货款和其他合作商款项的，发现一次，给予严重警告并补齐相关支付款项再发放营业款。情节严重者，甲方有权终止合同并扣发全部履约保证金。</w:t>
      </w:r>
    </w:p>
    <w:p w14:paraId="6405404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9.乙方自行申办高校服务的免税事宜，营业款涉及税务等有关责任由乙方自行承担。</w:t>
      </w:r>
    </w:p>
    <w:p w14:paraId="6F976938">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center"/>
        <w:textAlignment w:val="auto"/>
        <w:rPr>
          <w:rFonts w:hint="eastAsia" w:ascii="华文仿宋" w:hAnsi="华文仿宋" w:eastAsia="华文仿宋" w:cs="华文仿宋"/>
          <w:b/>
          <w:color w:val="auto"/>
          <w:sz w:val="28"/>
          <w:szCs w:val="28"/>
          <w:highlight w:val="none"/>
          <w:lang w:val="en-US" w:eastAsia="zh-CN"/>
        </w:rPr>
      </w:pPr>
      <w:r>
        <w:rPr>
          <w:rFonts w:hint="eastAsia" w:ascii="华文仿宋" w:hAnsi="华文仿宋" w:eastAsia="华文仿宋" w:cs="华文仿宋"/>
          <w:b/>
          <w:color w:val="auto"/>
          <w:sz w:val="28"/>
          <w:szCs w:val="28"/>
          <w:highlight w:val="none"/>
          <w:lang w:val="en-US" w:eastAsia="zh-CN"/>
        </w:rPr>
        <w:t>第二部分 环境改造要求</w:t>
      </w:r>
    </w:p>
    <w:p w14:paraId="30A14E46">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w:t>
      </w:r>
      <w:r>
        <w:rPr>
          <w:rFonts w:hint="eastAsia" w:ascii="华文仿宋" w:hAnsi="华文仿宋" w:eastAsia="华文仿宋" w:cs="华文仿宋"/>
          <w:color w:val="auto"/>
          <w:sz w:val="28"/>
          <w:szCs w:val="28"/>
          <w:highlight w:val="none"/>
          <w:lang w:val="en-US" w:eastAsia="zh-CN"/>
        </w:rPr>
        <w:t>六</w:t>
      </w:r>
      <w:r>
        <w:rPr>
          <w:rFonts w:hint="eastAsia" w:ascii="华文仿宋" w:hAnsi="华文仿宋" w:eastAsia="华文仿宋" w:cs="华文仿宋"/>
          <w:color w:val="auto"/>
          <w:sz w:val="28"/>
          <w:szCs w:val="28"/>
          <w:highlight w:val="none"/>
        </w:rPr>
        <w:t>条  环境改造要求</w:t>
      </w:r>
    </w:p>
    <w:p w14:paraId="4F0D2439">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食堂整体的装修改造严格按国家市场监督管理总局最新发布的《餐饮服务食品安全操作规范》内容进行规范化改造。食堂改造后就餐区和后厨面积比原则上保持1：1，后厨需按照4D及以上厨房标准设计，根据后厨设计提供相应的4D及以上厨房（即：整理到位、责任到位、培训到位、执行到位）建设标准及方案。食堂需实现“明厨亮灶”，按照甲方数智食堂建设工作要求自行承担各自食堂建设费用和均摊数智食堂监管平台建设及设备设施费用。</w:t>
      </w:r>
    </w:p>
    <w:p w14:paraId="3F04FD41">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厨房及各功能间改造：各食堂食堂需设立包括主食库、副食库、中转库房、留样间、快检室、洗碗间、备餐间、员工（男、女）更衣室、办公室、杂物间、冷冻（冷藏）间、肉类、蔬菜粗加工间、集中加工烹饪间、蒸煮间，各区域均采用色标管理，标识标牌清晰。特色餐加工区域设置必须有利于排水；后厨地面铺贴满足需要的防滑地砖。食堂防火分隔采用2.0砖墙分隔并使用防火玻璃，燃气报警探头全覆盖；消防通道畅通、设施设备完好及标识标牌醒目。食堂内部功能布局合理，达到食品卫生、消防相关政策和法规要求。乙方应提供高效节水的厨具设备，如低流量水龙头、感应式水阀等，并提供无水或少水的清洁方案；确保后厨排水系统的设计合理，能够快速排水，保持地面干燥；选用环保、易清洁的建筑材料和厨具设备，降低清洁用水量和维护成本，同时结合无水厨房的建设，推行节能措施，提高能源利用效率，提供无水厨房方案的成本效益分析，确保方案具有经济可行性。</w:t>
      </w:r>
    </w:p>
    <w:p w14:paraId="30486E1A">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2.燃气安装要求：乙方须自行联系永川区燃气公司，并按永川区天燃气公司的技术标准和管理要求重新安装布局，且一切费用和风险由乙方自行承担。乙方必须设置自动灭火装置。按照《建筑设计防火规范》GB 50016—2022 （2022年版）要求：餐厅建筑面积大于1000㎡的餐馆或食堂，其烹饪操作间的排油烟罩及烹饪部位应设置自动灭火装置，并应在燃气或燃油管道上设置与自动灭火装置联动的自动切断装置。</w:t>
      </w:r>
    </w:p>
    <w:p w14:paraId="187D1BE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3.防水处理要求：乙方应严格按照国家相关规范对食堂重新进行防水改造，装修后必须保证楼层防水处理达到甲方要求。</w:t>
      </w:r>
    </w:p>
    <w:p w14:paraId="5EFF8C1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4.公共卫生间设置要求：</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按照现有</w:t>
      </w:r>
      <w:r>
        <w:rPr>
          <w:rFonts w:hint="eastAsia" w:ascii="华文仿宋" w:hAnsi="华文仿宋" w:eastAsia="华文仿宋" w:cs="华文仿宋"/>
          <w:color w:val="auto"/>
          <w:sz w:val="28"/>
          <w:szCs w:val="28"/>
          <w:highlight w:val="none"/>
          <w:lang w:val="en-US" w:eastAsia="zh-CN"/>
        </w:rPr>
        <w:t>卫生间</w:t>
      </w:r>
      <w:r>
        <w:rPr>
          <w:rFonts w:hint="eastAsia" w:ascii="华文仿宋" w:hAnsi="华文仿宋" w:eastAsia="华文仿宋" w:cs="华文仿宋"/>
          <w:color w:val="auto"/>
          <w:sz w:val="28"/>
          <w:szCs w:val="28"/>
          <w:highlight w:val="none"/>
        </w:rPr>
        <w:t>男女蹲位及站位数量设立。总体服务设施齐全，高档、美观、实用、保护隐私。须满足照明设施齐备，小便器和洗手盆采用电磁感应冲水，蹲便器采用脚踏阀冲水，洗手盆为大理石台面或岩板一体洗手盆，须安装烘干设备，整体配备高档洁具。窗采用铝合金中空玻璃；门采用铝塑或高档木门（防潮）；地面采用高档防滑地砖；内墙高档瓷砖到顶；顶棚采用铝扣集成吊顶或纸面石膏板吊顶，安装抽排通风设施。</w:t>
      </w:r>
    </w:p>
    <w:p w14:paraId="39DD6BBF">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w:t>
      </w:r>
      <w:r>
        <w:rPr>
          <w:rFonts w:hint="eastAsia" w:ascii="华文仿宋" w:hAnsi="华文仿宋" w:eastAsia="华文仿宋" w:cs="华文仿宋"/>
          <w:color w:val="auto"/>
          <w:sz w:val="28"/>
          <w:szCs w:val="28"/>
          <w:highlight w:val="none"/>
          <w:lang w:val="en-US" w:eastAsia="zh-CN"/>
        </w:rPr>
        <w:t>乙方对</w:t>
      </w:r>
      <w:r>
        <w:rPr>
          <w:rFonts w:hint="eastAsia" w:ascii="华文仿宋" w:hAnsi="华文仿宋" w:eastAsia="华文仿宋" w:cs="华文仿宋"/>
          <w:color w:val="auto"/>
          <w:sz w:val="28"/>
          <w:szCs w:val="28"/>
          <w:highlight w:val="none"/>
        </w:rPr>
        <w:t>就餐区可做适当分区、装修须凸显校园文化特色，融合甲方现有标志标识、专业特色、服务育人等内容和功能，整体呈现现代风格，灯光明亮，符合当代大学气质，现有空调全部更换为全新格力或美的空调且食堂覆盖，须满足师生就餐、自习、研讨、工作交流等要求，确保监控设施全覆盖、数智食堂功能按“餐饮安全在线”应用手机端（原“重庆阳光食品”APP）功能要求接入并正常使用。</w:t>
      </w:r>
    </w:p>
    <w:p w14:paraId="2C73AE73">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6.乙方提供4D及以上厨房建设方案：乙方要结合后厨设计，提供相应科学、合理且可行的4D及以上厨房建设方案，实现环境卫生“四无”要求，即地面无油渍、无水迹、无卫生死角、无杂物。墙砖满贴，功能间、加工间及售卖间均全屋铝扣板吊顶。</w:t>
      </w:r>
    </w:p>
    <w:p w14:paraId="48908040">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7.乙方根据实际需要须对食堂外墙进行整修和改造工作。在合同服务期内，乙方负责对食堂装饰工程、食堂主体外墙、设备设施的质量保修维护工作。按照甲方要求及时、高效完成各项售后维修维护工作。</w:t>
      </w:r>
    </w:p>
    <w:p w14:paraId="0DD0FAAC">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8.乙方提供数智食堂建设方案：乙方按照甲方数智食堂建设要求，无条件响应并投资完成建设。即甲方数智食堂总平台搭建（须满足甲方两校区所有食堂的统筹监管需求）、本项目食堂必要的硬件建设（</w:t>
      </w:r>
      <w:r>
        <w:rPr>
          <w:rFonts w:hint="eastAsia" w:ascii="华文仿宋" w:hAnsi="华文仿宋" w:eastAsia="华文仿宋" w:cs="华文仿宋"/>
          <w:color w:val="auto"/>
          <w:sz w:val="28"/>
          <w:szCs w:val="28"/>
          <w:highlight w:val="none"/>
          <w:lang w:val="en-US" w:eastAsia="zh-CN"/>
        </w:rPr>
        <w:t>详见附件二</w:t>
      </w:r>
      <w:r>
        <w:rPr>
          <w:rFonts w:hint="eastAsia" w:ascii="华文仿宋" w:hAnsi="华文仿宋" w:eastAsia="华文仿宋" w:cs="华文仿宋"/>
          <w:color w:val="auto"/>
          <w:sz w:val="28"/>
          <w:szCs w:val="28"/>
          <w:highlight w:val="none"/>
        </w:rPr>
        <w:t>）。按照甲方数智食堂建设工作要求自行承担各自食堂数智食堂相关费用。</w:t>
      </w:r>
      <w:r>
        <w:rPr>
          <w:rFonts w:hint="eastAsia" w:ascii="华文仿宋" w:hAnsi="华文仿宋" w:eastAsia="华文仿宋" w:cs="华文仿宋"/>
          <w:color w:val="auto"/>
          <w:sz w:val="28"/>
          <w:szCs w:val="28"/>
          <w:highlight w:val="none"/>
          <w:u w:val="single"/>
        </w:rPr>
        <w:t>乙方须按照“数智食堂”食堂数智化设备建设要求完成各自食堂的所有建设。</w:t>
      </w:r>
      <w:r>
        <w:rPr>
          <w:rFonts w:hint="eastAsia" w:ascii="华文仿宋" w:hAnsi="华文仿宋" w:eastAsia="华文仿宋" w:cs="华文仿宋"/>
          <w:color w:val="auto"/>
          <w:sz w:val="28"/>
          <w:szCs w:val="28"/>
          <w:highlight w:val="none"/>
        </w:rPr>
        <w:t>整个数智食堂系统须在</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装修改造投入使用前建成，经甲方验收后投入使用，乙方须委托系统建设单位负责对甲方的使用人员进行培训，乙方须在数智食堂建设合同中明确系统建设单位负责免费为甲方后续拓展接入的食堂终端设备做好技术服务，乙方同时将该系统的产权移交给甲方并办理移交手续，甲方终身免费使用该系统，乙方数智食堂建设单位须在售后服务期限内负责数智食堂系统的维护，确保整个系统正常使用。录像及管理数据资产归甲方处置，任何数据不得不经甲方书面同意提供给第三方，所有数据必须无条件提供给甲方并提供相关接口或数据库权限。</w:t>
      </w:r>
    </w:p>
    <w:p w14:paraId="31D02A03">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9.</w:t>
      </w:r>
      <w:r>
        <w:rPr>
          <w:rFonts w:hint="eastAsia" w:ascii="华文仿宋" w:hAnsi="华文仿宋" w:eastAsia="华文仿宋" w:cs="华文仿宋"/>
          <w:color w:val="auto"/>
          <w:sz w:val="28"/>
          <w:szCs w:val="28"/>
          <w:highlight w:val="none"/>
          <w:lang w:val="en-US" w:eastAsia="zh-CN"/>
        </w:rPr>
        <w:t>甲方</w:t>
      </w:r>
      <w:r>
        <w:rPr>
          <w:rFonts w:hint="eastAsia" w:ascii="华文仿宋" w:hAnsi="华文仿宋" w:eastAsia="华文仿宋" w:cs="华文仿宋"/>
          <w:color w:val="auto"/>
          <w:sz w:val="28"/>
          <w:szCs w:val="28"/>
          <w:highlight w:val="none"/>
        </w:rPr>
        <w:t>食堂建筑物现状：现有的室内消防设施仅有消火栓系统、应急疏散指示标志和防火门，没有或部分没有消防报警、喷淋、防排烟、烟感和温感等设施。乙方务必要充分了解该情况，环境改善完成后，乙方应达到由政府机构认可的第三方机构出具的消防安全验收合格检测报告，相关费用由乙方承担。新增的各项消防设施和报警装置，需要统一接入甲方整个消防系统联网，故消防设施设备必须与原有消防系统无缝对接（现在甲方的消防系统使用的是“海湾牌”系列产品）。</w:t>
      </w:r>
    </w:p>
    <w:p w14:paraId="790777E2">
      <w:pPr>
        <w:tabs>
          <w:tab w:val="left" w:pos="3200"/>
        </w:tabs>
        <w:spacing w:line="480" w:lineRule="exact"/>
        <w:ind w:firstLine="560" w:firstLineChars="200"/>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10.食堂油烟排放改造：按照重庆市永川区生态环境局、重庆市永川区教育委员会《关于加快推进学校食堂油烟治理提标改造的通知》的要求：</w:t>
      </w:r>
    </w:p>
    <w:p w14:paraId="08AD184C">
      <w:pPr>
        <w:tabs>
          <w:tab w:val="left" w:pos="3200"/>
        </w:tabs>
        <w:spacing w:line="480" w:lineRule="exact"/>
        <w:ind w:firstLine="560" w:firstLineChars="200"/>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技术改造标准：</w:t>
      </w:r>
    </w:p>
    <w:p w14:paraId="22DF6B72">
      <w:pPr>
        <w:tabs>
          <w:tab w:val="left" w:pos="3200"/>
        </w:tabs>
        <w:spacing w:line="480" w:lineRule="exact"/>
        <w:ind w:firstLine="560" w:firstLineChars="200"/>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(一)设备配置要求。油烟净化处理风量与灶头数量相匹配，设备标准化安装，采用高效静电、湿法冷凝等先进技术，同时净化设备应与排风机联动。</w:t>
      </w:r>
    </w:p>
    <w:p w14:paraId="085BB774">
      <w:pPr>
        <w:tabs>
          <w:tab w:val="left" w:pos="3200"/>
        </w:tabs>
        <w:spacing w:line="480" w:lineRule="exact"/>
        <w:ind w:firstLine="560" w:firstLineChars="200"/>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(二)排放限值标准。改造后油烟净化效率需≥95%,油烟排 放浓度稳定≤0.3mg/m³(鼓励达到0.1mg/m³), 非甲烷总烃浓度 ≤5mg/m³,需同步提交第三方监测报告。</w:t>
      </w:r>
    </w:p>
    <w:p w14:paraId="00991E26">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三)运维管理要求。需保证治理设施持续正常运行，严格落实日常巡查工作，定期对设施进行清洗维护，且妥善保存相关记录。鼓励实施治理设施的第三方运维管理模式，以及油烟设备的自动清洗作业。对本条必须响应。</w:t>
      </w:r>
    </w:p>
    <w:p w14:paraId="02DDCD07">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11.乙方根据</w:t>
      </w:r>
      <w:r>
        <w:rPr>
          <w:rFonts w:hint="eastAsia" w:ascii="华文仿宋" w:hAnsi="华文仿宋" w:eastAsia="华文仿宋" w:cs="华文仿宋"/>
          <w:color w:val="auto"/>
          <w:sz w:val="28"/>
          <w:szCs w:val="28"/>
          <w:highlight w:val="none"/>
          <w:lang w:val="en-US" w:eastAsia="zh-CN"/>
        </w:rPr>
        <w:t>甲方要求</w:t>
      </w:r>
      <w:r>
        <w:rPr>
          <w:rFonts w:hint="eastAsia" w:ascii="华文仿宋" w:hAnsi="华文仿宋" w:eastAsia="华文仿宋" w:cs="华文仿宋"/>
          <w:color w:val="auto"/>
          <w:sz w:val="28"/>
          <w:szCs w:val="28"/>
          <w:highlight w:val="none"/>
        </w:rPr>
        <w:t>、自身管理和服务的需要，对加工区的分隔或房间的功能做必要的整合或调整，装修改造方案和施工图须在满足需求、现状条件和设计规范的基础上，由乙方委托有资质的单位进行设计和施工图审查，并按照食堂所在地（重庆市永川区）燃气管理部门、市场监督</w:t>
      </w:r>
      <w:r>
        <w:rPr>
          <w:rFonts w:hint="eastAsia" w:ascii="华文仿宋" w:hAnsi="华文仿宋" w:eastAsia="华文仿宋" w:cs="华文仿宋"/>
          <w:color w:val="auto"/>
          <w:sz w:val="28"/>
          <w:szCs w:val="28"/>
          <w:highlight w:val="none"/>
          <w:lang w:val="en-US" w:eastAsia="zh-CN"/>
        </w:rPr>
        <w:t>等</w:t>
      </w:r>
      <w:r>
        <w:rPr>
          <w:rFonts w:hint="eastAsia" w:ascii="华文仿宋" w:hAnsi="华文仿宋" w:eastAsia="华文仿宋" w:cs="华文仿宋"/>
          <w:color w:val="auto"/>
          <w:sz w:val="28"/>
          <w:szCs w:val="28"/>
          <w:highlight w:val="none"/>
        </w:rPr>
        <w:t>部门的要求，办理好各项合法的建设审批手续后方能组织实施。乙方应在中标通知书发布后10日内完成装修改造涉及的平面布局、管网、用电负荷等设计方案论证并通过甲方的审核，作为施工图设计的依据；同时在中标通知书发布后 15日内，提交环境改善投入实施方案和投资概算并通过甲方的审核，作为乙方环境改善投入的实施依据。</w:t>
      </w:r>
    </w:p>
    <w:p w14:paraId="4919BF9E">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12.乙方在装修改造中必须委托有资质的监理单位对施工全过程进行监理，装修改造完工后，乙方自行邀请所在地建设行政主管部门、燃气管理部门、市场监管部门以及其他相关主管部门进行合格验收并取得验收合格意见书。甲方结合装修改造对各食堂区域进行安防升级施工时，乙方须无条件的配合并承担升级所需的费用。在装修改造办理建设审批手续过程中，若需要以甲方名义进行的申报、报验等工作，甲方只负责配合提供甲方的相关信息、已有的工程资料和盖章，其余的所有工作，由乙方完成，并由乙方承担相应的费用。</w:t>
      </w:r>
    </w:p>
    <w:p w14:paraId="5E873E8B">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13.乙方在取得相关主管部门的验收合格意见书和甲方指定的第三方有资质公司出具的项目结算审核报告书的基础上，将一套完整的施工过程资料备齐后 15个工作日内，由甲方组织相关人员组成验收小组，对整个装修改造和设备设施投入进行验收，形成验收意见。装饰装修改造投入的结算编制，按照重庆市 2018 年及最新的相关工程定额和文件计价。乙方投入金额审定的允许负偏差范围为中标承诺金额的-2%，若发现实际投资金额超出了允许的负偏差范围，视为未履行中标承诺，乙方必须按差额部分补偿给甲方，差额补偿金从乙方履约保证金中扣除，如影响师生就餐的，学校还将追究其违约责任。装修投入的正偏差，不设上限偏差范围。</w:t>
      </w:r>
    </w:p>
    <w:p w14:paraId="056BADD2">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14.乙方资金投入要求：</w:t>
      </w:r>
    </w:p>
    <w:p w14:paraId="48FBD0D0">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u w:val="single"/>
        </w:rPr>
        <w:t>包4投入资金不得低于260万。包5投入资金不得低于250万。</w:t>
      </w:r>
      <w:r>
        <w:rPr>
          <w:rFonts w:hint="eastAsia" w:ascii="华文仿宋" w:hAnsi="华文仿宋" w:eastAsia="华文仿宋" w:cs="华文仿宋"/>
          <w:color w:val="auto"/>
          <w:sz w:val="28"/>
          <w:szCs w:val="28"/>
          <w:highlight w:val="none"/>
        </w:rPr>
        <w:t>该投入费用包括数智食堂建设、环境改善、设施设备购置、餐厨具等，乙方在投标文件中承诺具体金额，但不低于本招标文件要求的最低金额，乙方投入资金以甲方指定的第三方有资质的公司出具的项目结算审核报告书为准，结算审核费用由乙方自行负担。</w:t>
      </w:r>
    </w:p>
    <w:p w14:paraId="40248B4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15.“三防”设施要求：</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确保配备符合实际的防鼠、防虫、防蝇设施并能够有效发挥作用，防止鼠类等有害生物侵入。其中，墙壁、地板应无缝隙；所有管道与外界或天花板连接处应封闭，所有管线穿越而产生的孔洞应封堵，孔洞填充牢固，无缝隙；使用水封式地漏；人员、货物与外界相连通道应设有防鼠板；门缝隙、排水管道出水口应按照操作规范要求做好“三防”措施。</w:t>
      </w:r>
    </w:p>
    <w:p w14:paraId="68EA0DF1">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16.水电搭接安装要求。原先的所有电气线路和给水管网必须结合</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自身经营所需电力负荷和使用需求重新规划布局（包括搭接至变压器的主供电电缆），如因食堂能源超负荷，还需承担能源扩容所涉及的费用。乙方整个经营区域只能</w:t>
      </w:r>
      <w:r>
        <w:rPr>
          <w:rFonts w:hint="eastAsia" w:ascii="华文仿宋" w:hAnsi="华文仿宋" w:eastAsia="华文仿宋" w:cs="华文仿宋"/>
          <w:color w:val="auto"/>
          <w:sz w:val="28"/>
          <w:szCs w:val="28"/>
          <w:highlight w:val="none"/>
          <w:lang w:val="en-US" w:eastAsia="zh-CN"/>
        </w:rPr>
        <w:t>各</w:t>
      </w:r>
      <w:r>
        <w:rPr>
          <w:rFonts w:hint="eastAsia" w:ascii="华文仿宋" w:hAnsi="华文仿宋" w:eastAsia="华文仿宋" w:cs="华文仿宋"/>
          <w:color w:val="auto"/>
          <w:sz w:val="28"/>
          <w:szCs w:val="28"/>
          <w:highlight w:val="none"/>
        </w:rPr>
        <w:t>设置一块水、电、气计量表，水电气搭接口由甲方指定，需要配备负荷用电安全要求的用电安全防护设施设备。施工中发生的安全责任事故由乙方自行承担。</w:t>
      </w:r>
    </w:p>
    <w:p w14:paraId="31220AA4">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rPr>
        <w:t>17.</w:t>
      </w:r>
      <w:r>
        <w:rPr>
          <w:rFonts w:hint="eastAsia" w:ascii="华文仿宋" w:hAnsi="华文仿宋" w:eastAsia="华文仿宋" w:cs="华文仿宋"/>
          <w:color w:val="auto"/>
          <w:sz w:val="28"/>
          <w:szCs w:val="28"/>
          <w:highlight w:val="none"/>
          <w:u w:val="single"/>
        </w:rPr>
        <w:t>包4红河校区三食堂的乙方须邀请专业机构对大厅（隔层）和屋顶现有的钢架结构进行安全监测，并向甲方提交安全监测报告，甲方邀请相关专业监测机构监测后确认没有安全隐患后乙方方可投入使用，并由乙方自行承担所有相关专业检测费用；如大厅（隔层）和屋顶现有的钢架结构安全监测不合格，须乙方出资进行改造并达到安全要求。</w:t>
      </w:r>
    </w:p>
    <w:p w14:paraId="3B9DE114">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18合同期满，乙方投入的装修装饰和管网、电线、消防设施、数智食堂及设施设备所有权无偿转让给甲方，交由甲方进行处置，乙方不得破坏。同时乙方在撤离时如数返还甲方原有设施设备，完成食堂内的清洁工作。乙方逾期未撤离，甲方有权对乙方所有投入设施设备进行全权处置，由此造成的一切后果与损失由乙方自行承担。乙方在合同期内可以对食堂进行再次装修，其装修费用均由乙方自行承担，乙方再次装修方案必须甲方书面同意后方可进行，否则，甲方扣除乙方50000元的违约金。尾料、现场垃圾及废品、废物须由乙方负责处置并打扫清理干净，甲方无义务回收或转</w:t>
      </w:r>
      <w:r>
        <w:rPr>
          <w:rFonts w:hint="eastAsia" w:ascii="华文仿宋" w:hAnsi="华文仿宋" w:eastAsia="华文仿宋" w:cs="华文仿宋"/>
          <w:color w:val="auto"/>
          <w:sz w:val="28"/>
          <w:szCs w:val="28"/>
          <w:highlight w:val="none"/>
          <w:lang w:val="en-US" w:eastAsia="zh-CN"/>
        </w:rPr>
        <w:t>运</w:t>
      </w:r>
      <w:r>
        <w:rPr>
          <w:rFonts w:hint="eastAsia" w:ascii="华文仿宋" w:hAnsi="华文仿宋" w:eastAsia="华文仿宋" w:cs="华文仿宋"/>
          <w:color w:val="auto"/>
          <w:sz w:val="28"/>
          <w:szCs w:val="28"/>
          <w:highlight w:val="none"/>
        </w:rPr>
        <w:t>。乙方与食堂监管部门进行清点并完善移交签字手续。</w:t>
      </w:r>
    </w:p>
    <w:p w14:paraId="3EB5E90C">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19.应合理使用甲方提供的房屋、场地及其附属设施，负责日常管理与维护，如因使用不当造成房屋、场地及设施损坏的，乙方应立即负责修复或给予经济赔偿。在合同期内，乙方未事先征得学校书面书面同意，不得擅自改变房屋、场地及其附属设施的外观、结构和用途。不得超承重负荷使用房屋。</w:t>
      </w:r>
    </w:p>
    <w:p w14:paraId="7F8D84B5">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20.乙方的用电负荷上限须取得甲方基建后勤处的书面同意。</w:t>
      </w:r>
    </w:p>
    <w:p w14:paraId="33A6C30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color w:val="auto"/>
          <w:sz w:val="28"/>
          <w:szCs w:val="28"/>
          <w:highlight w:val="none"/>
          <w:lang w:val="en-US" w:eastAsia="zh-CN"/>
        </w:rPr>
      </w:pPr>
      <w:r>
        <w:rPr>
          <w:rFonts w:hint="eastAsia" w:ascii="华文仿宋" w:hAnsi="华文仿宋" w:eastAsia="华文仿宋" w:cs="华文仿宋"/>
          <w:b/>
          <w:color w:val="auto"/>
          <w:sz w:val="28"/>
          <w:szCs w:val="28"/>
          <w:highlight w:val="none"/>
          <w:lang w:val="en-US" w:eastAsia="zh-CN"/>
        </w:rPr>
        <w:t>第三部分   经营管理要求</w:t>
      </w:r>
    </w:p>
    <w:p w14:paraId="1C23792F">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w:t>
      </w:r>
      <w:r>
        <w:rPr>
          <w:rFonts w:hint="eastAsia" w:ascii="华文仿宋" w:hAnsi="华文仿宋" w:eastAsia="华文仿宋" w:cs="华文仿宋"/>
          <w:color w:val="auto"/>
          <w:sz w:val="28"/>
          <w:szCs w:val="28"/>
          <w:highlight w:val="none"/>
          <w:lang w:val="en-US" w:eastAsia="zh-CN"/>
        </w:rPr>
        <w:t>八</w:t>
      </w:r>
      <w:r>
        <w:rPr>
          <w:rFonts w:hint="eastAsia" w:ascii="华文仿宋" w:hAnsi="华文仿宋" w:eastAsia="华文仿宋" w:cs="华文仿宋"/>
          <w:color w:val="auto"/>
          <w:sz w:val="28"/>
          <w:szCs w:val="28"/>
          <w:highlight w:val="none"/>
        </w:rPr>
        <w:t>条  服务要求</w:t>
      </w:r>
    </w:p>
    <w:p w14:paraId="23A0BDA9">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乙方应充分考虑大多数学生的经济承受能力，“学生需求”与“健康饮食”的关系，严格执行甲方和行业的相关规定控制饭菜质量和价格。合理设置基本大伙档口（乙方必须设置明确标识），各食堂一楼的基本大伙档口数量占比不低于35%，同时在食堂一楼还须设置独立爱心餐档口。所有饭菜价格应明码标价且应低于社会餐饮同等水平。</w:t>
      </w:r>
    </w:p>
    <w:p w14:paraId="7FB7BD3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2.基本大伙菜品种类和份量须满足学生用餐的实际需求。针对基本早餐类食品、基本大伙餐、爱心餐管理，暂定执行以下要求且必须确保</w:t>
      </w:r>
      <w:r>
        <w:rPr>
          <w:rFonts w:hint="eastAsia" w:ascii="华文仿宋" w:hAnsi="华文仿宋" w:eastAsia="华文仿宋" w:cs="华文仿宋"/>
          <w:color w:val="auto"/>
          <w:sz w:val="28"/>
          <w:szCs w:val="28"/>
          <w:highlight w:val="none"/>
          <w:lang w:val="zh-CN"/>
        </w:rPr>
        <w:t>供应</w:t>
      </w:r>
      <w:r>
        <w:rPr>
          <w:rFonts w:hint="eastAsia" w:ascii="华文仿宋" w:hAnsi="华文仿宋" w:eastAsia="华文仿宋" w:cs="华文仿宋"/>
          <w:color w:val="auto"/>
          <w:sz w:val="28"/>
          <w:szCs w:val="28"/>
          <w:highlight w:val="none"/>
        </w:rPr>
        <w:t>不断档或限量销售，后续调价按照重庆市教委或经市教委授权重庆教育后勤协会发布相关文件执行。</w:t>
      </w:r>
    </w:p>
    <w:p w14:paraId="70F78162">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（1）所有菜品的出品量、荤素比、售卖价，采取报批制，严格按照乙方上报的数据对照执行。所有上报的菜品包括菜品名称、菜品主配料成分、成品售卖价格。</w:t>
      </w:r>
    </w:p>
    <w:p w14:paraId="74B2FB23">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（2）所有上报的菜品与永川及周边高校一致的，需包括相同产品2-3所高校的对比价格。</w:t>
      </w:r>
    </w:p>
    <w:p w14:paraId="14171790">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方正仿宋_GBK" w:hAnsi="Times New Roman" w:eastAsia="方正仿宋_GBK" w:cs="Times New Roman"/>
          <w:color w:val="auto"/>
          <w:szCs w:val="28"/>
          <w:highlight w:val="none"/>
        </w:rPr>
      </w:pPr>
      <w:r>
        <w:rPr>
          <w:rFonts w:hint="eastAsia" w:ascii="华文仿宋" w:hAnsi="华文仿宋" w:eastAsia="华文仿宋" w:cs="华文仿宋"/>
          <w:color w:val="auto"/>
          <w:sz w:val="28"/>
          <w:szCs w:val="28"/>
          <w:highlight w:val="none"/>
        </w:rPr>
        <w:t>（3）基本早餐类食品价格按照以下标准：</w:t>
      </w:r>
    </w:p>
    <w:tbl>
      <w:tblPr>
        <w:tblStyle w:val="59"/>
        <w:tblW w:w="9135" w:type="dxa"/>
        <w:jc w:val="center"/>
        <w:tblLayout w:type="fixed"/>
        <w:tblCellMar>
          <w:top w:w="0" w:type="dxa"/>
          <w:left w:w="108" w:type="dxa"/>
          <w:bottom w:w="0" w:type="dxa"/>
          <w:right w:w="108" w:type="dxa"/>
        </w:tblCellMar>
      </w:tblPr>
      <w:tblGrid>
        <w:gridCol w:w="3609"/>
        <w:gridCol w:w="2890"/>
        <w:gridCol w:w="2636"/>
      </w:tblGrid>
      <w:tr w14:paraId="110D8A82">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443A1189">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品类</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5FD2F797">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售价（元）</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799993E">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单位</w:t>
            </w:r>
          </w:p>
        </w:tc>
      </w:tr>
      <w:tr w14:paraId="337CB3DE">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0F4849D9">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白馒头</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BC89C77">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2BB3C17">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个（≥100g）</w:t>
            </w:r>
          </w:p>
        </w:tc>
      </w:tr>
      <w:tr w14:paraId="51D196FC">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4C2AC120">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花卷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4A9392F">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0.6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75C6112">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个（≥100g）</w:t>
            </w:r>
          </w:p>
        </w:tc>
      </w:tr>
      <w:tr w14:paraId="17AACB93">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6B7F9F42">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发糕</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51BD4AAA">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71E5020">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个（≥100g）</w:t>
            </w:r>
          </w:p>
        </w:tc>
      </w:tr>
      <w:tr w14:paraId="6D25702B">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564900DA">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白水蛋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8815993">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A464F6C">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个</w:t>
            </w:r>
          </w:p>
        </w:tc>
      </w:tr>
      <w:tr w14:paraId="7BDA5747">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0CD1D9F2">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鲜肉包</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245058F">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0.8</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69BB3F1B">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个（≥80克）</w:t>
            </w:r>
          </w:p>
        </w:tc>
      </w:tr>
      <w:tr w14:paraId="33F86AF4">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957559A">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煎蛋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E4D1BBF">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CBA116C">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个</w:t>
            </w:r>
          </w:p>
        </w:tc>
      </w:tr>
      <w:tr w14:paraId="2EC7BA7C">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6F0B25FD">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卤蛋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04164E2">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E63AB20">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个</w:t>
            </w:r>
          </w:p>
        </w:tc>
      </w:tr>
      <w:tr w14:paraId="3D41CDD0">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CFCAF4D">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豆浆</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8AC957F">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3A47E428">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碗（≥330ml）</w:t>
            </w:r>
          </w:p>
        </w:tc>
      </w:tr>
      <w:tr w14:paraId="6A09BF9B">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7CFC8010">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油条</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42FDFD2">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5E062B9">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根（≥80g）</w:t>
            </w:r>
          </w:p>
        </w:tc>
      </w:tr>
      <w:tr w14:paraId="15BA5D6B">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A3F9500">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白粥</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477B0D2">
            <w:pPr>
              <w:spacing w:line="500" w:lineRule="exact"/>
              <w:ind w:firstLine="420" w:firstLineChars="200"/>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0B634D7">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碗（≥330ml）</w:t>
            </w:r>
          </w:p>
        </w:tc>
      </w:tr>
      <w:tr w14:paraId="19F08E2B">
        <w:tblPrEx>
          <w:tblCellMar>
            <w:top w:w="0" w:type="dxa"/>
            <w:left w:w="108" w:type="dxa"/>
            <w:bottom w:w="0" w:type="dxa"/>
            <w:right w:w="108" w:type="dxa"/>
          </w:tblCellMar>
        </w:tblPrEx>
        <w:trPr>
          <w:trHeight w:val="340" w:hRule="atLeast"/>
          <w:jc w:val="center"/>
        </w:trPr>
        <w:tc>
          <w:tcPr>
            <w:tcW w:w="3607" w:type="dxa"/>
            <w:vMerge w:val="restart"/>
            <w:tcBorders>
              <w:top w:val="single" w:color="000000" w:sz="4" w:space="0"/>
              <w:left w:val="single" w:color="000000" w:sz="4" w:space="0"/>
              <w:bottom w:val="single" w:color="000000" w:sz="4" w:space="0"/>
              <w:right w:val="single" w:color="000000" w:sz="4" w:space="0"/>
            </w:tcBorders>
            <w:noWrap/>
            <w:vAlign w:val="center"/>
          </w:tcPr>
          <w:p w14:paraId="70697192">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汤或干拌（面、</w:t>
            </w:r>
            <w:r>
              <w:rPr>
                <w:rFonts w:hint="eastAsia" w:ascii="方正仿宋_GBK" w:hAnsi="宋体" w:eastAsia="方正仿宋_GBK" w:cs="宋体"/>
                <w:color w:val="auto"/>
                <w:sz w:val="21"/>
                <w:szCs w:val="21"/>
                <w:highlight w:val="none"/>
                <w:lang w:val="zh-CN"/>
              </w:rPr>
              <w:t>米线、</w:t>
            </w:r>
            <w:r>
              <w:rPr>
                <w:rFonts w:hint="eastAsia" w:ascii="方正仿宋_GBK" w:hAnsi="宋体" w:eastAsia="方正仿宋_GBK" w:cs="宋体"/>
                <w:color w:val="auto"/>
                <w:sz w:val="21"/>
                <w:szCs w:val="21"/>
                <w:highlight w:val="none"/>
              </w:rPr>
              <w:t>粉、刀削）</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5BFA861">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4.5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2DA796C">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1两</w:t>
            </w:r>
          </w:p>
        </w:tc>
      </w:tr>
      <w:tr w14:paraId="77DA4A27">
        <w:tblPrEx>
          <w:tblCellMar>
            <w:top w:w="0" w:type="dxa"/>
            <w:left w:w="108" w:type="dxa"/>
            <w:bottom w:w="0" w:type="dxa"/>
            <w:right w:w="108" w:type="dxa"/>
          </w:tblCellMar>
        </w:tblPrEx>
        <w:trPr>
          <w:trHeight w:val="340" w:hRule="atLeast"/>
          <w:jc w:val="center"/>
        </w:trPr>
        <w:tc>
          <w:tcPr>
            <w:tcW w:w="3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14631">
            <w:pPr>
              <w:widowControl/>
              <w:spacing w:line="500" w:lineRule="exact"/>
              <w:jc w:val="left"/>
              <w:rPr>
                <w:rFonts w:hint="eastAsia" w:ascii="方正仿宋_GBK" w:hAnsi="宋体" w:eastAsia="方正仿宋_GBK" w:cs="宋体"/>
                <w:color w:val="auto"/>
                <w:sz w:val="21"/>
                <w:szCs w:val="21"/>
                <w:highlight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1DC5CBC3">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7E54B75A">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2两</w:t>
            </w:r>
          </w:p>
        </w:tc>
      </w:tr>
      <w:tr w14:paraId="6519D13D">
        <w:tblPrEx>
          <w:tblCellMar>
            <w:top w:w="0" w:type="dxa"/>
            <w:left w:w="108" w:type="dxa"/>
            <w:bottom w:w="0" w:type="dxa"/>
            <w:right w:w="108" w:type="dxa"/>
          </w:tblCellMar>
        </w:tblPrEx>
        <w:trPr>
          <w:trHeight w:val="340" w:hRule="atLeast"/>
          <w:jc w:val="center"/>
        </w:trPr>
        <w:tc>
          <w:tcPr>
            <w:tcW w:w="3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730B4">
            <w:pPr>
              <w:widowControl/>
              <w:spacing w:line="500" w:lineRule="exact"/>
              <w:jc w:val="left"/>
              <w:rPr>
                <w:rFonts w:hint="eastAsia" w:ascii="方正仿宋_GBK" w:hAnsi="宋体" w:eastAsia="方正仿宋_GBK" w:cs="宋体"/>
                <w:color w:val="auto"/>
                <w:sz w:val="21"/>
                <w:szCs w:val="21"/>
                <w:highlight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1FA9F276">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72AE1435">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3两</w:t>
            </w:r>
          </w:p>
        </w:tc>
      </w:tr>
    </w:tbl>
    <w:p w14:paraId="1905BA60">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（4）基本大伙餐价格参照以下标准（其中鲜猪肉菜品比例每餐不得低于4个品种）：</w:t>
      </w:r>
    </w:p>
    <w:tbl>
      <w:tblPr>
        <w:tblStyle w:val="59"/>
        <w:tblW w:w="9150" w:type="dxa"/>
        <w:jc w:val="center"/>
        <w:tblLayout w:type="fixed"/>
        <w:tblCellMar>
          <w:top w:w="0" w:type="dxa"/>
          <w:left w:w="108" w:type="dxa"/>
          <w:bottom w:w="0" w:type="dxa"/>
          <w:right w:w="108" w:type="dxa"/>
        </w:tblCellMar>
      </w:tblPr>
      <w:tblGrid>
        <w:gridCol w:w="1561"/>
        <w:gridCol w:w="1375"/>
        <w:gridCol w:w="989"/>
        <w:gridCol w:w="3132"/>
        <w:gridCol w:w="2093"/>
      </w:tblGrid>
      <w:tr w14:paraId="35D4E444">
        <w:tblPrEx>
          <w:tblCellMar>
            <w:top w:w="0" w:type="dxa"/>
            <w:left w:w="108" w:type="dxa"/>
            <w:bottom w:w="0" w:type="dxa"/>
            <w:right w:w="108" w:type="dxa"/>
          </w:tblCellMar>
        </w:tblPrEx>
        <w:trPr>
          <w:trHeight w:val="818" w:hRule="atLeast"/>
          <w:jc w:val="center"/>
        </w:trPr>
        <w:tc>
          <w:tcPr>
            <w:tcW w:w="2937" w:type="dxa"/>
            <w:gridSpan w:val="2"/>
            <w:tcBorders>
              <w:top w:val="single" w:color="000000" w:sz="4" w:space="0"/>
              <w:left w:val="single" w:color="000000" w:sz="4" w:space="0"/>
              <w:bottom w:val="single" w:color="000000" w:sz="4" w:space="0"/>
              <w:right w:val="single" w:color="000000" w:sz="4" w:space="0"/>
            </w:tcBorders>
            <w:noWrap/>
            <w:vAlign w:val="center"/>
          </w:tcPr>
          <w:p w14:paraId="129590E4">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品类</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F23F171">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售价（元）</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5D1B639A">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荤菜类（g）（熟重）</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0FF6C8CA">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素菜类（g）</w:t>
            </w:r>
          </w:p>
          <w:p w14:paraId="5DC96AB4">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（熟重）</w:t>
            </w:r>
          </w:p>
        </w:tc>
      </w:tr>
      <w:tr w14:paraId="251BEA4A">
        <w:tblPrEx>
          <w:tblCellMar>
            <w:top w:w="0" w:type="dxa"/>
            <w:left w:w="108" w:type="dxa"/>
            <w:bottom w:w="0" w:type="dxa"/>
            <w:right w:w="108" w:type="dxa"/>
          </w:tblCellMar>
        </w:tblPrEx>
        <w:trPr>
          <w:trHeight w:val="634" w:hRule="atLeast"/>
          <w:jc w:val="center"/>
        </w:trPr>
        <w:tc>
          <w:tcPr>
            <w:tcW w:w="1561" w:type="dxa"/>
            <w:tcBorders>
              <w:top w:val="single" w:color="000000" w:sz="4" w:space="0"/>
              <w:left w:val="single" w:color="000000" w:sz="4" w:space="0"/>
              <w:bottom w:val="single" w:color="auto" w:sz="4" w:space="0"/>
              <w:right w:val="single" w:color="000000" w:sz="4" w:space="0"/>
            </w:tcBorders>
            <w:noWrap/>
            <w:vAlign w:val="center"/>
          </w:tcPr>
          <w:p w14:paraId="65AC2BFF">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爱心餐</w:t>
            </w:r>
          </w:p>
          <w:p w14:paraId="3C1674FB">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米饭、汤免费</w:t>
            </w:r>
          </w:p>
        </w:tc>
        <w:tc>
          <w:tcPr>
            <w:tcW w:w="1376" w:type="dxa"/>
            <w:tcBorders>
              <w:top w:val="single" w:color="000000" w:sz="4" w:space="0"/>
              <w:left w:val="single" w:color="000000" w:sz="4" w:space="0"/>
              <w:bottom w:val="single" w:color="auto" w:sz="4" w:space="0"/>
              <w:right w:val="single" w:color="000000" w:sz="4" w:space="0"/>
            </w:tcBorders>
            <w:noWrap/>
            <w:vAlign w:val="center"/>
          </w:tcPr>
          <w:p w14:paraId="1693A975">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一荤一素</w:t>
            </w:r>
          </w:p>
        </w:tc>
        <w:tc>
          <w:tcPr>
            <w:tcW w:w="990" w:type="dxa"/>
            <w:tcBorders>
              <w:top w:val="single" w:color="000000" w:sz="4" w:space="0"/>
              <w:left w:val="single" w:color="000000" w:sz="4" w:space="0"/>
              <w:bottom w:val="single" w:color="auto" w:sz="4" w:space="0"/>
              <w:right w:val="single" w:color="000000" w:sz="4" w:space="0"/>
            </w:tcBorders>
            <w:noWrap/>
            <w:vAlign w:val="center"/>
          </w:tcPr>
          <w:p w14:paraId="2A461E5F">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5</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2FAF5412">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鲜猪肉≥60，配菜≥50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3254F448">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 xml:space="preserve">≥100 </w:t>
            </w:r>
          </w:p>
        </w:tc>
      </w:tr>
      <w:tr w14:paraId="229476C5">
        <w:tblPrEx>
          <w:tblCellMar>
            <w:top w:w="0" w:type="dxa"/>
            <w:left w:w="108" w:type="dxa"/>
            <w:bottom w:w="0" w:type="dxa"/>
            <w:right w:w="108" w:type="dxa"/>
          </w:tblCellMar>
        </w:tblPrEx>
        <w:trPr>
          <w:trHeight w:val="634" w:hRule="atLeast"/>
          <w:jc w:val="center"/>
        </w:trPr>
        <w:tc>
          <w:tcPr>
            <w:tcW w:w="1561" w:type="dxa"/>
            <w:vMerge w:val="restart"/>
            <w:tcBorders>
              <w:top w:val="single" w:color="auto" w:sz="4" w:space="0"/>
              <w:left w:val="single" w:color="000000" w:sz="4" w:space="0"/>
              <w:bottom w:val="single" w:color="000000" w:sz="4" w:space="0"/>
              <w:right w:val="single" w:color="000000" w:sz="4" w:space="0"/>
            </w:tcBorders>
            <w:noWrap/>
            <w:vAlign w:val="center"/>
          </w:tcPr>
          <w:p w14:paraId="5002DB87">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基础大伙餐</w:t>
            </w:r>
          </w:p>
          <w:p w14:paraId="64C8DF7D">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米饭、汤免费</w:t>
            </w:r>
          </w:p>
        </w:tc>
        <w:tc>
          <w:tcPr>
            <w:tcW w:w="1376" w:type="dxa"/>
            <w:tcBorders>
              <w:top w:val="single" w:color="auto" w:sz="4" w:space="0"/>
              <w:left w:val="single" w:color="000000" w:sz="4" w:space="0"/>
              <w:bottom w:val="single" w:color="000000" w:sz="4" w:space="0"/>
              <w:right w:val="single" w:color="000000" w:sz="4" w:space="0"/>
            </w:tcBorders>
            <w:noWrap/>
            <w:vAlign w:val="center"/>
          </w:tcPr>
          <w:p w14:paraId="67B7FC5A">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两素</w:t>
            </w:r>
          </w:p>
        </w:tc>
        <w:tc>
          <w:tcPr>
            <w:tcW w:w="990" w:type="dxa"/>
            <w:tcBorders>
              <w:top w:val="single" w:color="auto" w:sz="4" w:space="0"/>
              <w:left w:val="single" w:color="000000" w:sz="4" w:space="0"/>
              <w:bottom w:val="single" w:color="000000" w:sz="4" w:space="0"/>
              <w:right w:val="single" w:color="000000" w:sz="4" w:space="0"/>
            </w:tcBorders>
            <w:noWrap/>
            <w:vAlign w:val="center"/>
          </w:tcPr>
          <w:p w14:paraId="555DC679">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5</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B929703">
            <w:pPr>
              <w:spacing w:line="500" w:lineRule="exact"/>
              <w:ind w:firstLine="420" w:firstLineChars="200"/>
              <w:rPr>
                <w:rFonts w:hint="eastAsia" w:ascii="方正仿宋_GBK" w:hAnsi="宋体" w:eastAsia="方正仿宋_GBK" w:cs="宋体"/>
                <w:color w:val="auto"/>
                <w:sz w:val="21"/>
                <w:szCs w:val="21"/>
                <w:highlight w:val="none"/>
              </w:rPr>
            </w:pP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039AEB04">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≥200</w:t>
            </w:r>
          </w:p>
        </w:tc>
      </w:tr>
      <w:tr w14:paraId="2352BE1B">
        <w:tblPrEx>
          <w:tblCellMar>
            <w:top w:w="0" w:type="dxa"/>
            <w:left w:w="108" w:type="dxa"/>
            <w:bottom w:w="0" w:type="dxa"/>
            <w:right w:w="108" w:type="dxa"/>
          </w:tblCellMar>
        </w:tblPrEx>
        <w:trPr>
          <w:trHeight w:val="63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0562C8A5">
            <w:pPr>
              <w:widowControl/>
              <w:spacing w:line="500" w:lineRule="exact"/>
              <w:jc w:val="left"/>
              <w:rPr>
                <w:rFonts w:hint="eastAsia" w:ascii="方正仿宋_GBK" w:hAnsi="宋体" w:eastAsia="方正仿宋_GBK" w:cs="宋体"/>
                <w:color w:val="auto"/>
                <w:sz w:val="21"/>
                <w:szCs w:val="21"/>
                <w:highlight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708FABB">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一荤一素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AEC35D9">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6</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05CE0070">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肉类≥60，配菜≥50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38CF4B0A">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≥100</w:t>
            </w:r>
          </w:p>
        </w:tc>
      </w:tr>
      <w:tr w14:paraId="0DD00399">
        <w:tblPrEx>
          <w:tblCellMar>
            <w:top w:w="0" w:type="dxa"/>
            <w:left w:w="108" w:type="dxa"/>
            <w:bottom w:w="0" w:type="dxa"/>
            <w:right w:w="108" w:type="dxa"/>
          </w:tblCellMar>
        </w:tblPrEx>
        <w:trPr>
          <w:trHeight w:val="82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56811FE2">
            <w:pPr>
              <w:widowControl/>
              <w:spacing w:line="500" w:lineRule="exact"/>
              <w:jc w:val="left"/>
              <w:rPr>
                <w:rFonts w:hint="eastAsia" w:ascii="方正仿宋_GBK" w:hAnsi="宋体" w:eastAsia="方正仿宋_GBK" w:cs="宋体"/>
                <w:color w:val="auto"/>
                <w:sz w:val="21"/>
                <w:szCs w:val="21"/>
                <w:highlight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C73C25B">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一荤两素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17EEF67">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7</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9979832">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肉类≥60，配菜≥100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4558665E">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≥200</w:t>
            </w:r>
          </w:p>
        </w:tc>
      </w:tr>
      <w:tr w14:paraId="0C714759">
        <w:tblPrEx>
          <w:tblCellMar>
            <w:top w:w="0" w:type="dxa"/>
            <w:left w:w="108" w:type="dxa"/>
            <w:bottom w:w="0" w:type="dxa"/>
            <w:right w:w="108" w:type="dxa"/>
          </w:tblCellMar>
        </w:tblPrEx>
        <w:trPr>
          <w:trHeight w:val="82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5E76C7B9">
            <w:pPr>
              <w:widowControl/>
              <w:spacing w:line="500" w:lineRule="exact"/>
              <w:jc w:val="left"/>
              <w:rPr>
                <w:rFonts w:hint="eastAsia" w:ascii="方正仿宋_GBK" w:hAnsi="宋体" w:eastAsia="方正仿宋_GBK" w:cs="宋体"/>
                <w:color w:val="auto"/>
                <w:sz w:val="21"/>
                <w:szCs w:val="21"/>
                <w:highlight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87BCA73">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两荤一素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C7222D9">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8</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2D44D87">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肉类≥120，配菜≥100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1C1F7238">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≥100</w:t>
            </w:r>
          </w:p>
        </w:tc>
      </w:tr>
      <w:tr w14:paraId="18F5E7FD">
        <w:tblPrEx>
          <w:tblCellMar>
            <w:top w:w="0" w:type="dxa"/>
            <w:left w:w="108" w:type="dxa"/>
            <w:bottom w:w="0" w:type="dxa"/>
            <w:right w:w="108" w:type="dxa"/>
          </w:tblCellMar>
        </w:tblPrEx>
        <w:trPr>
          <w:trHeight w:val="91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6AB0A3D4">
            <w:pPr>
              <w:widowControl/>
              <w:spacing w:line="500" w:lineRule="exact"/>
              <w:jc w:val="left"/>
              <w:rPr>
                <w:rFonts w:hint="eastAsia" w:ascii="方正仿宋_GBK" w:hAnsi="宋体" w:eastAsia="方正仿宋_GBK" w:cs="宋体"/>
                <w:color w:val="auto"/>
                <w:sz w:val="21"/>
                <w:szCs w:val="21"/>
                <w:highlight w:val="none"/>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9849F44">
            <w:pPr>
              <w:spacing w:line="500" w:lineRule="exact"/>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两荤两素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20F36AC">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10</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D33E87C">
            <w:pPr>
              <w:spacing w:line="500" w:lineRule="exact"/>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肉类≥120，配菜≥100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312361F7">
            <w:pPr>
              <w:spacing w:line="500" w:lineRule="exact"/>
              <w:ind w:firstLine="420" w:firstLineChars="200"/>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≥200</w:t>
            </w:r>
          </w:p>
        </w:tc>
      </w:tr>
    </w:tbl>
    <w:p w14:paraId="1D73891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乙方须按照甲方要求每日提供爱心保障餐，以套餐形式提供，确保每日不同样，配置标准：中餐和晚餐一荤一素，提供免费汤，米饭免费添加；爱心保障餐每餐不高于5元，鼓励乙方主动让利给困难家庭学生，可以通过关怀育人的项目，适当再降低餐标，由乙方在经营期内制订供餐方案，报甲方审核书面同意后实施。乙方须按照以上服务要求在基本大伙方案中响应，爱心保障餐品质应符合基本大伙饭菜品质和质量份量要求。</w:t>
      </w:r>
    </w:p>
    <w:p w14:paraId="24C9B72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食堂业态和档口设置须进行前置审核，特色品种在同质同量同品种的前提下，价格应低于周边市场价格或不高于同类高校，罗列所有能提供的特色菜品或套餐品类，菜肴品种、菜品价格、成本核算、菜品质量标准和经营管理（含人员管理）等须交甲方监管部门审核书面同意后方可实施，甲方实行全过程监督管理，否则，乙方按照每一菜品每次5000元违约金支付甲方。乙方不得从事餐饮以外的其它任何业务（如经营超市等），不得经营超出自身经营许可或条件的餐饮项目（如没有凉菜制作条件和餐饮许可，则不得经营凉菜项目等）。乙方需不断增加饭菜的花色品种，提高饭菜质量，注重科学营养配餐。保证甲方正常教学运行期间满足师生就餐需求，且未经批准不得擅自停业。</w:t>
      </w:r>
    </w:p>
    <w:p w14:paraId="309450D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4.乙方须直接管理和经营食堂，食堂所有窗口须一体化管理，不得分包或转包，</w:t>
      </w:r>
      <w:r>
        <w:rPr>
          <w:rFonts w:hint="eastAsia" w:ascii="华文仿宋" w:hAnsi="华文仿宋" w:eastAsia="华文仿宋" w:cs="华文仿宋"/>
          <w:bCs/>
          <w:color w:val="auto"/>
          <w:sz w:val="28"/>
          <w:szCs w:val="28"/>
          <w:highlight w:val="none"/>
        </w:rPr>
        <w:t>一经发现分包或转包，甲方不认可任何分包转包合同，有权直接终止合同，扣罚所有履约保证金并追究乙方责任。甲方定期或不定期对所有档口工作人员的聘用合同、缴纳社保的材料、上岗情况及工资流水进行查验。</w:t>
      </w:r>
      <w:r>
        <w:rPr>
          <w:rFonts w:hint="eastAsia" w:ascii="华文仿宋" w:hAnsi="华文仿宋" w:eastAsia="华文仿宋" w:cs="华文仿宋"/>
          <w:color w:val="auto"/>
          <w:sz w:val="28"/>
          <w:szCs w:val="28"/>
          <w:highlight w:val="none"/>
        </w:rPr>
        <w:t>乙方不得在食堂内非窗口场所、食堂周边、校园内摆摊设点，不得破坏食堂整体格局、外观和使用功能。</w:t>
      </w:r>
    </w:p>
    <w:p w14:paraId="5992FE87">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乙方须注重食品安全卫生管理，严格执行国家、政府行政主管部门、学校对食品安全生产的法律、法规、规章制度的要求，有健全的食品安全管理制度，有食品安全管理团队，有完备的食品安全事故处置预案。不得在食堂内使用、销售预制菜。</w:t>
      </w:r>
    </w:p>
    <w:p w14:paraId="039F492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6.乙方须注重师生身体健康，按照《“健康中国2030”规划纲要》减盐要求，本项目所有食堂须使用低钠盐。且必须在具有食盐批发业务资质的企业中采购低钠盐。否则，甲方按每次50000元扣罚乙方违约金。</w:t>
      </w:r>
    </w:p>
    <w:p w14:paraId="1E78986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7.人员管理要求：</w:t>
      </w:r>
    </w:p>
    <w:p w14:paraId="77FDCF2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乙方在合同期内须履行好主体责任，按要求做好在本项目员工的教育管理，甲方将严格按该相关要求加强对成交乙方的考核。严格把好食堂从业人员的“入门关”，严格从业资格审查。对拟使用的食堂从业人员，要按照相关文件要求，开展性侵等各类违法犯罪信息查询，并按规定定期报备查询结果。食堂管理服务人员应政治坚定、遵纪守法、廉洁自律、品行端正、无犯罪记录；身体健康无传染性疾病；心理健康无精神病史；掌握相关岗位业务知识和技能，能胜任工作；年龄原则上不宜过大。乙方须按照要求提供项目所有人员信息（甲方严格报名）备查；甲方将不定期全面排查食堂从业人员动态信息情况，按照相关文件规定，每年3月对在岗人员进行涉罪信息查询，对不符合或不具备在岗条件的人员要及时进行清退。乙方要关心关爱食堂从业人员，及时了解他们的思想动态，协助解决实际困难。</w:t>
      </w:r>
    </w:p>
    <w:p w14:paraId="378C431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乙方须服从政府相关部门和学校的监督管理和指导，自行承担经营责任和风险。乙方应制定完善的员工管理办法和制度，依法用工。</w:t>
      </w:r>
      <w:r>
        <w:rPr>
          <w:rFonts w:hint="eastAsia" w:ascii="华文仿宋" w:hAnsi="华文仿宋" w:eastAsia="华文仿宋" w:cs="华文仿宋"/>
          <w:bCs/>
          <w:color w:val="auto"/>
          <w:sz w:val="28"/>
          <w:szCs w:val="28"/>
          <w:highlight w:val="none"/>
        </w:rPr>
        <w:t>乙方以本单位名义依法为本项目食堂所有从业人员全员签订劳动合同，不能签订劳动合同的必须签订劳务协议。</w:t>
      </w:r>
      <w:r>
        <w:rPr>
          <w:rFonts w:hint="eastAsia" w:ascii="华文仿宋" w:hAnsi="华文仿宋" w:eastAsia="华文仿宋" w:cs="华文仿宋"/>
          <w:color w:val="auto"/>
          <w:sz w:val="28"/>
          <w:szCs w:val="28"/>
          <w:highlight w:val="none"/>
        </w:rPr>
        <w:t>工资待遇和社会保险按国家规定执行，必须做好内部员工管理，包括安全和稳定的管理。乙方应妥善处理与就餐人员之间的矛盾、冲突，且不得使冲突升级，乙方承担由此造成的一切经济、安全和法律责任。若因乙方资金链断裂、内部员工工伤、工资报酬、供货商、合作商、贷款纠纷等情况出现上访、投诉或重大网络舆情事件，或者发生</w:t>
      </w:r>
      <w:r>
        <w:rPr>
          <w:rFonts w:hint="eastAsia" w:ascii="华文仿宋" w:hAnsi="华文仿宋" w:eastAsia="华文仿宋" w:cs="华文仿宋"/>
          <w:color w:val="auto"/>
          <w:sz w:val="28"/>
          <w:szCs w:val="28"/>
          <w:highlight w:val="none"/>
          <w:lang w:val="zh-CN"/>
        </w:rPr>
        <w:t>学生集体性食物中毒、火灾、拥挤踩踏等群体性安全事故和</w:t>
      </w:r>
      <w:r>
        <w:rPr>
          <w:rFonts w:hint="eastAsia" w:ascii="华文仿宋" w:hAnsi="华文仿宋" w:eastAsia="华文仿宋" w:cs="华文仿宋"/>
          <w:color w:val="auto"/>
          <w:sz w:val="28"/>
          <w:szCs w:val="28"/>
          <w:highlight w:val="none"/>
        </w:rPr>
        <w:t>重大</w:t>
      </w:r>
      <w:r>
        <w:rPr>
          <w:rFonts w:hint="eastAsia" w:ascii="华文仿宋" w:hAnsi="华文仿宋" w:eastAsia="华文仿宋" w:cs="华文仿宋"/>
          <w:color w:val="auto"/>
          <w:sz w:val="28"/>
          <w:szCs w:val="28"/>
          <w:highlight w:val="none"/>
          <w:lang w:val="zh-CN"/>
        </w:rPr>
        <w:t>网络舆情事件</w:t>
      </w:r>
      <w:r>
        <w:rPr>
          <w:rFonts w:hint="eastAsia" w:ascii="华文仿宋" w:hAnsi="华文仿宋" w:eastAsia="华文仿宋" w:cs="华文仿宋"/>
          <w:bCs/>
          <w:color w:val="auto"/>
          <w:sz w:val="28"/>
          <w:szCs w:val="28"/>
          <w:highlight w:val="none"/>
          <w:lang w:val="zh-CN"/>
        </w:rPr>
        <w:t>，</w:t>
      </w:r>
      <w:r>
        <w:rPr>
          <w:rFonts w:hint="eastAsia" w:ascii="华文仿宋" w:hAnsi="华文仿宋" w:eastAsia="华文仿宋" w:cs="华文仿宋"/>
          <w:color w:val="auto"/>
          <w:sz w:val="28"/>
          <w:szCs w:val="28"/>
          <w:highlight w:val="none"/>
        </w:rPr>
        <w:t>一经查实，乙方每次向甲方支付违约金500000元，如造成重大不良影响，甲方有权单方面解除合同，且不退还全部履约保证金。乙方或乙方工作人员应遵守甲方相关规章制度，因乙方或乙方工作人员原因给自身、甲方或第三方造成的一切人身、财产损害等后果由乙方自行承担。乙方须为食堂购买食品安全责任险和燃气安全责任险，且乙方须自行承担员工和经营范围内发生的人身财产安全、食品安全、燃气安全、消防安全等事故造成的一切经济、行政和法律责任。</w:t>
      </w:r>
    </w:p>
    <w:p w14:paraId="2E1DDAC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乙方必须以本单位名义为本项目食堂所有从业人员购买社保，不能购买社保的超龄人员必须100%购买雇主责任险，如发现少买或漏买，甲方将按每人每月1000元违约金处罚乙方。</w:t>
      </w:r>
    </w:p>
    <w:p w14:paraId="4A9CB572">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8.结算要求：乙方营业款结算周期则上为每月20日，如遇寒暑假和法定节假日，结算周期顺延。为防止乙方拖欠员工工资、保险，供货商货款和其他合作商款项等，乙方需在甲方发出的营业款结算帐单之日起10日内将员工资、保险，供货商货款和其他合作商款项支付到位，甲方在收到乙方提交的工资、保险，供货商货款和其他合作商款项支付证明材料后10内将营业款支付到位。</w:t>
      </w:r>
    </w:p>
    <w:p w14:paraId="7B161E5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9.乙方必须使用甲方的一卡通系统进行收费，不得采取其他任何支付方式(除学校统一监管的现金收银以外)。否则，经查实后乙方按照每次20000元的违约金标准支付甲方，若当月发现三次以上违规交易的情况，则扣除当月营业额的20%作为违约金。甲方不再向乙方收取收费系统维护费，乙方需自行承担甲方食堂新增收费终端设备和数智食堂软硬件的购买、升级、线路改造及日常设备维护费用。</w:t>
      </w:r>
    </w:p>
    <w:p w14:paraId="5CD9158B">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乙方须根据食堂的定位和要求进行成本核算。要按照相关规章制度和甲方要求，聘请市内外专家对员工进行安全和业务能力培训，并承担专家指导费；与其他食堂保持和谐经营关系。要采取有效措施确保饮食安全、生产安全和价格稳定，接受甲方监督考核，承担一切安全事故责任。</w:t>
      </w:r>
    </w:p>
    <w:p w14:paraId="73213A7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11.本项目乙方所有员工上岗前必须取得健康证，避免因员工身体原因造成的安全事故，否则不能上岗且按照每次违规扣罚2000元标准执行。乙方还须根据实际用工需求接纳甲方推荐的优秀员工和管理人员。</w:t>
      </w:r>
    </w:p>
    <w:p w14:paraId="61F19CFC">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12.乙方需自行负责经营区域及分摊的公共区域清洁卫生，其标准必须达到上级主管部门及甲方的相关要求，接受学校的日常监督考核。</w:t>
      </w:r>
    </w:p>
    <w:p w14:paraId="1F98F66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13.乙方须确保饭菜品质，成品菜符合质量要求，按五项指标（饮食卫生、服务态度、饭菜价格、饭菜质量、花色品种）接受甲方后勤部门考核和监督。乙方必须设立纸质意见簿和“一码收集”“一键反馈”等数智化意见采集和反馈系统，听取意见，改进服务，师生满意率达85%以上。无条件配合甲方创建主管部门组织的学生食堂相关评选和创建活动。</w:t>
      </w:r>
    </w:p>
    <w:p w14:paraId="21A3817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14.乙方必须把好饮食卫生“四关”，即验收关、拣洗关、烹饪关和销售关；“三消毒”，即餐具消毒、工用具消毒和功能间消毒；“二净”，即窗口服务员工要衣、帽干净整洁；“一留样”，即熟食留样并记录。</w:t>
      </w:r>
    </w:p>
    <w:p w14:paraId="128D362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15.乙方做好餐具和工用具的洗涤，洗涤用品必须选用符合国家相关标准的食品级用品，清洗好的餐具和工用具做好保洁工作，餐具需烘干，无水渍。</w:t>
      </w:r>
    </w:p>
    <w:p w14:paraId="1E4E35F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16.乙方所提供的不锈钢餐具必须符合国家标准B/T15067.2-2016，密胺塑料餐具必须符合国家标准GB/T41001-2021，一次性塑料餐饮用具必须符合国家标准GB/T18006.12009，GB/T18006.1-2020，一次性纸碗必须符合国家标准GB/T27591—2011，一次性筷子（木筷）必须符合国家标准GB/T19790.1-2021，一次性筷子（竹筷）必须符合国家标准GB19790.2-2005，倡导使用环保低碳可降解产品。</w:t>
      </w:r>
    </w:p>
    <w:p w14:paraId="0B71D795">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17.乙方应加强员工安全教育，落实安全措施，按加工流程和操作流程规范生产，违章操作者按有关制度严格处罚，确保食品安全、消防安全、生产安全、食堂卫生、环境卫生，“四防”（防毒、防火、防盗、防恐）责任到人，食堂负责人及专职安全员每日负责检查并作好检查记录备查。</w:t>
      </w:r>
    </w:p>
    <w:p w14:paraId="00805F0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18.乙方经营本项目要实行“四统一”，即统一规划建设、统一管理、统一采购、统一洗消，服从调整和安排。如遇紧急情况和突发事件，乙方必须无条件服从甲方的统一安排和指挥。</w:t>
      </w:r>
    </w:p>
    <w:p w14:paraId="504ED012">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19.乙方必须按照甲方要求，指派公司负责人全面统筹所经营管理食堂的食品安全、饭菜质量、内部管理等，每月应至少1次到食堂现场检查食品安全工作并留在检查影像资料和记录备查。</w:t>
      </w:r>
    </w:p>
    <w:p w14:paraId="09A6599C">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20.招标文件中未尽条款按《中华人民共和国食品安全法》、《中华人民共和国食品安全法实施条例》、《餐饮服务食品安全操作规范》、《GB31654-2021食品安全国家标准餐饮服务通用卫生规范》、《重庆文理学院食品安全管理办法》、《重庆文理学院食堂监管办法》等最新相关文件要求执行。</w:t>
      </w:r>
    </w:p>
    <w:p w14:paraId="76F6D72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21.甲方不提供员工住宿场所，乙方自行解决员工住宿问题，员工不得在食堂内住宿。</w:t>
      </w:r>
    </w:p>
    <w:p w14:paraId="5F1DB4D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22.垃圾处理及油污排放:厨余垃圾成交乙方必须交由政府相关部门指定的有合法资质的单位回收处理，费用由成交乙方承担，严禁私自变卖等违法处理，否则每次扣罚违约金10000元。油污排放：食堂内所有油污必须排入学校现有的化油池，食堂至化油池间的管网根据需要进行必要的改造，并做好疏通和维护保养工作，其费用由成交乙方承担，拒绝改造或者改造不到位的每次扣罚违约金10000元。</w:t>
      </w:r>
    </w:p>
    <w:p w14:paraId="32F6317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23.</w:t>
      </w:r>
      <w:r>
        <w:rPr>
          <w:rFonts w:hint="eastAsia" w:ascii="华文仿宋" w:hAnsi="华文仿宋" w:eastAsia="华文仿宋" w:cs="华文仿宋"/>
          <w:color w:val="auto"/>
          <w:sz w:val="28"/>
          <w:szCs w:val="28"/>
          <w:highlight w:val="none"/>
          <w:lang w:val="en-US" w:eastAsia="zh-CN"/>
        </w:rPr>
        <w:t>甲方</w:t>
      </w:r>
      <w:r>
        <w:rPr>
          <w:rFonts w:hint="eastAsia" w:ascii="华文仿宋" w:hAnsi="华文仿宋" w:eastAsia="华文仿宋" w:cs="华文仿宋"/>
          <w:color w:val="auto"/>
          <w:sz w:val="28"/>
          <w:szCs w:val="28"/>
          <w:highlight w:val="none"/>
        </w:rPr>
        <w:t>食堂货运升降梯使用要求:现食堂内有部分货运升降梯暂不能使用，如乙方需要使用须对其安全性加强管理，并取得市场监管部门许可后方可使用，其使用的安全责任和费用由成交乙方承担。</w:t>
      </w:r>
    </w:p>
    <w:p w14:paraId="67DF185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24、物质存贮管理要求:</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 xml:space="preserve">建设数智化库房管理系统，做到物资分区、分类、整齐有序，标识清楚、温度适宜、干净卫生、专人管理、台账清晰。 </w:t>
      </w:r>
    </w:p>
    <w:p w14:paraId="6429C668">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rPr>
        <w:t>2</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color w:val="auto"/>
          <w:sz w:val="28"/>
          <w:szCs w:val="28"/>
          <w:highlight w:val="none"/>
          <w:u w:val="single"/>
        </w:rPr>
        <w:t>包5乙方必须在收到中标通知之日起至2025年9月5日正式供餐之前，无条件根据甲方要求做好暑假食堂供餐值班保障工作。乙方</w:t>
      </w:r>
      <w:r>
        <w:rPr>
          <w:rFonts w:hint="eastAsia" w:ascii="华文仿宋" w:hAnsi="华文仿宋" w:eastAsia="华文仿宋" w:cs="华文仿宋"/>
          <w:color w:val="auto"/>
          <w:sz w:val="28"/>
          <w:szCs w:val="28"/>
          <w:highlight w:val="none"/>
          <w:u w:val="single"/>
          <w:lang w:val="en-US" w:eastAsia="zh-CN"/>
        </w:rPr>
        <w:t>须</w:t>
      </w:r>
      <w:r>
        <w:rPr>
          <w:rFonts w:hint="eastAsia" w:ascii="华文仿宋" w:hAnsi="华文仿宋" w:eastAsia="华文仿宋" w:cs="华文仿宋"/>
          <w:color w:val="auto"/>
          <w:sz w:val="28"/>
          <w:szCs w:val="28"/>
          <w:highlight w:val="none"/>
          <w:u w:val="single"/>
        </w:rPr>
        <w:t>在2025年9月5日达到正式供餐条件要求，否则按违约处理，每延迟一天须支付违约金100000元。</w:t>
      </w:r>
    </w:p>
    <w:p w14:paraId="5991A5A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w:t>
      </w:r>
      <w:r>
        <w:rPr>
          <w:rFonts w:hint="eastAsia" w:ascii="华文仿宋" w:hAnsi="华文仿宋" w:eastAsia="华文仿宋" w:cs="华文仿宋"/>
          <w:color w:val="auto"/>
          <w:sz w:val="28"/>
          <w:szCs w:val="28"/>
          <w:highlight w:val="none"/>
          <w:lang w:val="en-US" w:eastAsia="zh-CN"/>
        </w:rPr>
        <w:t>6</w:t>
      </w:r>
      <w:r>
        <w:rPr>
          <w:rFonts w:hint="eastAsia" w:ascii="华文仿宋" w:hAnsi="华文仿宋" w:eastAsia="华文仿宋" w:cs="华文仿宋"/>
          <w:color w:val="auto"/>
          <w:sz w:val="28"/>
          <w:szCs w:val="28"/>
          <w:highlight w:val="none"/>
        </w:rPr>
        <w:t>.经营服务时间：乙方须无条件服从甲方关于寒暑假期间留校师生正常伙食供应的值班工作安排，保证寒暑假期间师生的正常供餐，否则，</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按50000元/次</w:t>
      </w:r>
      <w:r>
        <w:rPr>
          <w:rFonts w:hint="eastAsia" w:ascii="华文仿宋" w:hAnsi="华文仿宋" w:eastAsia="华文仿宋" w:cs="华文仿宋"/>
          <w:color w:val="auto"/>
          <w:sz w:val="28"/>
          <w:szCs w:val="28"/>
          <w:highlight w:val="none"/>
          <w:lang w:val="en-US" w:eastAsia="zh-CN"/>
        </w:rPr>
        <w:t>向</w:t>
      </w:r>
      <w:r>
        <w:rPr>
          <w:rFonts w:hint="eastAsia" w:ascii="华文仿宋" w:hAnsi="华文仿宋" w:eastAsia="华文仿宋" w:cs="华文仿宋"/>
          <w:color w:val="auto"/>
          <w:sz w:val="28"/>
          <w:szCs w:val="28"/>
          <w:highlight w:val="none"/>
        </w:rPr>
        <w:t>甲方</w:t>
      </w:r>
      <w:r>
        <w:rPr>
          <w:rFonts w:hint="eastAsia" w:ascii="华文仿宋" w:hAnsi="华文仿宋" w:eastAsia="华文仿宋" w:cs="华文仿宋"/>
          <w:color w:val="auto"/>
          <w:sz w:val="28"/>
          <w:szCs w:val="28"/>
          <w:highlight w:val="none"/>
          <w:lang w:val="en-US" w:eastAsia="zh-CN"/>
        </w:rPr>
        <w:t>支付</w:t>
      </w:r>
      <w:r>
        <w:rPr>
          <w:rFonts w:hint="eastAsia" w:ascii="华文仿宋" w:hAnsi="华文仿宋" w:eastAsia="华文仿宋" w:cs="华文仿宋"/>
          <w:color w:val="auto"/>
          <w:sz w:val="28"/>
          <w:szCs w:val="28"/>
          <w:highlight w:val="none"/>
        </w:rPr>
        <w:t>违约金。每学期开学及放假开停餐须严格按照甲方的通知时间执行。经营期间乙方不得以任何理由私自全部或部分或个别档口停餐，否则，</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按每餐所停或未开餐档口20000元/个</w:t>
      </w:r>
      <w:r>
        <w:rPr>
          <w:rFonts w:hint="eastAsia" w:ascii="华文仿宋" w:hAnsi="华文仿宋" w:eastAsia="华文仿宋" w:cs="华文仿宋"/>
          <w:color w:val="auto"/>
          <w:sz w:val="28"/>
          <w:szCs w:val="28"/>
          <w:highlight w:val="none"/>
          <w:lang w:val="en-US" w:eastAsia="zh-CN"/>
        </w:rPr>
        <w:t>向</w:t>
      </w:r>
      <w:r>
        <w:rPr>
          <w:rFonts w:hint="eastAsia" w:ascii="华文仿宋" w:hAnsi="华文仿宋" w:eastAsia="华文仿宋" w:cs="华文仿宋"/>
          <w:color w:val="auto"/>
          <w:sz w:val="28"/>
          <w:szCs w:val="28"/>
          <w:highlight w:val="none"/>
        </w:rPr>
        <w:t>甲方</w:t>
      </w:r>
      <w:r>
        <w:rPr>
          <w:rFonts w:hint="eastAsia" w:ascii="华文仿宋" w:hAnsi="华文仿宋" w:eastAsia="华文仿宋" w:cs="华文仿宋"/>
          <w:color w:val="auto"/>
          <w:sz w:val="28"/>
          <w:szCs w:val="28"/>
          <w:highlight w:val="none"/>
          <w:lang w:val="en-US" w:eastAsia="zh-CN"/>
        </w:rPr>
        <w:t>支付违约</w:t>
      </w:r>
      <w:r>
        <w:rPr>
          <w:rFonts w:hint="eastAsia" w:ascii="华文仿宋" w:hAnsi="华文仿宋" w:eastAsia="华文仿宋" w:cs="华文仿宋"/>
          <w:color w:val="auto"/>
          <w:sz w:val="28"/>
          <w:szCs w:val="28"/>
          <w:highlight w:val="none"/>
        </w:rPr>
        <w:t>金。</w:t>
      </w:r>
    </w:p>
    <w:p w14:paraId="610EDEA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u w:val="single"/>
        </w:rPr>
        <w:t>2</w:t>
      </w:r>
      <w:r>
        <w:rPr>
          <w:rFonts w:hint="eastAsia" w:ascii="华文仿宋" w:hAnsi="华文仿宋" w:eastAsia="华文仿宋" w:cs="华文仿宋"/>
          <w:color w:val="auto"/>
          <w:sz w:val="28"/>
          <w:szCs w:val="28"/>
          <w:highlight w:val="none"/>
          <w:u w:val="single"/>
          <w:lang w:val="en-US" w:eastAsia="zh-CN"/>
        </w:rPr>
        <w:t>7</w:t>
      </w:r>
      <w:r>
        <w:rPr>
          <w:rFonts w:hint="eastAsia" w:ascii="华文仿宋" w:hAnsi="华文仿宋" w:eastAsia="华文仿宋" w:cs="华文仿宋"/>
          <w:color w:val="auto"/>
          <w:sz w:val="28"/>
          <w:szCs w:val="28"/>
          <w:highlight w:val="none"/>
          <w:u w:val="single"/>
        </w:rPr>
        <w:t>.包5乙方在星湖校区知和楼二楼食堂必须分别保证有一个面积大小合理、窗口独立的民族特色食品专卖窗口，须严格遵守少数民族的饮食习惯和加工程序。</w:t>
      </w:r>
    </w:p>
    <w:p w14:paraId="5EB18510">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u w:val="single"/>
          <w:lang w:val="en-US" w:eastAsia="zh-CN"/>
        </w:rPr>
        <w:t>28.</w:t>
      </w:r>
      <w:r>
        <w:rPr>
          <w:rFonts w:hint="eastAsia" w:ascii="华文仿宋" w:hAnsi="华文仿宋" w:eastAsia="华文仿宋" w:cs="华文仿宋"/>
          <w:color w:val="auto"/>
          <w:sz w:val="28"/>
          <w:szCs w:val="28"/>
          <w:highlight w:val="none"/>
          <w:u w:val="single"/>
        </w:rPr>
        <w:t>座位个数。包4红河A校区三食堂不低于900个座位；包5星湖校区知和楼一、二楼食堂不低于1000个座位，学聚苑食堂不低于264个座位。乙方的餐桌椅配置须符合高端大气的现代大学食堂标准要求，并经甲方基建后勤处书面同意。</w:t>
      </w:r>
    </w:p>
    <w:p w14:paraId="530591C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29</w:t>
      </w:r>
      <w:r>
        <w:rPr>
          <w:rFonts w:hint="eastAsia" w:ascii="华文仿宋" w:hAnsi="华文仿宋" w:eastAsia="华文仿宋" w:cs="华文仿宋"/>
          <w:color w:val="auto"/>
          <w:sz w:val="28"/>
          <w:szCs w:val="28"/>
          <w:highlight w:val="none"/>
        </w:rPr>
        <w:t>.监督管理。乙方须服从学校现有的以及学校不断完善和新增的各项管理制度、规范及考核办法，并按照考核结果和考核意见进行整改落实。考核分为日常考核、学期考核，按考核办法执行。成交供应商在运营期间，因管理不善，收到学校、国家机关在监督管理过程中提出的各项整改要求和处罚必须无条件按要求限时完成整改，接受处罚。</w:t>
      </w:r>
    </w:p>
    <w:p w14:paraId="2F5C6E85">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w:t>
      </w:r>
      <w:r>
        <w:rPr>
          <w:rFonts w:hint="eastAsia" w:ascii="华文仿宋" w:hAnsi="华文仿宋" w:eastAsia="华文仿宋" w:cs="华文仿宋"/>
          <w:color w:val="auto"/>
          <w:sz w:val="28"/>
          <w:szCs w:val="28"/>
          <w:highlight w:val="none"/>
          <w:lang w:val="en-US" w:eastAsia="zh-CN"/>
        </w:rPr>
        <w:t>九</w:t>
      </w:r>
      <w:r>
        <w:rPr>
          <w:rFonts w:hint="eastAsia" w:ascii="华文仿宋" w:hAnsi="华文仿宋" w:eastAsia="华文仿宋" w:cs="华文仿宋"/>
          <w:color w:val="auto"/>
          <w:sz w:val="28"/>
          <w:szCs w:val="28"/>
          <w:highlight w:val="none"/>
        </w:rPr>
        <w:t>条  食材要求</w:t>
      </w:r>
    </w:p>
    <w:p w14:paraId="7C80625F">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乙方必须建立食堂集中统一采购制度，集中统一采购食材（含米、面、油、肉、蔬菜、一次性餐具以及各类原辅料及调料），其中食用油必须为非转基因品种，米为品牌优质东北当年产大米，未经甲方允许，不得使用及进口冻制食材。乙方必须全力配合甲方搞好食品安全的入口关管理，须保证各类食材乙方资质符合甲方要求，相应证照复印件收集完整，报甲方备案，并将原辅料采购相关信息纳入甲方数智食堂系统统一管理。执行好甲方规定的采购原则和制度，确保食材采购管理规范。</w:t>
      </w:r>
    </w:p>
    <w:p w14:paraId="52E5CCE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乙方必须使用进销存管理系统，在系统中建立所有食材（主料、辅料、调料）进货、出货台账，甲方将根据系统数据对食材进出情况进行核验。乙方须安排专人负责管理进销存系统，确保每天进货、出货数据及时更新，保证食材种类、数量与系统数据一致。</w:t>
      </w:r>
    </w:p>
    <w:p w14:paraId="36CDBC60">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餐饮原材料的采购须严格执行索证索票、登记和验收制度，并建立台帐，确保准确溯源。对购买的每批次货物生产厂家的营业执照、卫生许可证、检疫检验、购货单据等相关证明应保存二年以上，以备查验。严禁“三无产品”（无生产日期、无质量合格证及无生产厂家）、不合格品、过期、变质食品及原料进入食堂，否则视为违约，甲方有权单方面解除合同，且不退还全部履约保证金。</w:t>
      </w:r>
    </w:p>
    <w:p w14:paraId="7C04999A">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4.甲方随机检查乙方的伙食原材料采购情况，包括但不限于乙方合同、发票、支付凭证等文件资料，甲方必要时有权委托第三方机构对乙方伙食原料进行检验检测，并由乙方承担检验检测费；检验检测不合格的，乙方承担所有有关责任。乙方需积极配合甲方开展此项工作，不得推诿、拒绝，否则视为违约，每次扣罚违约金10000元。</w:t>
      </w:r>
    </w:p>
    <w:p w14:paraId="58161197">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5.乙方烹制饭菜所用的原材料、调味品等应符合国家有关规定，严禁使用非食用辅助材料或添加剂加工食品，否则视为违约，首次扣罚违约金10000元，第二次开始每次50000元。</w:t>
      </w:r>
    </w:p>
    <w:p w14:paraId="72D0292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6.乙方须按照《重庆市财政局关于做好贫困地区农副产品预留采购份额工作的通知》（渝财采购〔2019〕10 号，如有新文件要求，按新文件要求执行）及相关上级部门关于消费帮扶工作的要求，完成甲方预留给贫困地区或乡村振兴帮扶地区农副产品的采购份额，采购金额以甲方核定为准，乙方不得推诿、拒绝，否则，乙方每次向甲方支付违约金50000元人民币。</w:t>
      </w:r>
    </w:p>
    <w:p w14:paraId="26E6D325">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w:t>
      </w:r>
      <w:r>
        <w:rPr>
          <w:rFonts w:hint="eastAsia" w:ascii="华文仿宋" w:hAnsi="华文仿宋" w:eastAsia="华文仿宋" w:cs="华文仿宋"/>
          <w:color w:val="auto"/>
          <w:sz w:val="28"/>
          <w:szCs w:val="28"/>
          <w:highlight w:val="none"/>
          <w:lang w:val="en-US" w:eastAsia="zh-CN"/>
        </w:rPr>
        <w:t>十</w:t>
      </w:r>
      <w:r>
        <w:rPr>
          <w:rFonts w:hint="eastAsia" w:ascii="华文仿宋" w:hAnsi="华文仿宋" w:eastAsia="华文仿宋" w:cs="华文仿宋"/>
          <w:color w:val="auto"/>
          <w:sz w:val="28"/>
          <w:szCs w:val="28"/>
          <w:highlight w:val="none"/>
        </w:rPr>
        <w:t>条 消防安全要求</w:t>
      </w:r>
    </w:p>
    <w:p w14:paraId="2580CC6B">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bookmarkStart w:id="187" w:name="OLE_LINK31"/>
      <w:bookmarkStart w:id="188" w:name="OLE_LINK30"/>
      <w:r>
        <w:rPr>
          <w:rFonts w:hint="eastAsia" w:ascii="华文仿宋" w:hAnsi="华文仿宋" w:eastAsia="华文仿宋" w:cs="华文仿宋"/>
          <w:color w:val="auto"/>
          <w:sz w:val="28"/>
          <w:szCs w:val="28"/>
          <w:highlight w:val="none"/>
        </w:rPr>
        <w:t>1.乙方必须按照市场监管、消防、环保、燃气等部门及甲方的要求对食堂的燃气设施、一氧化碳探头、燃气报警装置和安全自闭阀、抽排灭火喷淋、新风系统、消防报警、喷淋、烟感、温感、报警系统、特种设备及电路电气设备进行安装、更换、添置、维修、维护、年检并取得相关合格报告或检验合格证明材料交甲方备案，保证相关设施、设备的正常、安全运行，确保通过食品安全、消防安全、燃气安全、环保等部门的验收。为保证服务需要，</w:t>
      </w:r>
      <w:r>
        <w:rPr>
          <w:rFonts w:hint="eastAsia" w:ascii="华文仿宋" w:hAnsi="华文仿宋" w:eastAsia="华文仿宋" w:cs="华文仿宋"/>
          <w:bCs/>
          <w:color w:val="auto"/>
          <w:sz w:val="28"/>
          <w:szCs w:val="28"/>
          <w:highlight w:val="none"/>
        </w:rPr>
        <w:t>完成油烟净化器、烟道、烟机及送排风系统的更换</w:t>
      </w:r>
      <w:r>
        <w:rPr>
          <w:rFonts w:hint="eastAsia" w:ascii="华文仿宋" w:hAnsi="华文仿宋" w:eastAsia="华文仿宋" w:cs="华文仿宋"/>
          <w:color w:val="auto"/>
          <w:sz w:val="28"/>
          <w:szCs w:val="28"/>
          <w:highlight w:val="none"/>
        </w:rPr>
        <w:t>、清洗、维护，油烟抽排标准符合国家及重庆市有关规定，上述一切改造、安装、更换、维修维护、整改费用由乙方自行承担。</w:t>
      </w:r>
    </w:p>
    <w:p w14:paraId="48D3349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2.环境改善完成后，乙方应达到由</w:t>
      </w:r>
      <w:bookmarkStart w:id="189" w:name="OLE_LINK17"/>
      <w:bookmarkStart w:id="190" w:name="OLE_LINK18"/>
      <w:r>
        <w:rPr>
          <w:rFonts w:hint="eastAsia" w:ascii="华文仿宋" w:hAnsi="华文仿宋" w:eastAsia="华文仿宋" w:cs="华文仿宋"/>
          <w:color w:val="auto"/>
          <w:sz w:val="28"/>
          <w:szCs w:val="28"/>
          <w:highlight w:val="none"/>
        </w:rPr>
        <w:t>政府机构认可的第三方机构出具的消防安全验收合格检测报告</w:t>
      </w:r>
      <w:bookmarkEnd w:id="189"/>
      <w:bookmarkEnd w:id="190"/>
      <w:r>
        <w:rPr>
          <w:rFonts w:hint="eastAsia" w:ascii="华文仿宋" w:hAnsi="华文仿宋" w:eastAsia="华文仿宋" w:cs="华文仿宋"/>
          <w:color w:val="auto"/>
          <w:sz w:val="28"/>
          <w:szCs w:val="28"/>
          <w:highlight w:val="none"/>
        </w:rPr>
        <w:t>，相关费用由乙方承担。</w:t>
      </w:r>
    </w:p>
    <w:p w14:paraId="0A6499B6">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乙方必须按消防法规相关要求，食堂防火分隔采用2.0砖墙分隔并使用防火玻璃，装修材料燃烧性能等级需达到B1级（难燃材料）及以上，其中顶棚材料须采用A级（不燃材料），严禁使用易燃可燃材料,具体要求如下：</w:t>
      </w:r>
    </w:p>
    <w:p w14:paraId="2C9AC970">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（1）建筑防火规范</w:t>
      </w:r>
    </w:p>
    <w:p w14:paraId="33C5DC8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a.耐火等级</w:t>
      </w:r>
    </w:p>
    <w:p w14:paraId="5D3903A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厨房区域应与其他区域采用防火隔墙（≥2h耐火极限）和甲级防火门分隔。</w:t>
      </w:r>
    </w:p>
    <w:p w14:paraId="7AAD82A0">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墙面、地面：B1级（难燃）材料及以上，顶棚必须使用A级（不燃）材料，禁止使用易燃材料（如泡沫板、木板等）。</w:t>
      </w:r>
    </w:p>
    <w:p w14:paraId="7F2C512E">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b.安全疏散</w:t>
      </w:r>
    </w:p>
    <w:p w14:paraId="75203905">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出口数量：至少设置2个独立安全出口，且间距≥5米。</w:t>
      </w:r>
    </w:p>
    <w:p w14:paraId="778D75C6">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通道宽度：主疏散通道≥1.4米，次通道≥1.1米，不得堆放杂物。</w:t>
      </w:r>
    </w:p>
    <w:p w14:paraId="42950A7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疏散门：必须为外开式，宽度≥1.2米，禁止使用推拉门或卷帘门。</w:t>
      </w:r>
    </w:p>
    <w:p w14:paraId="0D813E62">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(2)厨房专项要求</w:t>
      </w:r>
    </w:p>
    <w:p w14:paraId="0702AAD4">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a.防火分隔</w:t>
      </w:r>
    </w:p>
    <w:p w14:paraId="4D1AA2CA">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厨房区域必须单独划分，与用餐区采用防火墙（耐火极限≥2h）分隔，就餐区域禁止出现明火操作。</w:t>
      </w:r>
    </w:p>
    <w:p w14:paraId="655A4AE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b.燃气表间需独立设置，通风次数≥6次/小时。</w:t>
      </w:r>
    </w:p>
    <w:p w14:paraId="5D17D459">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c.排油烟系统</w:t>
      </w:r>
    </w:p>
    <w:p w14:paraId="05E36A0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排油烟管道应采用不锈钢材质，安装防火阀（150℃自动关闭）和油烟净化装置。</w:t>
      </w:r>
    </w:p>
    <w:p w14:paraId="1453BFF7">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排油烟罩、管道每季月至少清洗1次（需留存清洗记录）。</w:t>
      </w:r>
    </w:p>
    <w:p w14:paraId="3D6EFF5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d.灭火设施</w:t>
      </w:r>
    </w:p>
    <w:p w14:paraId="52B36FB7">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厨房必须安装厨房专用自动灭火装置（覆盖炉灶、烟道等），并联动燃气切断阀。</w:t>
      </w:r>
    </w:p>
    <w:p w14:paraId="79A28F0E">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配置泡沫灭火器（应对油火），每50㎡不少于2具。</w:t>
      </w:r>
    </w:p>
    <w:p w14:paraId="25EDFE9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(3)消防设施配置</w:t>
      </w:r>
    </w:p>
    <w:p w14:paraId="4A07D46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a.火灾报警系统</w:t>
      </w:r>
    </w:p>
    <w:p w14:paraId="6716E5DB">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安装感烟、感温探测器（现有位置不得私自改变、遮挡），厨房需增设可燃气体探测器并全面覆盖操作经营范围（燃气泄漏报警）。</w:t>
      </w:r>
    </w:p>
    <w:p w14:paraId="639D0B74">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b.报警系统需联动声光警报和应急广播。</w:t>
      </w:r>
    </w:p>
    <w:p w14:paraId="5AB6645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c.喷淋系统</w:t>
      </w:r>
    </w:p>
    <w:p w14:paraId="1E7A3465">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用餐区采用标准喷头（动作温度68℃），厨房区域需用高温喷头（93℃）。</w:t>
      </w:r>
    </w:p>
    <w:p w14:paraId="3BEBC17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喷淋头与灶具水平距离≥0.8米，避免误喷。</w:t>
      </w:r>
    </w:p>
    <w:p w14:paraId="79B88D45">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d.应急照明与标识</w:t>
      </w:r>
    </w:p>
    <w:p w14:paraId="77C66EE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疏散通道、出口处设置持续供电≥1小时的应急照明。</w:t>
      </w:r>
    </w:p>
    <w:p w14:paraId="24DE1386">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地面1米以下设置发光疏散指示标志，间距≤20米。</w:t>
      </w:r>
    </w:p>
    <w:p w14:paraId="479F0DF9">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(4)电气防火要求</w:t>
      </w:r>
    </w:p>
    <w:p w14:paraId="340130A4">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a.所有电线穿金属管保护或阻燃PVC管，禁止私拉临时线路。</w:t>
      </w:r>
    </w:p>
    <w:p w14:paraId="0FD6D4C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b.大功率设备（如蒸柜、烤箱）需单独回路，配电箱加装漏电保护器。</w:t>
      </w:r>
    </w:p>
    <w:p w14:paraId="0667847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c.插座、开关距水源≥1米，厨房设备需防水防潮。</w:t>
      </w:r>
    </w:p>
    <w:p w14:paraId="416CF6FA">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(5)施工期间管理</w:t>
      </w:r>
    </w:p>
    <w:p w14:paraId="7AC0280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动火审批：焊接、切割等作业需办理动火证，现场配置灭火器材并清除周边可燃物。</w:t>
      </w:r>
    </w:p>
    <w:p w14:paraId="1841017A">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临时用电：使用防爆灯具和电缆，下班后切断电源。</w:t>
      </w:r>
    </w:p>
    <w:p w14:paraId="3733FA9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4.燃气报警探头全覆盖；消防通道畅通、设施设备完好及标识标牌醒目。乙方全面负责食堂内的防火、防盗工作和员工的管理工作，认真履行安全职责，不得占用消防通道、遮挡消防设施设备及标牌。注意用水、用电、用气的安全，并做好定期相关培训。配合甲方及国家相关部门定期安全检查，发现安全隐患立即整改。若乙方出现食堂重大消防安全事故并造成重大负面影响的，乙方除承担一切经济和法律责任外，甲方有权单方面解除合同，并扣罚乙方全部履约保证金；若出现食堂消防安全事故未且造成负面影响的，甲方扣罚乙方违约金20000元/次。</w:t>
      </w:r>
    </w:p>
    <w:p w14:paraId="706FF69D">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乙方不得损坏原有的消防设施设备，如原有消防设施设备已坏或不能正常使用或覆盖不全，由乙方负责增加、更换，被更换的设施设备交由采购处置；按消防要求，乙方配置足够的灭火器材和后厨F类专用灭火器、灭火毯、疏散引导箱，安装满足需要的应急照明和疏散标识。乙方需按消防和物业管理条例自行添置消防设备设施。</w:t>
      </w:r>
      <w:bookmarkEnd w:id="187"/>
      <w:bookmarkEnd w:id="188"/>
    </w:p>
    <w:p w14:paraId="185712B8">
      <w:pPr>
        <w:pStyle w:val="3"/>
        <w:pageBreakBefore w:val="0"/>
        <w:widowControl w:val="0"/>
        <w:kinsoku/>
        <w:wordWrap/>
        <w:overflowPunct/>
        <w:topLinePunct w:val="0"/>
        <w:autoSpaceDE/>
        <w:autoSpaceDN/>
        <w:bidi w:val="0"/>
        <w:adjustRightInd/>
        <w:spacing w:before="0" w:after="0" w:line="480" w:lineRule="exact"/>
        <w:ind w:firstLine="560" w:firstLineChars="200"/>
        <w:textAlignment w:val="auto"/>
        <w:rPr>
          <w:rFonts w:hint="eastAsia" w:ascii="华文仿宋" w:hAnsi="华文仿宋" w:eastAsia="华文仿宋" w:cs="华文仿宋"/>
          <w:b w:val="0"/>
          <w:color w:val="auto"/>
          <w:sz w:val="28"/>
          <w:szCs w:val="28"/>
          <w:highlight w:val="none"/>
        </w:rPr>
      </w:pPr>
      <w:bookmarkStart w:id="191" w:name="_Toc18100"/>
      <w:bookmarkStart w:id="192" w:name="_Toc32046"/>
      <w:bookmarkStart w:id="193" w:name="_Toc25125"/>
      <w:bookmarkStart w:id="194" w:name="_Toc3749"/>
      <w:bookmarkStart w:id="195" w:name="_Toc22520"/>
      <w:bookmarkStart w:id="196" w:name="_Toc31824"/>
      <w:bookmarkStart w:id="197" w:name="_Toc8042"/>
      <w:r>
        <w:rPr>
          <w:rFonts w:hint="eastAsia" w:ascii="华文仿宋" w:hAnsi="华文仿宋" w:eastAsia="华文仿宋" w:cs="华文仿宋"/>
          <w:b w:val="0"/>
          <w:color w:val="auto"/>
          <w:sz w:val="28"/>
          <w:szCs w:val="28"/>
          <w:highlight w:val="none"/>
        </w:rPr>
        <w:t>第</w:t>
      </w:r>
      <w:r>
        <w:rPr>
          <w:rFonts w:hint="eastAsia" w:ascii="华文仿宋" w:hAnsi="华文仿宋" w:eastAsia="华文仿宋" w:cs="华文仿宋"/>
          <w:b w:val="0"/>
          <w:color w:val="auto"/>
          <w:sz w:val="28"/>
          <w:szCs w:val="28"/>
          <w:highlight w:val="none"/>
          <w:lang w:val="en-US" w:eastAsia="zh-CN"/>
        </w:rPr>
        <w:t>十一</w:t>
      </w:r>
      <w:r>
        <w:rPr>
          <w:rFonts w:hint="eastAsia" w:ascii="华文仿宋" w:hAnsi="华文仿宋" w:eastAsia="华文仿宋" w:cs="华文仿宋"/>
          <w:b w:val="0"/>
          <w:color w:val="auto"/>
          <w:sz w:val="28"/>
          <w:szCs w:val="28"/>
          <w:highlight w:val="none"/>
        </w:rPr>
        <w:t>条  食堂服务育人要求</w:t>
      </w:r>
      <w:bookmarkEnd w:id="191"/>
      <w:bookmarkEnd w:id="192"/>
      <w:bookmarkEnd w:id="193"/>
      <w:bookmarkEnd w:id="194"/>
      <w:bookmarkEnd w:id="195"/>
      <w:bookmarkEnd w:id="196"/>
      <w:bookmarkEnd w:id="197"/>
    </w:p>
    <w:p w14:paraId="16AE78C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乙方围绕后勤育人的要求，应积极配合甲方推进“三全育人”工作，乙方需按照不低于3万元/年的投入，无条件协助甲方相关部门做好实践体验育人、劳动育人、环境育人、服务育人、文化育人和后勤餐饮特色文化打造工作。深化共建共享工作机制，在食堂就餐区设立数智电子文化展示墙，由乙方投入充足经费开展以食品安全、营养健康、制止餐饮浪费等文化主题活动，积极配合甲方学生伙管会的各项活动规划和落实。乙方还需应甲方要求投入充足经费确保各类饮食文化活动项目的开展、传统佳节氛围营造、勤工助学岗位提供以及勤工助学人员的伙食保障。食堂文化建设符合甲方相关规定，与甲方发展特色契合，打造后勤育人品牌，积极营造和谐校园文化，不得在甲方本招标区域以外从事任何商业、广告、集会等活动。</w:t>
      </w:r>
    </w:p>
    <w:p w14:paraId="30BA06EE">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w:t>
      </w:r>
      <w:r>
        <w:rPr>
          <w:rFonts w:hint="eastAsia" w:ascii="华文仿宋" w:hAnsi="华文仿宋" w:eastAsia="华文仿宋" w:cs="华文仿宋"/>
          <w:color w:val="auto"/>
          <w:sz w:val="28"/>
          <w:szCs w:val="28"/>
          <w:highlight w:val="none"/>
          <w:lang w:val="en-US" w:eastAsia="zh-CN"/>
        </w:rPr>
        <w:t>十二</w:t>
      </w:r>
      <w:r>
        <w:rPr>
          <w:rFonts w:hint="eastAsia" w:ascii="华文仿宋" w:hAnsi="华文仿宋" w:eastAsia="华文仿宋" w:cs="华文仿宋"/>
          <w:color w:val="auto"/>
          <w:sz w:val="28"/>
          <w:szCs w:val="28"/>
          <w:highlight w:val="none"/>
        </w:rPr>
        <w:t>条  教工餐要求</w:t>
      </w:r>
    </w:p>
    <w:p w14:paraId="0F86E1B4">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1.甲方以提供的优惠条件要求乙方做好自助教工餐。自助教工餐菜品必须有鸡、鸭、鱼、兔、猪、牛羊肉、根茎、瓜果、豆制品、绿叶蔬菜等荤素菜合理搭配的新鲜食材。菜品基本配置：每餐 6荤6素、荤或素汤1道（变换使用）、生牛乳酸奶1盒（每人）或水果1个（每人）、米饭、粥、馒头，做到饭菜丰富、品种轮换（原则上每周菜品重复率不超过20%且每天要有1道主题菜品）、南北风味搭配；做好饭菜保温。价格为15元（甲方在编在岗教职工当天第一次只刷卡计次学校补贴15元给乙方，第二次刷卡为15元，甲方不再补贴；甲方外聘合同工及退休教职工当天第一次刷卡5元，甲方补贴10元给乙方，第二次刷卡为15元，甲方不再补贴）。乙方每周提前制订教工餐菜单，并提交采购审核，并于每周五前公布下周菜单。</w:t>
      </w:r>
    </w:p>
    <w:p w14:paraId="15A0D16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乙方采购原料须符合《食品安全法》及其实施条例规定，从正规固定进货渠道采购。主材选择必须为非转基因品牌植物油，品牌优质东北米、优质鲜肉（一级以上），鱼类菜品须用活鱼制作。所选主材需提供相关证明材料交甲方备案。</w:t>
      </w:r>
    </w:p>
    <w:p w14:paraId="39AC5CD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3.甲方将在成交乙方运行期间适时合理调整教工餐供应方式和考核方式，成交乙方须无条件配合。</w:t>
      </w:r>
    </w:p>
    <w:p w14:paraId="23161176">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4.甲方在勘察阶段提供一年的教工餐菜单供乙方查看，此菜单作为合同期内的教工餐，未经甲方书面同意，不得随意变更。如未查看视为认同此菜单。</w:t>
      </w:r>
    </w:p>
    <w:p w14:paraId="45350E89">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第十</w:t>
      </w:r>
      <w:r>
        <w:rPr>
          <w:rFonts w:hint="eastAsia" w:ascii="华文仿宋" w:hAnsi="华文仿宋" w:eastAsia="华文仿宋" w:cs="华文仿宋"/>
          <w:color w:val="auto"/>
          <w:sz w:val="28"/>
          <w:szCs w:val="28"/>
          <w:highlight w:val="none"/>
          <w:lang w:val="en-US" w:eastAsia="zh-CN"/>
        </w:rPr>
        <w:t>三</w:t>
      </w:r>
      <w:r>
        <w:rPr>
          <w:rFonts w:hint="eastAsia" w:ascii="华文仿宋" w:hAnsi="华文仿宋" w:eastAsia="华文仿宋" w:cs="华文仿宋"/>
          <w:color w:val="auto"/>
          <w:sz w:val="28"/>
          <w:szCs w:val="28"/>
          <w:highlight w:val="none"/>
        </w:rPr>
        <w:t>条项目管理班子要求</w:t>
      </w:r>
    </w:p>
    <w:p w14:paraId="29B8C50B">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乙方为本项目配置科学合理的管理服务团队，并要求管理服务团队素质高、经验丰富、人员充足，管理服务制度健全。各食堂必须配备项目负责人、厨师、食品安全总监、消防安全人员各1名（该人员必须具备消防设施操作证），食品安全员各2名，提供项目管理班子所有成员及职务清单，加盖乙方公章（具体见附件项目全部人员组成表），项目负责人、厨师、食品安全总监、食品安全员必须持有市场监督管理局颁发的食品安全知识考试合格证书，且项目负责人、食品安全总监、食品安全员必须为投标单位员工（提供劳动合同和2025年1月至5月连续的养老保险证明复印件加盖乙方公章，原件现场备查）。本项目负责人应当具备国民教育专科及以上文化程度。实际到岗履职的项目管理班子成员应与投标文件中的一致，不得擅自更换。特殊情况经甲方书面同意，以上岗位人员方可调整。如未经甲方书面同意擅自更换人员，每擅自更换一次乙方需向甲方支付违约金50000元/人/次。如项目管理班子未按照要求配备配齐相应人员或未配备相应资格的人员视为违约，甲方扣罚乙方违约金10000元/人/次。</w:t>
      </w:r>
    </w:p>
    <w:p w14:paraId="4223C99F">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highlight w:val="none"/>
        </w:rPr>
      </w:pPr>
    </w:p>
    <w:p w14:paraId="411E977D">
      <w:pPr>
        <w:pageBreakBefore w:val="0"/>
        <w:widowControl w:val="0"/>
        <w:kinsoku/>
        <w:wordWrap/>
        <w:overflowPunct/>
        <w:topLinePunct w:val="0"/>
        <w:autoSpaceDE/>
        <w:autoSpaceDN/>
        <w:bidi w:val="0"/>
        <w:adjustRightInd/>
        <w:snapToGrid w:val="0"/>
        <w:spacing w:line="480" w:lineRule="exact"/>
        <w:ind w:firstLine="2242" w:firstLineChars="800"/>
        <w:textAlignment w:val="auto"/>
        <w:rPr>
          <w:rFonts w:hint="eastAsia" w:ascii="华文仿宋" w:hAnsi="华文仿宋" w:eastAsia="华文仿宋" w:cs="华文仿宋"/>
          <w:b/>
          <w:color w:val="auto"/>
          <w:sz w:val="28"/>
          <w:szCs w:val="28"/>
          <w:highlight w:val="none"/>
        </w:rPr>
      </w:pPr>
      <w:r>
        <w:rPr>
          <w:rFonts w:hint="eastAsia" w:ascii="华文仿宋" w:hAnsi="华文仿宋" w:eastAsia="华文仿宋" w:cs="华文仿宋"/>
          <w:b/>
          <w:color w:val="auto"/>
          <w:sz w:val="28"/>
          <w:szCs w:val="28"/>
          <w:highlight w:val="none"/>
        </w:rPr>
        <w:t>第</w:t>
      </w:r>
      <w:r>
        <w:rPr>
          <w:rFonts w:hint="eastAsia" w:ascii="华文仿宋" w:hAnsi="华文仿宋" w:eastAsia="华文仿宋" w:cs="华文仿宋"/>
          <w:b/>
          <w:color w:val="auto"/>
          <w:sz w:val="28"/>
          <w:szCs w:val="28"/>
          <w:highlight w:val="none"/>
          <w:lang w:val="en-US" w:eastAsia="zh-CN"/>
        </w:rPr>
        <w:t>四</w:t>
      </w:r>
      <w:r>
        <w:rPr>
          <w:rFonts w:hint="eastAsia" w:ascii="华文仿宋" w:hAnsi="华文仿宋" w:eastAsia="华文仿宋" w:cs="华文仿宋"/>
          <w:b/>
          <w:color w:val="auto"/>
          <w:sz w:val="28"/>
          <w:szCs w:val="28"/>
          <w:highlight w:val="none"/>
        </w:rPr>
        <w:t>部分  数智食堂建设要求</w:t>
      </w:r>
    </w:p>
    <w:p w14:paraId="6AFDC7A2">
      <w:pPr>
        <w:pageBreakBefore w:val="0"/>
        <w:widowControl w:val="0"/>
        <w:kinsoku/>
        <w:wordWrap/>
        <w:overflowPunct/>
        <w:topLinePunct w:val="0"/>
        <w:autoSpaceDE/>
        <w:autoSpaceDN/>
        <w:bidi w:val="0"/>
        <w:adjustRightInd/>
        <w:snapToGrid w:val="0"/>
        <w:spacing w:line="480" w:lineRule="exact"/>
        <w:ind w:firstLine="561" w:firstLineChars="200"/>
        <w:textAlignment w:val="auto"/>
        <w:rPr>
          <w:rFonts w:hint="eastAsia" w:ascii="华文仿宋" w:hAnsi="华文仿宋" w:eastAsia="华文仿宋" w:cs="华文仿宋"/>
          <w:b/>
          <w:color w:val="auto"/>
          <w:sz w:val="28"/>
          <w:szCs w:val="28"/>
          <w:highlight w:val="none"/>
        </w:rPr>
      </w:pPr>
      <w:bookmarkStart w:id="198" w:name="OLE_LINK48"/>
      <w:r>
        <w:rPr>
          <w:rFonts w:hint="eastAsia" w:ascii="华文仿宋" w:hAnsi="华文仿宋" w:eastAsia="华文仿宋" w:cs="华文仿宋"/>
          <w:b/>
          <w:color w:val="auto"/>
          <w:sz w:val="28"/>
          <w:szCs w:val="28"/>
          <w:highlight w:val="none"/>
        </w:rPr>
        <w:t>第十</w:t>
      </w:r>
      <w:r>
        <w:rPr>
          <w:rFonts w:hint="eastAsia" w:ascii="华文仿宋" w:hAnsi="华文仿宋" w:eastAsia="华文仿宋" w:cs="华文仿宋"/>
          <w:b/>
          <w:color w:val="auto"/>
          <w:sz w:val="28"/>
          <w:szCs w:val="28"/>
          <w:highlight w:val="none"/>
          <w:lang w:val="en-US" w:eastAsia="zh-CN"/>
        </w:rPr>
        <w:t>四</w:t>
      </w:r>
      <w:r>
        <w:rPr>
          <w:rFonts w:hint="eastAsia" w:ascii="华文仿宋" w:hAnsi="华文仿宋" w:eastAsia="华文仿宋" w:cs="华文仿宋"/>
          <w:b/>
          <w:color w:val="auto"/>
          <w:sz w:val="28"/>
          <w:szCs w:val="28"/>
          <w:highlight w:val="none"/>
        </w:rPr>
        <w:t>条</w:t>
      </w:r>
      <w:bookmarkStart w:id="199" w:name="OLE_LINK39"/>
      <w:r>
        <w:rPr>
          <w:rFonts w:hint="eastAsia" w:ascii="华文仿宋" w:hAnsi="华文仿宋" w:eastAsia="华文仿宋" w:cs="华文仿宋"/>
          <w:b/>
          <w:color w:val="auto"/>
          <w:sz w:val="28"/>
          <w:szCs w:val="28"/>
          <w:highlight w:val="none"/>
          <w:lang w:val="en-US" w:eastAsia="zh-CN"/>
        </w:rPr>
        <w:t xml:space="preserve"> </w:t>
      </w:r>
      <w:r>
        <w:rPr>
          <w:rFonts w:hint="eastAsia" w:ascii="华文仿宋" w:hAnsi="华文仿宋" w:eastAsia="华文仿宋" w:cs="华文仿宋"/>
          <w:b/>
          <w:color w:val="auto"/>
          <w:sz w:val="28"/>
          <w:szCs w:val="28"/>
          <w:highlight w:val="none"/>
        </w:rPr>
        <w:t>数智食堂总体要求</w:t>
      </w:r>
      <w:bookmarkEnd w:id="199"/>
    </w:p>
    <w:bookmarkEnd w:id="198"/>
    <w:p w14:paraId="2F8F942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项目实施后，须实现以下四个方面的管理及功能：一是视频监控管理，实时了解后厨动态，实现全流程记录，大厅屏幕实时播放，引导公众直接参与食安监督，提升保障食堂工作人员的自律意识，监管系统实现全覆盖，需接入学校视频监控系统；二是通过智能物联硬件设备+食安管控平台，对食堂进行全面的监管，及时发现违规异常情况，发出预警，从多方面保障校园食品安全，智能物联硬件设备包含智能晨检门禁、智能留样秤、智能留样冰箱、动火离人摄像头、AI行为分析摄像头、AI鼠患识别、食安服务终端、仓库物联监管系统、紫外消毒管理系统、餐具消毒系统、冷库监管、水电能耗监管、客流量智能人员统计摄像头、农残检测、重金属检测和智能溯源秤、陌生人识别摄像机等；三是食堂数据化管理，提高管理层的工作效率，包含食堂数据驾驶舱和后勤监管平台数据屏等；四是后勤监管数智化升级，实现师生满意度管理、菜品菜价审核、菜品溯源监管、数字化巡检和合同考核、处罚管理等。</w:t>
      </w:r>
    </w:p>
    <w:p w14:paraId="1C935D2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b/>
          <w:color w:val="auto"/>
          <w:sz w:val="28"/>
          <w:szCs w:val="28"/>
          <w:highlight w:val="none"/>
          <w:u w:val="single"/>
          <w:lang w:eastAsia="zh-CN"/>
        </w:rPr>
      </w:pPr>
      <w:r>
        <w:rPr>
          <w:rFonts w:hint="eastAsia" w:ascii="华文仿宋" w:hAnsi="华文仿宋" w:eastAsia="华文仿宋" w:cs="华文仿宋"/>
          <w:color w:val="auto"/>
          <w:sz w:val="28"/>
          <w:szCs w:val="28"/>
          <w:highlight w:val="none"/>
          <w:u w:val="single"/>
        </w:rPr>
        <w:t>第十</w:t>
      </w:r>
      <w:r>
        <w:rPr>
          <w:rFonts w:hint="eastAsia" w:ascii="华文仿宋" w:hAnsi="华文仿宋" w:eastAsia="华文仿宋" w:cs="华文仿宋"/>
          <w:color w:val="auto"/>
          <w:sz w:val="28"/>
          <w:szCs w:val="28"/>
          <w:highlight w:val="none"/>
          <w:u w:val="single"/>
          <w:lang w:val="en-US" w:eastAsia="zh-CN"/>
        </w:rPr>
        <w:t>五</w:t>
      </w:r>
      <w:r>
        <w:rPr>
          <w:rFonts w:hint="eastAsia" w:ascii="华文仿宋" w:hAnsi="华文仿宋" w:eastAsia="华文仿宋" w:cs="华文仿宋"/>
          <w:color w:val="auto"/>
          <w:sz w:val="28"/>
          <w:szCs w:val="28"/>
          <w:highlight w:val="none"/>
          <w:u w:val="single"/>
        </w:rPr>
        <w:t>条 数智食堂”数智化设备建设要求</w:t>
      </w:r>
      <w:r>
        <w:rPr>
          <w:rFonts w:hint="eastAsia" w:ascii="华文仿宋" w:hAnsi="华文仿宋" w:eastAsia="华文仿宋" w:cs="华文仿宋"/>
          <w:b/>
          <w:color w:val="auto"/>
          <w:sz w:val="28"/>
          <w:szCs w:val="28"/>
          <w:highlight w:val="none"/>
          <w:u w:val="single"/>
          <w:lang w:eastAsia="zh-CN"/>
        </w:rPr>
        <w:t>（</w:t>
      </w:r>
      <w:r>
        <w:rPr>
          <w:rFonts w:hint="eastAsia" w:ascii="华文仿宋" w:hAnsi="华文仿宋" w:eastAsia="华文仿宋" w:cs="华文仿宋"/>
          <w:b/>
          <w:color w:val="auto"/>
          <w:sz w:val="28"/>
          <w:szCs w:val="28"/>
          <w:highlight w:val="none"/>
          <w:u w:val="single"/>
          <w:lang w:val="en-US" w:eastAsia="zh-CN"/>
        </w:rPr>
        <w:t>详见附件二</w:t>
      </w:r>
      <w:r>
        <w:rPr>
          <w:rFonts w:hint="eastAsia" w:ascii="华文仿宋" w:hAnsi="华文仿宋" w:eastAsia="华文仿宋" w:cs="华文仿宋"/>
          <w:b/>
          <w:color w:val="auto"/>
          <w:sz w:val="28"/>
          <w:szCs w:val="28"/>
          <w:highlight w:val="none"/>
          <w:u w:val="single"/>
          <w:lang w:eastAsia="zh-CN"/>
        </w:rPr>
        <w:t>）</w:t>
      </w:r>
    </w:p>
    <w:p w14:paraId="7443902A">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color w:val="auto"/>
          <w:sz w:val="28"/>
          <w:szCs w:val="28"/>
          <w:highlight w:val="none"/>
        </w:rPr>
      </w:pPr>
    </w:p>
    <w:p w14:paraId="4A7C571D">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color w:val="auto"/>
          <w:sz w:val="28"/>
          <w:szCs w:val="28"/>
          <w:highlight w:val="none"/>
        </w:rPr>
      </w:pPr>
      <w:r>
        <w:rPr>
          <w:rFonts w:hint="eastAsia" w:ascii="华文仿宋" w:hAnsi="华文仿宋" w:eastAsia="华文仿宋" w:cs="华文仿宋"/>
          <w:b/>
          <w:color w:val="auto"/>
          <w:sz w:val="28"/>
          <w:szCs w:val="28"/>
          <w:highlight w:val="none"/>
        </w:rPr>
        <w:t>第</w:t>
      </w:r>
      <w:r>
        <w:rPr>
          <w:rFonts w:hint="eastAsia" w:ascii="华文仿宋" w:hAnsi="华文仿宋" w:eastAsia="华文仿宋" w:cs="华文仿宋"/>
          <w:b/>
          <w:color w:val="auto"/>
          <w:sz w:val="28"/>
          <w:szCs w:val="28"/>
          <w:highlight w:val="none"/>
          <w:lang w:val="en-US" w:eastAsia="zh-CN"/>
        </w:rPr>
        <w:t>五</w:t>
      </w:r>
      <w:r>
        <w:rPr>
          <w:rFonts w:hint="eastAsia" w:ascii="华文仿宋" w:hAnsi="华文仿宋" w:eastAsia="华文仿宋" w:cs="华文仿宋"/>
          <w:b/>
          <w:color w:val="auto"/>
          <w:sz w:val="28"/>
          <w:szCs w:val="28"/>
          <w:highlight w:val="none"/>
        </w:rPr>
        <w:t>部分 服务考核</w:t>
      </w:r>
    </w:p>
    <w:p w14:paraId="42FBAC43">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第十</w:t>
      </w:r>
      <w:r>
        <w:rPr>
          <w:rFonts w:hint="eastAsia" w:ascii="华文仿宋" w:hAnsi="华文仿宋" w:eastAsia="华文仿宋" w:cs="华文仿宋"/>
          <w:color w:val="auto"/>
          <w:sz w:val="28"/>
          <w:szCs w:val="28"/>
          <w:highlight w:val="none"/>
          <w:lang w:val="en-US" w:eastAsia="zh-CN"/>
        </w:rPr>
        <w:t>六</w:t>
      </w:r>
      <w:r>
        <w:rPr>
          <w:rFonts w:hint="eastAsia" w:ascii="华文仿宋" w:hAnsi="华文仿宋" w:eastAsia="华文仿宋" w:cs="华文仿宋"/>
          <w:color w:val="auto"/>
          <w:sz w:val="28"/>
          <w:szCs w:val="28"/>
          <w:highlight w:val="none"/>
        </w:rPr>
        <w:t>条 服务考核</w:t>
      </w:r>
    </w:p>
    <w:p w14:paraId="346CEC8F">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为调动</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经营积极性，确保师生餐饮的品质和质量，</w:t>
      </w:r>
      <w:r>
        <w:rPr>
          <w:rFonts w:hint="eastAsia" w:ascii="华文仿宋" w:hAnsi="华文仿宋" w:eastAsia="华文仿宋" w:cs="华文仿宋"/>
          <w:color w:val="auto"/>
          <w:sz w:val="28"/>
          <w:szCs w:val="28"/>
          <w:highlight w:val="none"/>
          <w:lang w:val="en-US" w:eastAsia="zh-CN"/>
        </w:rPr>
        <w:t>甲方</w:t>
      </w:r>
      <w:r>
        <w:rPr>
          <w:rFonts w:hint="eastAsia" w:ascii="华文仿宋" w:hAnsi="华文仿宋" w:eastAsia="华文仿宋" w:cs="华文仿宋"/>
          <w:color w:val="auto"/>
          <w:sz w:val="28"/>
          <w:szCs w:val="28"/>
          <w:highlight w:val="none"/>
        </w:rPr>
        <w:t>按照</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 xml:space="preserve">投标承诺收取考核费，采取学期考核和日常考核相结合的方式建立考核机制，根据考核结果实施奖惩。 </w:t>
      </w:r>
    </w:p>
    <w:p w14:paraId="310BB542">
      <w:pPr>
        <w:pStyle w:val="22"/>
        <w:pageBreakBefore w:val="0"/>
        <w:widowControl w:val="0"/>
        <w:numPr>
          <w:ilvl w:val="0"/>
          <w:numId w:val="139"/>
        </w:numPr>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日常考核</w:t>
      </w:r>
    </w:p>
    <w:p w14:paraId="06DC3A82">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按《重庆文理学院学生食堂委托经营管理日常考核实施细则》执行（见附件一）。</w:t>
      </w:r>
    </w:p>
    <w:p w14:paraId="21A72AE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1.甲方可根据实际情况对日常考核实施细则进行修订，乙方须按修订后的办法执行。</w:t>
      </w:r>
    </w:p>
    <w:p w14:paraId="60EEF7F4">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2.上述违约金均从乙方最近一次营业款中扣除并按甲方要求及时整改。</w:t>
      </w:r>
    </w:p>
    <w:p w14:paraId="02E01A32">
      <w:pPr>
        <w:pStyle w:val="22"/>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（二）学期考核</w:t>
      </w:r>
    </w:p>
    <w:p w14:paraId="3C3E5DF6">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甲方每学期在食堂内线下组织一次满意度测评，填写“餐饮服务满意度测评表”（见下表），每个项目参加测评人数不低于200人：</w:t>
      </w:r>
    </w:p>
    <w:p w14:paraId="1F34F6AD">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餐饮服务学期满意度测评表（100分，得分保留一位小数）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87"/>
        <w:gridCol w:w="727"/>
        <w:gridCol w:w="917"/>
        <w:gridCol w:w="927"/>
        <w:gridCol w:w="953"/>
        <w:gridCol w:w="950"/>
        <w:gridCol w:w="912"/>
        <w:gridCol w:w="865"/>
        <w:gridCol w:w="1199"/>
      </w:tblGrid>
      <w:tr w14:paraId="6D91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54" w:type="dxa"/>
            <w:noWrap w:val="0"/>
            <w:vAlign w:val="center"/>
          </w:tcPr>
          <w:p w14:paraId="55C9C75B">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项目</w:t>
            </w:r>
          </w:p>
        </w:tc>
        <w:tc>
          <w:tcPr>
            <w:tcW w:w="887" w:type="dxa"/>
            <w:noWrap w:val="0"/>
            <w:vAlign w:val="center"/>
          </w:tcPr>
          <w:p w14:paraId="4E4706CF">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就餐环境</w:t>
            </w:r>
          </w:p>
        </w:tc>
        <w:tc>
          <w:tcPr>
            <w:tcW w:w="727" w:type="dxa"/>
            <w:noWrap w:val="0"/>
            <w:vAlign w:val="center"/>
          </w:tcPr>
          <w:p w14:paraId="1D2BE34D">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食堂卫生</w:t>
            </w:r>
          </w:p>
        </w:tc>
        <w:tc>
          <w:tcPr>
            <w:tcW w:w="917" w:type="dxa"/>
            <w:noWrap w:val="0"/>
            <w:vAlign w:val="center"/>
          </w:tcPr>
          <w:p w14:paraId="7B415B1D">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餐具清洁</w:t>
            </w:r>
          </w:p>
        </w:tc>
        <w:tc>
          <w:tcPr>
            <w:tcW w:w="927" w:type="dxa"/>
            <w:noWrap w:val="0"/>
            <w:vAlign w:val="center"/>
          </w:tcPr>
          <w:p w14:paraId="516AD5EA">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菜品</w:t>
            </w:r>
          </w:p>
          <w:p w14:paraId="6D1283E1">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味道</w:t>
            </w:r>
          </w:p>
        </w:tc>
        <w:tc>
          <w:tcPr>
            <w:tcW w:w="953" w:type="dxa"/>
            <w:noWrap w:val="0"/>
            <w:vAlign w:val="center"/>
          </w:tcPr>
          <w:p w14:paraId="341474A5">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菜品</w:t>
            </w:r>
          </w:p>
          <w:p w14:paraId="71D4363C">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变化</w:t>
            </w:r>
          </w:p>
        </w:tc>
        <w:tc>
          <w:tcPr>
            <w:tcW w:w="950" w:type="dxa"/>
            <w:noWrap w:val="0"/>
            <w:vAlign w:val="center"/>
          </w:tcPr>
          <w:p w14:paraId="73F1F454">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菜品</w:t>
            </w:r>
          </w:p>
          <w:p w14:paraId="4952A83A">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质量</w:t>
            </w:r>
          </w:p>
        </w:tc>
        <w:tc>
          <w:tcPr>
            <w:tcW w:w="912" w:type="dxa"/>
            <w:noWrap w:val="0"/>
            <w:vAlign w:val="center"/>
          </w:tcPr>
          <w:p w14:paraId="582676C0">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服务</w:t>
            </w:r>
          </w:p>
          <w:p w14:paraId="70FB7364">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态度</w:t>
            </w:r>
          </w:p>
        </w:tc>
        <w:tc>
          <w:tcPr>
            <w:tcW w:w="865" w:type="dxa"/>
            <w:noWrap w:val="0"/>
            <w:vAlign w:val="center"/>
          </w:tcPr>
          <w:p w14:paraId="147A2BB3">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米饭品质</w:t>
            </w:r>
          </w:p>
        </w:tc>
        <w:tc>
          <w:tcPr>
            <w:tcW w:w="1199" w:type="dxa"/>
            <w:noWrap w:val="0"/>
            <w:vAlign w:val="center"/>
          </w:tcPr>
          <w:p w14:paraId="2C782A35">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得分</w:t>
            </w:r>
          </w:p>
        </w:tc>
      </w:tr>
      <w:tr w14:paraId="79B3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14:paraId="51FE6A50">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分值</w:t>
            </w:r>
          </w:p>
        </w:tc>
        <w:tc>
          <w:tcPr>
            <w:tcW w:w="887" w:type="dxa"/>
            <w:noWrap w:val="0"/>
            <w:vAlign w:val="center"/>
          </w:tcPr>
          <w:p w14:paraId="5121F498">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w:t>
            </w:r>
          </w:p>
        </w:tc>
        <w:tc>
          <w:tcPr>
            <w:tcW w:w="727" w:type="dxa"/>
            <w:noWrap w:val="0"/>
            <w:vAlign w:val="center"/>
          </w:tcPr>
          <w:p w14:paraId="09BE8903">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w:t>
            </w:r>
          </w:p>
        </w:tc>
        <w:tc>
          <w:tcPr>
            <w:tcW w:w="917" w:type="dxa"/>
            <w:noWrap w:val="0"/>
            <w:vAlign w:val="center"/>
          </w:tcPr>
          <w:p w14:paraId="49982809">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w:t>
            </w:r>
          </w:p>
        </w:tc>
        <w:tc>
          <w:tcPr>
            <w:tcW w:w="927" w:type="dxa"/>
            <w:noWrap w:val="0"/>
            <w:vAlign w:val="center"/>
          </w:tcPr>
          <w:p w14:paraId="5F76E2E0">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w:t>
            </w:r>
          </w:p>
        </w:tc>
        <w:tc>
          <w:tcPr>
            <w:tcW w:w="953" w:type="dxa"/>
            <w:noWrap w:val="0"/>
            <w:vAlign w:val="center"/>
          </w:tcPr>
          <w:p w14:paraId="7EC6FCEB">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w:t>
            </w:r>
          </w:p>
        </w:tc>
        <w:tc>
          <w:tcPr>
            <w:tcW w:w="950" w:type="dxa"/>
            <w:noWrap w:val="0"/>
            <w:vAlign w:val="center"/>
          </w:tcPr>
          <w:p w14:paraId="66689B3A">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20</w:t>
            </w:r>
          </w:p>
        </w:tc>
        <w:tc>
          <w:tcPr>
            <w:tcW w:w="912" w:type="dxa"/>
            <w:noWrap w:val="0"/>
            <w:vAlign w:val="center"/>
          </w:tcPr>
          <w:p w14:paraId="28F035A1">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20</w:t>
            </w:r>
          </w:p>
        </w:tc>
        <w:tc>
          <w:tcPr>
            <w:tcW w:w="865" w:type="dxa"/>
            <w:noWrap w:val="0"/>
            <w:vAlign w:val="center"/>
          </w:tcPr>
          <w:p w14:paraId="56C21501">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10</w:t>
            </w:r>
          </w:p>
        </w:tc>
        <w:tc>
          <w:tcPr>
            <w:tcW w:w="1199" w:type="dxa"/>
            <w:noWrap w:val="0"/>
            <w:vAlign w:val="center"/>
          </w:tcPr>
          <w:p w14:paraId="5868F1F1">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p>
        </w:tc>
      </w:tr>
      <w:tr w14:paraId="236E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14:paraId="3EE62EB9">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意见</w:t>
            </w:r>
          </w:p>
        </w:tc>
        <w:tc>
          <w:tcPr>
            <w:tcW w:w="8337" w:type="dxa"/>
            <w:gridSpan w:val="9"/>
            <w:noWrap w:val="0"/>
            <w:vAlign w:val="top"/>
          </w:tcPr>
          <w:p w14:paraId="74DEFBB1">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p>
        </w:tc>
      </w:tr>
    </w:tbl>
    <w:p w14:paraId="2E138BB7">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备注：1、学期满意度测评与日常考核相结合，发生较大消防安全事故、食品卫生安全事故、员工群体性事件等对</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造成重大负面影响的事件，学期考核直接为不合格。</w:t>
      </w:r>
    </w:p>
    <w:p w14:paraId="0BB296A7">
      <w:pPr>
        <w:pageBreakBefore w:val="0"/>
        <w:widowControl w:val="0"/>
        <w:numPr>
          <w:ilvl w:val="0"/>
          <w:numId w:val="137"/>
        </w:numPr>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rPr>
        <w:t>学期满意度测评成绩与日常考核相结合，</w:t>
      </w:r>
      <w:r>
        <w:rPr>
          <w:rFonts w:hint="eastAsia" w:ascii="华文仿宋" w:hAnsi="华文仿宋" w:eastAsia="华文仿宋" w:cs="华文仿宋"/>
          <w:color w:val="auto"/>
          <w:sz w:val="28"/>
          <w:szCs w:val="28"/>
          <w:highlight w:val="none"/>
          <w:u w:val="single"/>
        </w:rPr>
        <w:t>学期满意度测评成绩=餐饮服务学期满意度测评*40%，日常考核成绩=（100-学期日常考核扣分）*60%，</w:t>
      </w:r>
      <w:r>
        <w:rPr>
          <w:rFonts w:hint="eastAsia" w:ascii="华文仿宋" w:hAnsi="华文仿宋" w:eastAsia="华文仿宋" w:cs="华文仿宋"/>
          <w:color w:val="auto"/>
          <w:sz w:val="28"/>
          <w:szCs w:val="28"/>
          <w:highlight w:val="none"/>
        </w:rPr>
        <w:t>除发生备注第1条外，</w:t>
      </w:r>
      <w:r>
        <w:rPr>
          <w:rFonts w:hint="eastAsia" w:ascii="华文仿宋" w:hAnsi="华文仿宋" w:eastAsia="华文仿宋" w:cs="华文仿宋"/>
          <w:color w:val="auto"/>
          <w:sz w:val="28"/>
          <w:szCs w:val="28"/>
          <w:highlight w:val="none"/>
          <w:u w:val="single"/>
        </w:rPr>
        <w:t>学期考核成绩=学期满意度测评成绩+日常考核成绩。</w:t>
      </w:r>
    </w:p>
    <w:p w14:paraId="4B48638E">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3.以上测评表，</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每学期可以根据上级机关和学校管理要求，结合实际情况对测评项目及细则予以调整。</w:t>
      </w:r>
    </w:p>
    <w:p w14:paraId="2F878AC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（三）考核结果运用</w:t>
      </w:r>
    </w:p>
    <w:p w14:paraId="4FB96663">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仿宋" w:hAnsi="华文仿宋" w:eastAsia="华文仿宋" w:cs="华文仿宋"/>
          <w:b/>
          <w:bCs/>
          <w:color w:val="auto"/>
          <w:sz w:val="28"/>
          <w:szCs w:val="28"/>
          <w:highlight w:val="none"/>
        </w:rPr>
      </w:pPr>
      <w:r>
        <w:rPr>
          <w:rFonts w:hint="eastAsia" w:ascii="华文仿宋" w:hAnsi="华文仿宋" w:eastAsia="华文仿宋" w:cs="华文仿宋"/>
          <w:color w:val="auto"/>
          <w:sz w:val="28"/>
          <w:szCs w:val="28"/>
          <w:highlight w:val="none"/>
        </w:rPr>
        <w:t>学期考核成绩≥95分为非常优秀，全额返还当学期所提取考核费；95分＞学期考核成绩≥90分为基本优秀，返还当学期所提取考核费50%；90分＞学期考核成绩≥85分为良好，返还当学期所提取考核费40%； 85分＞学期考核成绩≥80分为合格，返还当学期所提取考核费30%；80分＞学期考核成绩≥70分为合格，不返还当学期所提取考核费；学期考核成绩&lt;70分为不合格，</w:t>
      </w:r>
      <w:r>
        <w:rPr>
          <w:rFonts w:hint="eastAsia" w:ascii="华文仿宋" w:hAnsi="华文仿宋" w:eastAsia="华文仿宋" w:cs="华文仿宋"/>
          <w:color w:val="auto"/>
          <w:sz w:val="28"/>
          <w:szCs w:val="28"/>
          <w:highlight w:val="none"/>
          <w:lang w:val="zh-CN"/>
        </w:rPr>
        <w:t>对其诫勉谈话，</w:t>
      </w:r>
      <w:r>
        <w:rPr>
          <w:rFonts w:hint="eastAsia" w:ascii="华文仿宋" w:hAnsi="华文仿宋" w:eastAsia="华文仿宋" w:cs="华文仿宋"/>
          <w:color w:val="auto"/>
          <w:sz w:val="28"/>
          <w:szCs w:val="28"/>
          <w:highlight w:val="none"/>
        </w:rPr>
        <w:t>按合同违约处理，</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须向</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支付违约金200000元，且下一个考核期每月营业款再原有考核费提取的基础上再增加1%提取每月考核费，出现一切经济和法律责任由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自行承担，</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不承担任何责任和做任何补偿。未返还完的考核费用于</w:t>
      </w:r>
      <w:r>
        <w:rPr>
          <w:rFonts w:hint="eastAsia" w:ascii="华文仿宋" w:hAnsi="华文仿宋" w:eastAsia="华文仿宋" w:cs="华文仿宋"/>
          <w:color w:val="auto"/>
          <w:sz w:val="28"/>
          <w:szCs w:val="28"/>
          <w:highlight w:val="none"/>
          <w:lang w:val="en-US" w:eastAsia="zh-CN"/>
        </w:rPr>
        <w:t>甲方</w:t>
      </w:r>
      <w:r>
        <w:rPr>
          <w:rFonts w:hint="eastAsia" w:ascii="华文仿宋" w:hAnsi="华文仿宋" w:eastAsia="华文仿宋" w:cs="华文仿宋"/>
          <w:color w:val="auto"/>
          <w:sz w:val="28"/>
          <w:szCs w:val="28"/>
          <w:highlight w:val="none"/>
        </w:rPr>
        <w:t>学生奖助贷、合理承担食堂在编在岗监管人员的薪资、食品安全管理及学生活动等公益性支出，惠及全校学生。</w:t>
      </w:r>
    </w:p>
    <w:p w14:paraId="5F80B3DC">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bCs/>
          <w:color w:val="auto"/>
          <w:sz w:val="28"/>
          <w:szCs w:val="28"/>
          <w:highlight w:val="none"/>
        </w:rPr>
      </w:pPr>
      <w:r>
        <w:rPr>
          <w:rFonts w:hint="eastAsia" w:ascii="华文仿宋" w:hAnsi="华文仿宋" w:eastAsia="华文仿宋" w:cs="华文仿宋"/>
          <w:b/>
          <w:bCs/>
          <w:color w:val="auto"/>
          <w:sz w:val="28"/>
          <w:szCs w:val="28"/>
          <w:highlight w:val="none"/>
        </w:rPr>
        <w:t>第</w:t>
      </w:r>
      <w:r>
        <w:rPr>
          <w:rFonts w:hint="eastAsia" w:ascii="华文仿宋" w:hAnsi="华文仿宋" w:eastAsia="华文仿宋" w:cs="华文仿宋"/>
          <w:b/>
          <w:bCs/>
          <w:color w:val="auto"/>
          <w:sz w:val="28"/>
          <w:szCs w:val="28"/>
          <w:highlight w:val="none"/>
          <w:lang w:val="en-US" w:eastAsia="zh-CN"/>
        </w:rPr>
        <w:t>六</w:t>
      </w:r>
      <w:r>
        <w:rPr>
          <w:rFonts w:hint="eastAsia" w:ascii="华文仿宋" w:hAnsi="华文仿宋" w:eastAsia="华文仿宋" w:cs="华文仿宋"/>
          <w:b/>
          <w:bCs/>
          <w:color w:val="auto"/>
          <w:sz w:val="28"/>
          <w:szCs w:val="28"/>
          <w:highlight w:val="none"/>
        </w:rPr>
        <w:t>部分 违约责任</w:t>
      </w:r>
    </w:p>
    <w:p w14:paraId="46E68D04">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第十七条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提供的服务质量、服务标准不符合采购文件及合同要求的、或履约过程中有违约行为的，</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保留追究由此给</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造成损失责任的权力。</w:t>
      </w:r>
    </w:p>
    <w:p w14:paraId="0CB0B87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第十八条 </w:t>
      </w:r>
      <w:r>
        <w:rPr>
          <w:rFonts w:hint="eastAsia" w:ascii="华文仿宋" w:hAnsi="华文仿宋" w:eastAsia="华文仿宋" w:cs="华文仿宋"/>
          <w:color w:val="auto"/>
          <w:sz w:val="28"/>
          <w:szCs w:val="28"/>
          <w:highlight w:val="none"/>
        </w:rPr>
        <w:t>本项目一律为一卡通刷卡消费的方式结算，新增</w:t>
      </w:r>
      <w:r>
        <w:rPr>
          <w:rFonts w:hint="eastAsia" w:ascii="华文仿宋" w:hAnsi="华文仿宋" w:eastAsia="华文仿宋" w:cs="华文仿宋"/>
          <w:bCs/>
          <w:color w:val="auto"/>
          <w:sz w:val="28"/>
          <w:szCs w:val="28"/>
          <w:highlight w:val="none"/>
        </w:rPr>
        <w:t>校园一卡通设备购置和安装费由成交供应商承担，</w:t>
      </w:r>
      <w:r>
        <w:rPr>
          <w:rFonts w:hint="eastAsia" w:ascii="华文仿宋" w:hAnsi="华文仿宋" w:eastAsia="华文仿宋" w:cs="华文仿宋"/>
          <w:color w:val="auto"/>
          <w:sz w:val="28"/>
          <w:szCs w:val="28"/>
          <w:highlight w:val="none"/>
        </w:rPr>
        <w:t>不得以任何非一卡通方式进行交易，否则经查实后</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向</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每次支付违约金20000元，若当月发现三次以上（含本数）违规交易的情况，按当月营业额的20%支付违约金，一年累计发现5次及以上，</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有权解除合同。</w:t>
      </w:r>
    </w:p>
    <w:p w14:paraId="062A912F">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第十九条 </w:t>
      </w:r>
      <w:r>
        <w:rPr>
          <w:rFonts w:hint="eastAsia" w:ascii="华文仿宋" w:hAnsi="华文仿宋" w:eastAsia="华文仿宋" w:cs="华文仿宋"/>
          <w:color w:val="auto"/>
          <w:sz w:val="28"/>
          <w:szCs w:val="28"/>
          <w:highlight w:val="none"/>
        </w:rPr>
        <w:t>除不可抗力或</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书面同意外，</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在经营过程中不得以任何理由擅自停止供餐，否则每次按每档口支付违约金20000元。</w:t>
      </w:r>
    </w:p>
    <w:p w14:paraId="45A4AA5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第二十条 </w:t>
      </w:r>
      <w:r>
        <w:rPr>
          <w:rFonts w:hint="eastAsia" w:ascii="华文仿宋" w:hAnsi="华文仿宋" w:eastAsia="华文仿宋" w:cs="华文仿宋"/>
          <w:color w:val="auto"/>
          <w:sz w:val="28"/>
          <w:szCs w:val="28"/>
          <w:highlight w:val="none"/>
        </w:rPr>
        <w:t>若</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擅自变更食品售价，则按每个品种支付违约金5000元/次。</w:t>
      </w:r>
    </w:p>
    <w:p w14:paraId="44BB30E8">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第二十一条 </w:t>
      </w:r>
      <w:r>
        <w:rPr>
          <w:rFonts w:hint="eastAsia" w:ascii="华文仿宋" w:hAnsi="华文仿宋" w:eastAsia="华文仿宋" w:cs="华文仿宋"/>
          <w:color w:val="auto"/>
          <w:sz w:val="28"/>
          <w:szCs w:val="28"/>
          <w:highlight w:val="none"/>
        </w:rPr>
        <w:t>若</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采购转基因食材或外国进口类食材，则按每个食材品种支付违约金10000元/次。</w:t>
      </w:r>
    </w:p>
    <w:p w14:paraId="48170265">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第二十二条 </w:t>
      </w:r>
      <w:r>
        <w:rPr>
          <w:rFonts w:hint="eastAsia" w:ascii="华文仿宋" w:hAnsi="华文仿宋" w:eastAsia="华文仿宋" w:cs="华文仿宋"/>
          <w:color w:val="auto"/>
          <w:sz w:val="28"/>
          <w:szCs w:val="28"/>
          <w:highlight w:val="none"/>
        </w:rPr>
        <w:t>若发生师生有效投诉，视其情况支付违约金500元及以上/次。</w:t>
      </w:r>
    </w:p>
    <w:p w14:paraId="56B457D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第二十三条 </w:t>
      </w:r>
      <w:r>
        <w:rPr>
          <w:rFonts w:hint="eastAsia" w:ascii="华文仿宋" w:hAnsi="华文仿宋" w:eastAsia="华文仿宋" w:cs="华文仿宋"/>
          <w:color w:val="auto"/>
          <w:sz w:val="28"/>
          <w:szCs w:val="28"/>
          <w:highlight w:val="none"/>
        </w:rPr>
        <w:t>若发现各类食材存在食品安全隐患的，视其情况支付违约金5000元-10000元/次。</w:t>
      </w:r>
    </w:p>
    <w:p w14:paraId="6D99DC3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第二十四条 </w:t>
      </w:r>
      <w:r>
        <w:rPr>
          <w:rFonts w:hint="eastAsia" w:ascii="华文仿宋" w:hAnsi="华文仿宋" w:eastAsia="华文仿宋" w:cs="华文仿宋"/>
          <w:color w:val="auto"/>
          <w:sz w:val="28"/>
          <w:szCs w:val="28"/>
          <w:highlight w:val="none"/>
        </w:rPr>
        <w:t>若</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不服从</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管理，不及时按照</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的要求及时进行整改的，每次支付违约金10000元至50000元。</w:t>
      </w:r>
    </w:p>
    <w:p w14:paraId="6E3627F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第二十五条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在接受市场监督管理局等有关职能部门以及上级机关等各级各类检查时，给</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造成不良影响的，视其情节每发生一次支付违约金2000元及以上；</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提供霉烂变质食物（包括库存中有过期或霉变货物）等，每发生一次支付违约金10000元。</w:t>
      </w:r>
    </w:p>
    <w:p w14:paraId="45EC7A1C">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第二十六条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在经营过程中发生投毒或食物中毒等食品安全事故、消防安全事故时，由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承担一切经济责任（包括</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及</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相关管理人员受到的经济处罚）和法律责任，情节严重者，</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除不退还</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履约保证金外，还应承担50000元/次的合同违约金，且</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有权解除合同。</w:t>
      </w:r>
    </w:p>
    <w:p w14:paraId="306845CC">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第二十七条 </w:t>
      </w:r>
      <w:r>
        <w:rPr>
          <w:rFonts w:hint="eastAsia" w:ascii="华文仿宋" w:hAnsi="华文仿宋" w:eastAsia="华文仿宋" w:cs="华文仿宋"/>
          <w:color w:val="auto"/>
          <w:sz w:val="28"/>
          <w:szCs w:val="28"/>
          <w:highlight w:val="none"/>
        </w:rPr>
        <w:t>合同期满或经营期内解除合同时，</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逾期未撤离，由此造成的一切后果与损失由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承担。</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在合同期内可以对食堂进行再次装修，其装修费用均由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自行承担，同时，</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再次装修方案必须经</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书面书面同意后方可进行，否则每次支付违约金50000元。</w:t>
      </w:r>
    </w:p>
    <w:p w14:paraId="381E80D1">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第二十八条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因饭菜质量、价格和卫生等问题造成学生集体上</w:t>
      </w:r>
      <w:r>
        <w:rPr>
          <w:rFonts w:hint="eastAsia" w:ascii="华文仿宋" w:hAnsi="华文仿宋" w:eastAsia="华文仿宋" w:cs="华文仿宋"/>
          <w:bCs/>
          <w:color w:val="auto"/>
          <w:sz w:val="28"/>
          <w:szCs w:val="28"/>
          <w:highlight w:val="none"/>
        </w:rPr>
        <w:t>访或10人及其以上</w:t>
      </w:r>
      <w:r>
        <w:rPr>
          <w:rFonts w:hint="eastAsia" w:ascii="华文仿宋" w:hAnsi="华文仿宋" w:eastAsia="华文仿宋" w:cs="华文仿宋"/>
          <w:color w:val="auto"/>
          <w:sz w:val="28"/>
          <w:szCs w:val="28"/>
          <w:highlight w:val="none"/>
        </w:rPr>
        <w:t>集体签名反映问题的，经检查、检测情况属实，则每次向</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支付违约金50000元，情节严重者</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有权不退还全部履约保证金直至解除委托经营合同。</w:t>
      </w:r>
    </w:p>
    <w:p w14:paraId="35FFBE69">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第二十九条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在合同期内如果没有向</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进行书面申请并获得书面同意，而擅自关闭食堂的全部或部分经营窗口的，按每档口每关闭一餐支付违约金20000元。情节严重者</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有权解除合同，并且不承担任何违约责任。</w:t>
      </w:r>
    </w:p>
    <w:p w14:paraId="1583C570">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采购、销售、库房中存放“三无”食品或商品、不合格品及过期食品或商品、销售腐烂、变质食品及水果，如经查实，每发现一次</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向</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支付违约金10000元。情节严重者，</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有权扣除</w:t>
      </w:r>
      <w:r>
        <w:rPr>
          <w:rFonts w:hint="eastAsia" w:ascii="华文仿宋" w:hAnsi="华文仿宋" w:eastAsia="华文仿宋" w:cs="华文仿宋"/>
          <w:color w:val="auto"/>
          <w:sz w:val="28"/>
          <w:szCs w:val="28"/>
          <w:highlight w:val="none"/>
          <w:lang w:val="en-US" w:eastAsia="zh-CN"/>
        </w:rPr>
        <w:t>乙方</w:t>
      </w:r>
      <w:r>
        <w:rPr>
          <w:rFonts w:hint="eastAsia" w:ascii="华文仿宋" w:hAnsi="华文仿宋" w:eastAsia="华文仿宋" w:cs="华文仿宋"/>
          <w:color w:val="auto"/>
          <w:sz w:val="28"/>
          <w:szCs w:val="28"/>
          <w:highlight w:val="none"/>
        </w:rPr>
        <w:t>全部履约保证金并终止合同。</w:t>
      </w:r>
    </w:p>
    <w:p w14:paraId="4F0232E3">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第三十一条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必须做好内部人员管理，包括安全和稳定的管理。若因</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资金链接断裂、内部员工工伤、工资报酬、供货商、合作商、贷款等纠纷情况出现上访或投诉事件，一经查实，</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每次向</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支付违约金</w:t>
      </w:r>
      <w:r>
        <w:rPr>
          <w:rFonts w:hint="eastAsia" w:ascii="华文仿宋" w:hAnsi="华文仿宋" w:eastAsia="华文仿宋" w:cs="华文仿宋"/>
          <w:color w:val="auto"/>
          <w:sz w:val="28"/>
          <w:szCs w:val="28"/>
          <w:highlight w:val="none"/>
          <w:u w:val="single"/>
        </w:rPr>
        <w:t>500000元，</w:t>
      </w:r>
      <w:r>
        <w:rPr>
          <w:rFonts w:hint="eastAsia" w:ascii="华文仿宋" w:hAnsi="华文仿宋" w:eastAsia="华文仿宋" w:cs="华文仿宋"/>
          <w:color w:val="auto"/>
          <w:sz w:val="28"/>
          <w:szCs w:val="28"/>
          <w:highlight w:val="none"/>
        </w:rPr>
        <w:t>造成重大不良影响的，</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有权单方面解除合同，并不退还全部履约保证金。</w:t>
      </w:r>
    </w:p>
    <w:p w14:paraId="5D77EB72">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第三十二条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在合同期内提出提前解除合同的，放弃经营资格的，必须在学期结束的前一个月告知</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，征得</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书面同意后方可解除本合同，所有装修及设备设施必须完好无损且无偿归</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处置，否则</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必须承担违约责任,</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不退还履约保证金。</w:t>
      </w:r>
    </w:p>
    <w:p w14:paraId="4B24BB1F">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第三十三条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在合同期内，存在违法行为或者较为严重的违规等行为，不再适宜继续经营的，</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有权单方提前解除本合同，不用承担任何责任。</w:t>
      </w:r>
    </w:p>
    <w:p w14:paraId="6F72F59C">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u w:val="single"/>
        </w:rPr>
      </w:pPr>
      <w:r>
        <w:rPr>
          <w:rFonts w:hint="eastAsia" w:ascii="华文仿宋" w:hAnsi="华文仿宋" w:eastAsia="华文仿宋" w:cs="华文仿宋"/>
          <w:color w:val="auto"/>
          <w:sz w:val="28"/>
          <w:szCs w:val="28"/>
          <w:highlight w:val="none"/>
          <w:lang w:val="en-US" w:eastAsia="zh-CN"/>
        </w:rPr>
        <w:t xml:space="preserve">第三十四条 </w:t>
      </w:r>
      <w:r>
        <w:rPr>
          <w:rFonts w:hint="eastAsia" w:ascii="华文仿宋" w:hAnsi="华文仿宋" w:eastAsia="华文仿宋" w:cs="华文仿宋"/>
          <w:color w:val="auto"/>
          <w:sz w:val="28"/>
          <w:szCs w:val="28"/>
          <w:highlight w:val="none"/>
          <w:u w:val="single"/>
          <w:lang w:eastAsia="zh-CN"/>
        </w:rPr>
        <w:t>乙方</w:t>
      </w:r>
      <w:r>
        <w:rPr>
          <w:rFonts w:hint="eastAsia" w:ascii="华文仿宋" w:hAnsi="华文仿宋" w:eastAsia="华文仿宋" w:cs="华文仿宋"/>
          <w:color w:val="auto"/>
          <w:sz w:val="28"/>
          <w:szCs w:val="28"/>
          <w:highlight w:val="none"/>
          <w:u w:val="single"/>
        </w:rPr>
        <w:t>在投标时所有的承诺必须按照</w:t>
      </w:r>
      <w:r>
        <w:rPr>
          <w:rFonts w:hint="eastAsia" w:ascii="华文仿宋" w:hAnsi="华文仿宋" w:eastAsia="华文仿宋" w:cs="华文仿宋"/>
          <w:color w:val="auto"/>
          <w:sz w:val="28"/>
          <w:szCs w:val="28"/>
          <w:highlight w:val="none"/>
          <w:u w:val="single"/>
          <w:lang w:eastAsia="zh-CN"/>
        </w:rPr>
        <w:t>甲方</w:t>
      </w:r>
      <w:r>
        <w:rPr>
          <w:rFonts w:hint="eastAsia" w:ascii="华文仿宋" w:hAnsi="华文仿宋" w:eastAsia="华文仿宋" w:cs="华文仿宋"/>
          <w:color w:val="auto"/>
          <w:sz w:val="28"/>
          <w:szCs w:val="28"/>
          <w:highlight w:val="none"/>
          <w:u w:val="single"/>
        </w:rPr>
        <w:t>的要求及时兑现，未能及时兑现的视为违约，</w:t>
      </w:r>
      <w:r>
        <w:rPr>
          <w:rFonts w:hint="eastAsia" w:ascii="华文仿宋" w:hAnsi="华文仿宋" w:eastAsia="华文仿宋" w:cs="华文仿宋"/>
          <w:color w:val="auto"/>
          <w:sz w:val="28"/>
          <w:szCs w:val="28"/>
          <w:highlight w:val="none"/>
          <w:u w:val="single"/>
          <w:lang w:eastAsia="zh-CN"/>
        </w:rPr>
        <w:t>甲方</w:t>
      </w:r>
      <w:r>
        <w:rPr>
          <w:rFonts w:hint="eastAsia" w:ascii="华文仿宋" w:hAnsi="华文仿宋" w:eastAsia="华文仿宋" w:cs="华文仿宋"/>
          <w:color w:val="auto"/>
          <w:sz w:val="28"/>
          <w:szCs w:val="28"/>
          <w:highlight w:val="none"/>
          <w:u w:val="single"/>
        </w:rPr>
        <w:t>将对</w:t>
      </w:r>
      <w:r>
        <w:rPr>
          <w:rFonts w:hint="eastAsia" w:ascii="华文仿宋" w:hAnsi="华文仿宋" w:eastAsia="华文仿宋" w:cs="华文仿宋"/>
          <w:color w:val="auto"/>
          <w:sz w:val="28"/>
          <w:szCs w:val="28"/>
          <w:highlight w:val="none"/>
          <w:u w:val="single"/>
          <w:lang w:eastAsia="zh-CN"/>
        </w:rPr>
        <w:t>乙方</w:t>
      </w:r>
      <w:r>
        <w:rPr>
          <w:rFonts w:hint="eastAsia" w:ascii="华文仿宋" w:hAnsi="华文仿宋" w:eastAsia="华文仿宋" w:cs="华文仿宋"/>
          <w:color w:val="auto"/>
          <w:sz w:val="28"/>
          <w:szCs w:val="28"/>
          <w:highlight w:val="none"/>
          <w:u w:val="single"/>
        </w:rPr>
        <w:t>扣罚违约金10万-50万元每项。情节严重者，</w:t>
      </w:r>
      <w:r>
        <w:rPr>
          <w:rFonts w:hint="eastAsia" w:ascii="华文仿宋" w:hAnsi="华文仿宋" w:eastAsia="华文仿宋" w:cs="华文仿宋"/>
          <w:color w:val="auto"/>
          <w:sz w:val="28"/>
          <w:szCs w:val="28"/>
          <w:highlight w:val="none"/>
          <w:u w:val="single"/>
          <w:lang w:eastAsia="zh-CN"/>
        </w:rPr>
        <w:t>甲方</w:t>
      </w:r>
      <w:r>
        <w:rPr>
          <w:rFonts w:hint="eastAsia" w:ascii="华文仿宋" w:hAnsi="华文仿宋" w:eastAsia="华文仿宋" w:cs="华文仿宋"/>
          <w:color w:val="auto"/>
          <w:sz w:val="28"/>
          <w:szCs w:val="28"/>
          <w:highlight w:val="none"/>
          <w:u w:val="single"/>
        </w:rPr>
        <w:t>有权扣除全部履约保证金并终止合同。</w:t>
      </w:r>
    </w:p>
    <w:p w14:paraId="4D0A7047">
      <w:pPr>
        <w:pageBreakBefore w:val="0"/>
        <w:widowControl w:val="0"/>
        <w:kinsoku/>
        <w:wordWrap/>
        <w:overflowPunct/>
        <w:topLinePunct w:val="0"/>
        <w:autoSpaceDE/>
        <w:autoSpaceDN/>
        <w:bidi w:val="0"/>
        <w:adjustRightInd/>
        <w:snapToGrid w:val="0"/>
        <w:spacing w:line="480" w:lineRule="exact"/>
        <w:jc w:val="center"/>
        <w:textAlignment w:val="auto"/>
        <w:rPr>
          <w:rFonts w:hint="default" w:ascii="华文仿宋" w:hAnsi="华文仿宋" w:eastAsia="华文仿宋" w:cs="华文仿宋"/>
          <w:b/>
          <w:bCs/>
          <w:color w:val="auto"/>
          <w:sz w:val="28"/>
          <w:szCs w:val="28"/>
          <w:highlight w:val="none"/>
          <w:lang w:val="en-US" w:eastAsia="zh-CN"/>
        </w:rPr>
      </w:pPr>
      <w:r>
        <w:rPr>
          <w:rFonts w:hint="eastAsia" w:ascii="华文仿宋" w:hAnsi="华文仿宋" w:eastAsia="华文仿宋" w:cs="华文仿宋"/>
          <w:b/>
          <w:bCs/>
          <w:color w:val="auto"/>
          <w:sz w:val="28"/>
          <w:szCs w:val="28"/>
          <w:highlight w:val="none"/>
          <w:lang w:val="en-US" w:eastAsia="zh-CN"/>
        </w:rPr>
        <w:t>第七部分</w:t>
      </w:r>
      <w:r>
        <w:rPr>
          <w:rFonts w:hint="eastAsia" w:ascii="华文仿宋" w:hAnsi="华文仿宋" w:eastAsia="华文仿宋" w:cs="华文仿宋"/>
          <w:b/>
          <w:bCs/>
          <w:color w:val="auto"/>
          <w:sz w:val="28"/>
          <w:szCs w:val="28"/>
          <w:highlight w:val="none"/>
        </w:rPr>
        <w:t xml:space="preserve"> </w:t>
      </w:r>
      <w:r>
        <w:rPr>
          <w:rFonts w:hint="eastAsia" w:ascii="华文仿宋" w:hAnsi="华文仿宋" w:eastAsia="华文仿宋" w:cs="华文仿宋"/>
          <w:b/>
          <w:bCs/>
          <w:color w:val="auto"/>
          <w:sz w:val="28"/>
          <w:szCs w:val="28"/>
          <w:highlight w:val="none"/>
          <w:lang w:val="en-US" w:eastAsia="zh-CN"/>
        </w:rPr>
        <w:t>合同终止</w:t>
      </w:r>
    </w:p>
    <w:p w14:paraId="494A44E9">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第三十五条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必须严格履约，非法律规定或者自然灾害等不可抗力因素不得无故停止经营或退场，否则</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有权不退还履约保证金。</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确实有特殊原因需要提前解约，必须在学期结束的前一个月告知</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，经</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批准后方可终止协议书。</w:t>
      </w:r>
    </w:p>
    <w:p w14:paraId="797D36FD">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第三十六条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退出时，须在3天内无条件完成撤场并完成所有移交工作，形成书面移交手续，由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投资的装修及设备设施不得拆除和损坏，无偿交由</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处置且</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不作任何补偿。否则，</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有权不退还全部履约保证金，并列入学校黑名单，并上报相关部分纳入失信名单，所有责任由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自负。</w:t>
      </w:r>
    </w:p>
    <w:p w14:paraId="1C8CE876">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第三十七条 </w:t>
      </w:r>
      <w:r>
        <w:rPr>
          <w:rFonts w:hint="eastAsia" w:ascii="华文仿宋" w:hAnsi="华文仿宋" w:eastAsia="华文仿宋" w:cs="华文仿宋"/>
          <w:color w:val="auto"/>
          <w:sz w:val="28"/>
          <w:szCs w:val="28"/>
          <w:highlight w:val="none"/>
        </w:rPr>
        <w:t>若</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借故拖延移交时间，</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有权不退还全部履约保证金；同时，超过协议期满3天后</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认为</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已经进行了撤场处理，并视</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经营场地里的所有物品为退还或转交给</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的设施设备，或属于</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废弃物，</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有权以任何方式处置所有物品，责任由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自负，相关清理、处理费用由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负责，并从其最后一个月营业款中扣除。</w:t>
      </w:r>
    </w:p>
    <w:p w14:paraId="586169D3">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第三十八条 </w:t>
      </w:r>
      <w:r>
        <w:rPr>
          <w:rFonts w:hint="eastAsia" w:ascii="华文仿宋" w:hAnsi="华文仿宋" w:eastAsia="华文仿宋" w:cs="华文仿宋"/>
          <w:color w:val="auto"/>
          <w:sz w:val="28"/>
          <w:szCs w:val="28"/>
          <w:highlight w:val="none"/>
        </w:rPr>
        <w:t>对于</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无偿使用的属于</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的资产设备，</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在撤场时未归还</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或非正常</w:t>
      </w:r>
      <w:r>
        <w:rPr>
          <w:rFonts w:hint="eastAsia" w:ascii="华文仿宋" w:hAnsi="华文仿宋" w:eastAsia="华文仿宋" w:cs="华文仿宋"/>
          <w:color w:val="auto"/>
          <w:kern w:val="0"/>
          <w:sz w:val="28"/>
          <w:szCs w:val="28"/>
          <w:highlight w:val="none"/>
        </w:rPr>
        <w:t>损失的</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有权从履约保证金或营业款中扣抵，具体设备设施清单详见双方确定后的移交清单。</w:t>
      </w:r>
    </w:p>
    <w:p w14:paraId="4E0907A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第三十九条 </w:t>
      </w:r>
      <w:r>
        <w:rPr>
          <w:rFonts w:hint="eastAsia" w:ascii="华文仿宋" w:hAnsi="华文仿宋" w:eastAsia="华文仿宋" w:cs="华文仿宋"/>
          <w:color w:val="auto"/>
          <w:sz w:val="28"/>
          <w:szCs w:val="28"/>
          <w:highlight w:val="none"/>
        </w:rPr>
        <w:t>协议期内如</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发生严重生产安全事故，或发生食品安全事故，或发生</w:t>
      </w:r>
      <w:r>
        <w:rPr>
          <w:rFonts w:hint="eastAsia" w:ascii="华文仿宋" w:hAnsi="华文仿宋" w:eastAsia="华文仿宋" w:cs="华文仿宋"/>
          <w:color w:val="auto"/>
          <w:kern w:val="0"/>
          <w:sz w:val="28"/>
          <w:szCs w:val="28"/>
          <w:highlight w:val="none"/>
        </w:rPr>
        <w:t>较大</w:t>
      </w:r>
      <w:r>
        <w:rPr>
          <w:rFonts w:hint="eastAsia" w:ascii="华文仿宋" w:hAnsi="华文仿宋" w:eastAsia="华文仿宋" w:cs="华文仿宋"/>
          <w:color w:val="auto"/>
          <w:sz w:val="28"/>
          <w:szCs w:val="28"/>
          <w:highlight w:val="none"/>
        </w:rPr>
        <w:t>消防安全事故，或和就餐者发生冲突造成严重后果，或楼层间经营关系紧张不能主动改善，或因伙食工作引起师生或</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内部员工（或供应商以及其他合作方）群体不满意事件等（包括“违约责任”规定的终止协议书条款），学校有权立即终止本协议，由此产生的一切经济和法律责任一律由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承担，且</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有权不退还履约保证金。</w:t>
      </w:r>
    </w:p>
    <w:p w14:paraId="10AED2E9">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第四十条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员工擅自通过线上、线下等方式发布与</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有关的负面信息给</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带来重大经济或名誉损失的，</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有权立即终止本协议，由此产生的一切经济和法律责任一律由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承担，且</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有权不退还履约保证金。</w:t>
      </w:r>
    </w:p>
    <w:p w14:paraId="5601281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第四十一条 </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在经营期内，如被</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、行政主管部门、行业主管部门提出安全整改要求拒不整改或多次整改不达标的，</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有权终止本协议，由此产生的一切经济和法律责任一律由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承担，且</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有权不退还履约保证金。</w:t>
      </w:r>
    </w:p>
    <w:p w14:paraId="7E793D3D">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第四十二条 </w:t>
      </w:r>
      <w:r>
        <w:rPr>
          <w:rFonts w:hint="eastAsia" w:ascii="华文仿宋" w:hAnsi="华文仿宋" w:eastAsia="华文仿宋" w:cs="华文仿宋"/>
          <w:color w:val="auto"/>
          <w:sz w:val="28"/>
          <w:szCs w:val="28"/>
          <w:highlight w:val="none"/>
          <w:lang w:eastAsia="zh-CN"/>
        </w:rPr>
        <w:t>甲方</w:t>
      </w:r>
      <w:r>
        <w:rPr>
          <w:rFonts w:hint="eastAsia" w:ascii="华文仿宋" w:hAnsi="华文仿宋" w:eastAsia="华文仿宋" w:cs="华文仿宋"/>
          <w:color w:val="auto"/>
          <w:sz w:val="28"/>
          <w:szCs w:val="28"/>
          <w:highlight w:val="none"/>
        </w:rPr>
        <w:t>因机构调整，学校规划布局改变带来的校区人数发生变化等问题，由此带来的经营风险由</w:t>
      </w:r>
      <w:r>
        <w:rPr>
          <w:rFonts w:hint="eastAsia" w:ascii="华文仿宋" w:hAnsi="华文仿宋" w:eastAsia="华文仿宋" w:cs="华文仿宋"/>
          <w:color w:val="auto"/>
          <w:sz w:val="28"/>
          <w:szCs w:val="28"/>
          <w:highlight w:val="none"/>
          <w:lang w:eastAsia="zh-CN"/>
        </w:rPr>
        <w:t>乙方</w:t>
      </w:r>
      <w:r>
        <w:rPr>
          <w:rFonts w:hint="eastAsia" w:ascii="华文仿宋" w:hAnsi="华文仿宋" w:eastAsia="华文仿宋" w:cs="华文仿宋"/>
          <w:color w:val="auto"/>
          <w:sz w:val="28"/>
          <w:szCs w:val="28"/>
          <w:highlight w:val="none"/>
        </w:rPr>
        <w:t>自行承担。</w:t>
      </w:r>
    </w:p>
    <w:p w14:paraId="593B5C34">
      <w:pPr>
        <w:pStyle w:val="22"/>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kern w:val="2"/>
          <w:sz w:val="28"/>
          <w:szCs w:val="28"/>
          <w:highlight w:val="none"/>
          <w:lang w:val="en-US" w:eastAsia="zh-CN" w:bidi="ar-SA"/>
        </w:rPr>
        <w:t>第四十三条 法</w:t>
      </w:r>
      <w:r>
        <w:rPr>
          <w:rFonts w:hint="eastAsia" w:ascii="华文仿宋" w:hAnsi="华文仿宋" w:eastAsia="华文仿宋" w:cs="华文仿宋"/>
          <w:color w:val="auto"/>
          <w:sz w:val="28"/>
          <w:szCs w:val="28"/>
          <w:highlight w:val="none"/>
        </w:rPr>
        <w:t>律、法规规定的其它解除合同的情形。</w:t>
      </w:r>
    </w:p>
    <w:p w14:paraId="528E5443">
      <w:pPr>
        <w:pageBreakBefore w:val="0"/>
        <w:widowControl w:val="0"/>
        <w:numPr>
          <w:ilvl w:val="0"/>
          <w:numId w:val="0"/>
        </w:numPr>
        <w:kinsoku/>
        <w:wordWrap/>
        <w:overflowPunct/>
        <w:topLinePunct w:val="0"/>
        <w:autoSpaceDE/>
        <w:autoSpaceDN/>
        <w:bidi w:val="0"/>
        <w:adjustRightInd/>
        <w:snapToGrid w:val="0"/>
        <w:spacing w:line="480" w:lineRule="exact"/>
        <w:ind w:leftChars="0"/>
        <w:jc w:val="both"/>
        <w:textAlignment w:val="auto"/>
        <w:rPr>
          <w:rFonts w:hint="eastAsia" w:ascii="华文仿宋" w:hAnsi="华文仿宋" w:eastAsia="华文仿宋" w:cs="华文仿宋"/>
          <w:b/>
          <w:bCs/>
          <w:color w:val="auto"/>
          <w:sz w:val="28"/>
          <w:szCs w:val="28"/>
          <w:highlight w:val="none"/>
        </w:rPr>
      </w:pPr>
    </w:p>
    <w:p w14:paraId="14F378AB">
      <w:pPr>
        <w:pageBreakBefore w:val="0"/>
        <w:widowControl w:val="0"/>
        <w:kinsoku/>
        <w:wordWrap/>
        <w:overflowPunct/>
        <w:topLinePunct w:val="0"/>
        <w:autoSpaceDE/>
        <w:autoSpaceDN/>
        <w:bidi w:val="0"/>
        <w:adjustRightInd/>
        <w:snapToGrid w:val="0"/>
        <w:spacing w:line="480" w:lineRule="exact"/>
        <w:ind w:firstLine="561" w:firstLineChars="200"/>
        <w:jc w:val="center"/>
        <w:textAlignment w:val="auto"/>
        <w:rPr>
          <w:rFonts w:hint="eastAsia" w:ascii="华文仿宋" w:hAnsi="华文仿宋" w:eastAsia="华文仿宋" w:cs="华文仿宋"/>
          <w:b/>
          <w:bCs/>
          <w:color w:val="auto"/>
          <w:sz w:val="28"/>
          <w:szCs w:val="28"/>
          <w:highlight w:val="none"/>
        </w:rPr>
      </w:pPr>
      <w:r>
        <w:rPr>
          <w:rFonts w:hint="eastAsia" w:ascii="华文仿宋" w:hAnsi="华文仿宋" w:eastAsia="华文仿宋" w:cs="华文仿宋"/>
          <w:b/>
          <w:bCs/>
          <w:color w:val="auto"/>
          <w:sz w:val="28"/>
          <w:szCs w:val="28"/>
          <w:highlight w:val="none"/>
        </w:rPr>
        <w:t>第</w:t>
      </w:r>
      <w:r>
        <w:rPr>
          <w:rFonts w:hint="eastAsia" w:ascii="华文仿宋" w:hAnsi="华文仿宋" w:eastAsia="华文仿宋" w:cs="华文仿宋"/>
          <w:b/>
          <w:bCs/>
          <w:color w:val="auto"/>
          <w:sz w:val="28"/>
          <w:szCs w:val="28"/>
          <w:highlight w:val="none"/>
          <w:lang w:val="en-US" w:eastAsia="zh-CN"/>
        </w:rPr>
        <w:t>八</w:t>
      </w:r>
      <w:r>
        <w:rPr>
          <w:rFonts w:hint="eastAsia" w:ascii="华文仿宋" w:hAnsi="华文仿宋" w:eastAsia="华文仿宋" w:cs="华文仿宋"/>
          <w:b/>
          <w:bCs/>
          <w:color w:val="auto"/>
          <w:sz w:val="28"/>
          <w:szCs w:val="28"/>
          <w:highlight w:val="none"/>
        </w:rPr>
        <w:t>部分  双方约定的其他事宜</w:t>
      </w:r>
    </w:p>
    <w:p w14:paraId="1822EAE1">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第四十四条 </w:t>
      </w:r>
      <w:r>
        <w:rPr>
          <w:rFonts w:hint="eastAsia" w:ascii="华文仿宋" w:hAnsi="华文仿宋" w:eastAsia="华文仿宋" w:cs="华文仿宋"/>
          <w:color w:val="auto"/>
          <w:sz w:val="28"/>
          <w:szCs w:val="28"/>
          <w:highlight w:val="none"/>
        </w:rPr>
        <w:t>当本合同在履行过程中发生争议时，由双方协商解决；也可由有关部门调解解决；协商或调解不成，任何一方均可向重庆市永川区人民法院起诉。</w:t>
      </w:r>
    </w:p>
    <w:p w14:paraId="46E2C0A8">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第四十五条 </w:t>
      </w:r>
      <w:r>
        <w:rPr>
          <w:rFonts w:hint="eastAsia" w:ascii="华文仿宋" w:hAnsi="华文仿宋" w:eastAsia="华文仿宋" w:cs="华文仿宋"/>
          <w:color w:val="auto"/>
          <w:sz w:val="28"/>
          <w:szCs w:val="28"/>
          <w:highlight w:val="none"/>
        </w:rPr>
        <w:t>甲方招标文件及其补遗资料和乙方投标文件及招标现场答疑等相关资料属于本合同组成部分，具有同等法律效力。</w:t>
      </w:r>
    </w:p>
    <w:p w14:paraId="06D0EAB0">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第四十六条 </w:t>
      </w:r>
      <w:r>
        <w:rPr>
          <w:rFonts w:hint="eastAsia" w:ascii="华文仿宋" w:hAnsi="华文仿宋" w:eastAsia="华文仿宋" w:cs="华文仿宋"/>
          <w:color w:val="auto"/>
          <w:sz w:val="28"/>
          <w:szCs w:val="28"/>
          <w:highlight w:val="none"/>
        </w:rPr>
        <w:t>本合同一式陆份，甲方执肆份、乙方执贰份，从甲乙双方签字（盖章）之日起生效。</w:t>
      </w:r>
    </w:p>
    <w:p w14:paraId="54255F42">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 xml:space="preserve">第四十七条 </w:t>
      </w:r>
      <w:r>
        <w:rPr>
          <w:rFonts w:hint="eastAsia" w:ascii="华文仿宋" w:hAnsi="华文仿宋" w:eastAsia="华文仿宋" w:cs="华文仿宋"/>
          <w:color w:val="auto"/>
          <w:sz w:val="28"/>
          <w:szCs w:val="28"/>
          <w:highlight w:val="none"/>
        </w:rPr>
        <w:t>本合同未尽事宜，由双方协商确定后形成会议纪要或补充协议。会议纪要或补充协议作为本合同的组成部分。</w:t>
      </w:r>
    </w:p>
    <w:p w14:paraId="2A581187">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p>
    <w:p w14:paraId="6B00B8B7">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附件：</w:t>
      </w:r>
    </w:p>
    <w:p w14:paraId="2372AB5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一、</w:t>
      </w:r>
      <w:r>
        <w:rPr>
          <w:rFonts w:hint="eastAsia" w:ascii="华文仿宋" w:hAnsi="华文仿宋" w:eastAsia="华文仿宋" w:cs="华文仿宋"/>
          <w:color w:val="auto"/>
          <w:sz w:val="28"/>
          <w:szCs w:val="28"/>
          <w:highlight w:val="none"/>
        </w:rPr>
        <w:t>《重庆文理学院学生食堂委托经营管理日常考核实施细则》</w:t>
      </w:r>
    </w:p>
    <w:p w14:paraId="050C27C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二、“</w:t>
      </w:r>
      <w:r>
        <w:rPr>
          <w:rFonts w:hint="eastAsia" w:ascii="华文仿宋" w:hAnsi="华文仿宋" w:eastAsia="华文仿宋" w:cs="华文仿宋"/>
          <w:color w:val="auto"/>
          <w:sz w:val="28"/>
          <w:szCs w:val="28"/>
          <w:highlight w:val="none"/>
        </w:rPr>
        <w:t>数智食堂”食堂数智化设备建设要求</w:t>
      </w:r>
    </w:p>
    <w:p w14:paraId="20DE6788">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三、</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color w:val="auto"/>
          <w:sz w:val="28"/>
          <w:szCs w:val="28"/>
          <w:highlight w:val="none"/>
          <w:lang w:val="en-US" w:eastAsia="zh-CN"/>
        </w:rPr>
        <w:t>甲方</w:t>
      </w:r>
      <w:r>
        <w:rPr>
          <w:rFonts w:hint="eastAsia" w:ascii="华文仿宋" w:hAnsi="华文仿宋" w:eastAsia="华文仿宋" w:cs="华文仿宋"/>
          <w:color w:val="auto"/>
          <w:sz w:val="28"/>
          <w:szCs w:val="28"/>
          <w:highlight w:val="none"/>
        </w:rPr>
        <w:t>食堂原有设备设施一览表》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5"/>
        <w:gridCol w:w="4680"/>
      </w:tblGrid>
      <w:tr w14:paraId="427E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695" w:type="dxa"/>
            <w:noWrap w:val="0"/>
            <w:vAlign w:val="center"/>
          </w:tcPr>
          <w:p w14:paraId="1265CD57">
            <w:pPr>
              <w:snapToGrid w:val="0"/>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甲</w:t>
            </w:r>
            <w:r>
              <w:rPr>
                <w:rFonts w:ascii="宋体" w:hAnsi="宋体"/>
                <w:b/>
                <w:bCs/>
                <w:color w:val="auto"/>
                <w:sz w:val="24"/>
                <w:szCs w:val="24"/>
                <w:highlight w:val="none"/>
              </w:rPr>
              <w:t xml:space="preserve">       </w:t>
            </w:r>
            <w:r>
              <w:rPr>
                <w:rFonts w:hint="eastAsia" w:ascii="宋体" w:hAnsi="宋体"/>
                <w:b/>
                <w:bCs/>
                <w:color w:val="auto"/>
                <w:sz w:val="24"/>
                <w:szCs w:val="24"/>
                <w:highlight w:val="none"/>
              </w:rPr>
              <w:t>方</w:t>
            </w:r>
          </w:p>
        </w:tc>
        <w:tc>
          <w:tcPr>
            <w:tcW w:w="4680" w:type="dxa"/>
            <w:noWrap w:val="0"/>
            <w:vAlign w:val="center"/>
          </w:tcPr>
          <w:p w14:paraId="6769CFF8">
            <w:pPr>
              <w:snapToGrid w:val="0"/>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乙</w:t>
            </w:r>
            <w:r>
              <w:rPr>
                <w:rFonts w:ascii="宋体" w:hAnsi="宋体"/>
                <w:b/>
                <w:bCs/>
                <w:color w:val="auto"/>
                <w:sz w:val="24"/>
                <w:szCs w:val="24"/>
                <w:highlight w:val="none"/>
              </w:rPr>
              <w:t xml:space="preserve">      </w:t>
            </w:r>
            <w:r>
              <w:rPr>
                <w:rFonts w:hint="eastAsia" w:ascii="宋体" w:hAnsi="宋体"/>
                <w:b/>
                <w:bCs/>
                <w:color w:val="auto"/>
                <w:sz w:val="24"/>
                <w:szCs w:val="24"/>
                <w:highlight w:val="none"/>
              </w:rPr>
              <w:t>方</w:t>
            </w:r>
          </w:p>
        </w:tc>
      </w:tr>
      <w:tr w14:paraId="2898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4695" w:type="dxa"/>
            <w:noWrap w:val="0"/>
            <w:vAlign w:val="center"/>
          </w:tcPr>
          <w:p w14:paraId="3CA64591">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单位名称（章）：重庆文理学院</w:t>
            </w:r>
            <w:r>
              <w:rPr>
                <w:rFonts w:ascii="宋体" w:hAnsi="宋体"/>
                <w:color w:val="auto"/>
                <w:sz w:val="21"/>
                <w:szCs w:val="21"/>
                <w:highlight w:val="none"/>
              </w:rPr>
              <w:t xml:space="preserve"> </w:t>
            </w:r>
          </w:p>
          <w:p w14:paraId="5265583A">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单位地址：重庆市永川区红河大道319号</w:t>
            </w:r>
          </w:p>
          <w:p w14:paraId="53E6009D">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法定代表人：黄伟九</w:t>
            </w:r>
          </w:p>
          <w:p w14:paraId="7EAA594F">
            <w:pPr>
              <w:snapToGrid w:val="0"/>
              <w:spacing w:line="40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经办人：</w:t>
            </w:r>
          </w:p>
          <w:p w14:paraId="5EEC77A2">
            <w:pPr>
              <w:snapToGrid w:val="0"/>
              <w:spacing w:line="400" w:lineRule="exact"/>
              <w:ind w:left="420" w:leftChars="150"/>
              <w:rPr>
                <w:rFonts w:hint="eastAsia" w:ascii="宋体" w:hAnsi="宋体"/>
                <w:color w:val="auto"/>
                <w:sz w:val="21"/>
                <w:szCs w:val="21"/>
                <w:highlight w:val="none"/>
              </w:rPr>
            </w:pPr>
            <w:r>
              <w:rPr>
                <w:rFonts w:hint="eastAsia" w:ascii="宋体" w:hAnsi="宋体"/>
                <w:color w:val="auto"/>
                <w:sz w:val="21"/>
                <w:szCs w:val="21"/>
                <w:highlight w:val="none"/>
              </w:rPr>
              <w:t>联系电话：0234989</w:t>
            </w:r>
            <w:r>
              <w:rPr>
                <w:rFonts w:hint="eastAsia" w:ascii="宋体" w:hAnsi="宋体"/>
                <w:color w:val="auto"/>
                <w:sz w:val="21"/>
                <w:szCs w:val="21"/>
                <w:highlight w:val="none"/>
                <w:lang w:val="en-US" w:eastAsia="zh-CN"/>
              </w:rPr>
              <w:t>1808</w:t>
            </w:r>
            <w:r>
              <w:rPr>
                <w:rFonts w:hint="eastAsia" w:ascii="宋体" w:hAnsi="宋体"/>
                <w:color w:val="auto"/>
                <w:sz w:val="21"/>
                <w:szCs w:val="21"/>
                <w:highlight w:val="none"/>
              </w:rPr>
              <w:t xml:space="preserve">                 </w:t>
            </w:r>
          </w:p>
          <w:p w14:paraId="1E4FEAE4">
            <w:pPr>
              <w:snapToGrid w:val="0"/>
              <w:spacing w:line="400" w:lineRule="exact"/>
              <w:ind w:left="420" w:leftChars="150"/>
              <w:rPr>
                <w:rFonts w:ascii="宋体" w:hAnsi="宋体"/>
                <w:color w:val="auto"/>
                <w:sz w:val="21"/>
                <w:szCs w:val="21"/>
                <w:highlight w:val="none"/>
              </w:rPr>
            </w:pPr>
            <w:r>
              <w:rPr>
                <w:rFonts w:hint="eastAsia" w:ascii="宋体" w:hAnsi="宋体"/>
                <w:color w:val="auto"/>
                <w:sz w:val="21"/>
                <w:szCs w:val="21"/>
                <w:highlight w:val="none"/>
              </w:rPr>
              <w:t>开户银行：：工商银行重庆永川支行</w:t>
            </w:r>
          </w:p>
          <w:p w14:paraId="685A59AB">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银行帐号</w:t>
            </w:r>
            <w:r>
              <w:rPr>
                <w:rFonts w:ascii="宋体" w:hAnsi="宋体"/>
                <w:color w:val="auto"/>
                <w:sz w:val="21"/>
                <w:szCs w:val="21"/>
                <w:highlight w:val="none"/>
              </w:rPr>
              <w:t>: 3100090009024912448</w:t>
            </w:r>
          </w:p>
        </w:tc>
        <w:tc>
          <w:tcPr>
            <w:tcW w:w="4680" w:type="dxa"/>
            <w:noWrap w:val="0"/>
            <w:vAlign w:val="center"/>
          </w:tcPr>
          <w:p w14:paraId="4E0C6B54">
            <w:pPr>
              <w:snapToGrid w:val="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单位名称（章）：</w:t>
            </w:r>
          </w:p>
          <w:p w14:paraId="36EC462A">
            <w:pPr>
              <w:snapToGrid w:val="0"/>
              <w:spacing w:line="400" w:lineRule="exact"/>
              <w:ind w:firstLine="420" w:firstLineChars="200"/>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单位地址：</w:t>
            </w:r>
          </w:p>
          <w:p w14:paraId="2C0254EB">
            <w:pPr>
              <w:snapToGrid w:val="0"/>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法定代表人：</w:t>
            </w:r>
          </w:p>
          <w:p w14:paraId="7E5FEFA7">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经办人：</w:t>
            </w:r>
          </w:p>
          <w:p w14:paraId="3238FD8D">
            <w:pPr>
              <w:snapToGrid w:val="0"/>
              <w:spacing w:line="40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联系电话：</w:t>
            </w:r>
          </w:p>
          <w:p w14:paraId="7414FB57">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开户银行：</w:t>
            </w:r>
          </w:p>
          <w:p w14:paraId="731D1590">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银行帐号</w:t>
            </w:r>
            <w:r>
              <w:rPr>
                <w:rFonts w:ascii="宋体" w:hAnsi="宋体"/>
                <w:color w:val="auto"/>
                <w:sz w:val="21"/>
                <w:szCs w:val="21"/>
                <w:highlight w:val="none"/>
              </w:rPr>
              <w:t xml:space="preserve">: </w:t>
            </w:r>
          </w:p>
        </w:tc>
      </w:tr>
    </w:tbl>
    <w:p w14:paraId="0A3B7839">
      <w:pPr>
        <w:snapToGrid w:val="0"/>
        <w:spacing w:line="400" w:lineRule="exact"/>
        <w:ind w:firstLine="480" w:firstLineChars="200"/>
        <w:rPr>
          <w:rFonts w:ascii="宋体" w:hAnsi="宋体"/>
          <w:color w:val="auto"/>
          <w:sz w:val="24"/>
          <w:szCs w:val="24"/>
          <w:highlight w:val="none"/>
        </w:rPr>
      </w:pPr>
    </w:p>
    <w:p w14:paraId="3657ED7B">
      <w:pPr>
        <w:snapToGrid w:val="0"/>
        <w:spacing w:line="400" w:lineRule="exact"/>
        <w:rPr>
          <w:rFonts w:hint="eastAsia" w:ascii="宋体" w:hAnsi="宋体"/>
          <w:b/>
          <w:color w:val="auto"/>
          <w:sz w:val="24"/>
          <w:szCs w:val="24"/>
          <w:highlight w:val="none"/>
        </w:rPr>
      </w:pPr>
    </w:p>
    <w:p w14:paraId="40E6E825">
      <w:pPr>
        <w:snapToGrid w:val="0"/>
        <w:spacing w:line="400" w:lineRule="exact"/>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附件一：</w:t>
      </w:r>
    </w:p>
    <w:p w14:paraId="277B261E">
      <w:pPr>
        <w:jc w:val="center"/>
        <w:rPr>
          <w:color w:val="auto"/>
          <w:highlight w:val="none"/>
        </w:rPr>
      </w:pPr>
      <w:r>
        <w:rPr>
          <w:rFonts w:hint="eastAsia"/>
          <w:color w:val="auto"/>
          <w:highlight w:val="none"/>
        </w:rPr>
        <w:t>重庆文理学院学生食堂委托经营管理日常考核实施细则</w:t>
      </w:r>
    </w:p>
    <w:tbl>
      <w:tblPr>
        <w:tblStyle w:val="59"/>
        <w:tblW w:w="9923" w:type="dxa"/>
        <w:jc w:val="center"/>
        <w:tblLayout w:type="fixed"/>
        <w:tblCellMar>
          <w:top w:w="0" w:type="dxa"/>
          <w:left w:w="108" w:type="dxa"/>
          <w:bottom w:w="0" w:type="dxa"/>
          <w:right w:w="108" w:type="dxa"/>
        </w:tblCellMar>
      </w:tblPr>
      <w:tblGrid>
        <w:gridCol w:w="499"/>
        <w:gridCol w:w="636"/>
        <w:gridCol w:w="477"/>
        <w:gridCol w:w="3350"/>
        <w:gridCol w:w="709"/>
        <w:gridCol w:w="2693"/>
        <w:gridCol w:w="1559"/>
      </w:tblGrid>
      <w:tr w14:paraId="5B3BEDF0">
        <w:tblPrEx>
          <w:tblCellMar>
            <w:top w:w="0" w:type="dxa"/>
            <w:left w:w="108" w:type="dxa"/>
            <w:bottom w:w="0" w:type="dxa"/>
            <w:right w:w="108" w:type="dxa"/>
          </w:tblCellMar>
        </w:tblPrEx>
        <w:trPr>
          <w:trHeight w:val="480"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25033F09">
            <w:pP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F7F1121">
            <w:pPr>
              <w:rPr>
                <w:rFonts w:ascii="宋体" w:hAnsi="宋体" w:cs="宋体"/>
                <w:color w:val="auto"/>
                <w:sz w:val="18"/>
                <w:szCs w:val="18"/>
                <w:highlight w:val="none"/>
              </w:rPr>
            </w:pPr>
            <w:r>
              <w:rPr>
                <w:rFonts w:hint="eastAsia" w:ascii="宋体" w:hAnsi="宋体" w:cs="宋体"/>
                <w:color w:val="auto"/>
                <w:sz w:val="18"/>
                <w:szCs w:val="18"/>
                <w:highlight w:val="none"/>
              </w:rPr>
              <w:t>考核项目</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3835CDD">
            <w:pPr>
              <w:rPr>
                <w:rFonts w:ascii="宋体" w:hAnsi="宋体" w:cs="宋体"/>
                <w:color w:val="auto"/>
                <w:sz w:val="18"/>
                <w:szCs w:val="18"/>
                <w:highlight w:val="none"/>
              </w:rPr>
            </w:pPr>
            <w:r>
              <w:rPr>
                <w:rFonts w:hint="eastAsia" w:ascii="宋体" w:hAnsi="宋体" w:cs="宋体"/>
                <w:color w:val="auto"/>
                <w:sz w:val="18"/>
                <w:szCs w:val="18"/>
                <w:highlight w:val="none"/>
              </w:rPr>
              <w:t>规范要求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AF1FCD">
            <w:pPr>
              <w:rPr>
                <w:rFonts w:ascii="宋体" w:hAnsi="宋体" w:cs="宋体"/>
                <w:color w:val="auto"/>
                <w:sz w:val="18"/>
                <w:szCs w:val="18"/>
                <w:highlight w:val="none"/>
              </w:rPr>
            </w:pPr>
            <w:r>
              <w:rPr>
                <w:rFonts w:hint="eastAsia" w:ascii="宋体" w:hAnsi="宋体" w:cs="宋体"/>
                <w:color w:val="auto"/>
                <w:sz w:val="18"/>
                <w:szCs w:val="18"/>
                <w:highlight w:val="none"/>
              </w:rPr>
              <w:t>考核方式</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3905E6B">
            <w:pPr>
              <w:rPr>
                <w:rFonts w:ascii="宋体" w:hAnsi="宋体" w:cs="宋体"/>
                <w:color w:val="auto"/>
                <w:sz w:val="18"/>
                <w:szCs w:val="18"/>
                <w:highlight w:val="none"/>
              </w:rPr>
            </w:pPr>
            <w:r>
              <w:rPr>
                <w:rFonts w:hint="eastAsia" w:ascii="宋体" w:hAnsi="宋体" w:cs="宋体"/>
                <w:color w:val="auto"/>
                <w:sz w:val="18"/>
                <w:szCs w:val="18"/>
                <w:highlight w:val="none"/>
              </w:rPr>
              <w:t>支付违约金标准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F4E9CEF">
            <w:pPr>
              <w:rPr>
                <w:rFonts w:ascii="宋体" w:hAnsi="宋体" w:cs="宋体"/>
                <w:color w:val="auto"/>
                <w:sz w:val="18"/>
                <w:szCs w:val="18"/>
                <w:highlight w:val="none"/>
              </w:rPr>
            </w:pPr>
            <w:r>
              <w:rPr>
                <w:rFonts w:hint="eastAsia" w:ascii="宋体" w:hAnsi="宋体" w:cs="宋体"/>
                <w:color w:val="auto"/>
                <w:sz w:val="18"/>
                <w:szCs w:val="18"/>
                <w:highlight w:val="none"/>
              </w:rPr>
              <w:t>扣分标准</w:t>
            </w:r>
          </w:p>
        </w:tc>
      </w:tr>
      <w:tr w14:paraId="0E36731D">
        <w:tblPrEx>
          <w:tblCellMar>
            <w:top w:w="0" w:type="dxa"/>
            <w:left w:w="108" w:type="dxa"/>
            <w:bottom w:w="0" w:type="dxa"/>
            <w:right w:w="108" w:type="dxa"/>
          </w:tblCellMar>
        </w:tblPrEx>
        <w:trPr>
          <w:trHeight w:val="480"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260A96DD">
            <w:pPr>
              <w:rPr>
                <w:rFonts w:ascii="宋体" w:hAnsi="宋体" w:cs="宋体"/>
                <w:color w:val="auto"/>
                <w:sz w:val="18"/>
                <w:szCs w:val="18"/>
                <w:highlight w:val="none"/>
              </w:rPr>
            </w:pPr>
            <w:r>
              <w:rPr>
                <w:rFonts w:hint="eastAsia" w:ascii="宋体" w:hAnsi="宋体" w:cs="宋体"/>
                <w:color w:val="auto"/>
                <w:sz w:val="18"/>
                <w:szCs w:val="18"/>
                <w:highlight w:val="none"/>
              </w:rPr>
              <w:t>一</w:t>
            </w:r>
          </w:p>
        </w:tc>
        <w:tc>
          <w:tcPr>
            <w:tcW w:w="63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D69CBA3">
            <w:pPr>
              <w:jc w:val="center"/>
              <w:rPr>
                <w:rFonts w:ascii="宋体" w:hAnsi="宋体" w:cs="宋体"/>
                <w:color w:val="auto"/>
                <w:sz w:val="18"/>
                <w:szCs w:val="18"/>
                <w:highlight w:val="none"/>
              </w:rPr>
            </w:pPr>
            <w:r>
              <w:rPr>
                <w:rFonts w:hint="eastAsia" w:ascii="宋体" w:hAnsi="宋体" w:cs="宋体"/>
                <w:color w:val="auto"/>
                <w:sz w:val="18"/>
                <w:szCs w:val="18"/>
                <w:highlight w:val="none"/>
              </w:rPr>
              <w:t>安全管理</w:t>
            </w: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35CBCC9">
            <w:pPr>
              <w:jc w:val="center"/>
              <w:rPr>
                <w:rFonts w:ascii="宋体" w:hAnsi="宋体" w:cs="宋体"/>
                <w:color w:val="auto"/>
                <w:sz w:val="18"/>
                <w:szCs w:val="18"/>
                <w:highlight w:val="none"/>
              </w:rPr>
            </w:pPr>
            <w:r>
              <w:rPr>
                <w:rFonts w:hint="eastAsia" w:ascii="宋体" w:hAnsi="宋体" w:cs="宋体"/>
                <w:color w:val="auto"/>
                <w:sz w:val="18"/>
                <w:szCs w:val="18"/>
                <w:highlight w:val="none"/>
              </w:rPr>
              <w:t>食品卫生安全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2C45372">
            <w:pPr>
              <w:rPr>
                <w:rFonts w:ascii="宋体" w:hAnsi="宋体" w:cs="宋体"/>
                <w:color w:val="auto"/>
                <w:sz w:val="18"/>
                <w:szCs w:val="18"/>
                <w:highlight w:val="none"/>
              </w:rPr>
            </w:pPr>
            <w:r>
              <w:rPr>
                <w:rFonts w:ascii="宋体" w:hAnsi="宋体" w:cs="宋体"/>
                <w:color w:val="auto"/>
                <w:sz w:val="18"/>
                <w:szCs w:val="18"/>
                <w:highlight w:val="none"/>
              </w:rPr>
              <w:t>1.应建有针对性的各岗位职责及工作流程制度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3F6804">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F57F794">
            <w:pPr>
              <w:rPr>
                <w:rFonts w:ascii="宋体" w:hAnsi="宋体" w:cs="宋体"/>
                <w:color w:val="auto"/>
                <w:sz w:val="18"/>
                <w:szCs w:val="18"/>
                <w:highlight w:val="none"/>
              </w:rPr>
            </w:pPr>
            <w:r>
              <w:rPr>
                <w:rFonts w:hint="eastAsia" w:ascii="宋体" w:hAnsi="宋体" w:cs="宋体"/>
                <w:color w:val="auto"/>
                <w:sz w:val="18"/>
                <w:szCs w:val="18"/>
                <w:highlight w:val="none"/>
              </w:rPr>
              <w:t>缺一项制度每次支付违约金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7A73D2">
            <w:pPr>
              <w:rPr>
                <w:rFonts w:ascii="宋体" w:hAnsi="宋体" w:cs="宋体"/>
                <w:color w:val="auto"/>
                <w:sz w:val="18"/>
                <w:szCs w:val="18"/>
                <w:highlight w:val="none"/>
              </w:rPr>
            </w:pPr>
            <w:r>
              <w:rPr>
                <w:rFonts w:hint="eastAsia" w:ascii="宋体" w:hAnsi="宋体" w:cs="宋体"/>
                <w:color w:val="auto"/>
                <w:sz w:val="18"/>
                <w:szCs w:val="18"/>
                <w:highlight w:val="none"/>
              </w:rPr>
              <w:t>缺一项每次扣</w:t>
            </w:r>
            <w:r>
              <w:rPr>
                <w:rFonts w:ascii="宋体" w:hAnsi="宋体" w:cs="宋体"/>
                <w:color w:val="auto"/>
                <w:sz w:val="18"/>
                <w:szCs w:val="18"/>
                <w:highlight w:val="none"/>
              </w:rPr>
              <w:t>1分</w:t>
            </w:r>
          </w:p>
        </w:tc>
      </w:tr>
      <w:tr w14:paraId="400314D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54E7759">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5F7C732">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ACE5742">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C1D58F0">
            <w:pPr>
              <w:rPr>
                <w:rFonts w:ascii="宋体" w:hAnsi="宋体" w:cs="宋体"/>
                <w:color w:val="auto"/>
                <w:sz w:val="18"/>
                <w:szCs w:val="18"/>
                <w:highlight w:val="none"/>
              </w:rPr>
            </w:pPr>
            <w:r>
              <w:rPr>
                <w:rFonts w:ascii="宋体" w:hAnsi="宋体" w:cs="宋体"/>
                <w:color w:val="auto"/>
                <w:sz w:val="18"/>
                <w:szCs w:val="18"/>
                <w:highlight w:val="none"/>
              </w:rPr>
              <w:t>2.应建有卫生与安全责任制度和责任追究制度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A96ED2">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23CA841">
            <w:pPr>
              <w:rPr>
                <w:rFonts w:ascii="宋体" w:hAnsi="宋体" w:cs="宋体"/>
                <w:color w:val="auto"/>
                <w:sz w:val="18"/>
                <w:szCs w:val="18"/>
                <w:highlight w:val="none"/>
              </w:rPr>
            </w:pPr>
            <w:r>
              <w:rPr>
                <w:rFonts w:hint="eastAsia" w:ascii="宋体" w:hAnsi="宋体" w:cs="宋体"/>
                <w:color w:val="auto"/>
                <w:sz w:val="18"/>
                <w:szCs w:val="18"/>
                <w:highlight w:val="none"/>
              </w:rPr>
              <w:t>缺一项制度每次支付违约金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E62331F">
            <w:pPr>
              <w:rPr>
                <w:rFonts w:ascii="宋体" w:hAnsi="宋体" w:cs="宋体"/>
                <w:color w:val="auto"/>
                <w:sz w:val="18"/>
                <w:szCs w:val="18"/>
                <w:highlight w:val="none"/>
              </w:rPr>
            </w:pPr>
            <w:r>
              <w:rPr>
                <w:rFonts w:hint="eastAsia" w:ascii="宋体" w:hAnsi="宋体" w:cs="宋体"/>
                <w:color w:val="auto"/>
                <w:sz w:val="18"/>
                <w:szCs w:val="18"/>
                <w:highlight w:val="none"/>
              </w:rPr>
              <w:t>缺一项每次扣</w:t>
            </w:r>
            <w:r>
              <w:rPr>
                <w:rFonts w:ascii="宋体" w:hAnsi="宋体" w:cs="宋体"/>
                <w:color w:val="auto"/>
                <w:sz w:val="18"/>
                <w:szCs w:val="18"/>
                <w:highlight w:val="none"/>
              </w:rPr>
              <w:t>1分</w:t>
            </w:r>
          </w:p>
        </w:tc>
      </w:tr>
      <w:tr w14:paraId="3943FBC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E9D8AC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B3B07DB">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FA6BA40">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9CE223F">
            <w:pPr>
              <w:rPr>
                <w:rFonts w:ascii="宋体" w:hAnsi="宋体" w:cs="宋体"/>
                <w:color w:val="auto"/>
                <w:sz w:val="18"/>
                <w:szCs w:val="18"/>
                <w:highlight w:val="none"/>
              </w:rPr>
            </w:pPr>
            <w:r>
              <w:rPr>
                <w:rFonts w:ascii="宋体" w:hAnsi="宋体" w:cs="宋体"/>
                <w:color w:val="auto"/>
                <w:sz w:val="18"/>
                <w:szCs w:val="18"/>
                <w:highlight w:val="none"/>
              </w:rPr>
              <w:t>3.应持有效证件经营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C9ABF3">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DA2CC69">
            <w:pPr>
              <w:rPr>
                <w:rFonts w:ascii="宋体" w:hAnsi="宋体" w:cs="宋体"/>
                <w:color w:val="auto"/>
                <w:sz w:val="18"/>
                <w:szCs w:val="18"/>
                <w:highlight w:val="none"/>
              </w:rPr>
            </w:pPr>
            <w:r>
              <w:rPr>
                <w:rFonts w:hint="eastAsia" w:ascii="宋体" w:hAnsi="宋体" w:cs="宋体"/>
                <w:color w:val="auto"/>
                <w:sz w:val="18"/>
                <w:szCs w:val="18"/>
                <w:highlight w:val="none"/>
              </w:rPr>
              <w:t>无证经营或证件无效除由经营者支付相关主管部门的罚款外，学校将按</w:t>
            </w:r>
            <w:r>
              <w:rPr>
                <w:rFonts w:ascii="宋体" w:hAnsi="宋体" w:cs="宋体"/>
                <w:color w:val="auto"/>
                <w:sz w:val="18"/>
                <w:szCs w:val="18"/>
                <w:highlight w:val="none"/>
              </w:rPr>
              <w:t>5000—50000元进行处罚并有权解除经营管理合同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E674375">
            <w:pPr>
              <w:rPr>
                <w:rFonts w:ascii="宋体" w:hAnsi="宋体" w:cs="宋体"/>
                <w:color w:val="auto"/>
                <w:sz w:val="18"/>
                <w:szCs w:val="18"/>
                <w:highlight w:val="none"/>
              </w:rPr>
            </w:pPr>
            <w:r>
              <w:rPr>
                <w:rFonts w:hint="eastAsia" w:ascii="宋体" w:hAnsi="宋体" w:cs="宋体"/>
                <w:color w:val="auto"/>
                <w:sz w:val="18"/>
                <w:szCs w:val="18"/>
                <w:highlight w:val="none"/>
              </w:rPr>
              <w:t>无证经营或证件无效扣</w:t>
            </w:r>
            <w:r>
              <w:rPr>
                <w:rFonts w:ascii="宋体" w:hAnsi="宋体" w:cs="宋体"/>
                <w:color w:val="auto"/>
                <w:sz w:val="18"/>
                <w:szCs w:val="18"/>
                <w:highlight w:val="none"/>
              </w:rPr>
              <w:t>5分</w:t>
            </w:r>
          </w:p>
        </w:tc>
      </w:tr>
      <w:tr w14:paraId="4E81770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C2A4C89">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40D53CC">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2FCE2839">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4030924">
            <w:pPr>
              <w:rPr>
                <w:rFonts w:ascii="宋体" w:hAnsi="宋体" w:cs="宋体"/>
                <w:color w:val="auto"/>
                <w:sz w:val="18"/>
                <w:szCs w:val="18"/>
                <w:highlight w:val="none"/>
              </w:rPr>
            </w:pPr>
            <w:r>
              <w:rPr>
                <w:rFonts w:ascii="宋体" w:hAnsi="宋体" w:cs="宋体"/>
                <w:color w:val="auto"/>
                <w:sz w:val="18"/>
                <w:szCs w:val="18"/>
                <w:highlight w:val="none"/>
              </w:rPr>
              <w:t>4．建立并执行从业人员资格审查和健康管理制度。从业人员入职时应提供真实有效的无犯罪记录证明、心理健康测试报告和健康证。入职后，按要求开展资格审查和健康管理。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603DF9">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5BB583D3">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E842D91">
            <w:pPr>
              <w:rPr>
                <w:rFonts w:ascii="宋体" w:hAnsi="宋体" w:cs="宋体"/>
                <w:color w:val="auto"/>
                <w:sz w:val="18"/>
                <w:szCs w:val="18"/>
                <w:highlight w:val="none"/>
              </w:rPr>
            </w:pPr>
            <w:r>
              <w:rPr>
                <w:rFonts w:hint="eastAsia" w:ascii="宋体" w:hAnsi="宋体" w:cs="宋体"/>
                <w:color w:val="auto"/>
                <w:sz w:val="18"/>
                <w:szCs w:val="18"/>
                <w:highlight w:val="none"/>
              </w:rPr>
              <w:t>缺制度的支付违约金</w:t>
            </w:r>
            <w:r>
              <w:rPr>
                <w:rFonts w:ascii="宋体" w:hAnsi="宋体" w:cs="宋体"/>
                <w:color w:val="auto"/>
                <w:sz w:val="18"/>
                <w:szCs w:val="18"/>
                <w:highlight w:val="none"/>
              </w:rPr>
              <w:t>1000元/项/次，制度未落实到位支付违约金2000元/人次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46E468D">
            <w:pPr>
              <w:rPr>
                <w:rFonts w:ascii="宋体" w:hAnsi="宋体" w:cs="宋体"/>
                <w:color w:val="auto"/>
                <w:sz w:val="18"/>
                <w:szCs w:val="18"/>
                <w:highlight w:val="none"/>
              </w:rPr>
            </w:pPr>
            <w:r>
              <w:rPr>
                <w:rFonts w:hint="eastAsia" w:ascii="宋体" w:hAnsi="宋体" w:cs="宋体"/>
                <w:color w:val="auto"/>
                <w:sz w:val="18"/>
                <w:szCs w:val="18"/>
                <w:highlight w:val="none"/>
              </w:rPr>
              <w:t>未建有相应制度扣</w:t>
            </w:r>
            <w:r>
              <w:rPr>
                <w:rFonts w:ascii="宋体" w:hAnsi="宋体" w:cs="宋体"/>
                <w:color w:val="auto"/>
                <w:sz w:val="18"/>
                <w:szCs w:val="18"/>
                <w:highlight w:val="none"/>
              </w:rPr>
              <w:t>0.5分/次；制度未落实到位的扣1分/次</w:t>
            </w:r>
          </w:p>
        </w:tc>
      </w:tr>
      <w:tr w14:paraId="12149DC0">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8361B5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BE5BB0B">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7CBA9BF5">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9474EBE">
            <w:pPr>
              <w:rPr>
                <w:rFonts w:ascii="宋体" w:hAnsi="宋体" w:cs="宋体"/>
                <w:color w:val="auto"/>
                <w:sz w:val="18"/>
                <w:szCs w:val="18"/>
                <w:highlight w:val="none"/>
              </w:rPr>
            </w:pPr>
            <w:r>
              <w:rPr>
                <w:rFonts w:ascii="宋体" w:hAnsi="宋体" w:cs="宋体"/>
                <w:color w:val="auto"/>
                <w:sz w:val="18"/>
                <w:szCs w:val="18"/>
                <w:highlight w:val="none"/>
              </w:rPr>
              <w:t>5.应严格执行食品卫生法律、法规，无投毒或食物中毒事故或肠道传染病发生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A93782">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BB3DE8D">
            <w:pPr>
              <w:rPr>
                <w:rFonts w:ascii="宋体" w:hAnsi="宋体" w:cs="宋体"/>
                <w:color w:val="auto"/>
                <w:sz w:val="18"/>
                <w:szCs w:val="18"/>
                <w:highlight w:val="none"/>
              </w:rPr>
            </w:pPr>
            <w:r>
              <w:rPr>
                <w:rFonts w:hint="eastAsia" w:ascii="宋体" w:hAnsi="宋体" w:cs="宋体"/>
                <w:color w:val="auto"/>
                <w:sz w:val="18"/>
                <w:szCs w:val="18"/>
                <w:highlight w:val="none"/>
              </w:rPr>
              <w:t>发生投毒或食物中毒或肠道传染病事件，情节严重者，</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除不退还履约保证金外，还应承担</w:t>
            </w:r>
            <w:r>
              <w:rPr>
                <w:rFonts w:ascii="宋体" w:hAnsi="宋体" w:cs="宋体"/>
                <w:color w:val="auto"/>
                <w:sz w:val="18"/>
                <w:szCs w:val="18"/>
                <w:highlight w:val="none"/>
              </w:rPr>
              <w:t>50000元/次的合同违约金，由此造成的所有责任</w:t>
            </w:r>
            <w:r>
              <w:rPr>
                <w:rFonts w:hint="eastAsia" w:ascii="宋体" w:hAnsi="宋体" w:cs="宋体"/>
                <w:color w:val="auto"/>
                <w:sz w:val="18"/>
                <w:szCs w:val="18"/>
                <w:highlight w:val="none"/>
              </w:rPr>
              <w:t>由</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承担（包括对</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相关管理人员的经济处罚），且</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有权解除合同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8BB6091">
            <w:pPr>
              <w:rPr>
                <w:rFonts w:ascii="宋体" w:hAnsi="宋体" w:cs="宋体"/>
                <w:color w:val="auto"/>
                <w:sz w:val="18"/>
                <w:szCs w:val="18"/>
                <w:highlight w:val="none"/>
              </w:rPr>
            </w:pPr>
            <w:r>
              <w:rPr>
                <w:rFonts w:hint="eastAsia" w:ascii="宋体" w:hAnsi="宋体" w:cs="宋体"/>
                <w:color w:val="auto"/>
                <w:sz w:val="18"/>
                <w:szCs w:val="18"/>
                <w:highlight w:val="none"/>
              </w:rPr>
              <w:t>发生投毒或食物中毒或肠道传染病事件，涉事当学期考核直接为不合格</w:t>
            </w:r>
          </w:p>
        </w:tc>
      </w:tr>
      <w:tr w14:paraId="6EEFA360">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1F6C0C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FF9626B">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58EC7F93">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525C989">
            <w:pPr>
              <w:rPr>
                <w:rFonts w:ascii="宋体" w:hAnsi="宋体" w:cs="宋体"/>
                <w:color w:val="auto"/>
                <w:sz w:val="18"/>
                <w:szCs w:val="18"/>
                <w:highlight w:val="none"/>
              </w:rPr>
            </w:pPr>
            <w:r>
              <w:rPr>
                <w:rFonts w:ascii="宋体" w:hAnsi="宋体" w:cs="宋体"/>
                <w:color w:val="auto"/>
                <w:sz w:val="18"/>
                <w:szCs w:val="18"/>
                <w:highlight w:val="none"/>
              </w:rPr>
              <w:t>6.应坚持《食品及食品原辅材料进货检查验收制度》，建立出入库电子与纸质双台账，如实准确记录名称、规格、数量、生产日期或者生产批号、保质期、进货日期以及供货者名称、地址、联系方式等内容，并保留载有上述信息的相关凭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2EB7AC">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BA9D003">
            <w:pPr>
              <w:rPr>
                <w:rFonts w:ascii="宋体" w:hAnsi="宋体" w:cs="宋体"/>
                <w:color w:val="auto"/>
                <w:sz w:val="18"/>
                <w:szCs w:val="18"/>
                <w:highlight w:val="none"/>
              </w:rPr>
            </w:pPr>
            <w:r>
              <w:rPr>
                <w:rFonts w:hint="eastAsia" w:ascii="宋体" w:hAnsi="宋体" w:cs="宋体"/>
                <w:color w:val="auto"/>
                <w:sz w:val="18"/>
                <w:szCs w:val="18"/>
                <w:highlight w:val="none"/>
              </w:rPr>
              <w:t>进货未查验每次支付违约金</w:t>
            </w:r>
            <w:r>
              <w:rPr>
                <w:rFonts w:ascii="宋体" w:hAnsi="宋体" w:cs="宋体"/>
                <w:color w:val="auto"/>
                <w:sz w:val="18"/>
                <w:szCs w:val="18"/>
                <w:highlight w:val="none"/>
              </w:rPr>
              <w:t>1000元，无台账或台账不全每次支付违约金10000元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33C926">
            <w:pPr>
              <w:rPr>
                <w:rFonts w:ascii="宋体" w:hAnsi="宋体" w:cs="宋体"/>
                <w:color w:val="auto"/>
                <w:sz w:val="18"/>
                <w:szCs w:val="18"/>
                <w:highlight w:val="none"/>
              </w:rPr>
            </w:pPr>
            <w:r>
              <w:rPr>
                <w:rFonts w:hint="eastAsia" w:ascii="宋体" w:hAnsi="宋体" w:cs="宋体"/>
                <w:color w:val="auto"/>
                <w:sz w:val="18"/>
                <w:szCs w:val="18"/>
                <w:highlight w:val="none"/>
              </w:rPr>
              <w:t>未查验每次扣</w:t>
            </w:r>
            <w:r>
              <w:rPr>
                <w:rFonts w:ascii="宋体" w:hAnsi="宋体" w:cs="宋体"/>
                <w:color w:val="auto"/>
                <w:sz w:val="18"/>
                <w:szCs w:val="18"/>
                <w:highlight w:val="none"/>
              </w:rPr>
              <w:t>1分，无台账或台帐不全每次扣1分</w:t>
            </w:r>
          </w:p>
        </w:tc>
      </w:tr>
      <w:tr w14:paraId="13C27BF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1EFCF9E">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2877A6E">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0FD8C80">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27063E6">
            <w:pPr>
              <w:rPr>
                <w:rFonts w:ascii="宋体" w:hAnsi="宋体" w:cs="宋体"/>
                <w:color w:val="auto"/>
                <w:sz w:val="18"/>
                <w:szCs w:val="18"/>
                <w:highlight w:val="none"/>
              </w:rPr>
            </w:pPr>
            <w:r>
              <w:rPr>
                <w:rFonts w:ascii="宋体" w:hAnsi="宋体" w:cs="宋体"/>
                <w:color w:val="auto"/>
                <w:sz w:val="18"/>
                <w:szCs w:val="18"/>
                <w:highlight w:val="none"/>
              </w:rPr>
              <w:t>7.建立食品安全自查制度，定期对食品安全状况进行检查评价。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B8AE58">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290369EA">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220BE73">
            <w:pPr>
              <w:rPr>
                <w:rFonts w:ascii="宋体" w:hAnsi="宋体" w:cs="宋体"/>
                <w:color w:val="auto"/>
                <w:sz w:val="18"/>
                <w:szCs w:val="18"/>
                <w:highlight w:val="none"/>
              </w:rPr>
            </w:pPr>
            <w:r>
              <w:rPr>
                <w:rFonts w:hint="eastAsia" w:ascii="宋体" w:hAnsi="宋体" w:cs="宋体"/>
                <w:color w:val="auto"/>
                <w:sz w:val="18"/>
                <w:szCs w:val="18"/>
                <w:highlight w:val="none"/>
              </w:rPr>
              <w:t>缺制度的支付违约金</w:t>
            </w:r>
            <w:r>
              <w:rPr>
                <w:rFonts w:ascii="宋体" w:hAnsi="宋体" w:cs="宋体"/>
                <w:color w:val="auto"/>
                <w:sz w:val="18"/>
                <w:szCs w:val="18"/>
                <w:highlight w:val="none"/>
              </w:rPr>
              <w:t>1000元/次，制度未落实到位支付违约金2000元/次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67330CC">
            <w:pPr>
              <w:rPr>
                <w:rFonts w:ascii="宋体" w:hAnsi="宋体" w:cs="宋体"/>
                <w:color w:val="auto"/>
                <w:sz w:val="18"/>
                <w:szCs w:val="18"/>
                <w:highlight w:val="none"/>
              </w:rPr>
            </w:pPr>
            <w:r>
              <w:rPr>
                <w:rFonts w:hint="eastAsia" w:ascii="宋体" w:hAnsi="宋体" w:cs="宋体"/>
                <w:color w:val="auto"/>
                <w:sz w:val="18"/>
                <w:szCs w:val="18"/>
                <w:highlight w:val="none"/>
              </w:rPr>
              <w:t>未建有相应制度扣</w:t>
            </w:r>
            <w:r>
              <w:rPr>
                <w:rFonts w:ascii="宋体" w:hAnsi="宋体" w:cs="宋体"/>
                <w:color w:val="auto"/>
                <w:sz w:val="18"/>
                <w:szCs w:val="18"/>
                <w:highlight w:val="none"/>
              </w:rPr>
              <w:t>1分/次；制度未落实到位的扣1分/次</w:t>
            </w:r>
          </w:p>
        </w:tc>
      </w:tr>
      <w:tr w14:paraId="2D3949B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E756D2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BB839C5">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0A27FC7">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C9BC6AB">
            <w:pPr>
              <w:rPr>
                <w:rFonts w:ascii="宋体" w:hAnsi="宋体" w:cs="宋体"/>
                <w:color w:val="auto"/>
                <w:sz w:val="18"/>
                <w:szCs w:val="18"/>
                <w:highlight w:val="none"/>
              </w:rPr>
            </w:pPr>
            <w:r>
              <w:rPr>
                <w:rFonts w:ascii="宋体" w:hAnsi="宋体" w:cs="宋体"/>
                <w:color w:val="auto"/>
                <w:sz w:val="18"/>
                <w:szCs w:val="18"/>
                <w:highlight w:val="none"/>
              </w:rPr>
              <w:t>8.建立健全食品安全管理制度，依法从事生产经营活动。应配备食品安全总监和食品安全员，经考核不具备食品安全管理能力的，不得上岗。实施危害分析与关键控制点体系，提高食品安全管理水平。</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6C7B90">
            <w:pPr>
              <w:rPr>
                <w:rFonts w:ascii="宋体" w:hAnsi="宋体" w:cs="宋体"/>
                <w:color w:val="auto"/>
                <w:sz w:val="18"/>
                <w:szCs w:val="18"/>
                <w:highlight w:val="none"/>
              </w:rPr>
            </w:pPr>
            <w:r>
              <w:rPr>
                <w:rFonts w:ascii="宋体" w:hAnsi="宋体" w:cs="宋体"/>
                <w:color w:val="auto"/>
                <w:sz w:val="18"/>
                <w:szCs w:val="18"/>
                <w:highlight w:val="none"/>
              </w:rPr>
              <w:t>现场</w:t>
            </w:r>
          </w:p>
          <w:p w14:paraId="11BD4476">
            <w:pPr>
              <w:rPr>
                <w:rFonts w:ascii="宋体" w:hAnsi="宋体" w:cs="宋体"/>
                <w:color w:val="auto"/>
                <w:sz w:val="18"/>
                <w:szCs w:val="18"/>
                <w:highlight w:val="none"/>
              </w:rPr>
            </w:pPr>
            <w:r>
              <w:rPr>
                <w:rFonts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253890B">
            <w:pPr>
              <w:rPr>
                <w:rFonts w:ascii="宋体" w:hAnsi="宋体" w:cs="宋体"/>
                <w:color w:val="auto"/>
                <w:sz w:val="18"/>
                <w:szCs w:val="18"/>
                <w:highlight w:val="none"/>
              </w:rPr>
            </w:pPr>
            <w:r>
              <w:rPr>
                <w:rFonts w:ascii="宋体" w:hAnsi="宋体" w:cs="宋体"/>
                <w:color w:val="auto"/>
                <w:sz w:val="18"/>
                <w:szCs w:val="18"/>
                <w:highlight w:val="none"/>
              </w:rPr>
              <w:t>未建有相应制度</w:t>
            </w:r>
            <w:r>
              <w:rPr>
                <w:rFonts w:hint="eastAsia" w:ascii="宋体" w:hAnsi="宋体" w:cs="宋体"/>
                <w:color w:val="auto"/>
                <w:sz w:val="18"/>
                <w:szCs w:val="18"/>
                <w:highlight w:val="none"/>
              </w:rPr>
              <w:t>或制度建立不全</w:t>
            </w:r>
            <w:r>
              <w:rPr>
                <w:rFonts w:ascii="宋体" w:hAnsi="宋体" w:cs="宋体"/>
                <w:color w:val="auto"/>
                <w:sz w:val="18"/>
                <w:szCs w:val="18"/>
                <w:highlight w:val="none"/>
              </w:rPr>
              <w:t>的</w:t>
            </w:r>
            <w:r>
              <w:rPr>
                <w:rFonts w:hint="eastAsia" w:ascii="宋体" w:hAnsi="宋体" w:cs="宋体"/>
                <w:color w:val="auto"/>
                <w:sz w:val="18"/>
                <w:szCs w:val="18"/>
                <w:highlight w:val="none"/>
              </w:rPr>
              <w:t>支付违约金</w:t>
            </w:r>
            <w:r>
              <w:rPr>
                <w:rFonts w:ascii="宋体" w:hAnsi="宋体" w:cs="宋体"/>
                <w:color w:val="auto"/>
                <w:sz w:val="18"/>
                <w:szCs w:val="18"/>
                <w:highlight w:val="none"/>
              </w:rPr>
              <w:t>2000元/次，制度未落实到位</w:t>
            </w:r>
            <w:r>
              <w:rPr>
                <w:rFonts w:hint="eastAsia" w:ascii="宋体" w:hAnsi="宋体" w:cs="宋体"/>
                <w:color w:val="auto"/>
                <w:sz w:val="18"/>
                <w:szCs w:val="18"/>
                <w:highlight w:val="none"/>
              </w:rPr>
              <w:t>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BD1A7C">
            <w:pPr>
              <w:rPr>
                <w:rFonts w:ascii="宋体" w:hAnsi="宋体" w:cs="宋体"/>
                <w:color w:val="auto"/>
                <w:sz w:val="18"/>
                <w:szCs w:val="18"/>
                <w:highlight w:val="none"/>
              </w:rPr>
            </w:pPr>
            <w:r>
              <w:rPr>
                <w:rFonts w:ascii="宋体" w:hAnsi="宋体" w:cs="宋体"/>
                <w:color w:val="auto"/>
                <w:sz w:val="18"/>
                <w:szCs w:val="18"/>
                <w:highlight w:val="none"/>
              </w:rPr>
              <w:t>未建有相应制度</w:t>
            </w:r>
            <w:r>
              <w:rPr>
                <w:rFonts w:hint="eastAsia" w:ascii="宋体" w:hAnsi="宋体" w:cs="宋体"/>
                <w:color w:val="auto"/>
                <w:sz w:val="18"/>
                <w:szCs w:val="18"/>
                <w:highlight w:val="none"/>
              </w:rPr>
              <w:t>或制度建立不全</w:t>
            </w:r>
            <w:r>
              <w:rPr>
                <w:rFonts w:ascii="宋体" w:hAnsi="宋体" w:cs="宋体"/>
                <w:color w:val="auto"/>
                <w:sz w:val="18"/>
                <w:szCs w:val="18"/>
                <w:highlight w:val="none"/>
              </w:rPr>
              <w:t>扣2分/次；制度未落实到位的扣1分/次</w:t>
            </w:r>
          </w:p>
        </w:tc>
      </w:tr>
      <w:tr w14:paraId="172BC132">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C3916C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7A0895F">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216F3051">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5916CD1">
            <w:pPr>
              <w:rPr>
                <w:rFonts w:ascii="宋体" w:hAnsi="宋体" w:cs="宋体"/>
                <w:color w:val="auto"/>
                <w:sz w:val="18"/>
                <w:szCs w:val="18"/>
                <w:highlight w:val="none"/>
              </w:rPr>
            </w:pPr>
            <w:r>
              <w:rPr>
                <w:rFonts w:ascii="宋体" w:hAnsi="宋体" w:cs="宋体"/>
                <w:color w:val="auto"/>
                <w:sz w:val="18"/>
                <w:szCs w:val="18"/>
                <w:highlight w:val="none"/>
              </w:rPr>
              <w:t>9.项目管理班子成员配置齐全，并明确职责。</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B9A1FBE">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5109D08">
            <w:pPr>
              <w:rPr>
                <w:rFonts w:ascii="宋体" w:hAnsi="宋体" w:cs="宋体"/>
                <w:color w:val="auto"/>
                <w:sz w:val="18"/>
                <w:szCs w:val="18"/>
                <w:highlight w:val="none"/>
              </w:rPr>
            </w:pPr>
            <w:r>
              <w:rPr>
                <w:rFonts w:hint="eastAsia" w:ascii="宋体" w:hAnsi="宋体" w:cs="宋体"/>
                <w:color w:val="auto"/>
                <w:sz w:val="18"/>
                <w:szCs w:val="18"/>
                <w:highlight w:val="none"/>
              </w:rPr>
              <w:t>未配置齐全或擅自更换项目管理班子成员每次支付违约金</w:t>
            </w:r>
            <w:r>
              <w:rPr>
                <w:rFonts w:ascii="宋体" w:hAnsi="宋体" w:cs="宋体"/>
                <w:color w:val="auto"/>
                <w:sz w:val="18"/>
                <w:szCs w:val="18"/>
                <w:highlight w:val="none"/>
              </w:rPr>
              <w:t>50000元/人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62E969">
            <w:pPr>
              <w:rPr>
                <w:rFonts w:ascii="宋体" w:hAnsi="宋体" w:cs="宋体"/>
                <w:color w:val="auto"/>
                <w:sz w:val="18"/>
                <w:szCs w:val="18"/>
                <w:highlight w:val="none"/>
              </w:rPr>
            </w:pPr>
            <w:r>
              <w:rPr>
                <w:rFonts w:hint="eastAsia" w:ascii="宋体" w:hAnsi="宋体" w:cs="宋体"/>
                <w:color w:val="auto"/>
                <w:sz w:val="18"/>
                <w:szCs w:val="18"/>
                <w:highlight w:val="none"/>
              </w:rPr>
              <w:t>未配置齐全或擅自更换项目管理班子成员每次扣</w:t>
            </w:r>
            <w:r>
              <w:rPr>
                <w:rFonts w:ascii="宋体" w:hAnsi="宋体" w:cs="宋体"/>
                <w:color w:val="auto"/>
                <w:sz w:val="18"/>
                <w:szCs w:val="18"/>
                <w:highlight w:val="none"/>
              </w:rPr>
              <w:t>5分/人</w:t>
            </w:r>
          </w:p>
        </w:tc>
      </w:tr>
      <w:tr w14:paraId="6DB53D7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4F3D5E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59B041E">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noWrap w:val="0"/>
            <w:vAlign w:val="center"/>
          </w:tcPr>
          <w:p w14:paraId="0DADFD65">
            <w:pPr>
              <w:rPr>
                <w:rFonts w:ascii="宋体" w:hAnsi="宋体" w:cs="宋体"/>
                <w:color w:val="auto"/>
                <w:sz w:val="18"/>
                <w:szCs w:val="18"/>
                <w:highlight w:val="none"/>
              </w:rPr>
            </w:pPr>
            <w:r>
              <w:rPr>
                <w:rFonts w:hint="eastAsia" w:ascii="宋体" w:hAnsi="宋体" w:cs="宋体"/>
                <w:color w:val="auto"/>
                <w:sz w:val="18"/>
                <w:szCs w:val="18"/>
                <w:highlight w:val="none"/>
              </w:rPr>
              <w:t>消防安全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4265356">
            <w:pPr>
              <w:rPr>
                <w:rFonts w:ascii="宋体" w:hAnsi="宋体" w:cs="宋体"/>
                <w:color w:val="auto"/>
                <w:sz w:val="18"/>
                <w:szCs w:val="18"/>
                <w:highlight w:val="none"/>
              </w:rPr>
            </w:pPr>
            <w:r>
              <w:rPr>
                <w:rFonts w:ascii="宋体" w:hAnsi="宋体" w:cs="宋体"/>
                <w:color w:val="auto"/>
                <w:sz w:val="18"/>
                <w:szCs w:val="18"/>
                <w:highlight w:val="none"/>
              </w:rPr>
              <w:t>10.应保障食堂各项消防设施齐全、完好，每天进行检查并作好检查记录。</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487E531">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1393330">
            <w:pPr>
              <w:rPr>
                <w:rFonts w:ascii="宋体" w:hAnsi="宋体" w:cs="宋体"/>
                <w:color w:val="auto"/>
                <w:sz w:val="18"/>
                <w:szCs w:val="18"/>
                <w:highlight w:val="none"/>
              </w:rPr>
            </w:pPr>
            <w:r>
              <w:rPr>
                <w:rFonts w:hint="eastAsia" w:ascii="宋体" w:hAnsi="宋体" w:cs="宋体"/>
                <w:color w:val="auto"/>
                <w:sz w:val="18"/>
                <w:szCs w:val="18"/>
                <w:highlight w:val="none"/>
              </w:rPr>
              <w:t>设施损坏或无检查记录或记录不全支付违约金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27738B">
            <w:pPr>
              <w:rPr>
                <w:rFonts w:ascii="宋体" w:hAnsi="宋体" w:cs="宋体"/>
                <w:color w:val="auto"/>
                <w:sz w:val="18"/>
                <w:szCs w:val="18"/>
                <w:highlight w:val="none"/>
              </w:rPr>
            </w:pPr>
            <w:r>
              <w:rPr>
                <w:rFonts w:hint="eastAsia" w:ascii="宋体" w:hAnsi="宋体" w:cs="宋体"/>
                <w:color w:val="auto"/>
                <w:sz w:val="18"/>
                <w:szCs w:val="18"/>
                <w:highlight w:val="none"/>
              </w:rPr>
              <w:t>设施损坏或无检查记录或记录不全扣</w:t>
            </w:r>
            <w:r>
              <w:rPr>
                <w:rFonts w:ascii="宋体" w:hAnsi="宋体" w:cs="宋体"/>
                <w:color w:val="auto"/>
                <w:sz w:val="18"/>
                <w:szCs w:val="18"/>
                <w:highlight w:val="none"/>
              </w:rPr>
              <w:t>1分/次</w:t>
            </w:r>
          </w:p>
        </w:tc>
      </w:tr>
      <w:tr w14:paraId="61B2A5D2">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50498B39">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E7B4F17">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BA22C22">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24969E7">
            <w:pPr>
              <w:rPr>
                <w:rFonts w:ascii="宋体" w:hAnsi="宋体" w:cs="宋体"/>
                <w:color w:val="auto"/>
                <w:sz w:val="18"/>
                <w:szCs w:val="18"/>
                <w:highlight w:val="none"/>
              </w:rPr>
            </w:pPr>
            <w:r>
              <w:rPr>
                <w:rFonts w:ascii="宋体" w:hAnsi="宋体" w:cs="宋体"/>
                <w:color w:val="auto"/>
                <w:sz w:val="18"/>
                <w:szCs w:val="18"/>
                <w:highlight w:val="none"/>
              </w:rPr>
              <w:t>11.应规范、安全用电，严禁私拉电线</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A55C5E">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F87A042">
            <w:pPr>
              <w:rPr>
                <w:rFonts w:ascii="宋体" w:hAnsi="宋体" w:cs="宋体"/>
                <w:color w:val="auto"/>
                <w:sz w:val="18"/>
                <w:szCs w:val="18"/>
                <w:highlight w:val="none"/>
              </w:rPr>
            </w:pPr>
            <w:r>
              <w:rPr>
                <w:rFonts w:hint="eastAsia" w:ascii="宋体" w:hAnsi="宋体" w:cs="宋体"/>
                <w:color w:val="auto"/>
                <w:sz w:val="18"/>
                <w:szCs w:val="18"/>
                <w:highlight w:val="none"/>
              </w:rPr>
              <w:t>私拉电线每次支付违约金</w:t>
            </w:r>
            <w:r>
              <w:rPr>
                <w:rFonts w:ascii="宋体" w:hAnsi="宋体" w:cs="宋体"/>
                <w:color w:val="auto"/>
                <w:sz w:val="18"/>
                <w:szCs w:val="18"/>
                <w:highlight w:val="none"/>
              </w:rPr>
              <w:t>1000元/处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5FA7FFC">
            <w:pPr>
              <w:rPr>
                <w:rFonts w:ascii="宋体" w:hAnsi="宋体" w:cs="宋体"/>
                <w:color w:val="auto"/>
                <w:sz w:val="18"/>
                <w:szCs w:val="18"/>
                <w:highlight w:val="none"/>
              </w:rPr>
            </w:pPr>
            <w:r>
              <w:rPr>
                <w:rFonts w:hint="eastAsia" w:ascii="宋体" w:hAnsi="宋体" w:cs="宋体"/>
                <w:color w:val="auto"/>
                <w:sz w:val="18"/>
                <w:szCs w:val="18"/>
                <w:highlight w:val="none"/>
              </w:rPr>
              <w:t>私拉电线每次扣</w:t>
            </w:r>
            <w:r>
              <w:rPr>
                <w:rFonts w:ascii="宋体" w:hAnsi="宋体" w:cs="宋体"/>
                <w:color w:val="auto"/>
                <w:sz w:val="18"/>
                <w:szCs w:val="18"/>
                <w:highlight w:val="none"/>
              </w:rPr>
              <w:t>1分/处</w:t>
            </w:r>
          </w:p>
        </w:tc>
      </w:tr>
      <w:tr w14:paraId="0607FB4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56FF50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6964D4F9">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10BBB5E9">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1E41F35D">
            <w:pPr>
              <w:rPr>
                <w:rFonts w:ascii="宋体" w:hAnsi="宋体" w:cs="宋体"/>
                <w:color w:val="auto"/>
                <w:sz w:val="18"/>
                <w:szCs w:val="18"/>
                <w:highlight w:val="none"/>
              </w:rPr>
            </w:pPr>
            <w:r>
              <w:rPr>
                <w:rFonts w:ascii="宋体" w:hAnsi="宋体" w:cs="宋体"/>
                <w:color w:val="auto"/>
                <w:sz w:val="18"/>
                <w:szCs w:val="18"/>
                <w:highlight w:val="none"/>
              </w:rPr>
              <w:t>12.应培训员工掌握正确使用天然气的方法，注意防漏、防爆、防火，使用后关好气阀，确保安全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27DA9D">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805B696">
            <w:pPr>
              <w:rPr>
                <w:rFonts w:ascii="宋体" w:hAnsi="宋体" w:cs="宋体"/>
                <w:color w:val="auto"/>
                <w:sz w:val="18"/>
                <w:szCs w:val="18"/>
                <w:highlight w:val="none"/>
              </w:rPr>
            </w:pPr>
            <w:r>
              <w:rPr>
                <w:rFonts w:hint="eastAsia" w:ascii="宋体" w:hAnsi="宋体" w:cs="宋体"/>
                <w:color w:val="auto"/>
                <w:sz w:val="18"/>
                <w:szCs w:val="18"/>
                <w:highlight w:val="none"/>
              </w:rPr>
              <w:t>食堂出现用气安全事故一次支付违约金不低于</w:t>
            </w:r>
            <w:r>
              <w:rPr>
                <w:rFonts w:ascii="宋体" w:hAnsi="宋体" w:cs="宋体"/>
                <w:color w:val="auto"/>
                <w:sz w:val="18"/>
                <w:szCs w:val="18"/>
                <w:highlight w:val="none"/>
              </w:rPr>
              <w:t>10000元，食堂出现一般起火一次支付违约金10000元。出现较大消防安全事故的，</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受到政府职能部门行政处罚的，应向</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支付</w:t>
            </w:r>
            <w:r>
              <w:rPr>
                <w:rFonts w:ascii="宋体" w:hAnsi="宋体" w:cs="宋体"/>
                <w:color w:val="auto"/>
                <w:sz w:val="18"/>
                <w:szCs w:val="18"/>
                <w:highlight w:val="none"/>
              </w:rPr>
              <w:t>10000元/次的合同违约金；若同时受到经济处罚的，应向</w:t>
            </w:r>
            <w:r>
              <w:rPr>
                <w:rFonts w:hint="eastAsia" w:ascii="宋体" w:hAnsi="宋体" w:cs="宋体"/>
                <w:color w:val="auto"/>
                <w:sz w:val="18"/>
                <w:szCs w:val="18"/>
                <w:highlight w:val="none"/>
                <w:lang w:eastAsia="zh-CN"/>
              </w:rPr>
              <w:t>甲方</w:t>
            </w:r>
            <w:r>
              <w:rPr>
                <w:rFonts w:ascii="宋体" w:hAnsi="宋体" w:cs="宋体"/>
                <w:color w:val="auto"/>
                <w:sz w:val="18"/>
                <w:szCs w:val="18"/>
                <w:highlight w:val="none"/>
              </w:rPr>
              <w:t>支付同等金额的合同违约金。还应再承担违约金20000元/次，</w:t>
            </w:r>
            <w:r>
              <w:rPr>
                <w:rFonts w:hint="eastAsia" w:ascii="宋体" w:hAnsi="宋体" w:cs="宋体"/>
                <w:color w:val="auto"/>
                <w:sz w:val="18"/>
                <w:szCs w:val="18"/>
                <w:highlight w:val="none"/>
                <w:lang w:eastAsia="zh-CN"/>
              </w:rPr>
              <w:t>甲方</w:t>
            </w:r>
            <w:r>
              <w:rPr>
                <w:rFonts w:ascii="宋体" w:hAnsi="宋体" w:cs="宋体"/>
                <w:color w:val="auto"/>
                <w:sz w:val="18"/>
                <w:szCs w:val="18"/>
                <w:highlight w:val="none"/>
              </w:rPr>
              <w:t>有权追究相关责任人经济和法律责任。</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9ACBF62">
            <w:pPr>
              <w:rPr>
                <w:rFonts w:ascii="宋体" w:hAnsi="宋体" w:cs="宋体"/>
                <w:color w:val="auto"/>
                <w:sz w:val="18"/>
                <w:szCs w:val="18"/>
                <w:highlight w:val="none"/>
              </w:rPr>
            </w:pPr>
            <w:r>
              <w:rPr>
                <w:rFonts w:hint="eastAsia" w:ascii="宋体" w:hAnsi="宋体" w:cs="宋体"/>
                <w:color w:val="auto"/>
                <w:sz w:val="18"/>
                <w:szCs w:val="18"/>
                <w:highlight w:val="none"/>
              </w:rPr>
              <w:t>一般起火：未造成损失且未出动消防部门每次扣</w:t>
            </w:r>
            <w:r>
              <w:rPr>
                <w:rFonts w:ascii="宋体" w:hAnsi="宋体" w:cs="宋体"/>
                <w:color w:val="auto"/>
                <w:sz w:val="18"/>
                <w:szCs w:val="18"/>
                <w:highlight w:val="none"/>
              </w:rPr>
              <w:t>5分。</w:t>
            </w:r>
          </w:p>
          <w:p w14:paraId="67CAE0A9">
            <w:pPr>
              <w:rPr>
                <w:rFonts w:ascii="宋体" w:hAnsi="宋体" w:cs="宋体"/>
                <w:color w:val="auto"/>
                <w:sz w:val="18"/>
                <w:szCs w:val="18"/>
                <w:highlight w:val="none"/>
              </w:rPr>
            </w:pPr>
            <w:r>
              <w:rPr>
                <w:rFonts w:hint="eastAsia" w:ascii="宋体" w:hAnsi="宋体" w:cs="宋体"/>
                <w:color w:val="auto"/>
                <w:sz w:val="18"/>
                <w:szCs w:val="18"/>
                <w:highlight w:val="none"/>
              </w:rPr>
              <w:t>较大消防安全事故：造成损失或出动消防部门，涉事当学期考核直接为不合格。</w:t>
            </w:r>
          </w:p>
        </w:tc>
      </w:tr>
      <w:tr w14:paraId="34F9361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59BFE7AA">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9160136">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E79AB28">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CDE8C12">
            <w:pPr>
              <w:rPr>
                <w:rFonts w:ascii="宋体" w:hAnsi="宋体" w:cs="宋体"/>
                <w:color w:val="auto"/>
                <w:sz w:val="18"/>
                <w:szCs w:val="18"/>
                <w:highlight w:val="none"/>
              </w:rPr>
            </w:pPr>
            <w:r>
              <w:rPr>
                <w:rFonts w:ascii="宋体" w:hAnsi="宋体" w:cs="宋体"/>
                <w:color w:val="auto"/>
                <w:sz w:val="18"/>
                <w:szCs w:val="18"/>
                <w:highlight w:val="none"/>
              </w:rPr>
              <w:t>13、应组织员工培训消防自防自救常识和安全逃生技能，不断提升员工消防应</w:t>
            </w:r>
            <w:r>
              <w:rPr>
                <w:rFonts w:hint="eastAsia" w:ascii="宋体" w:hAnsi="宋体" w:cs="宋体"/>
                <w:color w:val="auto"/>
                <w:sz w:val="18"/>
                <w:szCs w:val="18"/>
                <w:highlight w:val="none"/>
              </w:rPr>
              <w:t>急处置能力，每学期应至少组织一次消防实战演练和考核。</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B5AECA">
            <w:pPr>
              <w:rPr>
                <w:rFonts w:ascii="宋体" w:hAnsi="宋体" w:cs="宋体"/>
                <w:color w:val="auto"/>
                <w:sz w:val="18"/>
                <w:szCs w:val="18"/>
                <w:highlight w:val="none"/>
              </w:rPr>
            </w:pPr>
            <w:r>
              <w:rPr>
                <w:rFonts w:hint="eastAsia" w:ascii="宋体" w:hAnsi="宋体" w:cs="宋体"/>
                <w:color w:val="auto"/>
                <w:sz w:val="18"/>
                <w:szCs w:val="18"/>
                <w:highlight w:val="none"/>
              </w:rPr>
              <w:t>查看记录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036E098">
            <w:pPr>
              <w:rPr>
                <w:rFonts w:ascii="宋体" w:hAnsi="宋体" w:cs="宋体"/>
                <w:color w:val="auto"/>
                <w:sz w:val="18"/>
                <w:szCs w:val="18"/>
                <w:highlight w:val="none"/>
              </w:rPr>
            </w:pPr>
            <w:r>
              <w:rPr>
                <w:rFonts w:hint="eastAsia" w:ascii="宋体" w:hAnsi="宋体" w:cs="宋体"/>
                <w:color w:val="auto"/>
                <w:sz w:val="18"/>
                <w:szCs w:val="18"/>
                <w:highlight w:val="none"/>
              </w:rPr>
              <w:t>无培训记录的支付违约金</w:t>
            </w:r>
            <w:r>
              <w:rPr>
                <w:rFonts w:ascii="宋体" w:hAnsi="宋体" w:cs="宋体"/>
                <w:color w:val="auto"/>
                <w:sz w:val="18"/>
                <w:szCs w:val="18"/>
                <w:highlight w:val="none"/>
              </w:rPr>
              <w:t>1000元，无消防演练材料支付违约金5000元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8111E2D">
            <w:pPr>
              <w:rPr>
                <w:rFonts w:ascii="宋体" w:hAnsi="宋体" w:cs="宋体"/>
                <w:color w:val="auto"/>
                <w:sz w:val="18"/>
                <w:szCs w:val="18"/>
                <w:highlight w:val="none"/>
              </w:rPr>
            </w:pPr>
            <w:r>
              <w:rPr>
                <w:rFonts w:hint="eastAsia" w:ascii="宋体" w:hAnsi="宋体" w:cs="宋体"/>
                <w:color w:val="auto"/>
                <w:sz w:val="18"/>
                <w:szCs w:val="18"/>
                <w:highlight w:val="none"/>
              </w:rPr>
              <w:t>无培训记录或记录不全每次扣</w:t>
            </w:r>
            <w:r>
              <w:rPr>
                <w:rFonts w:ascii="宋体" w:hAnsi="宋体" w:cs="宋体"/>
                <w:color w:val="auto"/>
                <w:sz w:val="18"/>
                <w:szCs w:val="18"/>
                <w:highlight w:val="none"/>
              </w:rPr>
              <w:t>1</w:t>
            </w:r>
            <w:r>
              <w:rPr>
                <w:rFonts w:hint="eastAsia" w:ascii="宋体" w:hAnsi="宋体" w:cs="宋体"/>
                <w:color w:val="auto"/>
                <w:sz w:val="18"/>
                <w:szCs w:val="18"/>
                <w:highlight w:val="none"/>
              </w:rPr>
              <w:t>分，无消防演练材料或消防演练材料不全每次扣</w:t>
            </w:r>
            <w:r>
              <w:rPr>
                <w:rFonts w:ascii="宋体" w:hAnsi="宋体" w:cs="宋体"/>
                <w:color w:val="auto"/>
                <w:sz w:val="18"/>
                <w:szCs w:val="18"/>
                <w:highlight w:val="none"/>
              </w:rPr>
              <w:t>5分</w:t>
            </w:r>
          </w:p>
        </w:tc>
      </w:tr>
      <w:tr w14:paraId="4137AC01">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A6E062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3A76174">
            <w:pPr>
              <w:rPr>
                <w:rFonts w:ascii="宋体" w:hAnsi="宋体" w:cs="宋体"/>
                <w:color w:val="auto"/>
                <w:sz w:val="18"/>
                <w:szCs w:val="18"/>
                <w:highlight w:val="none"/>
              </w:rPr>
            </w:pPr>
          </w:p>
        </w:tc>
        <w:tc>
          <w:tcPr>
            <w:tcW w:w="477" w:type="dxa"/>
            <w:tcBorders>
              <w:top w:val="single" w:color="auto" w:sz="4" w:space="0"/>
              <w:left w:val="single" w:color="auto" w:sz="4" w:space="0"/>
              <w:bottom w:val="single" w:color="auto" w:sz="4" w:space="0"/>
              <w:right w:val="single" w:color="auto" w:sz="4" w:space="0"/>
            </w:tcBorders>
            <w:noWrap w:val="0"/>
            <w:vAlign w:val="center"/>
          </w:tcPr>
          <w:p w14:paraId="339F10CE">
            <w:pPr>
              <w:rPr>
                <w:rFonts w:ascii="宋体" w:hAnsi="宋体" w:cs="宋体"/>
                <w:color w:val="auto"/>
                <w:sz w:val="18"/>
                <w:szCs w:val="18"/>
                <w:highlight w:val="none"/>
              </w:rPr>
            </w:pPr>
            <w:r>
              <w:rPr>
                <w:rFonts w:hint="eastAsia" w:ascii="宋体" w:hAnsi="宋体" w:cs="宋体"/>
                <w:color w:val="auto"/>
                <w:sz w:val="18"/>
                <w:szCs w:val="18"/>
                <w:highlight w:val="none"/>
              </w:rPr>
              <w:t>其他安全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07628D77">
            <w:pPr>
              <w:rPr>
                <w:rFonts w:ascii="宋体" w:hAnsi="宋体" w:cs="宋体"/>
                <w:color w:val="auto"/>
                <w:sz w:val="18"/>
                <w:szCs w:val="18"/>
                <w:highlight w:val="none"/>
              </w:rPr>
            </w:pPr>
            <w:r>
              <w:rPr>
                <w:rFonts w:ascii="宋体" w:hAnsi="宋体" w:cs="宋体"/>
                <w:color w:val="auto"/>
                <w:sz w:val="18"/>
                <w:szCs w:val="18"/>
                <w:highlight w:val="none"/>
              </w:rPr>
              <w:t>14.应安排专人管理和保护好学校固定资产的安全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6B6DA6">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460A35B">
            <w:pPr>
              <w:rPr>
                <w:rFonts w:ascii="宋体" w:hAnsi="宋体" w:cs="宋体"/>
                <w:color w:val="auto"/>
                <w:sz w:val="18"/>
                <w:szCs w:val="18"/>
                <w:highlight w:val="none"/>
              </w:rPr>
            </w:pPr>
            <w:r>
              <w:rPr>
                <w:rFonts w:hint="eastAsia" w:ascii="宋体" w:hAnsi="宋体" w:cs="宋体"/>
                <w:color w:val="auto"/>
                <w:sz w:val="18"/>
                <w:szCs w:val="18"/>
                <w:highlight w:val="none"/>
              </w:rPr>
              <w:t>资产损坏未及时修复的支付违约金</w:t>
            </w:r>
            <w:r>
              <w:rPr>
                <w:rFonts w:ascii="宋体" w:hAnsi="宋体" w:cs="宋体"/>
                <w:color w:val="auto"/>
                <w:sz w:val="18"/>
                <w:szCs w:val="18"/>
                <w:highlight w:val="none"/>
              </w:rPr>
              <w:t>1000元/件</w:t>
            </w:r>
          </w:p>
          <w:p w14:paraId="5ADDAB0C">
            <w:pPr>
              <w:rPr>
                <w:rFonts w:ascii="宋体" w:hAnsi="宋体" w:cs="宋体"/>
                <w:color w:val="auto"/>
                <w:sz w:val="18"/>
                <w:szCs w:val="18"/>
                <w:highlight w:val="none"/>
              </w:rPr>
            </w:pPr>
            <w:r>
              <w:rPr>
                <w:rFonts w:hint="eastAsia" w:ascii="宋体" w:hAnsi="宋体" w:cs="宋体"/>
                <w:color w:val="auto"/>
                <w:sz w:val="18"/>
                <w:szCs w:val="18"/>
                <w:highlight w:val="none"/>
              </w:rPr>
              <w:t>按照学校有关固定资产的相关规定除赔偿损失外，另支付违约金</w:t>
            </w:r>
            <w:r>
              <w:rPr>
                <w:rFonts w:ascii="宋体" w:hAnsi="宋体" w:cs="宋体"/>
                <w:color w:val="auto"/>
                <w:sz w:val="18"/>
                <w:szCs w:val="18"/>
                <w:highlight w:val="none"/>
              </w:rPr>
              <w:t>2000元/件</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F27209E">
            <w:pPr>
              <w:rPr>
                <w:rFonts w:ascii="宋体" w:hAnsi="宋体" w:cs="宋体"/>
                <w:color w:val="auto"/>
                <w:sz w:val="18"/>
                <w:szCs w:val="18"/>
                <w:highlight w:val="none"/>
              </w:rPr>
            </w:pPr>
            <w:r>
              <w:rPr>
                <w:rFonts w:hint="eastAsia" w:ascii="宋体" w:hAnsi="宋体" w:cs="宋体"/>
                <w:color w:val="auto"/>
                <w:sz w:val="18"/>
                <w:szCs w:val="18"/>
                <w:highlight w:val="none"/>
              </w:rPr>
              <w:t>资产损坏未及时修复的扣</w:t>
            </w:r>
            <w:r>
              <w:rPr>
                <w:rFonts w:ascii="宋体" w:hAnsi="宋体" w:cs="宋体"/>
                <w:color w:val="auto"/>
                <w:sz w:val="18"/>
                <w:szCs w:val="18"/>
                <w:highlight w:val="none"/>
              </w:rPr>
              <w:t xml:space="preserve">1分/件，资产遗失的扣2分/件 </w:t>
            </w:r>
          </w:p>
        </w:tc>
      </w:tr>
      <w:tr w14:paraId="53C9091F">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6B0DFE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A16D84C">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noWrap w:val="0"/>
            <w:vAlign w:val="center"/>
          </w:tcPr>
          <w:p w14:paraId="31746CD7">
            <w:pPr>
              <w:rPr>
                <w:rFonts w:ascii="宋体" w:hAnsi="宋体" w:cs="宋体"/>
                <w:color w:val="auto"/>
                <w:sz w:val="18"/>
                <w:szCs w:val="18"/>
                <w:highlight w:val="none"/>
              </w:rPr>
            </w:pPr>
            <w:r>
              <w:rPr>
                <w:rFonts w:hint="eastAsia" w:ascii="宋体" w:hAnsi="宋体" w:cs="宋体"/>
                <w:color w:val="auto"/>
                <w:sz w:val="18"/>
                <w:szCs w:val="18"/>
                <w:highlight w:val="none"/>
              </w:rPr>
              <w:t>事故预防制度</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EE55AF2">
            <w:pPr>
              <w:rPr>
                <w:rFonts w:ascii="宋体" w:hAnsi="宋体" w:cs="宋体"/>
                <w:color w:val="auto"/>
                <w:sz w:val="18"/>
                <w:szCs w:val="18"/>
                <w:highlight w:val="none"/>
              </w:rPr>
            </w:pPr>
            <w:r>
              <w:rPr>
                <w:rFonts w:ascii="宋体" w:hAnsi="宋体" w:cs="宋体"/>
                <w:color w:val="auto"/>
                <w:sz w:val="18"/>
                <w:szCs w:val="18"/>
                <w:highlight w:val="none"/>
              </w:rPr>
              <w:t>15.应对从业人员进行卫生安全知识培训，建有预防食物中毒事故预案及突发安全事件预案</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210805">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7FDBBCE">
            <w:pPr>
              <w:rPr>
                <w:rFonts w:ascii="宋体" w:hAnsi="宋体" w:cs="宋体"/>
                <w:color w:val="auto"/>
                <w:sz w:val="18"/>
                <w:szCs w:val="18"/>
                <w:highlight w:val="none"/>
              </w:rPr>
            </w:pPr>
            <w:r>
              <w:rPr>
                <w:rFonts w:hint="eastAsia" w:ascii="宋体" w:hAnsi="宋体" w:cs="宋体"/>
                <w:color w:val="auto"/>
                <w:sz w:val="18"/>
                <w:szCs w:val="18"/>
                <w:highlight w:val="none"/>
              </w:rPr>
              <w:t>缺预案、未按要求开展培训和培训不到位的支付违约金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89C934">
            <w:pPr>
              <w:rPr>
                <w:rFonts w:ascii="宋体" w:hAnsi="宋体" w:cs="宋体"/>
                <w:color w:val="auto"/>
                <w:sz w:val="18"/>
                <w:szCs w:val="18"/>
                <w:highlight w:val="none"/>
              </w:rPr>
            </w:pPr>
            <w:r>
              <w:rPr>
                <w:rFonts w:hint="eastAsia" w:ascii="宋体" w:hAnsi="宋体" w:cs="宋体"/>
                <w:color w:val="auto"/>
                <w:sz w:val="18"/>
                <w:szCs w:val="18"/>
                <w:highlight w:val="none"/>
              </w:rPr>
              <w:t>缺预案、未按要求开展培训和培训不到位扣</w:t>
            </w:r>
            <w:r>
              <w:rPr>
                <w:rFonts w:ascii="宋体" w:hAnsi="宋体" w:cs="宋体"/>
                <w:color w:val="auto"/>
                <w:sz w:val="18"/>
                <w:szCs w:val="18"/>
                <w:highlight w:val="none"/>
              </w:rPr>
              <w:t>1分/次</w:t>
            </w:r>
          </w:p>
        </w:tc>
      </w:tr>
      <w:tr w14:paraId="04D5C313">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EA0479E">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7B66751">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5802901">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66D4725">
            <w:pPr>
              <w:rPr>
                <w:rFonts w:ascii="宋体" w:hAnsi="宋体" w:cs="宋体"/>
                <w:color w:val="auto"/>
                <w:sz w:val="18"/>
                <w:szCs w:val="18"/>
                <w:highlight w:val="none"/>
              </w:rPr>
            </w:pPr>
            <w:r>
              <w:rPr>
                <w:rFonts w:ascii="宋体" w:hAnsi="宋体" w:cs="宋体"/>
                <w:color w:val="auto"/>
                <w:sz w:val="18"/>
                <w:szCs w:val="18"/>
                <w:highlight w:val="none"/>
              </w:rPr>
              <w:t>16.应对从业人员进行消防安全知识培训，建有因电气、燃气、油锅着火应急处理机制及预案</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979B54">
            <w:pPr>
              <w:rPr>
                <w:rFonts w:ascii="宋体" w:hAnsi="宋体" w:cs="宋体"/>
                <w:color w:val="auto"/>
                <w:sz w:val="18"/>
                <w:szCs w:val="18"/>
                <w:highlight w:val="none"/>
              </w:rPr>
            </w:pPr>
            <w:r>
              <w:rPr>
                <w:rFonts w:hint="eastAsia" w:ascii="宋体" w:hAnsi="宋体" w:cs="宋体"/>
                <w:color w:val="auto"/>
                <w:sz w:val="18"/>
                <w:szCs w:val="18"/>
                <w:highlight w:val="none"/>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EE05A8C">
            <w:pPr>
              <w:rPr>
                <w:rFonts w:ascii="宋体" w:hAnsi="宋体" w:cs="宋体"/>
                <w:color w:val="auto"/>
                <w:sz w:val="18"/>
                <w:szCs w:val="18"/>
                <w:highlight w:val="none"/>
              </w:rPr>
            </w:pPr>
            <w:r>
              <w:rPr>
                <w:rFonts w:hint="eastAsia" w:ascii="宋体" w:hAnsi="宋体" w:cs="宋体"/>
                <w:color w:val="auto"/>
                <w:sz w:val="18"/>
                <w:szCs w:val="18"/>
                <w:highlight w:val="none"/>
              </w:rPr>
              <w:t>缺一项预案支付违约金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ECF0120">
            <w:pPr>
              <w:rPr>
                <w:rFonts w:ascii="宋体" w:hAnsi="宋体" w:cs="宋体"/>
                <w:color w:val="auto"/>
                <w:sz w:val="18"/>
                <w:szCs w:val="18"/>
                <w:highlight w:val="none"/>
              </w:rPr>
            </w:pPr>
            <w:r>
              <w:rPr>
                <w:rFonts w:hint="eastAsia" w:ascii="宋体" w:hAnsi="宋体" w:cs="宋体"/>
                <w:color w:val="auto"/>
                <w:sz w:val="18"/>
                <w:szCs w:val="18"/>
                <w:highlight w:val="none"/>
              </w:rPr>
              <w:t>缺一项预案扣</w:t>
            </w:r>
            <w:r>
              <w:rPr>
                <w:rFonts w:ascii="宋体" w:hAnsi="宋体" w:cs="宋体"/>
                <w:color w:val="auto"/>
                <w:sz w:val="18"/>
                <w:szCs w:val="18"/>
                <w:highlight w:val="none"/>
              </w:rPr>
              <w:t>1分/次</w:t>
            </w:r>
          </w:p>
        </w:tc>
      </w:tr>
      <w:tr w14:paraId="0298D916">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C3307E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F105503">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65A0EC34">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ED68B6E">
            <w:pPr>
              <w:rPr>
                <w:rFonts w:ascii="宋体" w:hAnsi="宋体" w:cs="宋体"/>
                <w:color w:val="auto"/>
                <w:sz w:val="18"/>
                <w:szCs w:val="18"/>
                <w:highlight w:val="none"/>
              </w:rPr>
            </w:pPr>
            <w:r>
              <w:rPr>
                <w:rFonts w:ascii="宋体" w:hAnsi="宋体" w:cs="宋体"/>
                <w:color w:val="auto"/>
                <w:sz w:val="18"/>
                <w:szCs w:val="18"/>
                <w:highlight w:val="none"/>
              </w:rPr>
              <w:t>17.应对从业人员进行设备使用培训，建有机械设备、用电、用气(汽)安全操作规程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22D7DFA">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F31D8EA">
            <w:pPr>
              <w:rPr>
                <w:rFonts w:ascii="宋体" w:hAnsi="宋体" w:cs="宋体"/>
                <w:color w:val="auto"/>
                <w:sz w:val="18"/>
                <w:szCs w:val="18"/>
                <w:highlight w:val="none"/>
              </w:rPr>
            </w:pPr>
            <w:r>
              <w:rPr>
                <w:rFonts w:hint="eastAsia" w:ascii="宋体" w:hAnsi="宋体" w:cs="宋体"/>
                <w:color w:val="auto"/>
                <w:sz w:val="18"/>
                <w:szCs w:val="18"/>
                <w:highlight w:val="none"/>
              </w:rPr>
              <w:t>缺一项操作规程支付违约金</w:t>
            </w:r>
            <w:r>
              <w:rPr>
                <w:rFonts w:ascii="宋体" w:hAnsi="宋体" w:cs="宋体"/>
                <w:color w:val="auto"/>
                <w:sz w:val="18"/>
                <w:szCs w:val="18"/>
                <w:highlight w:val="none"/>
              </w:rPr>
              <w:t>1000元/次</w:t>
            </w:r>
          </w:p>
          <w:p w14:paraId="1DA4DE17">
            <w:pPr>
              <w:rPr>
                <w:rFonts w:ascii="宋体" w:hAnsi="宋体" w:cs="宋体"/>
                <w:color w:val="auto"/>
                <w:sz w:val="18"/>
                <w:szCs w:val="18"/>
                <w:highlight w:val="none"/>
              </w:rPr>
            </w:pPr>
            <w:r>
              <w:rPr>
                <w:rFonts w:hint="eastAsia" w:ascii="宋体" w:hAnsi="宋体" w:cs="宋体"/>
                <w:color w:val="auto"/>
                <w:sz w:val="18"/>
                <w:szCs w:val="18"/>
                <w:highlight w:val="none"/>
              </w:rPr>
              <w:t>违规操作支付违约金</w:t>
            </w:r>
            <w:r>
              <w:rPr>
                <w:rFonts w:ascii="宋体" w:hAnsi="宋体" w:cs="宋体"/>
                <w:color w:val="auto"/>
                <w:sz w:val="18"/>
                <w:szCs w:val="18"/>
                <w:highlight w:val="none"/>
              </w:rPr>
              <w:t>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D92E1B">
            <w:pPr>
              <w:rPr>
                <w:rFonts w:ascii="宋体" w:hAnsi="宋体" w:cs="宋体"/>
                <w:color w:val="auto"/>
                <w:sz w:val="18"/>
                <w:szCs w:val="18"/>
                <w:highlight w:val="none"/>
              </w:rPr>
            </w:pPr>
            <w:r>
              <w:rPr>
                <w:rFonts w:hint="eastAsia" w:ascii="宋体" w:hAnsi="宋体" w:cs="宋体"/>
                <w:color w:val="auto"/>
                <w:sz w:val="18"/>
                <w:szCs w:val="18"/>
                <w:highlight w:val="none"/>
              </w:rPr>
              <w:t>缺一项操作规程扣</w:t>
            </w:r>
            <w:r>
              <w:rPr>
                <w:rFonts w:ascii="宋体" w:hAnsi="宋体" w:cs="宋体"/>
                <w:color w:val="auto"/>
                <w:sz w:val="18"/>
                <w:szCs w:val="18"/>
                <w:highlight w:val="none"/>
              </w:rPr>
              <w:t>1分/次</w:t>
            </w:r>
          </w:p>
          <w:p w14:paraId="5EFA3BF7">
            <w:pPr>
              <w:rPr>
                <w:rFonts w:ascii="宋体" w:hAnsi="宋体" w:cs="宋体"/>
                <w:color w:val="auto"/>
                <w:sz w:val="18"/>
                <w:szCs w:val="18"/>
                <w:highlight w:val="none"/>
              </w:rPr>
            </w:pPr>
            <w:r>
              <w:rPr>
                <w:rFonts w:hint="eastAsia" w:ascii="宋体" w:hAnsi="宋体" w:cs="宋体"/>
                <w:color w:val="auto"/>
                <w:sz w:val="18"/>
                <w:szCs w:val="18"/>
                <w:highlight w:val="none"/>
              </w:rPr>
              <w:t>违规操作扣</w:t>
            </w:r>
            <w:r>
              <w:rPr>
                <w:rFonts w:ascii="宋体" w:hAnsi="宋体" w:cs="宋体"/>
                <w:color w:val="auto"/>
                <w:sz w:val="18"/>
                <w:szCs w:val="18"/>
                <w:highlight w:val="none"/>
              </w:rPr>
              <w:t>2分/次</w:t>
            </w:r>
          </w:p>
        </w:tc>
      </w:tr>
      <w:tr w14:paraId="4AC1604F">
        <w:tblPrEx>
          <w:tblCellMar>
            <w:top w:w="0" w:type="dxa"/>
            <w:left w:w="108" w:type="dxa"/>
            <w:bottom w:w="0" w:type="dxa"/>
            <w:right w:w="108" w:type="dxa"/>
          </w:tblCellMar>
        </w:tblPrEx>
        <w:trPr>
          <w:trHeight w:val="960"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73785027">
            <w:pPr>
              <w:rPr>
                <w:rFonts w:ascii="宋体" w:hAnsi="宋体" w:cs="宋体"/>
                <w:color w:val="auto"/>
                <w:sz w:val="18"/>
                <w:szCs w:val="18"/>
                <w:highlight w:val="none"/>
              </w:rPr>
            </w:pPr>
            <w:r>
              <w:rPr>
                <w:rFonts w:hint="eastAsia" w:ascii="宋体" w:hAnsi="宋体" w:cs="宋体"/>
                <w:color w:val="auto"/>
                <w:sz w:val="18"/>
                <w:szCs w:val="18"/>
                <w:highlight w:val="none"/>
              </w:rPr>
              <w:t>二</w:t>
            </w:r>
          </w:p>
        </w:tc>
        <w:tc>
          <w:tcPr>
            <w:tcW w:w="63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0426D76">
            <w:pPr>
              <w:rPr>
                <w:rFonts w:ascii="宋体" w:hAnsi="宋体" w:cs="宋体"/>
                <w:color w:val="auto"/>
                <w:sz w:val="18"/>
                <w:szCs w:val="18"/>
                <w:highlight w:val="none"/>
              </w:rPr>
            </w:pPr>
            <w:r>
              <w:rPr>
                <w:rFonts w:hint="eastAsia" w:ascii="宋体" w:hAnsi="宋体" w:cs="宋体"/>
                <w:color w:val="auto"/>
                <w:sz w:val="18"/>
                <w:szCs w:val="18"/>
                <w:highlight w:val="none"/>
              </w:rPr>
              <w:t>食品管理</w:t>
            </w: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A74C5C2">
            <w:pPr>
              <w:jc w:val="center"/>
              <w:rPr>
                <w:rFonts w:ascii="宋体" w:hAnsi="宋体" w:cs="宋体"/>
                <w:color w:val="auto"/>
                <w:sz w:val="18"/>
                <w:szCs w:val="18"/>
                <w:highlight w:val="none"/>
              </w:rPr>
            </w:pPr>
            <w:r>
              <w:rPr>
                <w:rFonts w:hint="eastAsia" w:ascii="宋体" w:hAnsi="宋体" w:cs="宋体"/>
                <w:color w:val="auto"/>
                <w:sz w:val="18"/>
                <w:szCs w:val="18"/>
                <w:highlight w:val="none"/>
              </w:rPr>
              <w:t>采购</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5B02F49">
            <w:pPr>
              <w:rPr>
                <w:rFonts w:ascii="宋体" w:hAnsi="宋体" w:cs="宋体"/>
                <w:color w:val="auto"/>
                <w:sz w:val="18"/>
                <w:szCs w:val="18"/>
                <w:highlight w:val="none"/>
              </w:rPr>
            </w:pPr>
            <w:r>
              <w:rPr>
                <w:rFonts w:ascii="宋体" w:hAnsi="宋体" w:cs="宋体"/>
                <w:color w:val="auto"/>
                <w:sz w:val="18"/>
                <w:szCs w:val="18"/>
                <w:highlight w:val="none"/>
              </w:rPr>
              <w:t>18.建立食品安全追溯体系，保证食品可追溯。必须落实原材料公司统一、集中定点采购制度，食品原材料采购应符合国家有关规定以及学校要求，不得采购临期和过期食品。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2AA196">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70819AEA">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06ECC40">
            <w:pPr>
              <w:rPr>
                <w:rFonts w:ascii="宋体" w:hAnsi="宋体" w:cs="宋体"/>
                <w:color w:val="auto"/>
                <w:sz w:val="18"/>
                <w:szCs w:val="18"/>
                <w:highlight w:val="none"/>
              </w:rPr>
            </w:pPr>
            <w:r>
              <w:rPr>
                <w:rFonts w:hint="eastAsia" w:ascii="宋体" w:hAnsi="宋体" w:cs="宋体"/>
                <w:color w:val="auto"/>
                <w:sz w:val="18"/>
                <w:szCs w:val="18"/>
                <w:highlight w:val="none"/>
              </w:rPr>
              <w:t>违规采购的支付违约金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CF62F6">
            <w:pPr>
              <w:rPr>
                <w:rFonts w:ascii="宋体" w:hAnsi="宋体" w:cs="宋体"/>
                <w:color w:val="auto"/>
                <w:sz w:val="18"/>
                <w:szCs w:val="18"/>
                <w:highlight w:val="none"/>
              </w:rPr>
            </w:pPr>
            <w:r>
              <w:rPr>
                <w:rFonts w:hint="eastAsia" w:ascii="宋体" w:hAnsi="宋体" w:cs="宋体"/>
                <w:color w:val="auto"/>
                <w:sz w:val="18"/>
                <w:szCs w:val="18"/>
                <w:highlight w:val="none"/>
              </w:rPr>
              <w:t>违规采购的扣</w:t>
            </w:r>
            <w:r>
              <w:rPr>
                <w:rFonts w:ascii="宋体" w:hAnsi="宋体" w:cs="宋体"/>
                <w:color w:val="auto"/>
                <w:sz w:val="18"/>
                <w:szCs w:val="18"/>
                <w:highlight w:val="none"/>
              </w:rPr>
              <w:t>5分/次</w:t>
            </w:r>
          </w:p>
        </w:tc>
      </w:tr>
      <w:tr w14:paraId="077D753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75DF8750">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F865EDB">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37EE72AD">
            <w:pPr>
              <w:jc w:val="cente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0762C70">
            <w:pPr>
              <w:rPr>
                <w:rFonts w:ascii="宋体" w:hAnsi="宋体" w:cs="宋体"/>
                <w:color w:val="auto"/>
                <w:sz w:val="18"/>
                <w:szCs w:val="18"/>
                <w:highlight w:val="none"/>
              </w:rPr>
            </w:pPr>
            <w:r>
              <w:rPr>
                <w:rFonts w:ascii="宋体" w:hAnsi="宋体" w:cs="宋体"/>
                <w:color w:val="auto"/>
                <w:sz w:val="18"/>
                <w:szCs w:val="18"/>
                <w:highlight w:val="none"/>
              </w:rPr>
              <w:t>19.主要原材料应建立定点供货单位及采购品种备案制度，供货单位必须持有营业执照、卫生许可证、动植物检疫合格证等相关证件并建立台帐。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D7E609">
            <w:pPr>
              <w:rPr>
                <w:rFonts w:ascii="宋体" w:hAnsi="宋体" w:cs="宋体"/>
                <w:color w:val="auto"/>
                <w:sz w:val="18"/>
                <w:szCs w:val="18"/>
                <w:highlight w:val="none"/>
              </w:rPr>
            </w:pPr>
            <w:r>
              <w:rPr>
                <w:rFonts w:hint="eastAsia" w:ascii="宋体" w:hAnsi="宋体" w:cs="宋体"/>
                <w:color w:val="auto"/>
                <w:sz w:val="18"/>
                <w:szCs w:val="18"/>
                <w:highlight w:val="none"/>
              </w:rPr>
              <w:t>查看证件</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EBBB9B5">
            <w:pPr>
              <w:rPr>
                <w:rFonts w:ascii="宋体" w:hAnsi="宋体" w:cs="宋体"/>
                <w:color w:val="auto"/>
                <w:sz w:val="18"/>
                <w:szCs w:val="18"/>
                <w:highlight w:val="none"/>
              </w:rPr>
            </w:pPr>
            <w:r>
              <w:rPr>
                <w:rFonts w:hint="eastAsia" w:ascii="宋体" w:hAnsi="宋体" w:cs="宋体"/>
                <w:color w:val="auto"/>
                <w:sz w:val="18"/>
                <w:szCs w:val="18"/>
                <w:highlight w:val="none"/>
              </w:rPr>
              <w:t>无采购合同备案及相关证件的每缺一项支付违约金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89F21FF">
            <w:pPr>
              <w:rPr>
                <w:rFonts w:ascii="宋体" w:hAnsi="宋体" w:cs="宋体"/>
                <w:color w:val="auto"/>
                <w:sz w:val="18"/>
                <w:szCs w:val="18"/>
                <w:highlight w:val="none"/>
              </w:rPr>
            </w:pPr>
            <w:r>
              <w:rPr>
                <w:rFonts w:hint="eastAsia" w:ascii="宋体" w:hAnsi="宋体" w:cs="宋体"/>
                <w:color w:val="auto"/>
                <w:sz w:val="18"/>
                <w:szCs w:val="18"/>
                <w:highlight w:val="none"/>
              </w:rPr>
              <w:t>无采购合同备案及相关证件的每缺一项扣</w:t>
            </w:r>
            <w:r>
              <w:rPr>
                <w:rFonts w:ascii="宋体" w:hAnsi="宋体" w:cs="宋体"/>
                <w:color w:val="auto"/>
                <w:sz w:val="18"/>
                <w:szCs w:val="18"/>
                <w:highlight w:val="none"/>
              </w:rPr>
              <w:t>5分</w:t>
            </w:r>
          </w:p>
        </w:tc>
      </w:tr>
      <w:tr w14:paraId="7EBAB5E5">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5E6436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16C3D70">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1D46604">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0FE6396">
            <w:pPr>
              <w:rPr>
                <w:rFonts w:ascii="宋体" w:hAnsi="宋体" w:cs="宋体"/>
                <w:color w:val="auto"/>
                <w:sz w:val="18"/>
                <w:szCs w:val="18"/>
                <w:highlight w:val="none"/>
              </w:rPr>
            </w:pPr>
            <w:r>
              <w:rPr>
                <w:rFonts w:ascii="宋体" w:hAnsi="宋体" w:cs="宋体"/>
                <w:color w:val="auto"/>
                <w:sz w:val="18"/>
                <w:szCs w:val="18"/>
                <w:highlight w:val="none"/>
              </w:rPr>
              <w:t>20.建立落实采购登记台账制度（电子与纸质）和食品原材料索证（肉类品质检验合格证、动植物检疫合格证等）、索票制度，每批次物品应有生产厂家、产地、生产日期、保质期及QS认证等标识。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B791C14">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8CC92F9">
            <w:pPr>
              <w:rPr>
                <w:rFonts w:ascii="宋体" w:hAnsi="宋体" w:cs="宋体"/>
                <w:color w:val="auto"/>
                <w:sz w:val="18"/>
                <w:szCs w:val="18"/>
                <w:highlight w:val="none"/>
              </w:rPr>
            </w:pPr>
            <w:r>
              <w:rPr>
                <w:rFonts w:hint="eastAsia" w:ascii="宋体" w:hAnsi="宋体" w:cs="宋体"/>
                <w:color w:val="auto"/>
                <w:sz w:val="18"/>
                <w:szCs w:val="18"/>
                <w:highlight w:val="none"/>
              </w:rPr>
              <w:t>每缺一项支付违约金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A3B91A9">
            <w:pPr>
              <w:rPr>
                <w:rFonts w:ascii="宋体" w:hAnsi="宋体" w:cs="宋体"/>
                <w:color w:val="auto"/>
                <w:sz w:val="18"/>
                <w:szCs w:val="18"/>
                <w:highlight w:val="none"/>
              </w:rPr>
            </w:pPr>
            <w:r>
              <w:rPr>
                <w:rFonts w:hint="eastAsia" w:ascii="宋体" w:hAnsi="宋体" w:cs="宋体"/>
                <w:color w:val="auto"/>
                <w:sz w:val="18"/>
                <w:szCs w:val="18"/>
                <w:highlight w:val="none"/>
              </w:rPr>
              <w:t>缺项的扣</w:t>
            </w:r>
            <w:r>
              <w:rPr>
                <w:rFonts w:ascii="宋体" w:hAnsi="宋体" w:cs="宋体"/>
                <w:color w:val="auto"/>
                <w:sz w:val="18"/>
                <w:szCs w:val="18"/>
                <w:highlight w:val="none"/>
              </w:rPr>
              <w:t>1分/项/次</w:t>
            </w:r>
          </w:p>
        </w:tc>
      </w:tr>
      <w:tr w14:paraId="4360F6A5">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346666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50C048B">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B18E90A">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0D300E78">
            <w:pPr>
              <w:rPr>
                <w:rFonts w:ascii="宋体" w:hAnsi="宋体" w:cs="宋体"/>
                <w:color w:val="auto"/>
                <w:sz w:val="18"/>
                <w:szCs w:val="18"/>
                <w:highlight w:val="none"/>
              </w:rPr>
            </w:pPr>
            <w:r>
              <w:rPr>
                <w:rFonts w:ascii="宋体" w:hAnsi="宋体" w:cs="宋体"/>
                <w:color w:val="auto"/>
                <w:sz w:val="18"/>
                <w:szCs w:val="18"/>
                <w:highlight w:val="none"/>
              </w:rPr>
              <w:t>21.采购的原材料应符合国家有关标准和本合同规定</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8AB01C">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77D3A9E">
            <w:pPr>
              <w:rPr>
                <w:rFonts w:ascii="宋体" w:hAnsi="宋体" w:cs="宋体"/>
                <w:color w:val="auto"/>
                <w:sz w:val="18"/>
                <w:szCs w:val="18"/>
                <w:highlight w:val="none"/>
              </w:rPr>
            </w:pPr>
            <w:r>
              <w:rPr>
                <w:rFonts w:hint="eastAsia" w:ascii="宋体" w:hAnsi="宋体" w:cs="宋体"/>
                <w:color w:val="auto"/>
                <w:sz w:val="18"/>
                <w:szCs w:val="18"/>
                <w:highlight w:val="none"/>
              </w:rPr>
              <w:t>每违规采购一次支付违约金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6CAD67F">
            <w:pPr>
              <w:rPr>
                <w:rFonts w:ascii="宋体" w:hAnsi="宋体" w:cs="宋体"/>
                <w:color w:val="auto"/>
                <w:sz w:val="18"/>
                <w:szCs w:val="18"/>
                <w:highlight w:val="none"/>
              </w:rPr>
            </w:pPr>
            <w:r>
              <w:rPr>
                <w:rFonts w:hint="eastAsia" w:ascii="宋体" w:hAnsi="宋体" w:cs="宋体"/>
                <w:color w:val="auto"/>
                <w:sz w:val="18"/>
                <w:szCs w:val="18"/>
                <w:highlight w:val="none"/>
              </w:rPr>
              <w:t>违规采购扣</w:t>
            </w:r>
            <w:r>
              <w:rPr>
                <w:rFonts w:ascii="宋体" w:hAnsi="宋体" w:cs="宋体"/>
                <w:color w:val="auto"/>
                <w:sz w:val="18"/>
                <w:szCs w:val="18"/>
                <w:highlight w:val="none"/>
              </w:rPr>
              <w:t>5分/次</w:t>
            </w:r>
          </w:p>
        </w:tc>
      </w:tr>
      <w:tr w14:paraId="737CB309">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F5F5D74">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605D9A1">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09DB29F">
            <w:pPr>
              <w:jc w:val="center"/>
              <w:rPr>
                <w:rFonts w:ascii="宋体" w:hAnsi="宋体" w:cs="宋体"/>
                <w:color w:val="auto"/>
                <w:sz w:val="18"/>
                <w:szCs w:val="18"/>
                <w:highlight w:val="none"/>
              </w:rPr>
            </w:pPr>
            <w:r>
              <w:rPr>
                <w:rFonts w:hint="eastAsia" w:ascii="宋体" w:hAnsi="宋体" w:cs="宋体"/>
                <w:color w:val="auto"/>
                <w:sz w:val="18"/>
                <w:szCs w:val="18"/>
                <w:highlight w:val="none"/>
              </w:rPr>
              <w:t>存储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B6CDBB6">
            <w:pPr>
              <w:rPr>
                <w:rFonts w:ascii="宋体" w:hAnsi="宋体" w:cs="宋体"/>
                <w:color w:val="auto"/>
                <w:sz w:val="18"/>
                <w:szCs w:val="18"/>
                <w:highlight w:val="none"/>
              </w:rPr>
            </w:pPr>
            <w:r>
              <w:rPr>
                <w:rFonts w:ascii="宋体" w:hAnsi="宋体" w:cs="宋体"/>
                <w:color w:val="auto"/>
                <w:sz w:val="18"/>
                <w:szCs w:val="18"/>
                <w:highlight w:val="none"/>
              </w:rPr>
              <w:t>22.仓库管理规范，物资分类存放，食品贮藏应做到原料、半成品、成品严格分开，做到生、熟分开，植物性食品、动物性食品和水产品分类摆放，冷藏柜(库)存放食品有标志。散装食品应标</w:t>
            </w:r>
            <w:r>
              <w:rPr>
                <w:rFonts w:hint="eastAsia" w:ascii="宋体" w:hAnsi="宋体" w:cs="宋体"/>
                <w:color w:val="auto"/>
                <w:sz w:val="18"/>
                <w:szCs w:val="18"/>
                <w:highlight w:val="none"/>
              </w:rPr>
              <w:t>明食品的名称、生产日期或生产批号、使用期限等内容，装入密闭容器或使用保鲜膜等无污染覆盖贮存。</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143FCC6">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D304870">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不符合要求每次支付违约金</w:t>
            </w:r>
            <w:r>
              <w:rPr>
                <w:rFonts w:ascii="宋体" w:hAnsi="宋体" w:cs="宋体"/>
                <w:color w:val="auto"/>
                <w:sz w:val="18"/>
                <w:szCs w:val="18"/>
                <w:highlight w:val="none"/>
              </w:rPr>
              <w:t>2000元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80B066F">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2分/次；</w:t>
            </w:r>
          </w:p>
        </w:tc>
      </w:tr>
      <w:tr w14:paraId="3AC2F8E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99153CE">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029B588">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7CC98F13">
            <w:pPr>
              <w:jc w:val="cente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C8048D1">
            <w:pPr>
              <w:rPr>
                <w:rFonts w:ascii="宋体" w:hAnsi="宋体" w:cs="宋体"/>
                <w:color w:val="auto"/>
                <w:sz w:val="18"/>
                <w:szCs w:val="18"/>
                <w:highlight w:val="none"/>
              </w:rPr>
            </w:pPr>
            <w:r>
              <w:rPr>
                <w:rFonts w:ascii="宋体" w:hAnsi="宋体" w:cs="宋体"/>
                <w:color w:val="auto"/>
                <w:sz w:val="18"/>
                <w:szCs w:val="18"/>
                <w:highlight w:val="none"/>
              </w:rPr>
              <w:t>23.建立严格记录制度，定期清理腐败变质等感官性状异常食品、超过保质期等的相关产品。食品库无过期、变质及非食品物资</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F0FFCF">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ED78588">
            <w:pPr>
              <w:rPr>
                <w:rFonts w:ascii="宋体" w:hAnsi="宋体" w:cs="宋体"/>
                <w:color w:val="auto"/>
                <w:sz w:val="18"/>
                <w:szCs w:val="18"/>
                <w:highlight w:val="none"/>
              </w:rPr>
            </w:pPr>
            <w:r>
              <w:rPr>
                <w:rFonts w:hint="eastAsia" w:ascii="宋体" w:hAnsi="宋体" w:cs="宋体"/>
                <w:color w:val="auto"/>
                <w:sz w:val="18"/>
                <w:szCs w:val="18"/>
                <w:highlight w:val="none"/>
              </w:rPr>
              <w:t>发现感官性状异常食品的支付违约金</w:t>
            </w:r>
            <w:r>
              <w:rPr>
                <w:rFonts w:ascii="宋体" w:hAnsi="宋体" w:cs="宋体"/>
                <w:color w:val="auto"/>
                <w:sz w:val="18"/>
                <w:szCs w:val="18"/>
                <w:highlight w:val="none"/>
              </w:rPr>
              <w:t>5000元/次，发现腐败变质或超过保质期的相关产品的支付违约金10000元/次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547A34">
            <w:pPr>
              <w:rPr>
                <w:rFonts w:ascii="宋体" w:hAnsi="宋体" w:cs="宋体"/>
                <w:color w:val="auto"/>
                <w:sz w:val="18"/>
                <w:szCs w:val="18"/>
                <w:highlight w:val="none"/>
              </w:rPr>
            </w:pPr>
            <w:r>
              <w:rPr>
                <w:rFonts w:hint="eastAsia" w:ascii="宋体" w:hAnsi="宋体" w:cs="宋体"/>
                <w:color w:val="auto"/>
                <w:sz w:val="18"/>
                <w:szCs w:val="18"/>
                <w:highlight w:val="none"/>
              </w:rPr>
              <w:t>发现感官性状异常或腐败变质或超过保质期的相关产品的，涉事当学期考核直接为不合格</w:t>
            </w:r>
          </w:p>
        </w:tc>
      </w:tr>
      <w:tr w14:paraId="6D9EFF9A">
        <w:tblPrEx>
          <w:tblCellMar>
            <w:top w:w="0" w:type="dxa"/>
            <w:left w:w="108" w:type="dxa"/>
            <w:bottom w:w="0" w:type="dxa"/>
            <w:right w:w="108" w:type="dxa"/>
          </w:tblCellMar>
        </w:tblPrEx>
        <w:trPr>
          <w:trHeight w:val="469"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76B6825">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CC6D018">
            <w:pPr>
              <w:rPr>
                <w:rFonts w:ascii="宋体" w:hAnsi="宋体" w:cs="宋体"/>
                <w:color w:val="auto"/>
                <w:sz w:val="18"/>
                <w:szCs w:val="18"/>
                <w:highlight w:val="none"/>
              </w:rPr>
            </w:pPr>
          </w:p>
        </w:tc>
        <w:tc>
          <w:tcPr>
            <w:tcW w:w="477" w:type="dxa"/>
            <w:tcBorders>
              <w:top w:val="single" w:color="auto" w:sz="4" w:space="0"/>
              <w:left w:val="single" w:color="auto" w:sz="4" w:space="0"/>
              <w:bottom w:val="single" w:color="auto" w:sz="4" w:space="0"/>
              <w:right w:val="single" w:color="auto" w:sz="4" w:space="0"/>
            </w:tcBorders>
            <w:noWrap w:val="0"/>
            <w:vAlign w:val="center"/>
          </w:tcPr>
          <w:p w14:paraId="02DD3AB9">
            <w:pP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CF0B79A">
            <w:pPr>
              <w:rPr>
                <w:rFonts w:ascii="宋体" w:hAnsi="宋体" w:cs="宋体"/>
                <w:color w:val="auto"/>
                <w:sz w:val="18"/>
                <w:szCs w:val="18"/>
                <w:highlight w:val="none"/>
              </w:rPr>
            </w:pPr>
            <w:r>
              <w:rPr>
                <w:rFonts w:ascii="宋体" w:hAnsi="宋体" w:cs="宋体"/>
                <w:color w:val="auto"/>
                <w:sz w:val="18"/>
                <w:szCs w:val="18"/>
                <w:highlight w:val="none"/>
              </w:rPr>
              <w:t>24.盛放食品（含半成品和成品）的容器、包装材料应符合食品安全相关规定。</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716D533">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5E51BED2">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272C2BD">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21840A">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11171CE8">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AA6BC5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E800C79">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B4A0113">
            <w:pPr>
              <w:jc w:val="center"/>
              <w:rPr>
                <w:rFonts w:ascii="宋体" w:hAnsi="宋体" w:cs="宋体"/>
                <w:color w:val="auto"/>
                <w:sz w:val="18"/>
                <w:szCs w:val="18"/>
                <w:highlight w:val="none"/>
              </w:rPr>
            </w:pPr>
            <w:r>
              <w:rPr>
                <w:rFonts w:hint="eastAsia" w:ascii="宋体" w:hAnsi="宋体" w:cs="宋体"/>
                <w:color w:val="auto"/>
                <w:sz w:val="18"/>
                <w:szCs w:val="18"/>
                <w:highlight w:val="none"/>
              </w:rPr>
              <w:t>加工</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286CE02">
            <w:pPr>
              <w:rPr>
                <w:rFonts w:ascii="宋体" w:hAnsi="宋体" w:cs="宋体"/>
                <w:color w:val="auto"/>
                <w:sz w:val="18"/>
                <w:szCs w:val="18"/>
                <w:highlight w:val="none"/>
              </w:rPr>
            </w:pPr>
            <w:r>
              <w:rPr>
                <w:rFonts w:ascii="宋体" w:hAnsi="宋体" w:cs="宋体"/>
                <w:color w:val="auto"/>
                <w:sz w:val="18"/>
                <w:szCs w:val="18"/>
                <w:highlight w:val="none"/>
              </w:rPr>
              <w:t>25.食品加工应做到流程合理，操作规范。食品加工、存放、陈列、转运等设施设备应当定期维护、清洗、消毒；保温、冷藏和冷冻设施应当定期清洗、校验。食堂应当设置专用操作区，制定并在显著位置公示加工制作操作规范；备餐操作时应当避免食品受到污染。</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2DB8D4">
            <w:pPr>
              <w:rPr>
                <w:rFonts w:ascii="宋体" w:hAnsi="宋体" w:cs="宋体"/>
                <w:color w:val="auto"/>
                <w:sz w:val="18"/>
                <w:szCs w:val="18"/>
                <w:highlight w:val="none"/>
              </w:rPr>
            </w:pPr>
            <w:r>
              <w:rPr>
                <w:rFonts w:hint="eastAsia" w:ascii="宋体" w:hAnsi="宋体" w:cs="宋体"/>
                <w:color w:val="auto"/>
                <w:sz w:val="18"/>
                <w:szCs w:val="18"/>
                <w:highlight w:val="none"/>
              </w:rPr>
              <w:t>现场查看</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64304EB">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0E8CCB7">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2B034FBA">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77E639D">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4AB6BAF">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102DC938">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1BB8339">
            <w:pPr>
              <w:rPr>
                <w:rFonts w:ascii="宋体" w:hAnsi="宋体" w:cs="宋体"/>
                <w:color w:val="auto"/>
                <w:sz w:val="18"/>
                <w:szCs w:val="18"/>
                <w:highlight w:val="none"/>
              </w:rPr>
            </w:pPr>
            <w:r>
              <w:rPr>
                <w:rFonts w:ascii="宋体" w:hAnsi="宋体" w:cs="宋体"/>
                <w:color w:val="auto"/>
                <w:sz w:val="18"/>
                <w:szCs w:val="18"/>
                <w:highlight w:val="none"/>
              </w:rPr>
              <w:t>26.</w:t>
            </w:r>
            <w:r>
              <w:rPr>
                <w:rFonts w:hint="eastAsia" w:ascii="宋体" w:hAnsi="宋体" w:cs="宋体"/>
                <w:color w:val="auto"/>
                <w:sz w:val="18"/>
                <w:szCs w:val="18"/>
                <w:highlight w:val="none"/>
              </w:rPr>
              <w:t>各类主副食应按照规范的配比标准加工（具体配比标准按照学校相关要求执行），菜品主辅料用量应符合学校相关要求或食堂报备标准。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5283D0">
            <w:pPr>
              <w:rPr>
                <w:rFonts w:ascii="宋体" w:hAnsi="宋体" w:cs="宋体"/>
                <w:color w:val="auto"/>
                <w:sz w:val="18"/>
                <w:szCs w:val="18"/>
                <w:highlight w:val="none"/>
              </w:rPr>
            </w:pPr>
            <w:r>
              <w:rPr>
                <w:rFonts w:hint="eastAsia" w:ascii="宋体" w:hAnsi="宋体" w:cs="宋体"/>
                <w:color w:val="auto"/>
                <w:sz w:val="18"/>
                <w:szCs w:val="18"/>
                <w:highlight w:val="none"/>
              </w:rPr>
              <w:t>现场抽检</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447A10F">
            <w:pPr>
              <w:rPr>
                <w:rFonts w:ascii="宋体" w:hAnsi="宋体" w:cs="宋体"/>
                <w:color w:val="auto"/>
                <w:sz w:val="18"/>
                <w:szCs w:val="18"/>
                <w:highlight w:val="none"/>
              </w:rPr>
            </w:pPr>
            <w:r>
              <w:rPr>
                <w:rFonts w:hint="eastAsia" w:ascii="宋体" w:hAnsi="宋体" w:cs="宋体"/>
                <w:color w:val="auto"/>
                <w:sz w:val="18"/>
                <w:szCs w:val="18"/>
                <w:highlight w:val="none"/>
              </w:rPr>
              <w:t>不符合要求的每一品种支付违约金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4C1077">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43CA4576">
        <w:tblPrEx>
          <w:tblCellMar>
            <w:top w:w="0" w:type="dxa"/>
            <w:left w:w="108" w:type="dxa"/>
            <w:bottom w:w="0" w:type="dxa"/>
            <w:right w:w="108" w:type="dxa"/>
          </w:tblCellMar>
        </w:tblPrEx>
        <w:trPr>
          <w:trHeight w:val="7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C5EB44B">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21DAFD0">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6204E242">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06DFB21">
            <w:pPr>
              <w:rPr>
                <w:rFonts w:ascii="宋体" w:hAnsi="宋体" w:cs="宋体"/>
                <w:color w:val="auto"/>
                <w:sz w:val="18"/>
                <w:szCs w:val="18"/>
                <w:highlight w:val="none"/>
              </w:rPr>
            </w:pPr>
            <w:r>
              <w:rPr>
                <w:rFonts w:ascii="宋体" w:hAnsi="宋体" w:cs="宋体"/>
                <w:color w:val="auto"/>
                <w:sz w:val="18"/>
                <w:szCs w:val="18"/>
                <w:highlight w:val="none"/>
              </w:rPr>
              <w:t>27.制售冷食类食品、生食类食品、裱花蛋糕、现</w:t>
            </w:r>
            <w:r>
              <w:rPr>
                <w:rFonts w:hint="eastAsia" w:ascii="宋体" w:hAnsi="宋体" w:cs="宋体"/>
                <w:color w:val="auto"/>
                <w:sz w:val="18"/>
                <w:szCs w:val="18"/>
                <w:highlight w:val="none"/>
              </w:rPr>
              <w:t>榨果蔬汁等，应当按照有关要求设置专间或者专用操作区，专间应当在加工制作前进行消毒，并由专人加工操作；凉菜应由专间、专人和专用设施设备加工，凉菜间应安装空调。</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B8EC59">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668ACE0E">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6BA5855">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2000元/项/次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404B213">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2分/项/次</w:t>
            </w:r>
          </w:p>
        </w:tc>
      </w:tr>
      <w:tr w14:paraId="160CC431">
        <w:tblPrEx>
          <w:tblCellMar>
            <w:top w:w="0" w:type="dxa"/>
            <w:left w:w="108" w:type="dxa"/>
            <w:bottom w:w="0" w:type="dxa"/>
            <w:right w:w="108" w:type="dxa"/>
          </w:tblCellMar>
        </w:tblPrEx>
        <w:trPr>
          <w:trHeight w:val="91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5BF09F9">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11702C4">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5A40EFAE">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961C45C">
            <w:pPr>
              <w:rPr>
                <w:rFonts w:ascii="宋体" w:hAnsi="宋体" w:cs="宋体"/>
                <w:color w:val="auto"/>
                <w:sz w:val="18"/>
                <w:szCs w:val="18"/>
                <w:highlight w:val="none"/>
              </w:rPr>
            </w:pPr>
            <w:r>
              <w:rPr>
                <w:rFonts w:ascii="宋体" w:hAnsi="宋体" w:cs="宋体"/>
                <w:color w:val="auto"/>
                <w:sz w:val="18"/>
                <w:szCs w:val="18"/>
                <w:highlight w:val="none"/>
              </w:rPr>
              <w:t>28.加工生、熟、荤、素食品应做到用具分开、整洁、消毒、摆放整齐；用于加工动物性食品原料、植物性食品原料、水产品原料、半成品或者成品等的容器、工具应当从形状、材质、颜色、标识上明显区分，做到分开使用，固定存放，用后洗净并保持清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8673B49">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7082A706">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EA5103C">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A60CCE">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2分/次</w:t>
            </w:r>
          </w:p>
        </w:tc>
      </w:tr>
      <w:tr w14:paraId="56B3D636">
        <w:tblPrEx>
          <w:tblCellMar>
            <w:top w:w="0" w:type="dxa"/>
            <w:left w:w="108" w:type="dxa"/>
            <w:bottom w:w="0" w:type="dxa"/>
            <w:right w:w="108" w:type="dxa"/>
          </w:tblCellMar>
        </w:tblPrEx>
        <w:trPr>
          <w:trHeight w:val="9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02B131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96D84D7">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2A54416C">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127660A0">
            <w:pPr>
              <w:rPr>
                <w:rFonts w:ascii="宋体" w:hAnsi="宋体" w:cs="宋体"/>
                <w:color w:val="auto"/>
                <w:sz w:val="18"/>
                <w:szCs w:val="18"/>
                <w:highlight w:val="none"/>
              </w:rPr>
            </w:pPr>
            <w:r>
              <w:rPr>
                <w:rFonts w:ascii="宋体" w:hAnsi="宋体" w:cs="宋体"/>
                <w:color w:val="auto"/>
                <w:sz w:val="18"/>
                <w:szCs w:val="18"/>
                <w:highlight w:val="none"/>
              </w:rPr>
              <w:t>29.严格按照添加剂使用规范执行。不得采购、贮存、使用亚硝酸盐（包括亚硝酸钠、亚硝酸钾）和脱氢乙酸钠，食品添加剂应当专人专柜（位）保管，按照有关规定做到标识清晰、计量使用、专册记录。</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473A9B">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138010A9">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130454C">
            <w:pPr>
              <w:rPr>
                <w:rFonts w:ascii="宋体" w:hAnsi="宋体" w:cs="宋体"/>
                <w:color w:val="auto"/>
                <w:sz w:val="18"/>
                <w:szCs w:val="18"/>
                <w:highlight w:val="none"/>
              </w:rPr>
            </w:pPr>
            <w:r>
              <w:rPr>
                <w:rFonts w:hint="eastAsia" w:ascii="宋体" w:hAnsi="宋体" w:cs="宋体"/>
                <w:color w:val="auto"/>
                <w:sz w:val="18"/>
                <w:szCs w:val="18"/>
                <w:highlight w:val="none"/>
              </w:rPr>
              <w:t>不符合要求的首次支付违约金</w:t>
            </w:r>
            <w:r>
              <w:rPr>
                <w:rFonts w:ascii="宋体" w:hAnsi="宋体" w:cs="宋体"/>
                <w:color w:val="auto"/>
                <w:sz w:val="18"/>
                <w:szCs w:val="18"/>
                <w:highlight w:val="none"/>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5BE08E">
            <w:pPr>
              <w:rPr>
                <w:rFonts w:ascii="宋体" w:hAnsi="宋体" w:cs="宋体"/>
                <w:color w:val="auto"/>
                <w:sz w:val="18"/>
                <w:szCs w:val="18"/>
                <w:highlight w:val="none"/>
              </w:rPr>
            </w:pPr>
            <w:r>
              <w:rPr>
                <w:rFonts w:hint="eastAsia" w:ascii="宋体" w:hAnsi="宋体" w:cs="宋体"/>
                <w:color w:val="auto"/>
                <w:sz w:val="18"/>
                <w:szCs w:val="18"/>
                <w:highlight w:val="none"/>
              </w:rPr>
              <w:t>首次扣</w:t>
            </w:r>
            <w:r>
              <w:rPr>
                <w:rFonts w:ascii="宋体" w:hAnsi="宋体" w:cs="宋体"/>
                <w:color w:val="auto"/>
                <w:sz w:val="18"/>
                <w:szCs w:val="18"/>
                <w:highlight w:val="none"/>
              </w:rPr>
              <w:t>5分元，第二次及以后，涉事当学期考核不合格。</w:t>
            </w:r>
          </w:p>
        </w:tc>
      </w:tr>
      <w:tr w14:paraId="4F2724A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D189293">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B3741AD">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7B47F5F7">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15B450E">
            <w:pPr>
              <w:rPr>
                <w:rFonts w:ascii="宋体" w:hAnsi="宋体" w:cs="宋体"/>
                <w:color w:val="auto"/>
                <w:sz w:val="18"/>
                <w:szCs w:val="18"/>
                <w:highlight w:val="none"/>
              </w:rPr>
            </w:pPr>
            <w:r>
              <w:rPr>
                <w:rFonts w:ascii="宋体" w:hAnsi="宋体" w:cs="宋体"/>
                <w:color w:val="auto"/>
                <w:sz w:val="18"/>
                <w:szCs w:val="18"/>
                <w:highlight w:val="none"/>
              </w:rPr>
              <w:t xml:space="preserve">30.餐饮具、盛放或接触直接入口食品的容器和工具使用前应消毒，使用后应及时洗净。 </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C789E6">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4F690973">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3C5E14D">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D2EC3C">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2分/次</w:t>
            </w:r>
          </w:p>
        </w:tc>
      </w:tr>
      <w:tr w14:paraId="3D7D20F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09726A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3CCAFCC">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59B8645">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9A2C521">
            <w:pPr>
              <w:rPr>
                <w:rFonts w:ascii="宋体" w:hAnsi="宋体" w:cs="宋体"/>
                <w:color w:val="auto"/>
                <w:sz w:val="18"/>
                <w:szCs w:val="18"/>
                <w:highlight w:val="none"/>
              </w:rPr>
            </w:pPr>
            <w:r>
              <w:rPr>
                <w:rFonts w:ascii="宋体" w:hAnsi="宋体" w:cs="宋体"/>
                <w:color w:val="auto"/>
                <w:sz w:val="18"/>
                <w:szCs w:val="18"/>
                <w:highlight w:val="none"/>
              </w:rPr>
              <w:t>31.清洗用水和使用的洗涤剂、消毒剂应当符合相关食品安全国家标准和有关规定。严格按照洗涤剂、消毒剂的使用说明进行操作。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B8E07F">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6E5D3711">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F66FE2A">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C4D051">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5分/次</w:t>
            </w:r>
          </w:p>
        </w:tc>
      </w:tr>
      <w:tr w14:paraId="30EDB0DB">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14B80E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F876CD3">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D21D18C">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CC76EB2">
            <w:pPr>
              <w:rPr>
                <w:rFonts w:ascii="宋体" w:hAnsi="宋体" w:cs="宋体"/>
                <w:color w:val="auto"/>
                <w:sz w:val="18"/>
                <w:szCs w:val="18"/>
                <w:highlight w:val="none"/>
              </w:rPr>
            </w:pPr>
            <w:r>
              <w:rPr>
                <w:rFonts w:ascii="宋体" w:hAnsi="宋体" w:cs="宋体"/>
                <w:color w:val="auto"/>
                <w:sz w:val="18"/>
                <w:szCs w:val="18"/>
                <w:highlight w:val="none"/>
              </w:rPr>
              <w:t>32.按规定进行菜品留样，由专人管理，做好留样及销毁记录，记录内容包括留样食品名称、留样时间（月、日、时、分）、留样人员、留样重量(不少于125克)、销毁时间、销毁人，在专用冷藏设备中冷藏存放48小时以上。食堂批量加工制售的热食、非即</w:t>
            </w:r>
            <w:r>
              <w:rPr>
                <w:rFonts w:hint="eastAsia" w:ascii="宋体" w:hAnsi="宋体" w:cs="宋体"/>
                <w:color w:val="auto"/>
                <w:sz w:val="18"/>
                <w:szCs w:val="18"/>
                <w:highlight w:val="none"/>
              </w:rPr>
              <w:t>做即售的热食、冷食类食品、生食类食品、裱花蛋糕应当按照前款规定留样，其他加工食品根据相关规定留样。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060CCD">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6E55567">
            <w:pPr>
              <w:rPr>
                <w:rFonts w:ascii="宋体" w:hAnsi="宋体" w:cs="宋体"/>
                <w:color w:val="auto"/>
                <w:sz w:val="18"/>
                <w:szCs w:val="18"/>
                <w:highlight w:val="none"/>
              </w:rPr>
            </w:pPr>
            <w:r>
              <w:rPr>
                <w:rFonts w:hint="eastAsia" w:ascii="宋体" w:hAnsi="宋体" w:cs="宋体"/>
                <w:color w:val="auto"/>
                <w:sz w:val="18"/>
                <w:szCs w:val="18"/>
                <w:highlight w:val="none"/>
              </w:rPr>
              <w:t>不符合要求的首次支付违约金</w:t>
            </w:r>
            <w:r>
              <w:rPr>
                <w:rFonts w:ascii="宋体" w:hAnsi="宋体" w:cs="宋体"/>
                <w:color w:val="auto"/>
                <w:sz w:val="18"/>
                <w:szCs w:val="18"/>
                <w:highlight w:val="none"/>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35BCD3E">
            <w:pPr>
              <w:rPr>
                <w:rFonts w:ascii="宋体" w:hAnsi="宋体" w:cs="宋体"/>
                <w:color w:val="auto"/>
                <w:sz w:val="18"/>
                <w:szCs w:val="18"/>
                <w:highlight w:val="none"/>
              </w:rPr>
            </w:pPr>
            <w:r>
              <w:rPr>
                <w:rFonts w:hint="eastAsia" w:ascii="宋体" w:hAnsi="宋体" w:cs="宋体"/>
                <w:color w:val="auto"/>
                <w:sz w:val="18"/>
                <w:szCs w:val="18"/>
                <w:highlight w:val="none"/>
              </w:rPr>
              <w:t>首次扣</w:t>
            </w:r>
            <w:r>
              <w:rPr>
                <w:rFonts w:ascii="宋体" w:hAnsi="宋体" w:cs="宋体"/>
                <w:color w:val="auto"/>
                <w:sz w:val="18"/>
                <w:szCs w:val="18"/>
                <w:highlight w:val="none"/>
              </w:rPr>
              <w:t>1分元，第二次及以后扣5分/次</w:t>
            </w:r>
          </w:p>
        </w:tc>
      </w:tr>
      <w:tr w14:paraId="118E6A35">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2DF1CF4">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158E659C">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9CAF5E0">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F6D48E4">
            <w:pPr>
              <w:rPr>
                <w:rFonts w:ascii="宋体" w:hAnsi="宋体" w:cs="宋体"/>
                <w:color w:val="auto"/>
                <w:sz w:val="18"/>
                <w:szCs w:val="18"/>
                <w:highlight w:val="none"/>
              </w:rPr>
            </w:pPr>
            <w:r>
              <w:rPr>
                <w:rFonts w:ascii="宋体" w:hAnsi="宋体" w:cs="宋体"/>
                <w:color w:val="auto"/>
                <w:sz w:val="18"/>
                <w:szCs w:val="18"/>
                <w:highlight w:val="none"/>
              </w:rPr>
              <w:t>33.食堂定期做好消毒工作，三防等设施设备能正常使用，并有设施设备维护记录。</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CF1FF93">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A684D58">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2000元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BFC824E">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0AAEEF8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FE92FE3">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75CB8E4">
            <w:pPr>
              <w:rPr>
                <w:rFonts w:ascii="宋体" w:hAnsi="宋体" w:cs="宋体"/>
                <w:color w:val="auto"/>
                <w:sz w:val="18"/>
                <w:szCs w:val="18"/>
                <w:highlight w:val="none"/>
              </w:rPr>
            </w:pP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9B6A09C">
            <w:pPr>
              <w:jc w:val="center"/>
              <w:rPr>
                <w:rFonts w:ascii="宋体" w:hAnsi="宋体" w:cs="宋体"/>
                <w:color w:val="auto"/>
                <w:sz w:val="18"/>
                <w:szCs w:val="18"/>
                <w:highlight w:val="none"/>
              </w:rPr>
            </w:pPr>
            <w:r>
              <w:rPr>
                <w:rFonts w:hint="eastAsia" w:ascii="宋体" w:hAnsi="宋体" w:cs="宋体"/>
                <w:color w:val="auto"/>
                <w:sz w:val="18"/>
                <w:szCs w:val="18"/>
                <w:highlight w:val="none"/>
              </w:rPr>
              <w:t>出售</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C954992">
            <w:pPr>
              <w:rPr>
                <w:rFonts w:ascii="宋体" w:hAnsi="宋体" w:cs="宋体"/>
                <w:color w:val="auto"/>
                <w:sz w:val="18"/>
                <w:szCs w:val="18"/>
                <w:highlight w:val="none"/>
              </w:rPr>
            </w:pPr>
            <w:r>
              <w:rPr>
                <w:rFonts w:ascii="宋体" w:hAnsi="宋体" w:cs="宋体"/>
                <w:color w:val="auto"/>
                <w:sz w:val="18"/>
                <w:szCs w:val="18"/>
                <w:highlight w:val="none"/>
              </w:rPr>
              <w:t>34.在售饭菜应明码实价，价实相符，菜牌齐全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5EBE218">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7AA5EE4">
            <w:pPr>
              <w:rPr>
                <w:rFonts w:ascii="宋体" w:hAnsi="宋体" w:eastAsia="方正仿宋_GBK" w:cs="宋体"/>
                <w:color w:val="auto"/>
                <w:sz w:val="18"/>
                <w:szCs w:val="18"/>
                <w:highlight w:val="none"/>
              </w:rPr>
            </w:pPr>
            <w:r>
              <w:rPr>
                <w:rFonts w:hint="eastAsia" w:ascii="宋体" w:hAnsi="宋体" w:cs="宋体"/>
                <w:color w:val="auto"/>
                <w:sz w:val="18"/>
                <w:szCs w:val="18"/>
                <w:highlight w:val="none"/>
              </w:rPr>
              <w:t>不符合要求的首次每项支付违约金</w:t>
            </w:r>
            <w:r>
              <w:rPr>
                <w:rFonts w:ascii="宋体" w:hAnsi="宋体" w:cs="宋体"/>
                <w:color w:val="auto"/>
                <w:sz w:val="18"/>
                <w:szCs w:val="18"/>
                <w:highlight w:val="none"/>
              </w:rPr>
              <w:t>1000元/项/次，第二次及以后每项支付违约金2000元/项/次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B1E9CD">
            <w:pPr>
              <w:rPr>
                <w:rFonts w:ascii="宋体" w:hAnsi="宋体" w:cs="宋体"/>
                <w:color w:val="auto"/>
                <w:sz w:val="18"/>
                <w:szCs w:val="18"/>
                <w:highlight w:val="none"/>
              </w:rPr>
            </w:pPr>
            <w:r>
              <w:rPr>
                <w:rFonts w:hint="eastAsia" w:ascii="宋体" w:hAnsi="宋体" w:cs="宋体"/>
                <w:color w:val="auto"/>
                <w:sz w:val="18"/>
                <w:szCs w:val="18"/>
                <w:highlight w:val="none"/>
              </w:rPr>
              <w:t>首次每项扣</w:t>
            </w:r>
            <w:r>
              <w:rPr>
                <w:rFonts w:ascii="宋体" w:hAnsi="宋体" w:cs="宋体"/>
                <w:color w:val="auto"/>
                <w:sz w:val="18"/>
                <w:szCs w:val="18"/>
                <w:highlight w:val="none"/>
              </w:rPr>
              <w:t>1分，第二次及以后扣1分/项/次</w:t>
            </w:r>
          </w:p>
        </w:tc>
      </w:tr>
      <w:tr w14:paraId="7C3C9F0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7ADA4B">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969C4E8">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01A1E7C">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E02EE28">
            <w:pPr>
              <w:rPr>
                <w:rFonts w:ascii="宋体" w:hAnsi="宋体" w:cs="宋体"/>
                <w:color w:val="auto"/>
                <w:sz w:val="18"/>
                <w:szCs w:val="18"/>
                <w:highlight w:val="none"/>
              </w:rPr>
            </w:pPr>
            <w:r>
              <w:rPr>
                <w:rFonts w:ascii="宋体" w:hAnsi="宋体" w:cs="宋体"/>
                <w:color w:val="auto"/>
                <w:sz w:val="18"/>
                <w:szCs w:val="18"/>
                <w:highlight w:val="none"/>
              </w:rPr>
              <w:t>35.饭菜售卖计量计价准确</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9E4764C">
            <w:pPr>
              <w:rPr>
                <w:rFonts w:ascii="宋体" w:hAnsi="宋体" w:cs="宋体"/>
                <w:color w:val="auto"/>
                <w:sz w:val="18"/>
                <w:szCs w:val="18"/>
                <w:highlight w:val="none"/>
              </w:rPr>
            </w:pPr>
            <w:r>
              <w:rPr>
                <w:rFonts w:hint="eastAsia" w:ascii="宋体" w:hAnsi="宋体" w:cs="宋体"/>
                <w:color w:val="auto"/>
                <w:sz w:val="18"/>
                <w:szCs w:val="18"/>
                <w:highlight w:val="none"/>
              </w:rPr>
              <w:t>现场检查或投诉核实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1507880">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不符合要求每次支付违约金</w:t>
            </w:r>
            <w:r>
              <w:rPr>
                <w:rFonts w:ascii="宋体" w:hAnsi="宋体" w:cs="宋体"/>
                <w:color w:val="auto"/>
                <w:sz w:val="18"/>
                <w:szCs w:val="18"/>
                <w:highlight w:val="none"/>
              </w:rPr>
              <w:t>2000元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5D3135F">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1FD1AEC2">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82B154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F15CDB0">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1951C10">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1E515A6">
            <w:pPr>
              <w:rPr>
                <w:rFonts w:ascii="宋体" w:hAnsi="宋体" w:cs="宋体"/>
                <w:color w:val="auto"/>
                <w:sz w:val="18"/>
                <w:szCs w:val="18"/>
                <w:highlight w:val="none"/>
              </w:rPr>
            </w:pPr>
            <w:r>
              <w:rPr>
                <w:rFonts w:ascii="宋体" w:hAnsi="宋体" w:cs="宋体"/>
                <w:color w:val="auto"/>
                <w:sz w:val="18"/>
                <w:szCs w:val="18"/>
                <w:highlight w:val="none"/>
              </w:rPr>
              <w:t>36.不应出售夹生、未熟食品，饭菜中应无泥沙、钢丝、虫子等异物</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362A6F9">
            <w:pPr>
              <w:rPr>
                <w:rFonts w:ascii="宋体" w:hAnsi="宋体" w:cs="宋体"/>
                <w:color w:val="auto"/>
                <w:sz w:val="18"/>
                <w:szCs w:val="18"/>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56BF8F7">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E00CDB">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4145EAF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7D53B47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E081D96">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5907AE41">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0BA070DD">
            <w:pPr>
              <w:rPr>
                <w:rFonts w:ascii="宋体" w:hAnsi="宋体" w:cs="宋体"/>
                <w:color w:val="auto"/>
                <w:sz w:val="18"/>
                <w:szCs w:val="18"/>
                <w:highlight w:val="none"/>
              </w:rPr>
            </w:pPr>
            <w:r>
              <w:rPr>
                <w:rFonts w:ascii="宋体" w:hAnsi="宋体" w:cs="宋体"/>
                <w:color w:val="auto"/>
                <w:sz w:val="18"/>
                <w:szCs w:val="18"/>
                <w:highlight w:val="none"/>
              </w:rPr>
              <w:t>37.不提供霉烂变质食物</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883641E">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36C6F37">
            <w:pPr>
              <w:rPr>
                <w:rFonts w:ascii="宋体" w:hAnsi="宋体" w:cs="宋体"/>
                <w:color w:val="auto"/>
                <w:sz w:val="18"/>
                <w:szCs w:val="18"/>
                <w:highlight w:val="none"/>
              </w:rPr>
            </w:pPr>
            <w:r>
              <w:rPr>
                <w:rFonts w:hint="eastAsia" w:ascii="宋体" w:hAnsi="宋体" w:cs="宋体"/>
                <w:color w:val="auto"/>
                <w:sz w:val="18"/>
                <w:szCs w:val="18"/>
                <w:highlight w:val="none"/>
              </w:rPr>
              <w:t>查实后每次支付违约金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E865BDA">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5分/次</w:t>
            </w:r>
          </w:p>
        </w:tc>
      </w:tr>
      <w:tr w14:paraId="649AA2F5">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19F6D9F">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190E80A">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159493F8">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E9B7EC3">
            <w:pPr>
              <w:rPr>
                <w:rFonts w:ascii="宋体" w:hAnsi="宋体" w:cs="宋体"/>
                <w:color w:val="auto"/>
                <w:sz w:val="18"/>
                <w:szCs w:val="18"/>
                <w:highlight w:val="none"/>
              </w:rPr>
            </w:pPr>
            <w:r>
              <w:rPr>
                <w:rFonts w:ascii="宋体" w:hAnsi="宋体" w:cs="宋体"/>
                <w:color w:val="auto"/>
                <w:sz w:val="18"/>
                <w:szCs w:val="18"/>
                <w:highlight w:val="none"/>
              </w:rPr>
              <w:t>38.餐厅内外、厨房、操作间、库房等场所应保持卫生、整洁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6EC54A">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CADAFB9">
            <w:pPr>
              <w:rPr>
                <w:rFonts w:ascii="宋体" w:hAnsi="宋体" w:cs="宋体"/>
                <w:color w:val="auto"/>
                <w:sz w:val="18"/>
                <w:szCs w:val="18"/>
                <w:highlight w:val="none"/>
              </w:rPr>
            </w:pPr>
            <w:r>
              <w:rPr>
                <w:rFonts w:hint="eastAsia" w:ascii="宋体" w:hAnsi="宋体" w:cs="宋体"/>
                <w:color w:val="auto"/>
                <w:sz w:val="18"/>
                <w:szCs w:val="18"/>
                <w:highlight w:val="none"/>
              </w:rPr>
              <w:t>不符合要求的每项支付违约金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93D8B4">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7DA3C39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E9BBEE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6630E64">
            <w:pPr>
              <w:rPr>
                <w:rFonts w:ascii="宋体" w:hAnsi="宋体" w:cs="宋体"/>
                <w:color w:val="auto"/>
                <w:sz w:val="18"/>
                <w:szCs w:val="18"/>
                <w:highlight w:val="none"/>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6DCCB5DF">
            <w:pPr>
              <w:rPr>
                <w:rFonts w:ascii="宋体" w:hAnsi="宋体" w:cs="宋体"/>
                <w:color w:val="auto"/>
                <w:sz w:val="18"/>
                <w:szCs w:val="18"/>
                <w:highlight w:val="none"/>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E5582D1">
            <w:pPr>
              <w:rPr>
                <w:rFonts w:ascii="宋体" w:hAnsi="宋体" w:cs="宋体"/>
                <w:color w:val="auto"/>
                <w:sz w:val="18"/>
                <w:szCs w:val="18"/>
                <w:highlight w:val="none"/>
              </w:rPr>
            </w:pPr>
            <w:r>
              <w:rPr>
                <w:rFonts w:ascii="宋体" w:hAnsi="宋体" w:cs="宋体"/>
                <w:color w:val="auto"/>
                <w:sz w:val="18"/>
                <w:szCs w:val="18"/>
                <w:highlight w:val="none"/>
              </w:rPr>
              <w:t>39.食堂内外按照垃圾分类要求设置垃圾桶。应当设置专门的餐厨废弃物收集设施并明显标识，按照规定收集、存放、回收餐厨废弃物、废弃油脂，并建立相</w:t>
            </w:r>
            <w:r>
              <w:rPr>
                <w:rFonts w:hint="eastAsia" w:ascii="宋体" w:hAnsi="宋体" w:cs="宋体"/>
                <w:color w:val="auto"/>
                <w:sz w:val="18"/>
                <w:szCs w:val="18"/>
                <w:highlight w:val="none"/>
              </w:rPr>
              <w:t>关制度及台账，及时按照相关规定处置餐厨垃圾，不得私自处理。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652086">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36117573">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A648415">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1000元/项/次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2E70154">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1分/项/次</w:t>
            </w:r>
          </w:p>
        </w:tc>
      </w:tr>
      <w:tr w14:paraId="7C74B81C">
        <w:tblPrEx>
          <w:tblCellMar>
            <w:top w:w="0" w:type="dxa"/>
            <w:left w:w="108" w:type="dxa"/>
            <w:bottom w:w="0" w:type="dxa"/>
            <w:right w:w="108" w:type="dxa"/>
          </w:tblCellMar>
        </w:tblPrEx>
        <w:trPr>
          <w:trHeight w:val="645"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170D1AA8">
            <w:pPr>
              <w:rPr>
                <w:rFonts w:ascii="宋体" w:hAnsi="宋体" w:cs="宋体"/>
                <w:color w:val="auto"/>
                <w:sz w:val="18"/>
                <w:szCs w:val="18"/>
                <w:highlight w:val="none"/>
              </w:rPr>
            </w:pPr>
            <w:r>
              <w:rPr>
                <w:rFonts w:hint="eastAsia" w:ascii="宋体" w:hAnsi="宋体" w:cs="宋体"/>
                <w:color w:val="auto"/>
                <w:sz w:val="18"/>
                <w:szCs w:val="18"/>
                <w:highlight w:val="none"/>
              </w:rPr>
              <w:t>三</w:t>
            </w:r>
          </w:p>
        </w:tc>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0FDAE11B">
            <w:pPr>
              <w:rPr>
                <w:rFonts w:ascii="宋体" w:hAnsi="宋体" w:cs="宋体"/>
                <w:color w:val="auto"/>
                <w:sz w:val="18"/>
                <w:szCs w:val="18"/>
                <w:highlight w:val="none"/>
              </w:rPr>
            </w:pPr>
            <w:r>
              <w:rPr>
                <w:rFonts w:hint="eastAsia" w:ascii="宋体" w:hAnsi="宋体" w:cs="宋体"/>
                <w:color w:val="auto"/>
                <w:sz w:val="18"/>
                <w:szCs w:val="18"/>
                <w:highlight w:val="none"/>
              </w:rPr>
              <w:t>服务质量</w:t>
            </w:r>
          </w:p>
          <w:p w14:paraId="2007B1E2">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FD94E18">
            <w:pPr>
              <w:rPr>
                <w:rFonts w:ascii="宋体" w:hAnsi="宋体" w:cs="宋体"/>
                <w:color w:val="auto"/>
                <w:sz w:val="18"/>
                <w:szCs w:val="18"/>
                <w:highlight w:val="none"/>
              </w:rPr>
            </w:pPr>
            <w:r>
              <w:rPr>
                <w:rFonts w:ascii="宋体" w:hAnsi="宋体" w:cs="宋体"/>
                <w:color w:val="auto"/>
                <w:sz w:val="18"/>
                <w:szCs w:val="18"/>
                <w:highlight w:val="none"/>
              </w:rPr>
              <w:t>40.食堂从业人员应掌握有关食品安全、生产安全基本知识和相关法律法规要求；食堂对员工进行安全、消防、卫生、服务等方面知识进行培训和考核。</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AE37DF">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56FD729A">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7CB36CF">
            <w:pPr>
              <w:rPr>
                <w:rFonts w:ascii="宋体" w:hAnsi="宋体" w:cs="宋体"/>
                <w:color w:val="auto"/>
                <w:sz w:val="18"/>
                <w:szCs w:val="18"/>
                <w:highlight w:val="none"/>
              </w:rPr>
            </w:pPr>
            <w:r>
              <w:rPr>
                <w:rFonts w:hint="eastAsia" w:ascii="宋体" w:hAnsi="宋体" w:cs="宋体"/>
                <w:color w:val="auto"/>
                <w:sz w:val="18"/>
                <w:szCs w:val="18"/>
                <w:highlight w:val="none"/>
              </w:rPr>
              <w:t>不符合要求的支付违约金</w:t>
            </w:r>
            <w:r>
              <w:rPr>
                <w:rFonts w:ascii="宋体" w:hAnsi="宋体" w:cs="宋体"/>
                <w:color w:val="auto"/>
                <w:sz w:val="18"/>
                <w:szCs w:val="18"/>
                <w:highlight w:val="none"/>
              </w:rPr>
              <w:t>1000元/人次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2973B90">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1分/人次</w:t>
            </w:r>
          </w:p>
        </w:tc>
      </w:tr>
      <w:tr w14:paraId="351CD13A">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1CCB2C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A54C784">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CBBFF2A">
            <w:pPr>
              <w:rPr>
                <w:rFonts w:ascii="宋体" w:hAnsi="宋体" w:cs="宋体"/>
                <w:color w:val="auto"/>
                <w:sz w:val="18"/>
                <w:szCs w:val="18"/>
                <w:highlight w:val="none"/>
              </w:rPr>
            </w:pPr>
            <w:r>
              <w:rPr>
                <w:rFonts w:ascii="宋体" w:hAnsi="宋体" w:cs="宋体"/>
                <w:color w:val="auto"/>
                <w:sz w:val="18"/>
                <w:szCs w:val="18"/>
                <w:highlight w:val="none"/>
              </w:rPr>
              <w:t>41.食堂从业人员应养成良好卫生习惯，工作场所不吸烟，</w:t>
            </w:r>
            <w:r>
              <w:rPr>
                <w:rFonts w:hint="eastAsia" w:ascii="宋体" w:hAnsi="宋体" w:cs="宋体"/>
                <w:color w:val="auto"/>
                <w:sz w:val="18"/>
                <w:szCs w:val="18"/>
                <w:highlight w:val="none"/>
              </w:rPr>
              <w:t>不随地吐痰，不戴首饰上岗，长发不外露；所有人员必须穿食堂标志的工作服、仪表端庄，并佩戴工号牌、口罩及厨帽上岗。工作服不得穿到食堂之外的区域。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AA9C3F">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C4DC0A9">
            <w:pPr>
              <w:rPr>
                <w:rFonts w:ascii="宋体" w:hAnsi="宋体" w:cs="宋体"/>
                <w:color w:val="auto"/>
                <w:sz w:val="18"/>
                <w:szCs w:val="18"/>
                <w:highlight w:val="none"/>
              </w:rPr>
            </w:pPr>
            <w:r>
              <w:rPr>
                <w:rFonts w:hint="eastAsia" w:ascii="宋体" w:hAnsi="宋体" w:cs="宋体"/>
                <w:color w:val="auto"/>
                <w:sz w:val="18"/>
                <w:szCs w:val="18"/>
                <w:highlight w:val="none"/>
              </w:rPr>
              <w:t>不符合要求每人次支付违约金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8D104F1">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1分/人次</w:t>
            </w:r>
          </w:p>
        </w:tc>
      </w:tr>
      <w:tr w14:paraId="4372AA03">
        <w:tblPrEx>
          <w:tblCellMar>
            <w:top w:w="0" w:type="dxa"/>
            <w:left w:w="108" w:type="dxa"/>
            <w:bottom w:w="0" w:type="dxa"/>
            <w:right w:w="108" w:type="dxa"/>
          </w:tblCellMar>
        </w:tblPrEx>
        <w:trPr>
          <w:trHeight w:val="55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E096AE">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A2936EE">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704552D">
            <w:pPr>
              <w:rPr>
                <w:rFonts w:ascii="宋体" w:hAnsi="宋体" w:cs="宋体"/>
                <w:color w:val="auto"/>
                <w:sz w:val="18"/>
                <w:szCs w:val="18"/>
                <w:highlight w:val="none"/>
              </w:rPr>
            </w:pPr>
            <w:r>
              <w:rPr>
                <w:rFonts w:ascii="宋体" w:hAnsi="宋体" w:cs="宋体"/>
                <w:color w:val="auto"/>
                <w:sz w:val="18"/>
                <w:szCs w:val="18"/>
                <w:highlight w:val="none"/>
              </w:rPr>
              <w:t>42.应做到服务及操作程序规范，态度端正，主动热情，文明用语，不和他人发生争吵及正面冲突，上岗期间不做与工作无关的事。</w:t>
            </w:r>
          </w:p>
        </w:tc>
        <w:tc>
          <w:tcPr>
            <w:tcW w:w="709" w:type="dxa"/>
            <w:tcBorders>
              <w:top w:val="single" w:color="auto" w:sz="4" w:space="0"/>
              <w:left w:val="single" w:color="auto" w:sz="4" w:space="0"/>
              <w:bottom w:val="single" w:color="auto" w:sz="4" w:space="0"/>
              <w:right w:val="single" w:color="auto" w:sz="4" w:space="0"/>
            </w:tcBorders>
            <w:noWrap w:val="0"/>
            <w:vAlign w:val="bottom"/>
          </w:tcPr>
          <w:p w14:paraId="2A9E4273">
            <w:pPr>
              <w:rPr>
                <w:rFonts w:ascii="宋体" w:hAnsi="宋体" w:cs="宋体"/>
                <w:color w:val="auto"/>
                <w:sz w:val="18"/>
                <w:szCs w:val="18"/>
                <w:highlight w:val="none"/>
              </w:rPr>
            </w:pPr>
            <w:r>
              <w:rPr>
                <w:rFonts w:hint="eastAsia" w:ascii="宋体" w:hAnsi="宋体" w:cs="宋体"/>
                <w:color w:val="auto"/>
                <w:sz w:val="18"/>
                <w:szCs w:val="18"/>
                <w:highlight w:val="none"/>
              </w:rPr>
              <w:t>核实投诉</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3717867">
            <w:pPr>
              <w:rPr>
                <w:rFonts w:ascii="宋体" w:hAnsi="宋体" w:cs="宋体"/>
                <w:color w:val="auto"/>
                <w:sz w:val="18"/>
                <w:szCs w:val="18"/>
                <w:highlight w:val="none"/>
              </w:rPr>
            </w:pPr>
            <w:r>
              <w:rPr>
                <w:rFonts w:hint="eastAsia" w:ascii="宋体" w:hAnsi="宋体" w:cs="宋体"/>
                <w:color w:val="auto"/>
                <w:sz w:val="18"/>
                <w:szCs w:val="18"/>
                <w:highlight w:val="none"/>
              </w:rPr>
              <w:t>查实后每次支付违约金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CAC8B08">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1分/人次</w:t>
            </w:r>
          </w:p>
        </w:tc>
      </w:tr>
      <w:tr w14:paraId="0FE08126">
        <w:tblPrEx>
          <w:tblCellMar>
            <w:top w:w="0" w:type="dxa"/>
            <w:left w:w="108" w:type="dxa"/>
            <w:bottom w:w="0" w:type="dxa"/>
            <w:right w:w="108" w:type="dxa"/>
          </w:tblCellMar>
        </w:tblPrEx>
        <w:trPr>
          <w:trHeight w:val="51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F229C0">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03AF4BE">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C444718">
            <w:pPr>
              <w:rPr>
                <w:rFonts w:ascii="宋体" w:hAnsi="宋体" w:cs="宋体"/>
                <w:color w:val="auto"/>
                <w:sz w:val="18"/>
                <w:szCs w:val="18"/>
                <w:highlight w:val="none"/>
              </w:rPr>
            </w:pPr>
            <w:r>
              <w:rPr>
                <w:rFonts w:ascii="宋体" w:hAnsi="宋体" w:cs="宋体"/>
                <w:color w:val="auto"/>
                <w:sz w:val="18"/>
                <w:szCs w:val="18"/>
                <w:highlight w:val="none"/>
              </w:rPr>
              <w:t>43.应在食堂明显位置设有就餐投诉台(或设立意见箱、意见薄)、餐饮张贴信息化意见反馈系统二维码、失物招领台，及时处理就餐者投诉意见、建议，意见处理和失物招领过程记录清晰。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0915937">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3FC51E4">
            <w:pPr>
              <w:rPr>
                <w:rFonts w:ascii="宋体" w:hAnsi="宋体" w:cs="宋体"/>
                <w:color w:val="auto"/>
                <w:sz w:val="18"/>
                <w:szCs w:val="18"/>
                <w:highlight w:val="none"/>
              </w:rPr>
            </w:pPr>
            <w:r>
              <w:rPr>
                <w:rFonts w:hint="eastAsia" w:ascii="宋体" w:hAnsi="宋体" w:cs="宋体"/>
                <w:color w:val="auto"/>
                <w:sz w:val="18"/>
                <w:szCs w:val="18"/>
                <w:highlight w:val="none"/>
              </w:rPr>
              <w:t>不符合要求每次每件支付违约金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F6F970">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7FF06781">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98FFE6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CDCDDD2">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19A5B21">
            <w:pPr>
              <w:rPr>
                <w:rFonts w:ascii="宋体" w:hAnsi="宋体" w:cs="宋体"/>
                <w:color w:val="auto"/>
                <w:sz w:val="18"/>
                <w:szCs w:val="18"/>
                <w:highlight w:val="none"/>
              </w:rPr>
            </w:pPr>
            <w:r>
              <w:rPr>
                <w:rFonts w:ascii="宋体" w:hAnsi="宋体" w:cs="宋体"/>
                <w:color w:val="auto"/>
                <w:sz w:val="18"/>
                <w:szCs w:val="18"/>
                <w:highlight w:val="none"/>
              </w:rPr>
              <w:t>44.应在中、晚餐供应期间向就餐者提供免费汤，并派专人负责管理。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DDD9DF">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B26B606">
            <w:pPr>
              <w:rPr>
                <w:rFonts w:ascii="宋体" w:hAnsi="宋体" w:cs="宋体"/>
                <w:color w:val="auto"/>
                <w:sz w:val="18"/>
                <w:szCs w:val="18"/>
                <w:highlight w:val="none"/>
              </w:rPr>
            </w:pPr>
            <w:r>
              <w:rPr>
                <w:rFonts w:hint="eastAsia" w:ascii="宋体" w:hAnsi="宋体" w:cs="宋体"/>
                <w:color w:val="auto"/>
                <w:sz w:val="18"/>
                <w:szCs w:val="18"/>
                <w:highlight w:val="none"/>
              </w:rPr>
              <w:t>不符合要求的每项支付违约金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2B2FC0">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w:t>
            </w:r>
          </w:p>
        </w:tc>
      </w:tr>
      <w:tr w14:paraId="464F6A55">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311B03">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056EC4C">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4821643">
            <w:pPr>
              <w:rPr>
                <w:rFonts w:ascii="宋体" w:hAnsi="宋体" w:cs="宋体"/>
                <w:color w:val="auto"/>
                <w:sz w:val="18"/>
                <w:szCs w:val="18"/>
                <w:highlight w:val="none"/>
              </w:rPr>
            </w:pPr>
            <w:r>
              <w:rPr>
                <w:rFonts w:ascii="宋体" w:hAnsi="宋体" w:cs="宋体"/>
                <w:color w:val="auto"/>
                <w:sz w:val="18"/>
                <w:szCs w:val="18"/>
                <w:highlight w:val="none"/>
              </w:rPr>
              <w:t>45.严禁使用非“校园一卡通”刷卡消费模式，严禁使用现金、微信、支付宝等个人或私自收费方式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D2C176C">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DB9B828">
            <w:pPr>
              <w:rPr>
                <w:rFonts w:ascii="宋体" w:hAnsi="宋体" w:cs="宋体"/>
                <w:color w:val="auto"/>
                <w:sz w:val="18"/>
                <w:szCs w:val="18"/>
                <w:highlight w:val="none"/>
              </w:rPr>
            </w:pPr>
            <w:r>
              <w:rPr>
                <w:rFonts w:hint="eastAsia" w:ascii="宋体" w:hAnsi="宋体" w:cs="宋体"/>
                <w:color w:val="auto"/>
                <w:sz w:val="18"/>
                <w:szCs w:val="18"/>
                <w:highlight w:val="none"/>
              </w:rPr>
              <w:t>经查实后每次支付违约金</w:t>
            </w:r>
            <w:r>
              <w:rPr>
                <w:rFonts w:ascii="宋体" w:hAnsi="宋体" w:cs="宋体"/>
                <w:color w:val="auto"/>
                <w:sz w:val="18"/>
                <w:szCs w:val="18"/>
                <w:highlight w:val="none"/>
              </w:rPr>
              <w:t>20000元，若当月发现三次及以上违规交易的情况，按当月营业额的20%支付违约金。</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ECD9BA">
            <w:pPr>
              <w:rPr>
                <w:rFonts w:ascii="宋体" w:hAnsi="宋体" w:cs="宋体"/>
                <w:color w:val="auto"/>
                <w:sz w:val="18"/>
                <w:szCs w:val="18"/>
                <w:highlight w:val="none"/>
              </w:rPr>
            </w:pPr>
            <w:r>
              <w:rPr>
                <w:rFonts w:hint="eastAsia" w:ascii="宋体" w:hAnsi="宋体" w:cs="宋体"/>
                <w:color w:val="auto"/>
                <w:sz w:val="18"/>
                <w:szCs w:val="18"/>
                <w:highlight w:val="none"/>
              </w:rPr>
              <w:t>不符合要求前两次</w:t>
            </w:r>
            <w:r>
              <w:rPr>
                <w:rFonts w:ascii="宋体" w:hAnsi="宋体" w:cs="宋体"/>
                <w:color w:val="auto"/>
                <w:sz w:val="18"/>
                <w:szCs w:val="18"/>
                <w:highlight w:val="none"/>
              </w:rPr>
              <w:t>5分/次，第三次起当学期考核等次直接为不合格</w:t>
            </w:r>
          </w:p>
        </w:tc>
      </w:tr>
      <w:tr w14:paraId="3DF84E66">
        <w:tblPrEx>
          <w:tblCellMar>
            <w:top w:w="0" w:type="dxa"/>
            <w:left w:w="108" w:type="dxa"/>
            <w:bottom w:w="0" w:type="dxa"/>
            <w:right w:w="108" w:type="dxa"/>
          </w:tblCellMar>
        </w:tblPrEx>
        <w:trPr>
          <w:trHeight w:val="780"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72CB0C22">
            <w:pPr>
              <w:rPr>
                <w:rFonts w:ascii="宋体" w:hAnsi="宋体" w:cs="宋体"/>
                <w:color w:val="auto"/>
                <w:sz w:val="18"/>
                <w:szCs w:val="18"/>
                <w:highlight w:val="none"/>
              </w:rPr>
            </w:pPr>
            <w:r>
              <w:rPr>
                <w:rFonts w:hint="eastAsia" w:ascii="宋体" w:hAnsi="宋体" w:cs="宋体"/>
                <w:color w:val="auto"/>
                <w:sz w:val="18"/>
                <w:szCs w:val="18"/>
                <w:highlight w:val="none"/>
              </w:rPr>
              <w:t>四</w:t>
            </w:r>
          </w:p>
        </w:tc>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44B1150F">
            <w:pPr>
              <w:rPr>
                <w:rFonts w:ascii="宋体" w:hAnsi="宋体" w:cs="宋体"/>
                <w:color w:val="auto"/>
                <w:sz w:val="18"/>
                <w:szCs w:val="18"/>
                <w:highlight w:val="none"/>
              </w:rPr>
            </w:pPr>
            <w:r>
              <w:rPr>
                <w:rFonts w:hint="eastAsia" w:ascii="宋体" w:hAnsi="宋体" w:cs="宋体"/>
                <w:color w:val="auto"/>
                <w:sz w:val="18"/>
                <w:szCs w:val="18"/>
                <w:highlight w:val="none"/>
              </w:rPr>
              <w:t>经营秩序</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40F9BD9">
            <w:pPr>
              <w:rPr>
                <w:rFonts w:ascii="宋体" w:hAnsi="宋体" w:cs="宋体"/>
                <w:color w:val="auto"/>
                <w:sz w:val="18"/>
                <w:szCs w:val="18"/>
                <w:highlight w:val="none"/>
              </w:rPr>
            </w:pPr>
            <w:r>
              <w:rPr>
                <w:rFonts w:ascii="宋体" w:hAnsi="宋体" w:cs="宋体"/>
                <w:color w:val="auto"/>
                <w:sz w:val="18"/>
                <w:szCs w:val="18"/>
                <w:highlight w:val="none"/>
              </w:rPr>
              <w:t>46.食堂经营企业不得将食堂全部或者部分转包、分包、转租、转借或其他任意形式转交给任何单位或个人进行经营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597C50">
            <w:pPr>
              <w:rPr>
                <w:rFonts w:ascii="宋体" w:hAnsi="宋体" w:cs="宋体"/>
                <w:color w:val="auto"/>
                <w:sz w:val="18"/>
                <w:szCs w:val="18"/>
                <w:highlight w:val="none"/>
              </w:rPr>
            </w:pPr>
            <w:r>
              <w:rPr>
                <w:rFonts w:hint="eastAsia" w:ascii="宋体" w:hAnsi="宋体" w:cs="宋体"/>
                <w:color w:val="auto"/>
                <w:sz w:val="18"/>
                <w:szCs w:val="18"/>
                <w:highlight w:val="none"/>
              </w:rPr>
              <w:t>依据合同</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66AA4CD">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100000元并整改到位，学校有权解除合同。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330308">
            <w:pPr>
              <w:rPr>
                <w:rFonts w:ascii="宋体" w:hAnsi="宋体" w:cs="宋体"/>
                <w:color w:val="auto"/>
                <w:sz w:val="18"/>
                <w:szCs w:val="18"/>
                <w:highlight w:val="none"/>
              </w:rPr>
            </w:pPr>
            <w:r>
              <w:rPr>
                <w:rFonts w:hint="eastAsia" w:ascii="宋体" w:hAnsi="宋体" w:cs="宋体"/>
                <w:color w:val="auto"/>
                <w:sz w:val="18"/>
                <w:szCs w:val="18"/>
                <w:highlight w:val="none"/>
              </w:rPr>
              <w:t>不符合要求的，涉事当学期考核不合格。</w:t>
            </w:r>
          </w:p>
        </w:tc>
      </w:tr>
      <w:tr w14:paraId="65047C4E">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618E9E2">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78301F6">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C9172C6">
            <w:pPr>
              <w:rPr>
                <w:rFonts w:ascii="宋体" w:hAnsi="宋体" w:cs="宋体"/>
                <w:color w:val="auto"/>
                <w:sz w:val="18"/>
                <w:szCs w:val="18"/>
                <w:highlight w:val="none"/>
              </w:rPr>
            </w:pPr>
            <w:r>
              <w:rPr>
                <w:rFonts w:ascii="宋体" w:hAnsi="宋体" w:cs="宋体"/>
                <w:color w:val="auto"/>
                <w:sz w:val="18"/>
                <w:szCs w:val="18"/>
                <w:highlight w:val="none"/>
              </w:rPr>
              <w:t>47.应严格遵循报备的菜品价格，不得擅自变动食品售价。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1556D8">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4807761">
            <w:pPr>
              <w:rPr>
                <w:rFonts w:ascii="宋体" w:hAnsi="宋体" w:cs="宋体"/>
                <w:color w:val="auto"/>
                <w:sz w:val="18"/>
                <w:szCs w:val="18"/>
                <w:highlight w:val="none"/>
              </w:rPr>
            </w:pPr>
            <w:r>
              <w:rPr>
                <w:rFonts w:hint="eastAsia" w:ascii="宋体" w:hAnsi="宋体" w:cs="宋体"/>
                <w:color w:val="auto"/>
                <w:sz w:val="18"/>
                <w:szCs w:val="18"/>
                <w:highlight w:val="none"/>
              </w:rPr>
              <w:t>若擅自变更食品售价，每一菜品支付违约金</w:t>
            </w:r>
            <w:r>
              <w:rPr>
                <w:rFonts w:ascii="宋体" w:hAnsi="宋体" w:cs="宋体"/>
                <w:color w:val="auto"/>
                <w:sz w:val="18"/>
                <w:szCs w:val="18"/>
                <w:highlight w:val="none"/>
              </w:rPr>
              <w:t>5000元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33A2BD">
            <w:pPr>
              <w:rPr>
                <w:rFonts w:ascii="宋体" w:hAnsi="宋体" w:cs="宋体"/>
                <w:color w:val="auto"/>
                <w:sz w:val="18"/>
                <w:szCs w:val="18"/>
                <w:highlight w:val="none"/>
              </w:rPr>
            </w:pPr>
            <w:r>
              <w:rPr>
                <w:rFonts w:hint="eastAsia" w:ascii="宋体" w:hAnsi="宋体" w:cs="宋体"/>
                <w:color w:val="auto"/>
                <w:sz w:val="18"/>
                <w:szCs w:val="18"/>
                <w:highlight w:val="none"/>
              </w:rPr>
              <w:t>擅自变更食品售价的扣</w:t>
            </w:r>
            <w:r>
              <w:rPr>
                <w:rFonts w:ascii="宋体" w:hAnsi="宋体" w:cs="宋体"/>
                <w:color w:val="auto"/>
                <w:sz w:val="18"/>
                <w:szCs w:val="18"/>
                <w:highlight w:val="none"/>
              </w:rPr>
              <w:t>5分/种/次</w:t>
            </w:r>
          </w:p>
        </w:tc>
      </w:tr>
      <w:tr w14:paraId="12F09FE7">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13F66E7">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2450DCA">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29EC2D0">
            <w:pPr>
              <w:rPr>
                <w:rFonts w:ascii="宋体" w:hAnsi="宋体" w:cs="宋体"/>
                <w:color w:val="auto"/>
                <w:sz w:val="18"/>
                <w:szCs w:val="18"/>
                <w:highlight w:val="none"/>
              </w:rPr>
            </w:pPr>
            <w:r>
              <w:rPr>
                <w:rFonts w:ascii="宋体" w:hAnsi="宋体" w:cs="宋体"/>
                <w:color w:val="auto"/>
                <w:sz w:val="18"/>
                <w:szCs w:val="18"/>
                <w:highlight w:val="none"/>
              </w:rPr>
              <w:t>48.严格</w:t>
            </w:r>
            <w:r>
              <w:rPr>
                <w:rFonts w:hint="eastAsia" w:ascii="宋体" w:hAnsi="宋体" w:cs="宋体"/>
                <w:color w:val="auto"/>
                <w:sz w:val="18"/>
                <w:szCs w:val="18"/>
                <w:highlight w:val="none"/>
              </w:rPr>
              <w:t>按照食材配比制作，保证菜品质量；不出售隔夜菜。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5EACEF">
            <w:pPr>
              <w:rPr>
                <w:rFonts w:ascii="宋体" w:hAnsi="宋体" w:cs="宋体"/>
                <w:color w:val="auto"/>
                <w:sz w:val="18"/>
                <w:szCs w:val="18"/>
                <w:highlight w:val="none"/>
              </w:rPr>
            </w:pPr>
            <w:r>
              <w:rPr>
                <w:rFonts w:hint="eastAsia" w:ascii="宋体" w:hAnsi="宋体" w:cs="宋体"/>
                <w:color w:val="auto"/>
                <w:sz w:val="18"/>
                <w:szCs w:val="18"/>
                <w:highlight w:val="none"/>
              </w:rPr>
              <w:t>投诉</w:t>
            </w:r>
          </w:p>
          <w:p w14:paraId="552412CA">
            <w:pPr>
              <w:rPr>
                <w:rFonts w:ascii="宋体" w:hAnsi="宋体" w:cs="宋体"/>
                <w:color w:val="auto"/>
                <w:sz w:val="18"/>
                <w:szCs w:val="18"/>
                <w:highlight w:val="none"/>
              </w:rPr>
            </w:pPr>
            <w:r>
              <w:rPr>
                <w:rFonts w:hint="eastAsia" w:ascii="宋体" w:hAnsi="宋体" w:cs="宋体"/>
                <w:color w:val="auto"/>
                <w:sz w:val="18"/>
                <w:szCs w:val="18"/>
                <w:highlight w:val="none"/>
              </w:rPr>
              <w:t>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A0C3DF1">
            <w:pPr>
              <w:rPr>
                <w:rFonts w:ascii="宋体" w:hAnsi="宋体" w:cs="宋体"/>
                <w:color w:val="auto"/>
                <w:sz w:val="18"/>
                <w:szCs w:val="18"/>
                <w:highlight w:val="none"/>
              </w:rPr>
            </w:pPr>
            <w:r>
              <w:rPr>
                <w:rFonts w:hint="eastAsia" w:ascii="宋体" w:hAnsi="宋体" w:cs="宋体"/>
                <w:color w:val="auto"/>
                <w:sz w:val="18"/>
                <w:szCs w:val="18"/>
                <w:highlight w:val="none"/>
              </w:rPr>
              <w:t>不符合要求的每次支付违约金</w:t>
            </w:r>
            <w:r>
              <w:rPr>
                <w:rFonts w:ascii="宋体" w:hAnsi="宋体" w:cs="宋体"/>
                <w:color w:val="auto"/>
                <w:sz w:val="18"/>
                <w:szCs w:val="18"/>
                <w:highlight w:val="none"/>
              </w:rPr>
              <w:t>1000元/次；非当天加工的支付违约金5000元/次；引发舆情的</w:t>
            </w:r>
            <w:r>
              <w:rPr>
                <w:rFonts w:hint="eastAsia" w:ascii="宋体" w:hAnsi="宋体" w:cs="宋体"/>
                <w:color w:val="auto"/>
                <w:sz w:val="18"/>
                <w:szCs w:val="18"/>
                <w:highlight w:val="none"/>
              </w:rPr>
              <w:t>视影响支付违约金</w:t>
            </w:r>
            <w:r>
              <w:rPr>
                <w:rFonts w:ascii="宋体" w:hAnsi="宋体" w:cs="宋体"/>
                <w:color w:val="auto"/>
                <w:sz w:val="18"/>
                <w:szCs w:val="18"/>
                <w:highlight w:val="none"/>
              </w:rPr>
              <w:t>2000元-10000元/次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695F73A">
            <w:pPr>
              <w:rPr>
                <w:rFonts w:ascii="宋体" w:hAnsi="宋体" w:cs="宋体"/>
                <w:color w:val="auto"/>
                <w:sz w:val="18"/>
                <w:szCs w:val="18"/>
                <w:highlight w:val="none"/>
              </w:rPr>
            </w:pPr>
            <w:r>
              <w:rPr>
                <w:rFonts w:hint="eastAsia" w:ascii="宋体" w:hAnsi="宋体" w:cs="宋体"/>
                <w:color w:val="auto"/>
                <w:sz w:val="18"/>
                <w:szCs w:val="18"/>
                <w:highlight w:val="none"/>
              </w:rPr>
              <w:t>不符合要求的扣</w:t>
            </w:r>
            <w:r>
              <w:rPr>
                <w:rFonts w:ascii="宋体" w:hAnsi="宋体" w:cs="宋体"/>
                <w:color w:val="auto"/>
                <w:sz w:val="18"/>
                <w:szCs w:val="18"/>
                <w:highlight w:val="none"/>
              </w:rPr>
              <w:t>1分/次；非当天加工的扣1分/次；引发舆情的</w:t>
            </w:r>
            <w:r>
              <w:rPr>
                <w:rFonts w:hint="eastAsia" w:ascii="宋体" w:hAnsi="宋体" w:cs="宋体"/>
                <w:color w:val="auto"/>
                <w:sz w:val="18"/>
                <w:szCs w:val="18"/>
                <w:highlight w:val="none"/>
              </w:rPr>
              <w:t>视影响情况扣</w:t>
            </w:r>
            <w:r>
              <w:rPr>
                <w:rFonts w:ascii="宋体" w:hAnsi="宋体" w:cs="宋体"/>
                <w:color w:val="auto"/>
                <w:sz w:val="18"/>
                <w:szCs w:val="18"/>
                <w:highlight w:val="none"/>
              </w:rPr>
              <w:t>5分/次</w:t>
            </w:r>
          </w:p>
        </w:tc>
      </w:tr>
      <w:tr w14:paraId="7BAF2C6B">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B424E8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69F0209">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0D8358C">
            <w:pPr>
              <w:rPr>
                <w:rFonts w:ascii="宋体" w:hAnsi="宋体" w:cs="宋体"/>
                <w:color w:val="auto"/>
                <w:sz w:val="18"/>
                <w:szCs w:val="18"/>
                <w:highlight w:val="none"/>
              </w:rPr>
            </w:pPr>
            <w:r>
              <w:rPr>
                <w:rFonts w:ascii="宋体" w:hAnsi="宋体" w:cs="宋体"/>
                <w:color w:val="auto"/>
                <w:sz w:val="18"/>
                <w:szCs w:val="18"/>
                <w:highlight w:val="none"/>
              </w:rPr>
              <w:t>49.应遵守合同约定，不得超范围进行经营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188717">
            <w:pPr>
              <w:rPr>
                <w:rFonts w:ascii="宋体" w:hAnsi="宋体" w:cs="宋体"/>
                <w:color w:val="auto"/>
                <w:sz w:val="18"/>
                <w:szCs w:val="18"/>
                <w:highlight w:val="none"/>
              </w:rPr>
            </w:pPr>
            <w:r>
              <w:rPr>
                <w:rFonts w:hint="eastAsia" w:ascii="宋体" w:hAnsi="宋体" w:cs="宋体"/>
                <w:color w:val="auto"/>
                <w:sz w:val="18"/>
                <w:szCs w:val="18"/>
                <w:highlight w:val="none"/>
              </w:rPr>
              <w:t>依据合同</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9F40FD4">
            <w:pPr>
              <w:rPr>
                <w:rFonts w:ascii="宋体" w:hAnsi="宋体" w:cs="宋体"/>
                <w:color w:val="auto"/>
                <w:sz w:val="18"/>
                <w:szCs w:val="18"/>
                <w:highlight w:val="none"/>
              </w:rPr>
            </w:pPr>
            <w:r>
              <w:rPr>
                <w:rFonts w:hint="eastAsia" w:ascii="宋体" w:hAnsi="宋体" w:cs="宋体"/>
                <w:color w:val="auto"/>
                <w:sz w:val="18"/>
                <w:szCs w:val="18"/>
                <w:highlight w:val="none"/>
              </w:rPr>
              <w:t>超范围经营每次支付违约金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B49436">
            <w:pPr>
              <w:rPr>
                <w:rFonts w:ascii="宋体" w:hAnsi="宋体" w:cs="宋体"/>
                <w:color w:val="auto"/>
                <w:sz w:val="18"/>
                <w:szCs w:val="18"/>
                <w:highlight w:val="none"/>
              </w:rPr>
            </w:pPr>
            <w:r>
              <w:rPr>
                <w:rFonts w:hint="eastAsia" w:ascii="宋体" w:hAnsi="宋体" w:cs="宋体"/>
                <w:color w:val="auto"/>
                <w:sz w:val="18"/>
                <w:szCs w:val="18"/>
                <w:highlight w:val="none"/>
              </w:rPr>
              <w:t>超范围经营的扣</w:t>
            </w:r>
            <w:r>
              <w:rPr>
                <w:rFonts w:ascii="宋体" w:hAnsi="宋体" w:cs="宋体"/>
                <w:color w:val="auto"/>
                <w:sz w:val="18"/>
                <w:szCs w:val="18"/>
                <w:highlight w:val="none"/>
              </w:rPr>
              <w:t>5分/次</w:t>
            </w:r>
          </w:p>
        </w:tc>
      </w:tr>
      <w:tr w14:paraId="792D2DAD">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43E45F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C3D3387">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68B8447">
            <w:pPr>
              <w:rPr>
                <w:rFonts w:ascii="宋体" w:hAnsi="宋体" w:cs="宋体"/>
                <w:color w:val="auto"/>
                <w:sz w:val="18"/>
                <w:szCs w:val="18"/>
                <w:highlight w:val="none"/>
              </w:rPr>
            </w:pPr>
            <w:r>
              <w:rPr>
                <w:rFonts w:ascii="宋体" w:hAnsi="宋体" w:cs="宋体"/>
                <w:color w:val="auto"/>
                <w:sz w:val="18"/>
                <w:szCs w:val="18"/>
                <w:highlight w:val="none"/>
              </w:rPr>
              <w:t>50.应按时向学生提供符合卫生要求的热菜热饭（早上6：30—晚上22：30）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7908F5">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18FA508">
            <w:pPr>
              <w:rPr>
                <w:rFonts w:ascii="宋体" w:hAnsi="宋体" w:cs="宋体"/>
                <w:color w:val="auto"/>
                <w:sz w:val="18"/>
                <w:szCs w:val="18"/>
                <w:highlight w:val="none"/>
              </w:rPr>
            </w:pPr>
            <w:r>
              <w:rPr>
                <w:rFonts w:hint="eastAsia" w:ascii="宋体" w:hAnsi="宋体" w:cs="宋体"/>
                <w:color w:val="auto"/>
                <w:sz w:val="18"/>
                <w:szCs w:val="18"/>
                <w:highlight w:val="none"/>
              </w:rPr>
              <w:t>未经书面同意擅自关闭食堂的全部或部分经营窗口，按每档口每关闭一餐支付违约金</w:t>
            </w:r>
            <w:r>
              <w:rPr>
                <w:rFonts w:ascii="宋体" w:hAnsi="宋体" w:cs="宋体"/>
                <w:color w:val="auto"/>
                <w:sz w:val="18"/>
                <w:szCs w:val="18"/>
                <w:highlight w:val="none"/>
              </w:rPr>
              <w:t>20000元</w:t>
            </w:r>
            <w:r>
              <w:rPr>
                <w:rFonts w:hint="eastAsia" w:ascii="宋体" w:hAnsi="宋体" w:cs="宋体"/>
                <w:color w:val="auto"/>
                <w:sz w:val="18"/>
                <w:szCs w:val="18"/>
                <w:highlight w:val="none"/>
              </w:rPr>
              <w:t>，学校保留解除合同、取消食堂经营者经营管理资格的权利。</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41B242">
            <w:pPr>
              <w:rPr>
                <w:rFonts w:ascii="宋体" w:hAnsi="宋体" w:cs="宋体"/>
                <w:color w:val="auto"/>
                <w:sz w:val="18"/>
                <w:szCs w:val="18"/>
                <w:highlight w:val="none"/>
              </w:rPr>
            </w:pPr>
            <w:r>
              <w:rPr>
                <w:rFonts w:hint="eastAsia" w:ascii="宋体" w:hAnsi="宋体" w:cs="宋体"/>
                <w:color w:val="auto"/>
                <w:sz w:val="18"/>
                <w:szCs w:val="18"/>
                <w:highlight w:val="none"/>
              </w:rPr>
              <w:t>未经书面同意擅自关闭食堂的全部或部分经营档口的扣</w:t>
            </w:r>
            <w:r>
              <w:rPr>
                <w:rFonts w:ascii="宋体" w:hAnsi="宋体" w:cs="宋体"/>
                <w:color w:val="auto"/>
                <w:sz w:val="18"/>
                <w:szCs w:val="18"/>
                <w:highlight w:val="none"/>
              </w:rPr>
              <w:t>5分/档口/餐</w:t>
            </w:r>
          </w:p>
        </w:tc>
      </w:tr>
      <w:tr w14:paraId="4C1E57F1">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6898B4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50EF0C0">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BE53779">
            <w:pPr>
              <w:rPr>
                <w:rFonts w:ascii="宋体" w:hAnsi="宋体" w:cs="宋体"/>
                <w:color w:val="auto"/>
                <w:sz w:val="18"/>
                <w:szCs w:val="18"/>
                <w:highlight w:val="none"/>
              </w:rPr>
            </w:pPr>
            <w:r>
              <w:rPr>
                <w:rFonts w:ascii="宋体" w:hAnsi="宋体" w:cs="宋体"/>
                <w:color w:val="auto"/>
                <w:sz w:val="18"/>
                <w:szCs w:val="18"/>
                <w:highlight w:val="none"/>
              </w:rPr>
              <w:t>51.经营服务内容不能摆至食堂大门以外，不得经营露天夜啤酒、烧烤等影响校园环境卫生的项目，不得影响周边师生休息。</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788F8E">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12AA6176">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94B756E">
            <w:pPr>
              <w:rPr>
                <w:rFonts w:ascii="宋体" w:hAnsi="宋体" w:cs="宋体"/>
                <w:color w:val="auto"/>
                <w:sz w:val="18"/>
                <w:szCs w:val="18"/>
                <w:highlight w:val="none"/>
              </w:rPr>
            </w:pPr>
            <w:r>
              <w:rPr>
                <w:rFonts w:hint="eastAsia" w:ascii="宋体" w:hAnsi="宋体" w:cs="宋体"/>
                <w:color w:val="auto"/>
                <w:sz w:val="18"/>
                <w:szCs w:val="18"/>
                <w:highlight w:val="none"/>
              </w:rPr>
              <w:t>违规的支付违约金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36F52DE">
            <w:pPr>
              <w:rPr>
                <w:rFonts w:ascii="宋体" w:hAnsi="宋体" w:cs="宋体"/>
                <w:color w:val="auto"/>
                <w:sz w:val="18"/>
                <w:szCs w:val="18"/>
                <w:highlight w:val="none"/>
              </w:rPr>
            </w:pPr>
            <w:r>
              <w:rPr>
                <w:rFonts w:hint="eastAsia" w:ascii="宋体" w:hAnsi="宋体" w:cs="宋体"/>
                <w:color w:val="auto"/>
                <w:sz w:val="18"/>
                <w:szCs w:val="18"/>
                <w:highlight w:val="none"/>
              </w:rPr>
              <w:t>违规的扣</w:t>
            </w:r>
            <w:r>
              <w:rPr>
                <w:rFonts w:ascii="宋体" w:hAnsi="宋体" w:cs="宋体"/>
                <w:color w:val="auto"/>
                <w:sz w:val="18"/>
                <w:szCs w:val="18"/>
                <w:highlight w:val="none"/>
              </w:rPr>
              <w:t>1分/次</w:t>
            </w:r>
          </w:p>
        </w:tc>
      </w:tr>
      <w:tr w14:paraId="01C39C49">
        <w:tblPrEx>
          <w:tblCellMar>
            <w:top w:w="0" w:type="dxa"/>
            <w:left w:w="108" w:type="dxa"/>
            <w:bottom w:w="0" w:type="dxa"/>
            <w:right w:w="108" w:type="dxa"/>
          </w:tblCellMar>
        </w:tblPrEx>
        <w:trPr>
          <w:trHeight w:val="786"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4593FEA4">
            <w:pPr>
              <w:rPr>
                <w:rFonts w:ascii="宋体" w:hAnsi="宋体" w:cs="宋体"/>
                <w:color w:val="auto"/>
                <w:sz w:val="18"/>
                <w:szCs w:val="18"/>
                <w:highlight w:val="none"/>
              </w:rPr>
            </w:pPr>
            <w:r>
              <w:rPr>
                <w:rFonts w:hint="eastAsia" w:ascii="宋体" w:hAnsi="宋体" w:cs="宋体"/>
                <w:color w:val="auto"/>
                <w:sz w:val="18"/>
                <w:szCs w:val="18"/>
                <w:highlight w:val="none"/>
              </w:rPr>
              <w:t>五</w:t>
            </w:r>
          </w:p>
        </w:tc>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739E1BE0">
            <w:pPr>
              <w:rPr>
                <w:rFonts w:ascii="宋体" w:hAnsi="宋体" w:cs="宋体"/>
                <w:color w:val="auto"/>
                <w:sz w:val="18"/>
                <w:szCs w:val="18"/>
                <w:highlight w:val="none"/>
              </w:rPr>
            </w:pPr>
            <w:r>
              <w:rPr>
                <w:rFonts w:hint="eastAsia" w:ascii="宋体" w:hAnsi="宋体" w:cs="宋体"/>
                <w:color w:val="auto"/>
                <w:sz w:val="18"/>
                <w:szCs w:val="18"/>
                <w:highlight w:val="none"/>
              </w:rPr>
              <w:t>服务育人</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18CF6B5">
            <w:pPr>
              <w:rPr>
                <w:rFonts w:ascii="宋体" w:hAnsi="宋体" w:cs="宋体"/>
                <w:color w:val="auto"/>
                <w:sz w:val="18"/>
                <w:szCs w:val="18"/>
                <w:highlight w:val="none"/>
              </w:rPr>
            </w:pPr>
            <w:r>
              <w:rPr>
                <w:rFonts w:ascii="宋体" w:hAnsi="宋体" w:cs="宋体"/>
                <w:color w:val="auto"/>
                <w:sz w:val="18"/>
                <w:szCs w:val="18"/>
                <w:highlight w:val="none"/>
              </w:rPr>
              <w:t>52.按学校要求认真配合学生在食堂开展劳动教育。</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49F0F9">
            <w:pPr>
              <w:rPr>
                <w:rFonts w:ascii="宋体" w:hAnsi="宋体" w:cs="宋体"/>
                <w:color w:val="auto"/>
                <w:sz w:val="18"/>
                <w:szCs w:val="18"/>
                <w:highlight w:val="none"/>
              </w:rPr>
            </w:pPr>
            <w:r>
              <w:rPr>
                <w:rFonts w:hint="eastAsia" w:ascii="宋体" w:hAnsi="宋体" w:cs="宋体"/>
                <w:color w:val="auto"/>
                <w:sz w:val="18"/>
                <w:szCs w:val="18"/>
                <w:highlight w:val="none"/>
              </w:rPr>
              <w:t>活动</w:t>
            </w:r>
          </w:p>
          <w:p w14:paraId="28D00461">
            <w:pPr>
              <w:rPr>
                <w:rFonts w:ascii="宋体" w:hAnsi="宋体" w:cs="宋体"/>
                <w:color w:val="auto"/>
                <w:sz w:val="18"/>
                <w:szCs w:val="18"/>
                <w:highlight w:val="none"/>
              </w:rPr>
            </w:pPr>
            <w:r>
              <w:rPr>
                <w:rFonts w:hint="eastAsia" w:ascii="宋体" w:hAnsi="宋体" w:cs="宋体"/>
                <w:color w:val="auto"/>
                <w:sz w:val="18"/>
                <w:szCs w:val="18"/>
                <w:highlight w:val="none"/>
              </w:rPr>
              <w:t>安排</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353C37B">
            <w:pPr>
              <w:rPr>
                <w:rFonts w:ascii="宋体" w:hAnsi="宋体" w:cs="宋体"/>
                <w:color w:val="auto"/>
                <w:sz w:val="18"/>
                <w:szCs w:val="18"/>
                <w:highlight w:val="none"/>
              </w:rPr>
            </w:pPr>
            <w:r>
              <w:rPr>
                <w:rFonts w:hint="eastAsia" w:ascii="宋体" w:hAnsi="宋体" w:cs="宋体"/>
                <w:color w:val="auto"/>
                <w:sz w:val="18"/>
                <w:szCs w:val="18"/>
                <w:highlight w:val="none"/>
              </w:rPr>
              <w:t>未认真配合开展的支付违约金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72561C">
            <w:pPr>
              <w:rPr>
                <w:rFonts w:ascii="宋体" w:hAnsi="宋体" w:cs="宋体"/>
                <w:color w:val="auto"/>
                <w:sz w:val="18"/>
                <w:szCs w:val="18"/>
                <w:highlight w:val="none"/>
              </w:rPr>
            </w:pPr>
            <w:r>
              <w:rPr>
                <w:rFonts w:hint="eastAsia" w:ascii="宋体" w:hAnsi="宋体" w:cs="宋体"/>
                <w:color w:val="auto"/>
                <w:sz w:val="18"/>
                <w:szCs w:val="18"/>
                <w:highlight w:val="none"/>
              </w:rPr>
              <w:t>未认真配合开展的扣</w:t>
            </w:r>
            <w:r>
              <w:rPr>
                <w:rFonts w:ascii="宋体" w:hAnsi="宋体" w:cs="宋体"/>
                <w:color w:val="auto"/>
                <w:sz w:val="18"/>
                <w:szCs w:val="18"/>
                <w:highlight w:val="none"/>
              </w:rPr>
              <w:t>1分/次</w:t>
            </w:r>
          </w:p>
        </w:tc>
      </w:tr>
      <w:tr w14:paraId="68FB9874">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A8EFC4C">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7538963">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73C4757">
            <w:pPr>
              <w:rPr>
                <w:rFonts w:ascii="宋体" w:hAnsi="宋体" w:cs="宋体"/>
                <w:color w:val="auto"/>
                <w:sz w:val="18"/>
                <w:szCs w:val="18"/>
                <w:highlight w:val="none"/>
              </w:rPr>
            </w:pPr>
            <w:r>
              <w:rPr>
                <w:rFonts w:ascii="宋体" w:hAnsi="宋体" w:cs="宋体"/>
                <w:color w:val="auto"/>
                <w:sz w:val="18"/>
                <w:szCs w:val="18"/>
                <w:highlight w:val="none"/>
              </w:rPr>
              <w:t>53.提供勤工俭学岗位及免费用餐。不得拒绝特殊困难学生免费餐食。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9E9631">
            <w:pPr>
              <w:rPr>
                <w:rFonts w:ascii="宋体" w:hAnsi="宋体" w:cs="宋体"/>
                <w:color w:val="auto"/>
                <w:sz w:val="18"/>
                <w:szCs w:val="18"/>
                <w:highlight w:val="none"/>
              </w:rPr>
            </w:pPr>
            <w:r>
              <w:rPr>
                <w:rFonts w:hint="eastAsia" w:ascii="宋体" w:hAnsi="宋体" w:cs="宋体"/>
                <w:color w:val="auto"/>
                <w:sz w:val="18"/>
                <w:szCs w:val="18"/>
                <w:highlight w:val="none"/>
              </w:rPr>
              <w:t>查看</w:t>
            </w:r>
          </w:p>
          <w:p w14:paraId="7E72C9F4">
            <w:pPr>
              <w:rPr>
                <w:rFonts w:ascii="宋体" w:hAnsi="宋体" w:cs="宋体"/>
                <w:color w:val="auto"/>
                <w:sz w:val="18"/>
                <w:szCs w:val="18"/>
                <w:highlight w:val="none"/>
              </w:rPr>
            </w:pPr>
            <w:r>
              <w:rPr>
                <w:rFonts w:hint="eastAsia" w:ascii="宋体" w:hAnsi="宋体" w:cs="宋体"/>
                <w:color w:val="auto"/>
                <w:sz w:val="18"/>
                <w:szCs w:val="18"/>
                <w:highlight w:val="none"/>
              </w:rPr>
              <w:t>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D6AFF96">
            <w:pPr>
              <w:rPr>
                <w:rFonts w:ascii="宋体" w:hAnsi="宋体" w:cs="宋体"/>
                <w:color w:val="auto"/>
                <w:sz w:val="18"/>
                <w:szCs w:val="18"/>
                <w:highlight w:val="none"/>
              </w:rPr>
            </w:pPr>
            <w:r>
              <w:rPr>
                <w:rFonts w:hint="eastAsia" w:ascii="宋体" w:hAnsi="宋体" w:cs="宋体"/>
                <w:color w:val="auto"/>
                <w:sz w:val="18"/>
                <w:szCs w:val="18"/>
                <w:highlight w:val="none"/>
              </w:rPr>
              <w:t>未提供勤工俭学岗位或拒绝特殊困难学生免费餐食的支付违约金</w:t>
            </w:r>
            <w:r>
              <w:rPr>
                <w:rFonts w:ascii="宋体" w:hAnsi="宋体" w:cs="宋体"/>
                <w:color w:val="auto"/>
                <w:sz w:val="18"/>
                <w:szCs w:val="18"/>
                <w:highlight w:val="none"/>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2CBD61B">
            <w:pPr>
              <w:rPr>
                <w:rFonts w:ascii="宋体" w:hAnsi="宋体" w:cs="宋体"/>
                <w:color w:val="auto"/>
                <w:sz w:val="18"/>
                <w:szCs w:val="18"/>
                <w:highlight w:val="none"/>
              </w:rPr>
            </w:pPr>
            <w:r>
              <w:rPr>
                <w:rFonts w:hint="eastAsia" w:ascii="宋体" w:hAnsi="宋体" w:cs="宋体"/>
                <w:color w:val="auto"/>
                <w:sz w:val="18"/>
                <w:szCs w:val="18"/>
                <w:highlight w:val="none"/>
              </w:rPr>
              <w:t>未提供勤工俭学岗位或拒绝特殊困难学生免费餐食的扣</w:t>
            </w:r>
            <w:r>
              <w:rPr>
                <w:rFonts w:ascii="宋体" w:hAnsi="宋体" w:cs="宋体"/>
                <w:color w:val="auto"/>
                <w:sz w:val="18"/>
                <w:szCs w:val="18"/>
                <w:highlight w:val="none"/>
              </w:rPr>
              <w:t>1分/次。</w:t>
            </w:r>
          </w:p>
        </w:tc>
      </w:tr>
      <w:tr w14:paraId="7CAD3DC7">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3FA4B88">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13CC8E7A">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7C1B8B8">
            <w:pPr>
              <w:rPr>
                <w:rFonts w:ascii="宋体" w:hAnsi="宋体" w:cs="宋体"/>
                <w:color w:val="auto"/>
                <w:sz w:val="18"/>
                <w:szCs w:val="18"/>
                <w:highlight w:val="none"/>
              </w:rPr>
            </w:pPr>
            <w:r>
              <w:rPr>
                <w:rFonts w:ascii="宋体" w:hAnsi="宋体" w:cs="宋体"/>
                <w:color w:val="auto"/>
                <w:sz w:val="18"/>
                <w:szCs w:val="18"/>
                <w:highlight w:val="none"/>
              </w:rPr>
              <w:t>54.食堂工作人员应政治坚定、遵纪守法、廉洁自律、品行端正、文明礼貌、行为习惯良好。</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F3E7BA">
            <w:pPr>
              <w:rPr>
                <w:rFonts w:ascii="宋体" w:hAnsi="宋体" w:cs="宋体"/>
                <w:color w:val="auto"/>
                <w:sz w:val="18"/>
                <w:szCs w:val="18"/>
                <w:highlight w:val="none"/>
              </w:rPr>
            </w:pPr>
            <w:r>
              <w:rPr>
                <w:rFonts w:hint="eastAsia" w:ascii="宋体" w:hAnsi="宋体" w:cs="宋体"/>
                <w:color w:val="auto"/>
                <w:sz w:val="18"/>
                <w:szCs w:val="18"/>
                <w:highlight w:val="none"/>
              </w:rPr>
              <w:t>现场</w:t>
            </w:r>
          </w:p>
          <w:p w14:paraId="183FA4F4">
            <w:pPr>
              <w:rPr>
                <w:rFonts w:ascii="宋体" w:hAnsi="宋体" w:cs="宋体"/>
                <w:color w:val="auto"/>
                <w:sz w:val="18"/>
                <w:szCs w:val="18"/>
                <w:highlight w:val="none"/>
              </w:rPr>
            </w:pPr>
            <w:r>
              <w:rPr>
                <w:rFonts w:hint="eastAsia" w:ascii="宋体" w:hAnsi="宋体" w:cs="宋体"/>
                <w:color w:val="auto"/>
                <w:sz w:val="18"/>
                <w:szCs w:val="18"/>
                <w:highlight w:val="none"/>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84CF4AE">
            <w:pPr>
              <w:rPr>
                <w:rFonts w:ascii="宋体" w:hAnsi="宋体" w:cs="宋体"/>
                <w:color w:val="auto"/>
                <w:sz w:val="18"/>
                <w:szCs w:val="18"/>
                <w:highlight w:val="none"/>
              </w:rPr>
            </w:pPr>
            <w:r>
              <w:rPr>
                <w:rFonts w:hint="eastAsia" w:ascii="宋体" w:hAnsi="宋体" w:cs="宋体"/>
                <w:color w:val="auto"/>
                <w:sz w:val="18"/>
                <w:szCs w:val="18"/>
                <w:highlight w:val="none"/>
              </w:rPr>
              <w:t>视情节轻重及影响支付违约金</w:t>
            </w:r>
            <w:r>
              <w:rPr>
                <w:rFonts w:ascii="宋体" w:hAnsi="宋体" w:cs="宋体"/>
                <w:color w:val="auto"/>
                <w:sz w:val="18"/>
                <w:szCs w:val="18"/>
                <w:highlight w:val="none"/>
              </w:rPr>
              <w:t>5000-20000元/次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C206A46">
            <w:pPr>
              <w:rPr>
                <w:rFonts w:ascii="宋体" w:hAnsi="宋体" w:cs="宋体"/>
                <w:color w:val="auto"/>
                <w:sz w:val="18"/>
                <w:szCs w:val="18"/>
                <w:highlight w:val="none"/>
              </w:rPr>
            </w:pPr>
            <w:r>
              <w:rPr>
                <w:rFonts w:hint="eastAsia" w:ascii="宋体" w:hAnsi="宋体" w:cs="宋体"/>
                <w:color w:val="auto"/>
                <w:sz w:val="18"/>
                <w:szCs w:val="18"/>
                <w:highlight w:val="none"/>
              </w:rPr>
              <w:t>视情节轻重及影响扣</w:t>
            </w:r>
            <w:r>
              <w:rPr>
                <w:rFonts w:ascii="宋体" w:hAnsi="宋体" w:cs="宋体"/>
                <w:color w:val="auto"/>
                <w:sz w:val="18"/>
                <w:szCs w:val="18"/>
                <w:highlight w:val="none"/>
              </w:rPr>
              <w:t>1-5分/次</w:t>
            </w:r>
          </w:p>
        </w:tc>
      </w:tr>
      <w:tr w14:paraId="58E0D6F9">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7AE3A72A">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BFC6CA4">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4AE374D">
            <w:pPr>
              <w:rPr>
                <w:rFonts w:ascii="宋体" w:hAnsi="宋体" w:cs="宋体"/>
                <w:color w:val="auto"/>
                <w:sz w:val="18"/>
                <w:szCs w:val="18"/>
                <w:highlight w:val="none"/>
              </w:rPr>
            </w:pPr>
            <w:r>
              <w:rPr>
                <w:rFonts w:ascii="宋体" w:hAnsi="宋体" w:cs="宋体"/>
                <w:color w:val="auto"/>
                <w:sz w:val="18"/>
                <w:szCs w:val="18"/>
                <w:highlight w:val="none"/>
              </w:rPr>
              <w:t>55.认真组织、策划或配合学校及</w:t>
            </w:r>
            <w:r>
              <w:rPr>
                <w:rFonts w:hint="eastAsia" w:ascii="宋体" w:hAnsi="宋体" w:cs="宋体"/>
                <w:color w:val="auto"/>
                <w:sz w:val="18"/>
                <w:szCs w:val="18"/>
                <w:highlight w:val="none"/>
              </w:rPr>
              <w:t>学生伙管会的各类饮食文化活动项目并投入资金保障。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564A68D">
            <w:pPr>
              <w:rPr>
                <w:rFonts w:ascii="宋体" w:hAnsi="宋体" w:cs="宋体"/>
                <w:color w:val="auto"/>
                <w:sz w:val="18"/>
                <w:szCs w:val="18"/>
                <w:highlight w:val="none"/>
              </w:rPr>
            </w:pPr>
            <w:r>
              <w:rPr>
                <w:rFonts w:hint="eastAsia" w:ascii="宋体" w:hAnsi="宋体" w:cs="宋体"/>
                <w:color w:val="auto"/>
                <w:sz w:val="18"/>
                <w:szCs w:val="18"/>
                <w:highlight w:val="none"/>
              </w:rPr>
              <w:t>活动</w:t>
            </w:r>
          </w:p>
          <w:p w14:paraId="0E59081A">
            <w:pPr>
              <w:rPr>
                <w:rFonts w:ascii="宋体" w:hAnsi="宋体" w:cs="宋体"/>
                <w:color w:val="auto"/>
                <w:sz w:val="18"/>
                <w:szCs w:val="18"/>
                <w:highlight w:val="none"/>
              </w:rPr>
            </w:pPr>
            <w:r>
              <w:rPr>
                <w:rFonts w:hint="eastAsia" w:ascii="宋体" w:hAnsi="宋体" w:cs="宋体"/>
                <w:color w:val="auto"/>
                <w:sz w:val="18"/>
                <w:szCs w:val="18"/>
                <w:highlight w:val="none"/>
              </w:rPr>
              <w:t>安排</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CCF2573">
            <w:pPr>
              <w:rPr>
                <w:rFonts w:ascii="宋体" w:hAnsi="宋体" w:cs="宋体"/>
                <w:color w:val="auto"/>
                <w:sz w:val="18"/>
                <w:szCs w:val="18"/>
                <w:highlight w:val="none"/>
              </w:rPr>
            </w:pPr>
            <w:r>
              <w:rPr>
                <w:rFonts w:hint="eastAsia" w:ascii="宋体" w:hAnsi="宋体" w:cs="宋体"/>
                <w:color w:val="auto"/>
                <w:sz w:val="18"/>
                <w:szCs w:val="18"/>
                <w:highlight w:val="none"/>
              </w:rPr>
              <w:t>未认真组织或配合开展的支付违约金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BCA6572">
            <w:pPr>
              <w:rPr>
                <w:rFonts w:ascii="宋体" w:hAnsi="宋体" w:cs="宋体"/>
                <w:color w:val="auto"/>
                <w:sz w:val="18"/>
                <w:szCs w:val="18"/>
                <w:highlight w:val="none"/>
              </w:rPr>
            </w:pPr>
            <w:r>
              <w:rPr>
                <w:rFonts w:hint="eastAsia" w:ascii="宋体" w:hAnsi="宋体" w:cs="宋体"/>
                <w:color w:val="auto"/>
                <w:sz w:val="18"/>
                <w:szCs w:val="18"/>
                <w:highlight w:val="none"/>
              </w:rPr>
              <w:t>认真组织或配合开展的扣</w:t>
            </w:r>
            <w:r>
              <w:rPr>
                <w:rFonts w:ascii="宋体" w:hAnsi="宋体" w:cs="宋体"/>
                <w:color w:val="auto"/>
                <w:sz w:val="18"/>
                <w:szCs w:val="18"/>
                <w:highlight w:val="none"/>
              </w:rPr>
              <w:t>1分/次</w:t>
            </w:r>
          </w:p>
        </w:tc>
      </w:tr>
      <w:tr w14:paraId="729E5D3A">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AA9DA30">
            <w:pPr>
              <w:rPr>
                <w:rFonts w:ascii="宋体" w:hAnsi="宋体" w:cs="宋体"/>
                <w:color w:val="auto"/>
                <w:sz w:val="18"/>
                <w:szCs w:val="18"/>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0BEBB34">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5E00F50">
            <w:pPr>
              <w:rPr>
                <w:rFonts w:ascii="宋体" w:hAnsi="宋体" w:cs="宋体"/>
                <w:color w:val="auto"/>
                <w:sz w:val="18"/>
                <w:szCs w:val="18"/>
                <w:highlight w:val="none"/>
              </w:rPr>
            </w:pPr>
            <w:r>
              <w:rPr>
                <w:rFonts w:ascii="宋体" w:hAnsi="宋体" w:cs="宋体"/>
                <w:color w:val="auto"/>
                <w:sz w:val="18"/>
                <w:szCs w:val="18"/>
                <w:highlight w:val="none"/>
              </w:rPr>
              <w:t>56.按学校要求免费提供传统节日特色食品。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40CBEE">
            <w:pPr>
              <w:rPr>
                <w:rFonts w:ascii="宋体" w:hAnsi="宋体" w:cs="宋体"/>
                <w:color w:val="auto"/>
                <w:sz w:val="18"/>
                <w:szCs w:val="18"/>
                <w:highlight w:val="none"/>
              </w:rPr>
            </w:pPr>
            <w:r>
              <w:rPr>
                <w:rFonts w:hint="eastAsia" w:ascii="宋体" w:hAnsi="宋体" w:cs="宋体"/>
                <w:color w:val="auto"/>
                <w:sz w:val="18"/>
                <w:szCs w:val="18"/>
                <w:highlight w:val="none"/>
              </w:rPr>
              <w:t>查看</w:t>
            </w:r>
          </w:p>
          <w:p w14:paraId="582197B6">
            <w:pPr>
              <w:rPr>
                <w:rFonts w:ascii="宋体" w:hAnsi="宋体" w:cs="宋体"/>
                <w:color w:val="auto"/>
                <w:sz w:val="18"/>
                <w:szCs w:val="18"/>
                <w:highlight w:val="none"/>
              </w:rPr>
            </w:pPr>
            <w:r>
              <w:rPr>
                <w:rFonts w:hint="eastAsia" w:ascii="宋体" w:hAnsi="宋体" w:cs="宋体"/>
                <w:color w:val="auto"/>
                <w:sz w:val="18"/>
                <w:szCs w:val="18"/>
                <w:highlight w:val="none"/>
              </w:rPr>
              <w:t>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1ABACBF">
            <w:pPr>
              <w:rPr>
                <w:rFonts w:ascii="宋体" w:hAnsi="宋体" w:cs="宋体"/>
                <w:color w:val="auto"/>
                <w:sz w:val="18"/>
                <w:szCs w:val="18"/>
                <w:highlight w:val="none"/>
              </w:rPr>
            </w:pPr>
            <w:r>
              <w:rPr>
                <w:rFonts w:hint="eastAsia" w:ascii="宋体" w:hAnsi="宋体" w:cs="宋体"/>
                <w:color w:val="auto"/>
                <w:sz w:val="18"/>
                <w:szCs w:val="18"/>
                <w:highlight w:val="none"/>
              </w:rPr>
              <w:t>未提供的支付违约金</w:t>
            </w:r>
            <w:r>
              <w:rPr>
                <w:rFonts w:ascii="宋体" w:hAnsi="宋体" w:cs="宋体"/>
                <w:color w:val="auto"/>
                <w:sz w:val="18"/>
                <w:szCs w:val="18"/>
                <w:highlight w:val="none"/>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F6FA032">
            <w:pPr>
              <w:rPr>
                <w:rFonts w:ascii="宋体" w:hAnsi="宋体" w:cs="宋体"/>
                <w:color w:val="auto"/>
                <w:sz w:val="18"/>
                <w:szCs w:val="18"/>
                <w:highlight w:val="none"/>
              </w:rPr>
            </w:pPr>
            <w:r>
              <w:rPr>
                <w:rFonts w:hint="eastAsia" w:ascii="宋体" w:hAnsi="宋体" w:cs="宋体"/>
                <w:color w:val="auto"/>
                <w:sz w:val="18"/>
                <w:szCs w:val="18"/>
                <w:highlight w:val="none"/>
              </w:rPr>
              <w:t>未提供的扣</w:t>
            </w:r>
            <w:r>
              <w:rPr>
                <w:rFonts w:ascii="宋体" w:hAnsi="宋体" w:cs="宋体"/>
                <w:color w:val="auto"/>
                <w:sz w:val="18"/>
                <w:szCs w:val="18"/>
                <w:highlight w:val="none"/>
              </w:rPr>
              <w:t>5分/次</w:t>
            </w:r>
          </w:p>
        </w:tc>
      </w:tr>
      <w:tr w14:paraId="3A00A3CC">
        <w:tblPrEx>
          <w:tblCellMar>
            <w:top w:w="0" w:type="dxa"/>
            <w:left w:w="108" w:type="dxa"/>
            <w:bottom w:w="0" w:type="dxa"/>
            <w:right w:w="108" w:type="dxa"/>
          </w:tblCellMar>
        </w:tblPrEx>
        <w:trPr>
          <w:trHeight w:val="555" w:hRule="atLeast"/>
          <w:jc w:val="center"/>
        </w:trPr>
        <w:tc>
          <w:tcPr>
            <w:tcW w:w="499" w:type="dxa"/>
            <w:vMerge w:val="restart"/>
            <w:tcBorders>
              <w:top w:val="single" w:color="auto" w:sz="4" w:space="0"/>
              <w:left w:val="single" w:color="auto" w:sz="4" w:space="0"/>
              <w:right w:val="single" w:color="auto" w:sz="4" w:space="0"/>
            </w:tcBorders>
            <w:noWrap w:val="0"/>
            <w:vAlign w:val="center"/>
          </w:tcPr>
          <w:p w14:paraId="16FEE4DB">
            <w:pPr>
              <w:rPr>
                <w:rFonts w:ascii="宋体" w:hAnsi="宋体" w:cs="宋体"/>
                <w:color w:val="auto"/>
                <w:sz w:val="18"/>
                <w:szCs w:val="18"/>
                <w:highlight w:val="none"/>
              </w:rPr>
            </w:pPr>
          </w:p>
          <w:p w14:paraId="454712F5">
            <w:pPr>
              <w:rPr>
                <w:rFonts w:ascii="宋体" w:hAnsi="宋体" w:cs="宋体"/>
                <w:color w:val="auto"/>
                <w:sz w:val="18"/>
                <w:szCs w:val="18"/>
                <w:highlight w:val="none"/>
              </w:rPr>
            </w:pPr>
          </w:p>
          <w:p w14:paraId="1EECE1E2">
            <w:pPr>
              <w:rPr>
                <w:rFonts w:ascii="宋体" w:hAnsi="宋体" w:cs="宋体"/>
                <w:color w:val="auto"/>
                <w:sz w:val="18"/>
                <w:szCs w:val="18"/>
                <w:highlight w:val="none"/>
              </w:rPr>
            </w:pPr>
            <w:r>
              <w:rPr>
                <w:rFonts w:hint="eastAsia" w:ascii="宋体" w:hAnsi="宋体" w:cs="宋体"/>
                <w:color w:val="auto"/>
                <w:sz w:val="18"/>
                <w:szCs w:val="18"/>
                <w:highlight w:val="none"/>
              </w:rPr>
              <w:t>六</w:t>
            </w:r>
          </w:p>
        </w:tc>
        <w:tc>
          <w:tcPr>
            <w:tcW w:w="636" w:type="dxa"/>
            <w:vMerge w:val="restart"/>
            <w:tcBorders>
              <w:top w:val="single" w:color="auto" w:sz="4" w:space="0"/>
              <w:left w:val="single" w:color="auto" w:sz="4" w:space="0"/>
              <w:right w:val="single" w:color="auto" w:sz="4" w:space="0"/>
            </w:tcBorders>
            <w:noWrap w:val="0"/>
            <w:vAlign w:val="center"/>
          </w:tcPr>
          <w:p w14:paraId="4E0868A5">
            <w:pPr>
              <w:rPr>
                <w:rFonts w:ascii="宋体" w:hAnsi="宋体" w:cs="宋体"/>
                <w:color w:val="auto"/>
                <w:sz w:val="18"/>
                <w:szCs w:val="18"/>
                <w:highlight w:val="none"/>
              </w:rPr>
            </w:pPr>
          </w:p>
          <w:p w14:paraId="48F59571">
            <w:pPr>
              <w:rPr>
                <w:rFonts w:ascii="宋体" w:hAnsi="宋体" w:cs="宋体"/>
                <w:color w:val="auto"/>
                <w:sz w:val="18"/>
                <w:szCs w:val="18"/>
                <w:highlight w:val="none"/>
              </w:rPr>
            </w:pPr>
          </w:p>
          <w:p w14:paraId="2A2F63E2">
            <w:pPr>
              <w:rPr>
                <w:rFonts w:ascii="宋体" w:hAnsi="宋体" w:cs="宋体"/>
                <w:color w:val="auto"/>
                <w:sz w:val="18"/>
                <w:szCs w:val="18"/>
                <w:highlight w:val="none"/>
              </w:rPr>
            </w:pPr>
            <w:r>
              <w:rPr>
                <w:rFonts w:hint="eastAsia" w:ascii="宋体" w:hAnsi="宋体" w:cs="宋体"/>
                <w:color w:val="auto"/>
                <w:sz w:val="18"/>
                <w:szCs w:val="18"/>
                <w:highlight w:val="none"/>
              </w:rPr>
              <w:t>其他</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1B7E8AE">
            <w:pPr>
              <w:rPr>
                <w:rFonts w:ascii="宋体" w:hAnsi="宋体" w:cs="宋体"/>
                <w:color w:val="auto"/>
                <w:sz w:val="18"/>
                <w:szCs w:val="18"/>
                <w:highlight w:val="none"/>
              </w:rPr>
            </w:pPr>
            <w:r>
              <w:rPr>
                <w:rFonts w:ascii="宋体" w:hAnsi="宋体" w:cs="宋体"/>
                <w:color w:val="auto"/>
                <w:sz w:val="18"/>
                <w:szCs w:val="18"/>
                <w:highlight w:val="none"/>
              </w:rPr>
              <w:t>57.食堂经营者应做到“门前三包”，保持清洁卫生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EF9F2C">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FFE6596">
            <w:pPr>
              <w:rPr>
                <w:rFonts w:ascii="宋体" w:hAnsi="宋体" w:cs="宋体"/>
                <w:color w:val="auto"/>
                <w:sz w:val="18"/>
                <w:szCs w:val="18"/>
                <w:highlight w:val="none"/>
              </w:rPr>
            </w:pPr>
            <w:r>
              <w:rPr>
                <w:rFonts w:hint="eastAsia" w:ascii="宋体" w:hAnsi="宋体" w:cs="宋体"/>
                <w:color w:val="auto"/>
                <w:sz w:val="18"/>
                <w:szCs w:val="18"/>
                <w:highlight w:val="none"/>
              </w:rPr>
              <w:t>卫生出现脏、乱、差现象每次支付违约金</w:t>
            </w:r>
            <w:r>
              <w:rPr>
                <w:rFonts w:ascii="宋体" w:hAnsi="宋体" w:cs="宋体"/>
                <w:color w:val="auto"/>
                <w:sz w:val="18"/>
                <w:szCs w:val="18"/>
                <w:highlight w:val="none"/>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E611E1F">
            <w:pPr>
              <w:rPr>
                <w:rFonts w:ascii="宋体" w:hAnsi="宋体" w:cs="宋体"/>
                <w:color w:val="auto"/>
                <w:sz w:val="18"/>
                <w:szCs w:val="18"/>
                <w:highlight w:val="none"/>
              </w:rPr>
            </w:pPr>
            <w:r>
              <w:rPr>
                <w:rFonts w:hint="eastAsia" w:ascii="宋体" w:hAnsi="宋体" w:cs="宋体"/>
                <w:color w:val="auto"/>
                <w:sz w:val="18"/>
                <w:szCs w:val="18"/>
                <w:highlight w:val="none"/>
              </w:rPr>
              <w:t>卫生出现脏、乱、差的</w:t>
            </w:r>
            <w:r>
              <w:rPr>
                <w:rFonts w:ascii="宋体" w:hAnsi="宋体" w:cs="宋体"/>
                <w:color w:val="auto"/>
                <w:sz w:val="18"/>
                <w:szCs w:val="18"/>
                <w:highlight w:val="none"/>
              </w:rPr>
              <w:t>1分/次</w:t>
            </w:r>
          </w:p>
        </w:tc>
      </w:tr>
      <w:tr w14:paraId="103CE564">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4B5ABD95">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40D0870E">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75D9322">
            <w:pPr>
              <w:rPr>
                <w:rFonts w:ascii="宋体" w:hAnsi="宋体" w:cs="宋体"/>
                <w:color w:val="auto"/>
                <w:sz w:val="18"/>
                <w:szCs w:val="18"/>
                <w:highlight w:val="none"/>
              </w:rPr>
            </w:pPr>
            <w:r>
              <w:rPr>
                <w:rFonts w:ascii="宋体" w:hAnsi="宋体" w:cs="宋体"/>
                <w:color w:val="auto"/>
                <w:sz w:val="18"/>
                <w:szCs w:val="18"/>
                <w:highlight w:val="none"/>
              </w:rPr>
              <w:t>58.严禁偷电、偷水、偷气行为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53D6E9">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C9E9F8E">
            <w:pPr>
              <w:rPr>
                <w:rFonts w:ascii="宋体" w:hAnsi="宋体" w:cs="宋体"/>
                <w:color w:val="auto"/>
                <w:sz w:val="18"/>
                <w:szCs w:val="18"/>
                <w:highlight w:val="none"/>
              </w:rPr>
            </w:pPr>
            <w:r>
              <w:rPr>
                <w:rFonts w:hint="eastAsia" w:ascii="宋体" w:hAnsi="宋体" w:cs="宋体"/>
                <w:color w:val="auto"/>
                <w:sz w:val="18"/>
                <w:szCs w:val="18"/>
                <w:highlight w:val="none"/>
              </w:rPr>
              <w:t>每发现一次支付违约金</w:t>
            </w:r>
            <w:r>
              <w:rPr>
                <w:rFonts w:ascii="宋体" w:hAnsi="宋体" w:cs="宋体"/>
                <w:color w:val="auto"/>
                <w:sz w:val="18"/>
                <w:szCs w:val="18"/>
                <w:highlight w:val="none"/>
              </w:rPr>
              <w:t>20000元，并应补齐欠费，情节严重的上报公安部门处置，学校有权解除合同。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6D71F1">
            <w:pPr>
              <w:rPr>
                <w:rFonts w:ascii="宋体" w:hAnsi="宋体" w:cs="宋体"/>
                <w:color w:val="auto"/>
                <w:sz w:val="18"/>
                <w:szCs w:val="18"/>
                <w:highlight w:val="none"/>
              </w:rPr>
            </w:pPr>
            <w:r>
              <w:rPr>
                <w:rFonts w:hint="eastAsia" w:ascii="宋体" w:hAnsi="宋体" w:cs="宋体"/>
                <w:color w:val="auto"/>
                <w:sz w:val="18"/>
                <w:szCs w:val="18"/>
                <w:highlight w:val="none"/>
              </w:rPr>
              <w:t>出现偷电、偷水、偷气行为的涉事当学期考核直接不合格</w:t>
            </w:r>
          </w:p>
        </w:tc>
      </w:tr>
      <w:tr w14:paraId="1771560E">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19D28B28">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39C935C6">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3BB520E">
            <w:pPr>
              <w:rPr>
                <w:rFonts w:ascii="宋体" w:hAnsi="宋体" w:cs="宋体"/>
                <w:color w:val="auto"/>
                <w:sz w:val="18"/>
                <w:szCs w:val="18"/>
                <w:highlight w:val="none"/>
              </w:rPr>
            </w:pPr>
            <w:r>
              <w:rPr>
                <w:rFonts w:ascii="宋体" w:hAnsi="宋体" w:cs="宋体"/>
                <w:color w:val="auto"/>
                <w:sz w:val="18"/>
                <w:szCs w:val="18"/>
                <w:highlight w:val="none"/>
              </w:rPr>
              <w:t>59.</w:t>
            </w:r>
            <w:r>
              <w:rPr>
                <w:rFonts w:hint="eastAsia" w:ascii="宋体" w:hAnsi="宋体" w:cs="宋体"/>
                <w:color w:val="auto"/>
                <w:sz w:val="18"/>
                <w:szCs w:val="18"/>
                <w:highlight w:val="none"/>
                <w:lang w:eastAsia="zh-CN"/>
              </w:rPr>
              <w:t>甲方</w:t>
            </w:r>
            <w:r>
              <w:rPr>
                <w:rFonts w:ascii="宋体" w:hAnsi="宋体" w:cs="宋体"/>
                <w:color w:val="auto"/>
                <w:sz w:val="18"/>
                <w:szCs w:val="18"/>
                <w:highlight w:val="none"/>
              </w:rPr>
              <w:t>不定期委托第三方检测公司对</w:t>
            </w:r>
            <w:r>
              <w:rPr>
                <w:rFonts w:hint="eastAsia" w:ascii="宋体" w:hAnsi="宋体" w:cs="宋体"/>
                <w:color w:val="auto"/>
                <w:sz w:val="18"/>
                <w:szCs w:val="18"/>
                <w:highlight w:val="none"/>
              </w:rPr>
              <w:t>食堂食材进行抽检（费用由食堂委托经营公司负责）</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68612D">
            <w:pPr>
              <w:rPr>
                <w:rFonts w:ascii="宋体" w:hAnsi="宋体" w:cs="宋体"/>
                <w:color w:val="auto"/>
                <w:sz w:val="18"/>
                <w:szCs w:val="18"/>
                <w:highlight w:val="none"/>
              </w:rPr>
            </w:pPr>
            <w:r>
              <w:rPr>
                <w:rFonts w:hint="eastAsia" w:ascii="宋体" w:hAnsi="宋体" w:cs="宋体"/>
                <w:color w:val="auto"/>
                <w:sz w:val="18"/>
                <w:szCs w:val="18"/>
                <w:highlight w:val="none"/>
              </w:rPr>
              <w:t>查验检测报告</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EEDB6F2">
            <w:pPr>
              <w:rPr>
                <w:rFonts w:ascii="宋体" w:hAnsi="宋体" w:cs="宋体"/>
                <w:color w:val="auto"/>
                <w:sz w:val="18"/>
                <w:szCs w:val="18"/>
                <w:highlight w:val="none"/>
              </w:rPr>
            </w:pPr>
            <w:r>
              <w:rPr>
                <w:rFonts w:hint="eastAsia" w:ascii="宋体" w:hAnsi="宋体" w:cs="宋体"/>
                <w:color w:val="auto"/>
                <w:sz w:val="18"/>
                <w:szCs w:val="18"/>
                <w:highlight w:val="none"/>
              </w:rPr>
              <w:t>不配合支付违约金</w:t>
            </w:r>
            <w:r>
              <w:rPr>
                <w:rFonts w:ascii="宋体" w:hAnsi="宋体" w:cs="宋体"/>
                <w:color w:val="auto"/>
                <w:sz w:val="18"/>
                <w:szCs w:val="18"/>
                <w:highlight w:val="none"/>
              </w:rPr>
              <w:t>10000元，抽检不合格，按不合格数量，支付违约金50000元/</w:t>
            </w:r>
            <w:r>
              <w:rPr>
                <w:rFonts w:hint="eastAsia" w:ascii="宋体" w:hAnsi="宋体" w:cs="宋体"/>
                <w:color w:val="auto"/>
                <w:sz w:val="18"/>
                <w:szCs w:val="18"/>
                <w:highlight w:val="none"/>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C1CEB1">
            <w:pPr>
              <w:rPr>
                <w:rFonts w:ascii="宋体" w:hAnsi="宋体" w:cs="宋体"/>
                <w:color w:val="auto"/>
                <w:sz w:val="18"/>
                <w:szCs w:val="18"/>
                <w:highlight w:val="none"/>
              </w:rPr>
            </w:pPr>
            <w:r>
              <w:rPr>
                <w:rFonts w:hint="eastAsia" w:ascii="宋体" w:hAnsi="宋体" w:cs="宋体"/>
                <w:color w:val="auto"/>
                <w:sz w:val="18"/>
                <w:szCs w:val="18"/>
                <w:highlight w:val="none"/>
              </w:rPr>
              <w:t>不配合扣</w:t>
            </w:r>
            <w:r>
              <w:rPr>
                <w:rFonts w:ascii="宋体" w:hAnsi="宋体" w:cs="宋体"/>
                <w:color w:val="auto"/>
                <w:sz w:val="18"/>
                <w:szCs w:val="18"/>
                <w:highlight w:val="none"/>
              </w:rPr>
              <w:t>2分/次，抽检不合格的扣5分/</w:t>
            </w:r>
            <w:r>
              <w:rPr>
                <w:rFonts w:hint="eastAsia" w:ascii="宋体" w:hAnsi="宋体" w:cs="宋体"/>
                <w:color w:val="auto"/>
                <w:sz w:val="18"/>
                <w:szCs w:val="18"/>
                <w:highlight w:val="none"/>
              </w:rPr>
              <w:t>个。</w:t>
            </w:r>
          </w:p>
        </w:tc>
      </w:tr>
      <w:tr w14:paraId="10CC03B0">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0C202520">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0640F173">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28F0677">
            <w:pPr>
              <w:rPr>
                <w:rFonts w:ascii="宋体" w:hAnsi="宋体" w:cs="宋体"/>
                <w:color w:val="auto"/>
                <w:sz w:val="18"/>
                <w:szCs w:val="18"/>
                <w:highlight w:val="none"/>
              </w:rPr>
            </w:pPr>
            <w:r>
              <w:rPr>
                <w:rFonts w:ascii="宋体" w:hAnsi="宋体" w:cs="宋体"/>
                <w:color w:val="auto"/>
                <w:sz w:val="18"/>
                <w:szCs w:val="18"/>
                <w:highlight w:val="none"/>
              </w:rPr>
              <w:t>60.接受市场监督管理局等有关职能部门以及上级机关等各级各类检查时，给</w:t>
            </w:r>
            <w:r>
              <w:rPr>
                <w:rFonts w:hint="eastAsia" w:ascii="宋体" w:hAnsi="宋体" w:cs="宋体"/>
                <w:color w:val="auto"/>
                <w:sz w:val="18"/>
                <w:szCs w:val="18"/>
                <w:highlight w:val="none"/>
                <w:lang w:eastAsia="zh-CN"/>
              </w:rPr>
              <w:t>甲方</w:t>
            </w:r>
            <w:r>
              <w:rPr>
                <w:rFonts w:ascii="宋体" w:hAnsi="宋体" w:cs="宋体"/>
                <w:color w:val="auto"/>
                <w:sz w:val="18"/>
                <w:szCs w:val="18"/>
                <w:highlight w:val="none"/>
              </w:rPr>
              <w:t>造成不良影响的</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1160B0">
            <w:pPr>
              <w:rPr>
                <w:rFonts w:ascii="宋体" w:hAnsi="宋体" w:cs="宋体"/>
                <w:color w:val="auto"/>
                <w:sz w:val="18"/>
                <w:szCs w:val="18"/>
                <w:highlight w:val="none"/>
              </w:rPr>
            </w:pPr>
            <w:r>
              <w:rPr>
                <w:rFonts w:hint="eastAsia" w:ascii="宋体" w:hAnsi="宋体" w:cs="宋体"/>
                <w:color w:val="auto"/>
                <w:sz w:val="18"/>
                <w:szCs w:val="18"/>
                <w:highlight w:val="none"/>
              </w:rPr>
              <w:t>依据检查效果</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49BA8FA">
            <w:pPr>
              <w:rPr>
                <w:rFonts w:ascii="宋体" w:hAnsi="宋体" w:cs="宋体"/>
                <w:color w:val="auto"/>
                <w:sz w:val="18"/>
                <w:szCs w:val="18"/>
                <w:highlight w:val="none"/>
              </w:rPr>
            </w:pPr>
            <w:r>
              <w:rPr>
                <w:rFonts w:hint="eastAsia" w:ascii="宋体" w:hAnsi="宋体" w:cs="宋体"/>
                <w:color w:val="auto"/>
                <w:sz w:val="18"/>
                <w:szCs w:val="18"/>
                <w:highlight w:val="none"/>
              </w:rPr>
              <w:t>视其情节每发生一次支付违约金</w:t>
            </w:r>
            <w:r>
              <w:rPr>
                <w:rFonts w:ascii="宋体" w:hAnsi="宋体" w:cs="宋体"/>
                <w:color w:val="auto"/>
                <w:sz w:val="18"/>
                <w:szCs w:val="18"/>
                <w:highlight w:val="none"/>
              </w:rPr>
              <w:t>2000元及以上；</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557260">
            <w:pPr>
              <w:rPr>
                <w:rFonts w:ascii="宋体" w:hAnsi="宋体" w:cs="宋体"/>
                <w:color w:val="auto"/>
                <w:sz w:val="18"/>
                <w:szCs w:val="18"/>
                <w:highlight w:val="none"/>
              </w:rPr>
            </w:pPr>
            <w:r>
              <w:rPr>
                <w:rFonts w:hint="eastAsia" w:ascii="宋体" w:hAnsi="宋体" w:cs="宋体"/>
                <w:color w:val="auto"/>
                <w:sz w:val="18"/>
                <w:szCs w:val="18"/>
                <w:highlight w:val="none"/>
              </w:rPr>
              <w:t>视其情节扣</w:t>
            </w:r>
            <w:r>
              <w:rPr>
                <w:rFonts w:ascii="宋体" w:hAnsi="宋体" w:cs="宋体"/>
                <w:color w:val="auto"/>
                <w:sz w:val="18"/>
                <w:szCs w:val="18"/>
                <w:highlight w:val="none"/>
              </w:rPr>
              <w:t>1分/次及以上</w:t>
            </w:r>
          </w:p>
        </w:tc>
      </w:tr>
      <w:tr w14:paraId="2BDAD1E0">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33A21C6E">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65A1E661">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CE41097">
            <w:pPr>
              <w:rPr>
                <w:rFonts w:ascii="宋体" w:hAnsi="宋体" w:cs="宋体"/>
                <w:color w:val="auto"/>
                <w:sz w:val="18"/>
                <w:szCs w:val="18"/>
                <w:highlight w:val="none"/>
              </w:rPr>
            </w:pPr>
            <w:r>
              <w:rPr>
                <w:rFonts w:ascii="宋体" w:hAnsi="宋体" w:cs="宋体"/>
                <w:color w:val="auto"/>
                <w:sz w:val="18"/>
                <w:szCs w:val="18"/>
                <w:highlight w:val="none"/>
              </w:rPr>
              <w:t>61.严禁使用</w:t>
            </w:r>
            <w:r>
              <w:rPr>
                <w:rFonts w:hint="eastAsia" w:ascii="宋体" w:hAnsi="宋体" w:cs="宋体"/>
                <w:color w:val="auto"/>
                <w:sz w:val="18"/>
                <w:szCs w:val="18"/>
                <w:highlight w:val="none"/>
              </w:rPr>
              <w:t>转基因食材或外国进口类食材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BCDE1E">
            <w:pPr>
              <w:rPr>
                <w:rFonts w:ascii="宋体" w:hAnsi="宋体" w:cs="宋体"/>
                <w:color w:val="auto"/>
                <w:sz w:val="18"/>
                <w:szCs w:val="18"/>
                <w:highlight w:val="none"/>
              </w:rPr>
            </w:pPr>
            <w:r>
              <w:rPr>
                <w:rFonts w:hint="eastAsia" w:ascii="宋体" w:hAnsi="宋体" w:cs="宋体"/>
                <w:color w:val="auto"/>
                <w:sz w:val="18"/>
                <w:szCs w:val="18"/>
                <w:highlight w:val="none"/>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F3E4AEB">
            <w:pPr>
              <w:rPr>
                <w:rFonts w:ascii="宋体" w:hAnsi="宋体" w:cs="宋体"/>
                <w:color w:val="auto"/>
                <w:sz w:val="18"/>
                <w:szCs w:val="18"/>
                <w:highlight w:val="none"/>
              </w:rPr>
            </w:pPr>
            <w:r>
              <w:rPr>
                <w:rFonts w:hint="eastAsia" w:ascii="宋体" w:hAnsi="宋体" w:cs="宋体"/>
                <w:color w:val="auto"/>
                <w:sz w:val="18"/>
                <w:szCs w:val="18"/>
                <w:highlight w:val="none"/>
              </w:rPr>
              <w:t>每发现一次按每个品种支付违约金</w:t>
            </w:r>
            <w:r>
              <w:rPr>
                <w:rFonts w:ascii="宋体" w:hAnsi="宋体" w:cs="宋体"/>
                <w:color w:val="auto"/>
                <w:sz w:val="18"/>
                <w:szCs w:val="18"/>
                <w:highlight w:val="none"/>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0C10DA">
            <w:pPr>
              <w:rPr>
                <w:rFonts w:ascii="宋体" w:hAnsi="宋体" w:cs="宋体"/>
                <w:color w:val="auto"/>
                <w:sz w:val="18"/>
                <w:szCs w:val="18"/>
                <w:highlight w:val="none"/>
              </w:rPr>
            </w:pPr>
            <w:r>
              <w:rPr>
                <w:rFonts w:hint="eastAsia" w:ascii="宋体" w:hAnsi="宋体" w:cs="宋体"/>
                <w:color w:val="auto"/>
                <w:sz w:val="18"/>
                <w:szCs w:val="18"/>
                <w:highlight w:val="none"/>
              </w:rPr>
              <w:t>按发现品种数量扣</w:t>
            </w:r>
            <w:r>
              <w:rPr>
                <w:rFonts w:ascii="宋体" w:hAnsi="宋体" w:cs="宋体"/>
                <w:color w:val="auto"/>
                <w:sz w:val="18"/>
                <w:szCs w:val="18"/>
                <w:highlight w:val="none"/>
              </w:rPr>
              <w:t>5/</w:t>
            </w:r>
            <w:r>
              <w:rPr>
                <w:rFonts w:hint="eastAsia" w:ascii="宋体" w:hAnsi="宋体" w:cs="宋体"/>
                <w:color w:val="auto"/>
                <w:sz w:val="18"/>
                <w:szCs w:val="18"/>
                <w:highlight w:val="none"/>
              </w:rPr>
              <w:t>个</w:t>
            </w:r>
          </w:p>
        </w:tc>
      </w:tr>
      <w:tr w14:paraId="333DE7CE">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5FFB0C9C">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74962E87">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8A87743">
            <w:pPr>
              <w:rPr>
                <w:rFonts w:ascii="宋体" w:hAnsi="宋体" w:cs="宋体"/>
                <w:color w:val="auto"/>
                <w:sz w:val="18"/>
                <w:szCs w:val="18"/>
                <w:highlight w:val="none"/>
              </w:rPr>
            </w:pPr>
            <w:r>
              <w:rPr>
                <w:rFonts w:ascii="宋体" w:hAnsi="宋体" w:cs="宋体"/>
                <w:color w:val="auto"/>
                <w:sz w:val="18"/>
                <w:szCs w:val="18"/>
                <w:highlight w:val="none"/>
              </w:rPr>
              <w:t>62.不服从管理、不及时按要求进行整改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0E7DC45">
            <w:pPr>
              <w:rPr>
                <w:rFonts w:ascii="宋体" w:hAnsi="宋体" w:cs="宋体"/>
                <w:color w:val="auto"/>
                <w:sz w:val="18"/>
                <w:szCs w:val="18"/>
                <w:highlight w:val="none"/>
              </w:rPr>
            </w:pPr>
            <w:r>
              <w:rPr>
                <w:rFonts w:hint="eastAsia" w:ascii="宋体" w:hAnsi="宋体" w:cs="宋体"/>
                <w:color w:val="auto"/>
                <w:sz w:val="18"/>
                <w:szCs w:val="18"/>
                <w:highlight w:val="none"/>
              </w:rPr>
              <w:t>依据工作</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5002C75">
            <w:pPr>
              <w:rPr>
                <w:rFonts w:ascii="宋体" w:hAnsi="宋体" w:cs="宋体"/>
                <w:color w:val="auto"/>
                <w:sz w:val="18"/>
                <w:szCs w:val="18"/>
                <w:highlight w:val="none"/>
              </w:rPr>
            </w:pPr>
            <w:r>
              <w:rPr>
                <w:rFonts w:hint="eastAsia" w:ascii="宋体" w:hAnsi="宋体" w:cs="宋体"/>
                <w:color w:val="auto"/>
                <w:sz w:val="18"/>
                <w:szCs w:val="18"/>
                <w:highlight w:val="none"/>
              </w:rPr>
              <w:t>视其情况每次支付违约金</w:t>
            </w:r>
            <w:r>
              <w:rPr>
                <w:rFonts w:ascii="宋体" w:hAnsi="宋体" w:cs="宋体"/>
                <w:color w:val="auto"/>
                <w:sz w:val="18"/>
                <w:szCs w:val="18"/>
                <w:highlight w:val="none"/>
              </w:rPr>
              <w:t>10000元-50000元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0381806">
            <w:pPr>
              <w:rPr>
                <w:rFonts w:ascii="宋体" w:hAnsi="宋体" w:cs="宋体"/>
                <w:color w:val="auto"/>
                <w:sz w:val="18"/>
                <w:szCs w:val="18"/>
                <w:highlight w:val="none"/>
              </w:rPr>
            </w:pPr>
            <w:r>
              <w:rPr>
                <w:rFonts w:hint="eastAsia" w:ascii="宋体" w:hAnsi="宋体" w:cs="宋体"/>
                <w:color w:val="auto"/>
                <w:sz w:val="18"/>
                <w:szCs w:val="18"/>
                <w:highlight w:val="none"/>
              </w:rPr>
              <w:t>视其情况扣</w:t>
            </w:r>
            <w:r>
              <w:rPr>
                <w:rFonts w:ascii="宋体" w:hAnsi="宋体" w:cs="宋体"/>
                <w:color w:val="auto"/>
                <w:sz w:val="18"/>
                <w:szCs w:val="18"/>
                <w:highlight w:val="none"/>
              </w:rPr>
              <w:t>5-10分/次</w:t>
            </w:r>
          </w:p>
        </w:tc>
      </w:tr>
      <w:tr w14:paraId="2052102E">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0CE21EA6">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39C6B155">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639342C">
            <w:pPr>
              <w:rPr>
                <w:rFonts w:ascii="宋体" w:hAnsi="宋体" w:cs="宋体"/>
                <w:color w:val="auto"/>
                <w:sz w:val="18"/>
                <w:szCs w:val="18"/>
                <w:highlight w:val="none"/>
              </w:rPr>
            </w:pPr>
            <w:r>
              <w:rPr>
                <w:rFonts w:ascii="宋体" w:hAnsi="宋体" w:cs="宋体"/>
                <w:color w:val="auto"/>
                <w:sz w:val="18"/>
                <w:szCs w:val="18"/>
                <w:highlight w:val="none"/>
              </w:rPr>
              <w:t>63.完成学校情况下达的各类工作任务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5CAC36">
            <w:pPr>
              <w:rPr>
                <w:rFonts w:ascii="宋体" w:hAnsi="宋体" w:cs="宋体"/>
                <w:color w:val="auto"/>
                <w:sz w:val="18"/>
                <w:szCs w:val="18"/>
                <w:highlight w:val="none"/>
              </w:rPr>
            </w:pPr>
            <w:r>
              <w:rPr>
                <w:rFonts w:hint="eastAsia" w:ascii="宋体" w:hAnsi="宋体" w:cs="宋体"/>
                <w:color w:val="auto"/>
                <w:sz w:val="18"/>
                <w:szCs w:val="18"/>
                <w:highlight w:val="none"/>
              </w:rPr>
              <w:t>依据工作</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1FD28FE">
            <w:pPr>
              <w:rPr>
                <w:rFonts w:ascii="宋体" w:hAnsi="宋体" w:cs="宋体"/>
                <w:color w:val="auto"/>
                <w:sz w:val="18"/>
                <w:szCs w:val="18"/>
                <w:highlight w:val="none"/>
              </w:rPr>
            </w:pPr>
            <w:r>
              <w:rPr>
                <w:rFonts w:hint="eastAsia" w:ascii="宋体" w:hAnsi="宋体" w:cs="宋体"/>
                <w:color w:val="auto"/>
                <w:sz w:val="18"/>
                <w:szCs w:val="18"/>
                <w:highlight w:val="none"/>
              </w:rPr>
              <w:t>视工作未完成情况每项支付违约金</w:t>
            </w:r>
            <w:r>
              <w:rPr>
                <w:rFonts w:ascii="宋体" w:hAnsi="宋体" w:cs="宋体"/>
                <w:color w:val="auto"/>
                <w:sz w:val="18"/>
                <w:szCs w:val="18"/>
                <w:highlight w:val="none"/>
              </w:rPr>
              <w:t>5000元-50000元。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5F6546">
            <w:pPr>
              <w:rPr>
                <w:rFonts w:ascii="宋体" w:hAnsi="宋体" w:cs="宋体"/>
                <w:color w:val="auto"/>
                <w:sz w:val="18"/>
                <w:szCs w:val="18"/>
                <w:highlight w:val="none"/>
              </w:rPr>
            </w:pPr>
            <w:r>
              <w:rPr>
                <w:rFonts w:hint="eastAsia" w:ascii="宋体" w:hAnsi="宋体" w:cs="宋体"/>
                <w:color w:val="auto"/>
                <w:sz w:val="18"/>
                <w:szCs w:val="18"/>
                <w:highlight w:val="none"/>
              </w:rPr>
              <w:t>视工作未完成情况扣</w:t>
            </w:r>
            <w:r>
              <w:rPr>
                <w:rFonts w:ascii="宋体" w:hAnsi="宋体" w:cs="宋体"/>
                <w:color w:val="auto"/>
                <w:sz w:val="18"/>
                <w:szCs w:val="18"/>
                <w:highlight w:val="none"/>
              </w:rPr>
              <w:t>5-10分/项</w:t>
            </w:r>
          </w:p>
        </w:tc>
      </w:tr>
      <w:tr w14:paraId="01A99293">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0406A479">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3CEBF529">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0B8ABAC">
            <w:pPr>
              <w:rPr>
                <w:rFonts w:ascii="宋体" w:hAnsi="宋体" w:cs="宋体"/>
                <w:color w:val="auto"/>
                <w:sz w:val="18"/>
                <w:szCs w:val="18"/>
                <w:highlight w:val="none"/>
              </w:rPr>
            </w:pPr>
            <w:r>
              <w:rPr>
                <w:rFonts w:ascii="宋体" w:hAnsi="宋体" w:cs="宋体"/>
                <w:color w:val="auto"/>
                <w:sz w:val="18"/>
                <w:szCs w:val="18"/>
                <w:highlight w:val="none"/>
              </w:rPr>
              <w:t>64.在经营过程中发生师生有效投诉</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B46B5D0">
            <w:pPr>
              <w:rPr>
                <w:rFonts w:ascii="宋体" w:hAnsi="宋体" w:cs="宋体"/>
                <w:color w:val="auto"/>
                <w:sz w:val="18"/>
                <w:szCs w:val="18"/>
                <w:highlight w:val="none"/>
              </w:rPr>
            </w:pPr>
            <w:r>
              <w:rPr>
                <w:rFonts w:hint="eastAsia" w:ascii="宋体" w:hAnsi="宋体" w:cs="宋体"/>
                <w:color w:val="auto"/>
                <w:sz w:val="18"/>
                <w:szCs w:val="18"/>
                <w:highlight w:val="none"/>
              </w:rPr>
              <w:t>依据投诉</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F832C3A">
            <w:pPr>
              <w:rPr>
                <w:rFonts w:ascii="宋体" w:hAnsi="宋体" w:cs="宋体"/>
                <w:color w:val="auto"/>
                <w:sz w:val="18"/>
                <w:szCs w:val="18"/>
                <w:highlight w:val="none"/>
              </w:rPr>
            </w:pPr>
            <w:r>
              <w:rPr>
                <w:rFonts w:hint="eastAsia" w:ascii="宋体" w:hAnsi="宋体" w:cs="宋体"/>
                <w:color w:val="auto"/>
                <w:sz w:val="18"/>
                <w:szCs w:val="18"/>
                <w:highlight w:val="none"/>
              </w:rPr>
              <w:t>视其情况支付违约金</w:t>
            </w:r>
            <w:r>
              <w:rPr>
                <w:rFonts w:ascii="宋体" w:hAnsi="宋体" w:cs="宋体"/>
                <w:color w:val="auto"/>
                <w:sz w:val="18"/>
                <w:szCs w:val="18"/>
                <w:highlight w:val="none"/>
              </w:rPr>
              <w:t>500元及以上/次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A3ABDF2">
            <w:pPr>
              <w:rPr>
                <w:rFonts w:ascii="宋体" w:hAnsi="宋体" w:cs="宋体"/>
                <w:color w:val="auto"/>
                <w:sz w:val="18"/>
                <w:szCs w:val="18"/>
                <w:highlight w:val="none"/>
              </w:rPr>
            </w:pPr>
            <w:r>
              <w:rPr>
                <w:rFonts w:hint="eastAsia" w:ascii="宋体" w:hAnsi="宋体" w:cs="宋体"/>
                <w:color w:val="auto"/>
                <w:sz w:val="18"/>
                <w:szCs w:val="18"/>
                <w:highlight w:val="none"/>
              </w:rPr>
              <w:t>视其情况扣</w:t>
            </w:r>
            <w:r>
              <w:rPr>
                <w:rFonts w:ascii="宋体" w:hAnsi="宋体" w:cs="宋体"/>
                <w:color w:val="auto"/>
                <w:sz w:val="18"/>
                <w:szCs w:val="18"/>
                <w:highlight w:val="none"/>
              </w:rPr>
              <w:t>1分及以上/次</w:t>
            </w:r>
          </w:p>
        </w:tc>
      </w:tr>
      <w:tr w14:paraId="341A33E0">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5AD65AE6">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50B70FE3">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CF17FD6">
            <w:pPr>
              <w:rPr>
                <w:rFonts w:ascii="宋体" w:hAnsi="宋体" w:cs="宋体"/>
                <w:color w:val="auto"/>
                <w:sz w:val="18"/>
                <w:szCs w:val="18"/>
                <w:highlight w:val="none"/>
              </w:rPr>
            </w:pPr>
            <w:r>
              <w:rPr>
                <w:rFonts w:ascii="宋体" w:hAnsi="宋体" w:cs="宋体"/>
                <w:color w:val="auto"/>
                <w:sz w:val="18"/>
                <w:szCs w:val="18"/>
                <w:highlight w:val="none"/>
              </w:rPr>
              <w:t>65.</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招聘的工人在学校内，做影响食品从业人员形象的事情（例如在垃圾桶里面或学校其他区域捡垃圾）</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CC7FE50">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3A693A5">
            <w:pPr>
              <w:rPr>
                <w:rFonts w:ascii="宋体" w:hAnsi="宋体" w:cs="宋体"/>
                <w:color w:val="auto"/>
                <w:sz w:val="18"/>
                <w:szCs w:val="18"/>
                <w:highlight w:val="none"/>
              </w:rPr>
            </w:pPr>
            <w:r>
              <w:rPr>
                <w:rFonts w:hint="eastAsia" w:ascii="宋体" w:hAnsi="宋体" w:cs="宋体"/>
                <w:color w:val="auto"/>
                <w:sz w:val="18"/>
                <w:szCs w:val="18"/>
                <w:highlight w:val="none"/>
              </w:rPr>
              <w:t>经查实后支付违约金</w:t>
            </w:r>
            <w:r>
              <w:rPr>
                <w:rFonts w:ascii="宋体" w:hAnsi="宋体" w:cs="宋体"/>
                <w:color w:val="auto"/>
                <w:sz w:val="18"/>
                <w:szCs w:val="18"/>
                <w:highlight w:val="none"/>
              </w:rPr>
              <w:t>1000元/人、次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0147E62">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1分/人、次</w:t>
            </w:r>
          </w:p>
        </w:tc>
      </w:tr>
      <w:tr w14:paraId="130569F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738960CE">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356B555D">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568CFF6">
            <w:pPr>
              <w:rPr>
                <w:rFonts w:ascii="宋体" w:hAnsi="宋体" w:cs="宋体"/>
                <w:color w:val="auto"/>
                <w:sz w:val="18"/>
                <w:szCs w:val="18"/>
                <w:highlight w:val="none"/>
              </w:rPr>
            </w:pPr>
            <w:r>
              <w:rPr>
                <w:rFonts w:ascii="宋体" w:hAnsi="宋体" w:cs="宋体"/>
                <w:color w:val="auto"/>
                <w:sz w:val="18"/>
                <w:szCs w:val="18"/>
                <w:highlight w:val="none"/>
              </w:rPr>
              <w:t>66.不得在食堂内出现任何商业广告</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F4DADD">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928B48A">
            <w:pPr>
              <w:rPr>
                <w:rFonts w:ascii="宋体" w:hAnsi="宋体" w:cs="宋体"/>
                <w:color w:val="auto"/>
                <w:sz w:val="18"/>
                <w:szCs w:val="18"/>
                <w:highlight w:val="none"/>
              </w:rPr>
            </w:pPr>
            <w:r>
              <w:rPr>
                <w:rFonts w:hint="eastAsia" w:ascii="宋体" w:hAnsi="宋体" w:cs="宋体"/>
                <w:color w:val="auto"/>
                <w:sz w:val="18"/>
                <w:szCs w:val="18"/>
                <w:highlight w:val="none"/>
              </w:rPr>
              <w:t>经查实后支付违约金</w:t>
            </w:r>
            <w:r>
              <w:rPr>
                <w:rFonts w:ascii="宋体" w:hAnsi="宋体" w:cs="宋体"/>
                <w:color w:val="auto"/>
                <w:sz w:val="18"/>
                <w:szCs w:val="18"/>
                <w:highlight w:val="none"/>
              </w:rPr>
              <w:t>1000元/处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035035">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1分/处</w:t>
            </w:r>
          </w:p>
        </w:tc>
      </w:tr>
      <w:tr w14:paraId="343456E8">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56C49B41">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57803FB4">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87F28F7">
            <w:pPr>
              <w:rPr>
                <w:rFonts w:ascii="宋体" w:hAnsi="宋体" w:cs="宋体"/>
                <w:color w:val="auto"/>
                <w:sz w:val="18"/>
                <w:szCs w:val="18"/>
                <w:highlight w:val="none"/>
              </w:rPr>
            </w:pPr>
            <w:r>
              <w:rPr>
                <w:rFonts w:ascii="宋体" w:hAnsi="宋体" w:cs="宋体"/>
                <w:color w:val="auto"/>
                <w:sz w:val="18"/>
                <w:szCs w:val="18"/>
                <w:highlight w:val="none"/>
              </w:rPr>
              <w:t>67.</w:t>
            </w:r>
            <w:r>
              <w:rPr>
                <w:rFonts w:hint="eastAsia" w:ascii="宋体" w:hAnsi="宋体" w:cs="宋体"/>
                <w:color w:val="auto"/>
                <w:sz w:val="18"/>
                <w:szCs w:val="18"/>
                <w:highlight w:val="none"/>
                <w:lang w:val="en-US" w:eastAsia="zh-CN"/>
              </w:rPr>
              <w:t>乙方</w:t>
            </w:r>
            <w:r>
              <w:rPr>
                <w:rFonts w:ascii="宋体" w:hAnsi="宋体" w:cs="宋体"/>
                <w:color w:val="auto"/>
                <w:sz w:val="18"/>
                <w:szCs w:val="18"/>
                <w:highlight w:val="none"/>
              </w:rPr>
              <w:t>指派公司负责人全面统筹所经营管理食堂的食品安全、饭菜质量、内部管理等，每月应至少1次到食堂现场检查食品安全工作并留在检查影像资料和记录备查。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9515B98">
            <w:pPr>
              <w:rPr>
                <w:rFonts w:ascii="宋体" w:hAnsi="宋体" w:cs="宋体"/>
                <w:color w:val="auto"/>
                <w:sz w:val="18"/>
                <w:szCs w:val="18"/>
                <w:highlight w:val="none"/>
              </w:rPr>
            </w:pPr>
            <w:r>
              <w:rPr>
                <w:rFonts w:hint="eastAsia" w:ascii="宋体" w:hAnsi="宋体" w:cs="宋体"/>
                <w:color w:val="auto"/>
                <w:sz w:val="18"/>
                <w:szCs w:val="18"/>
                <w:highlight w:val="none"/>
              </w:rPr>
              <w:t>材料检查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2E3C74B">
            <w:pPr>
              <w:rPr>
                <w:rFonts w:ascii="宋体" w:hAnsi="宋体" w:cs="宋体"/>
                <w:color w:val="auto"/>
                <w:sz w:val="18"/>
                <w:szCs w:val="18"/>
                <w:highlight w:val="none"/>
              </w:rPr>
            </w:pPr>
            <w:r>
              <w:rPr>
                <w:rFonts w:hint="eastAsia" w:ascii="宋体" w:hAnsi="宋体" w:cs="宋体"/>
                <w:color w:val="auto"/>
                <w:sz w:val="18"/>
                <w:szCs w:val="18"/>
                <w:highlight w:val="none"/>
              </w:rPr>
              <w:t>未到现场或无记录或记录不全支付违约金</w:t>
            </w:r>
            <w:r>
              <w:rPr>
                <w:rFonts w:ascii="宋体" w:hAnsi="宋体" w:cs="宋体"/>
                <w:color w:val="auto"/>
                <w:sz w:val="18"/>
                <w:szCs w:val="18"/>
                <w:highlight w:val="none"/>
              </w:rPr>
              <w:t>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95E5B99">
            <w:pPr>
              <w:rPr>
                <w:rFonts w:ascii="宋体" w:hAnsi="宋体" w:cs="宋体"/>
                <w:color w:val="auto"/>
                <w:sz w:val="18"/>
                <w:szCs w:val="18"/>
                <w:highlight w:val="none"/>
              </w:rPr>
            </w:pPr>
            <w:r>
              <w:rPr>
                <w:rFonts w:hint="eastAsia" w:ascii="宋体" w:hAnsi="宋体" w:cs="宋体"/>
                <w:color w:val="auto"/>
                <w:sz w:val="18"/>
                <w:szCs w:val="18"/>
                <w:highlight w:val="none"/>
              </w:rPr>
              <w:t>未到现场或无记录或记录资料不全扣</w:t>
            </w:r>
            <w:r>
              <w:rPr>
                <w:rFonts w:ascii="宋体" w:hAnsi="宋体" w:cs="宋体"/>
                <w:color w:val="auto"/>
                <w:sz w:val="18"/>
                <w:szCs w:val="18"/>
                <w:highlight w:val="none"/>
              </w:rPr>
              <w:t>2分/次</w:t>
            </w:r>
          </w:p>
        </w:tc>
      </w:tr>
      <w:tr w14:paraId="00EB48E7">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2CFDF7DC">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42CA03F0">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63F2A7B">
            <w:pPr>
              <w:rPr>
                <w:rFonts w:ascii="宋体" w:hAnsi="宋体" w:cs="宋体"/>
                <w:color w:val="auto"/>
                <w:sz w:val="18"/>
                <w:szCs w:val="18"/>
                <w:highlight w:val="none"/>
              </w:rPr>
            </w:pPr>
            <w:r>
              <w:rPr>
                <w:rFonts w:ascii="宋体" w:hAnsi="宋体" w:cs="宋体"/>
                <w:color w:val="auto"/>
                <w:sz w:val="18"/>
                <w:szCs w:val="18"/>
                <w:highlight w:val="none"/>
              </w:rPr>
              <w:t>68.</w:t>
            </w:r>
            <w:r>
              <w:rPr>
                <w:rFonts w:hint="eastAsia" w:ascii="宋体" w:hAnsi="宋体" w:cs="宋体"/>
                <w:color w:val="auto"/>
                <w:sz w:val="18"/>
                <w:szCs w:val="18"/>
                <w:highlight w:val="none"/>
              </w:rPr>
              <w:t>数智食堂监管平台运行出现故障或者</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投诉</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6629AD">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0274F21">
            <w:pPr>
              <w:rPr>
                <w:rFonts w:ascii="宋体" w:hAnsi="宋体" w:cs="宋体"/>
                <w:color w:val="auto"/>
                <w:sz w:val="18"/>
                <w:szCs w:val="18"/>
                <w:highlight w:val="none"/>
              </w:rPr>
            </w:pPr>
            <w:r>
              <w:rPr>
                <w:rFonts w:hint="eastAsia" w:ascii="宋体" w:hAnsi="宋体" w:cs="宋体"/>
                <w:color w:val="auto"/>
                <w:sz w:val="18"/>
                <w:szCs w:val="18"/>
                <w:highlight w:val="none"/>
              </w:rPr>
              <w:t>发现故障或者有效投诉，未及时整改的，经查实后支付违约金</w:t>
            </w:r>
            <w:r>
              <w:rPr>
                <w:rFonts w:ascii="宋体" w:hAnsi="宋体" w:cs="宋体"/>
                <w:color w:val="auto"/>
                <w:sz w:val="18"/>
                <w:szCs w:val="18"/>
                <w:highlight w:val="none"/>
              </w:rPr>
              <w:t>1000元/次。重大故障或有效投诉，经查实后支付违约金5000元/次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2B4A25">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1分/处；重大故障或有效投诉，可以扣5分/次</w:t>
            </w:r>
          </w:p>
        </w:tc>
      </w:tr>
      <w:tr w14:paraId="6A307579">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7B666560">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08091195">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6BC1312">
            <w:pPr>
              <w:rPr>
                <w:rFonts w:ascii="宋体" w:hAnsi="宋体" w:cs="宋体"/>
                <w:color w:val="auto"/>
                <w:sz w:val="18"/>
                <w:szCs w:val="18"/>
                <w:highlight w:val="none"/>
              </w:rPr>
            </w:pPr>
            <w:r>
              <w:rPr>
                <w:rFonts w:ascii="宋体" w:hAnsi="宋体" w:cs="宋体"/>
                <w:color w:val="auto"/>
                <w:sz w:val="18"/>
                <w:szCs w:val="18"/>
                <w:highlight w:val="none"/>
              </w:rPr>
              <w:t>69.</w:t>
            </w:r>
            <w:r>
              <w:rPr>
                <w:rFonts w:hint="eastAsia" w:ascii="宋体" w:hAnsi="宋体" w:cs="宋体"/>
                <w:color w:val="auto"/>
                <w:sz w:val="18"/>
                <w:szCs w:val="18"/>
                <w:highlight w:val="none"/>
              </w:rPr>
              <w:t>数智食堂监管平台运行出现违反保密相关规定</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9C7534">
            <w:pPr>
              <w:rPr>
                <w:rFonts w:ascii="宋体" w:hAnsi="宋体" w:cs="宋体"/>
                <w:color w:val="auto"/>
                <w:sz w:val="18"/>
                <w:szCs w:val="18"/>
                <w:highlight w:val="none"/>
              </w:rPr>
            </w:pPr>
            <w:r>
              <w:rPr>
                <w:rFonts w:hint="eastAsia" w:ascii="宋体" w:hAnsi="宋体" w:cs="宋体"/>
                <w:color w:val="auto"/>
                <w:sz w:val="18"/>
                <w:szCs w:val="18"/>
                <w:highlight w:val="none"/>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1EB10CF">
            <w:pPr>
              <w:rPr>
                <w:rFonts w:ascii="宋体" w:hAnsi="宋体" w:cs="宋体"/>
                <w:color w:val="auto"/>
                <w:sz w:val="18"/>
                <w:szCs w:val="18"/>
                <w:highlight w:val="none"/>
              </w:rPr>
            </w:pPr>
            <w:r>
              <w:rPr>
                <w:rFonts w:hint="eastAsia" w:ascii="宋体" w:hAnsi="宋体" w:cs="宋体"/>
                <w:color w:val="auto"/>
                <w:sz w:val="18"/>
                <w:szCs w:val="18"/>
                <w:highlight w:val="none"/>
              </w:rPr>
              <w:t>出现违反保密相关规定，经查实后支付违约金</w:t>
            </w:r>
            <w:r>
              <w:rPr>
                <w:rFonts w:ascii="宋体" w:hAnsi="宋体" w:cs="宋体"/>
                <w:color w:val="auto"/>
                <w:sz w:val="18"/>
                <w:szCs w:val="18"/>
                <w:highlight w:val="none"/>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9CE484">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2分/次</w:t>
            </w:r>
          </w:p>
        </w:tc>
      </w:tr>
      <w:tr w14:paraId="325CB204">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291C3786">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259274AE">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E030EF1">
            <w:pPr>
              <w:rPr>
                <w:rFonts w:ascii="宋体" w:hAnsi="宋体" w:cs="宋体"/>
                <w:color w:val="auto"/>
                <w:sz w:val="18"/>
                <w:szCs w:val="18"/>
                <w:highlight w:val="none"/>
              </w:rPr>
            </w:pPr>
            <w:r>
              <w:rPr>
                <w:rFonts w:ascii="宋体" w:hAnsi="宋体" w:cs="宋体"/>
                <w:color w:val="auto"/>
                <w:sz w:val="18"/>
                <w:szCs w:val="18"/>
                <w:highlight w:val="none"/>
              </w:rPr>
              <w:t>70.AI</w:t>
            </w:r>
            <w:r>
              <w:rPr>
                <w:rFonts w:hint="eastAsia" w:ascii="宋体" w:hAnsi="宋体" w:cs="宋体"/>
                <w:color w:val="auto"/>
                <w:sz w:val="18"/>
                <w:szCs w:val="18"/>
                <w:highlight w:val="none"/>
              </w:rPr>
              <w:t>抓拍违规事项：未戴口罩、未戴工帽、未穿工服、抽烟玩手机、垃圾桶未盖</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215F62">
            <w:pPr>
              <w:rPr>
                <w:rFonts w:ascii="宋体" w:hAnsi="宋体" w:cs="宋体"/>
                <w:color w:val="auto"/>
                <w:sz w:val="18"/>
                <w:szCs w:val="18"/>
                <w:highlight w:val="none"/>
              </w:rPr>
            </w:pPr>
            <w:r>
              <w:rPr>
                <w:rFonts w:hint="eastAsia" w:ascii="宋体" w:hAnsi="宋体" w:cs="宋体"/>
                <w:color w:val="auto"/>
                <w:sz w:val="18"/>
                <w:szCs w:val="18"/>
                <w:highlight w:val="none"/>
              </w:rPr>
              <w:t>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E16CE49">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出现前述单项违规，支付</w:t>
            </w:r>
            <w:r>
              <w:rPr>
                <w:rFonts w:ascii="宋体" w:hAnsi="宋体" w:cs="宋体"/>
                <w:color w:val="auto"/>
                <w:sz w:val="18"/>
                <w:szCs w:val="18"/>
                <w:highlight w:val="none"/>
              </w:rPr>
              <w:t>违约金500元/次。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2BBE445">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出现前述单项违规，每次扣</w:t>
            </w:r>
            <w:r>
              <w:rPr>
                <w:rFonts w:ascii="宋体" w:hAnsi="宋体" w:cs="宋体"/>
                <w:color w:val="auto"/>
                <w:sz w:val="18"/>
                <w:szCs w:val="18"/>
                <w:highlight w:val="none"/>
              </w:rPr>
              <w:t>0.5</w:t>
            </w:r>
            <w:r>
              <w:rPr>
                <w:rFonts w:hint="eastAsia" w:ascii="宋体" w:hAnsi="宋体" w:cs="宋体"/>
                <w:color w:val="auto"/>
                <w:sz w:val="18"/>
                <w:szCs w:val="18"/>
                <w:highlight w:val="none"/>
              </w:rPr>
              <w:t>分</w:t>
            </w:r>
          </w:p>
        </w:tc>
      </w:tr>
      <w:tr w14:paraId="5635EB3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3F4277CC">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6EDD243F">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7FB19AD">
            <w:pPr>
              <w:rPr>
                <w:rFonts w:ascii="宋体" w:hAnsi="宋体" w:cs="宋体"/>
                <w:color w:val="auto"/>
                <w:sz w:val="18"/>
                <w:szCs w:val="18"/>
                <w:highlight w:val="none"/>
              </w:rPr>
            </w:pPr>
            <w:r>
              <w:rPr>
                <w:rFonts w:ascii="宋体" w:hAnsi="宋体" w:cs="宋体"/>
                <w:color w:val="auto"/>
                <w:sz w:val="18"/>
                <w:szCs w:val="18"/>
                <w:highlight w:val="none"/>
              </w:rPr>
              <w:t>71.</w:t>
            </w:r>
            <w:r>
              <w:rPr>
                <w:rFonts w:hint="eastAsia" w:ascii="宋体" w:hAnsi="宋体" w:cs="宋体"/>
                <w:color w:val="auto"/>
                <w:sz w:val="18"/>
                <w:szCs w:val="18"/>
                <w:highlight w:val="none"/>
              </w:rPr>
              <w:t>人员晨检异常、库房温湿度异常、未规范放置挡鼠板、碗筷消毒不达标、农残超标、紫外线消毒不达标、冰箱温度异常、未留样未销样、陌生人闯入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A46EA6">
            <w:pPr>
              <w:rPr>
                <w:rFonts w:ascii="宋体" w:hAnsi="宋体" w:cs="宋体"/>
                <w:color w:val="auto"/>
                <w:sz w:val="18"/>
                <w:szCs w:val="18"/>
                <w:highlight w:val="none"/>
              </w:rPr>
            </w:pPr>
            <w:r>
              <w:rPr>
                <w:rFonts w:hint="eastAsia" w:ascii="宋体" w:hAnsi="宋体" w:cs="宋体"/>
                <w:color w:val="auto"/>
                <w:sz w:val="18"/>
                <w:szCs w:val="18"/>
                <w:highlight w:val="none"/>
              </w:rPr>
              <w:t>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BF8ACF0">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出现前述单项违规，支付</w:t>
            </w:r>
            <w:r>
              <w:rPr>
                <w:rFonts w:ascii="宋体" w:hAnsi="宋体" w:cs="宋体"/>
                <w:color w:val="auto"/>
                <w:sz w:val="18"/>
                <w:szCs w:val="18"/>
                <w:highlight w:val="none"/>
              </w:rPr>
              <w:t>违约金500元/次。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FD0E101">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出现前述单项违规，每次扣</w:t>
            </w:r>
            <w:r>
              <w:rPr>
                <w:rFonts w:ascii="宋体" w:hAnsi="宋体" w:cs="宋体"/>
                <w:color w:val="auto"/>
                <w:sz w:val="18"/>
                <w:szCs w:val="18"/>
                <w:highlight w:val="none"/>
              </w:rPr>
              <w:t>0.5</w:t>
            </w:r>
            <w:r>
              <w:rPr>
                <w:rFonts w:hint="eastAsia" w:ascii="宋体" w:hAnsi="宋体" w:cs="宋体"/>
                <w:color w:val="auto"/>
                <w:sz w:val="18"/>
                <w:szCs w:val="18"/>
                <w:highlight w:val="none"/>
              </w:rPr>
              <w:t>分</w:t>
            </w:r>
          </w:p>
        </w:tc>
      </w:tr>
      <w:tr w14:paraId="3263E72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11EAF3AC">
            <w:pPr>
              <w:rPr>
                <w:rFonts w:ascii="宋体" w:hAnsi="宋体" w:cs="宋体"/>
                <w:color w:val="auto"/>
                <w:sz w:val="18"/>
                <w:szCs w:val="18"/>
                <w:highlight w:val="none"/>
              </w:rPr>
            </w:pPr>
          </w:p>
        </w:tc>
        <w:tc>
          <w:tcPr>
            <w:tcW w:w="636" w:type="dxa"/>
            <w:vMerge w:val="continue"/>
            <w:tcBorders>
              <w:left w:val="single" w:color="auto" w:sz="4" w:space="0"/>
              <w:right w:val="single" w:color="auto" w:sz="4" w:space="0"/>
            </w:tcBorders>
            <w:noWrap w:val="0"/>
            <w:vAlign w:val="center"/>
          </w:tcPr>
          <w:p w14:paraId="69D9B5DE">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4A6546D">
            <w:pPr>
              <w:rPr>
                <w:rFonts w:ascii="宋体" w:hAnsi="宋体" w:cs="宋体"/>
                <w:color w:val="auto"/>
                <w:sz w:val="18"/>
                <w:szCs w:val="18"/>
                <w:highlight w:val="none"/>
              </w:rPr>
            </w:pPr>
            <w:r>
              <w:rPr>
                <w:rFonts w:ascii="宋体" w:hAnsi="宋体" w:cs="宋体"/>
                <w:color w:val="auto"/>
                <w:sz w:val="18"/>
                <w:szCs w:val="18"/>
                <w:highlight w:val="none"/>
              </w:rPr>
              <w:t>72.</w:t>
            </w:r>
            <w:r>
              <w:rPr>
                <w:rFonts w:hint="eastAsia" w:ascii="宋体" w:hAnsi="宋体" w:cs="宋体"/>
                <w:color w:val="auto"/>
                <w:sz w:val="18"/>
                <w:szCs w:val="18"/>
                <w:highlight w:val="none"/>
              </w:rPr>
              <w:t>出现</w:t>
            </w:r>
            <w:r>
              <w:rPr>
                <w:rFonts w:ascii="宋体" w:hAnsi="宋体" w:cs="宋体"/>
                <w:color w:val="auto"/>
                <w:sz w:val="18"/>
                <w:szCs w:val="18"/>
                <w:highlight w:val="none"/>
              </w:rPr>
              <w:t>AI</w:t>
            </w:r>
            <w:r>
              <w:rPr>
                <w:rFonts w:hint="eastAsia" w:ascii="宋体" w:hAnsi="宋体" w:cs="宋体"/>
                <w:color w:val="auto"/>
                <w:sz w:val="18"/>
                <w:szCs w:val="18"/>
                <w:highlight w:val="none"/>
              </w:rPr>
              <w:t>生物抓拍（老鼠等）、油锅离岗等事件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362835C">
            <w:pPr>
              <w:rPr>
                <w:rFonts w:ascii="宋体" w:hAnsi="宋体" w:cs="宋体"/>
                <w:color w:val="auto"/>
                <w:sz w:val="18"/>
                <w:szCs w:val="18"/>
                <w:highlight w:val="none"/>
              </w:rPr>
            </w:pPr>
            <w:r>
              <w:rPr>
                <w:rFonts w:hint="eastAsia" w:ascii="宋体" w:hAnsi="宋体" w:cs="宋体"/>
                <w:color w:val="auto"/>
                <w:sz w:val="18"/>
                <w:szCs w:val="18"/>
                <w:highlight w:val="none"/>
              </w:rPr>
              <w:t>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68B06E8">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出现前述单项违规，支付</w:t>
            </w:r>
            <w:r>
              <w:rPr>
                <w:rFonts w:ascii="宋体" w:hAnsi="宋体" w:cs="宋体"/>
                <w:color w:val="auto"/>
                <w:sz w:val="18"/>
                <w:szCs w:val="18"/>
                <w:highlight w:val="none"/>
              </w:rPr>
              <w:t>违约金5000元/次。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70660AB">
            <w:pPr>
              <w:rPr>
                <w:rFonts w:ascii="宋体" w:hAnsi="宋体" w:cs="宋体"/>
                <w:color w:val="auto"/>
                <w:sz w:val="18"/>
                <w:szCs w:val="18"/>
                <w:highlight w:val="none"/>
              </w:rPr>
            </w:pPr>
            <w:r>
              <w:rPr>
                <w:rFonts w:hint="eastAsia" w:ascii="宋体" w:hAnsi="宋体" w:cs="宋体"/>
                <w:color w:val="auto"/>
                <w:sz w:val="18"/>
                <w:szCs w:val="18"/>
                <w:highlight w:val="none"/>
              </w:rPr>
              <w:t>出现前述单项违规，每次扣</w:t>
            </w:r>
            <w:r>
              <w:rPr>
                <w:rFonts w:ascii="宋体" w:hAnsi="宋体" w:cs="宋体"/>
                <w:color w:val="auto"/>
                <w:sz w:val="18"/>
                <w:szCs w:val="18"/>
                <w:highlight w:val="none"/>
              </w:rPr>
              <w:t>5</w:t>
            </w:r>
            <w:r>
              <w:rPr>
                <w:rFonts w:hint="eastAsia" w:ascii="宋体" w:hAnsi="宋体" w:cs="宋体"/>
                <w:color w:val="auto"/>
                <w:sz w:val="18"/>
                <w:szCs w:val="18"/>
                <w:highlight w:val="none"/>
              </w:rPr>
              <w:t>分</w:t>
            </w:r>
          </w:p>
        </w:tc>
      </w:tr>
      <w:tr w14:paraId="2F0A82B2">
        <w:tblPrEx>
          <w:tblCellMar>
            <w:top w:w="0" w:type="dxa"/>
            <w:left w:w="108" w:type="dxa"/>
            <w:bottom w:w="0" w:type="dxa"/>
            <w:right w:w="108" w:type="dxa"/>
          </w:tblCellMar>
        </w:tblPrEx>
        <w:trPr>
          <w:trHeight w:val="480" w:hRule="atLeast"/>
          <w:jc w:val="center"/>
        </w:trPr>
        <w:tc>
          <w:tcPr>
            <w:tcW w:w="499" w:type="dxa"/>
            <w:tcBorders>
              <w:left w:val="single" w:color="auto" w:sz="4" w:space="0"/>
              <w:bottom w:val="single" w:color="auto" w:sz="4" w:space="0"/>
              <w:right w:val="single" w:color="auto" w:sz="4" w:space="0"/>
            </w:tcBorders>
            <w:noWrap w:val="0"/>
            <w:vAlign w:val="center"/>
          </w:tcPr>
          <w:p w14:paraId="025B2C7F">
            <w:pP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636" w:type="dxa"/>
            <w:vMerge w:val="continue"/>
            <w:tcBorders>
              <w:left w:val="single" w:color="auto" w:sz="4" w:space="0"/>
              <w:bottom w:val="single" w:color="auto" w:sz="4" w:space="0"/>
              <w:right w:val="single" w:color="auto" w:sz="4" w:space="0"/>
            </w:tcBorders>
            <w:noWrap w:val="0"/>
            <w:vAlign w:val="center"/>
          </w:tcPr>
          <w:p w14:paraId="1F92B4EF">
            <w:pPr>
              <w:rPr>
                <w:rFonts w:ascii="宋体" w:hAnsi="宋体" w:cs="宋体"/>
                <w:color w:val="auto"/>
                <w:sz w:val="18"/>
                <w:szCs w:val="18"/>
                <w:highlight w:val="none"/>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7BD209F">
            <w:pPr>
              <w:rPr>
                <w:rFonts w:ascii="宋体" w:hAnsi="宋体" w:cs="宋体"/>
                <w:color w:val="auto"/>
                <w:sz w:val="18"/>
                <w:szCs w:val="18"/>
                <w:highlight w:val="none"/>
              </w:rPr>
            </w:pPr>
            <w:r>
              <w:rPr>
                <w:rFonts w:ascii="宋体" w:hAnsi="宋体" w:cs="宋体"/>
                <w:color w:val="auto"/>
                <w:sz w:val="18"/>
                <w:szCs w:val="18"/>
                <w:highlight w:val="none"/>
              </w:rPr>
              <w:t>73.</w:t>
            </w:r>
            <w:r>
              <w:rPr>
                <w:rFonts w:hint="eastAsia" w:ascii="宋体" w:hAnsi="宋体" w:cs="宋体"/>
                <w:color w:val="auto"/>
                <w:sz w:val="18"/>
                <w:szCs w:val="18"/>
                <w:highlight w:val="none"/>
              </w:rPr>
              <w:t>投诉经查实或</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监管发现或数智食堂监管平台发现的其它违规情况</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30F347">
            <w:pPr>
              <w:rPr>
                <w:rFonts w:ascii="宋体" w:hAnsi="宋体" w:cs="宋体"/>
                <w:color w:val="auto"/>
                <w:sz w:val="18"/>
                <w:szCs w:val="18"/>
                <w:highlight w:val="none"/>
              </w:rPr>
            </w:pPr>
            <w:r>
              <w:rPr>
                <w:rFonts w:hint="eastAsia" w:ascii="宋体" w:hAnsi="宋体" w:cs="宋体"/>
                <w:color w:val="auto"/>
                <w:sz w:val="18"/>
                <w:szCs w:val="18"/>
                <w:highlight w:val="none"/>
              </w:rPr>
              <w:t>现场核实或平台记录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5515069">
            <w:pPr>
              <w:rPr>
                <w:rFonts w:ascii="宋体" w:hAnsi="宋体" w:cs="宋体"/>
                <w:color w:val="auto"/>
                <w:sz w:val="18"/>
                <w:szCs w:val="18"/>
                <w:highlight w:val="none"/>
              </w:rPr>
            </w:pPr>
            <w:r>
              <w:rPr>
                <w:rFonts w:hint="eastAsia" w:ascii="宋体" w:hAnsi="宋体" w:cs="宋体"/>
                <w:color w:val="auto"/>
                <w:sz w:val="18"/>
                <w:szCs w:val="18"/>
                <w:highlight w:val="none"/>
              </w:rPr>
              <w:t>经查实后，本考核前款已约定处罚的按前款约定处罚，前款未约定处罚的根据情节严重情况支付违约金</w:t>
            </w:r>
            <w:r>
              <w:rPr>
                <w:rFonts w:ascii="宋体" w:hAnsi="宋体" w:cs="宋体"/>
                <w:color w:val="auto"/>
                <w:sz w:val="18"/>
                <w:szCs w:val="18"/>
                <w:highlight w:val="none"/>
              </w:rPr>
              <w:t>500-10000元/次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1BC604E">
            <w:pPr>
              <w:rPr>
                <w:rFonts w:ascii="宋体" w:hAnsi="宋体" w:cs="宋体"/>
                <w:color w:val="auto"/>
                <w:sz w:val="18"/>
                <w:szCs w:val="18"/>
                <w:highlight w:val="none"/>
              </w:rPr>
            </w:pPr>
            <w:r>
              <w:rPr>
                <w:rFonts w:hint="eastAsia" w:ascii="宋体" w:hAnsi="宋体" w:cs="宋体"/>
                <w:color w:val="auto"/>
                <w:sz w:val="18"/>
                <w:szCs w:val="18"/>
                <w:highlight w:val="none"/>
              </w:rPr>
              <w:t>经查实后扣</w:t>
            </w:r>
            <w:r>
              <w:rPr>
                <w:rFonts w:ascii="宋体" w:hAnsi="宋体" w:cs="宋体"/>
                <w:color w:val="auto"/>
                <w:sz w:val="18"/>
                <w:szCs w:val="18"/>
                <w:highlight w:val="none"/>
              </w:rPr>
              <w:t>0.5-5分/次</w:t>
            </w:r>
          </w:p>
        </w:tc>
      </w:tr>
    </w:tbl>
    <w:p w14:paraId="585E1E82">
      <w:pPr>
        <w:spacing w:line="400" w:lineRule="exact"/>
        <w:ind w:firstLine="480" w:firstLineChars="200"/>
        <w:jc w:val="left"/>
        <w:rPr>
          <w:rFonts w:ascii="宋体" w:hAnsi="宋体" w:cs="宋体"/>
          <w:color w:val="auto"/>
          <w:sz w:val="24"/>
          <w:szCs w:val="24"/>
          <w:highlight w:val="none"/>
        </w:rPr>
      </w:pPr>
      <w:r>
        <w:rPr>
          <w:rFonts w:hint="eastAsia" w:ascii="宋体" w:hAnsi="宋体" w:cs="宋体"/>
          <w:bCs/>
          <w:color w:val="auto"/>
          <w:sz w:val="24"/>
          <w:szCs w:val="24"/>
          <w:highlight w:val="none"/>
        </w:rPr>
        <w:t>备注：</w:t>
      </w: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甲方</w:t>
      </w:r>
      <w:r>
        <w:rPr>
          <w:rFonts w:ascii="宋体" w:hAnsi="宋体" w:cs="宋体"/>
          <w:color w:val="auto"/>
          <w:sz w:val="24"/>
          <w:szCs w:val="24"/>
          <w:highlight w:val="none"/>
        </w:rPr>
        <w:t>可根据实际情况对日常考核实施细则进行修订，</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须按修订后的办法执行。</w:t>
      </w:r>
    </w:p>
    <w:p w14:paraId="044B8E10">
      <w:pPr>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2.上述违约金均从</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最近一次营业款中扣除并按</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要求及时整改。</w:t>
      </w:r>
    </w:p>
    <w:p w14:paraId="4CBA4621">
      <w:pPr>
        <w:spacing w:before="167" w:line="223" w:lineRule="auto"/>
        <w:rPr>
          <w:rFonts w:hint="eastAsia" w:ascii="宋体" w:hAnsi="宋体" w:eastAsia="宋体" w:cs="宋体"/>
          <w:color w:val="auto"/>
          <w:spacing w:val="8"/>
          <w:sz w:val="24"/>
          <w:szCs w:val="24"/>
          <w:highlight w:val="none"/>
          <w:lang w:val="en-US" w:eastAsia="zh-CN"/>
        </w:rPr>
      </w:pPr>
    </w:p>
    <w:p w14:paraId="367D7AC1">
      <w:pPr>
        <w:spacing w:before="167" w:line="223" w:lineRule="auto"/>
        <w:rPr>
          <w:rFonts w:hint="eastAsia" w:ascii="宋体" w:hAnsi="宋体" w:eastAsia="宋体" w:cs="宋体"/>
          <w:color w:val="auto"/>
          <w:spacing w:val="8"/>
          <w:sz w:val="24"/>
          <w:szCs w:val="24"/>
          <w:highlight w:val="none"/>
          <w:lang w:val="en-US" w:eastAsia="zh-CN"/>
        </w:rPr>
      </w:pPr>
    </w:p>
    <w:p w14:paraId="219FC60D">
      <w:pPr>
        <w:spacing w:before="167" w:line="223" w:lineRule="auto"/>
        <w:rPr>
          <w:rFonts w:hint="eastAsia" w:ascii="宋体" w:hAnsi="宋体" w:eastAsia="宋体" w:cs="宋体"/>
          <w:color w:val="auto"/>
          <w:spacing w:val="8"/>
          <w:sz w:val="24"/>
          <w:szCs w:val="24"/>
          <w:highlight w:val="none"/>
          <w:lang w:val="en-US" w:eastAsia="zh-CN"/>
        </w:rPr>
      </w:pPr>
    </w:p>
    <w:p w14:paraId="1D89092D">
      <w:pPr>
        <w:spacing w:before="167" w:line="223" w:lineRule="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附件二：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8"/>
          <w:szCs w:val="28"/>
          <w:highlight w:val="none"/>
        </w:rPr>
        <w:t>数智食堂”食堂数智化设备建设要求</w:t>
      </w:r>
    </w:p>
    <w:p w14:paraId="3D1C1D82">
      <w:pPr>
        <w:autoSpaceDE w:val="0"/>
        <w:autoSpaceDN w:val="0"/>
        <w:adjustRightInd w:val="0"/>
        <w:spacing w:line="480" w:lineRule="exact"/>
        <w:jc w:val="center"/>
        <w:rPr>
          <w:rFonts w:ascii="方正仿宋_GBK" w:hAnsi="Times New Roman" w:eastAsia="方正仿宋_GBK" w:cs="Times New Roman"/>
          <w:b/>
          <w:color w:val="auto"/>
          <w:kern w:val="0"/>
          <w:sz w:val="28"/>
          <w:szCs w:val="28"/>
          <w:highlight w:val="none"/>
        </w:rPr>
      </w:pPr>
      <w:r>
        <w:rPr>
          <w:rFonts w:hint="eastAsia" w:ascii="方正仿宋_GBK" w:hAnsi="Times New Roman" w:eastAsia="方正仿宋_GBK" w:cs="Times New Roman"/>
          <w:b/>
          <w:color w:val="auto"/>
          <w:kern w:val="0"/>
          <w:sz w:val="28"/>
          <w:szCs w:val="28"/>
          <w:highlight w:val="none"/>
        </w:rPr>
        <w:t>表二：数智食堂”食堂数智化设备建设要求</w:t>
      </w:r>
    </w:p>
    <w:tbl>
      <w:tblPr>
        <w:tblStyle w:val="59"/>
        <w:tblW w:w="9666" w:type="dxa"/>
        <w:jc w:val="center"/>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Layout w:type="fixed"/>
        <w:tblCellMar>
          <w:top w:w="0" w:type="dxa"/>
          <w:left w:w="108" w:type="dxa"/>
          <w:bottom w:w="0" w:type="dxa"/>
          <w:right w:w="108" w:type="dxa"/>
        </w:tblCellMar>
      </w:tblPr>
      <w:tblGrid>
        <w:gridCol w:w="747"/>
        <w:gridCol w:w="1200"/>
        <w:gridCol w:w="6114"/>
        <w:gridCol w:w="824"/>
        <w:gridCol w:w="781"/>
      </w:tblGrid>
      <w:tr w14:paraId="6B32AF0E">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1232" w:hRule="atLeast"/>
          <w:jc w:val="center"/>
        </w:trPr>
        <w:tc>
          <w:tcPr>
            <w:tcW w:w="9666"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ACB1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w:t>
            </w:r>
            <w:bookmarkStart w:id="200" w:name="OLE_LINK53"/>
            <w:bookmarkStart w:id="201" w:name="OLE_LINK52"/>
            <w:r>
              <w:rPr>
                <w:rFonts w:hint="eastAsia" w:ascii="宋体" w:hAnsi="宋体" w:eastAsia="宋体" w:cs="宋体"/>
                <w:bCs/>
                <w:color w:val="auto"/>
                <w:sz w:val="24"/>
                <w:szCs w:val="24"/>
                <w:highlight w:val="none"/>
              </w:rPr>
              <w:t>数智食堂”食堂数智化设备建设要求（包4和包5）</w:t>
            </w:r>
            <w:bookmarkEnd w:id="200"/>
            <w:bookmarkEnd w:id="201"/>
          </w:p>
        </w:tc>
      </w:tr>
      <w:tr w14:paraId="41D3EA49">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1394"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FB35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B6EC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设备名称</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18E8D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产品技术参数</w:t>
            </w:r>
          </w:p>
          <w:p w14:paraId="6C3CC8F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(参数配置及设施设备配置均为最低要求，如有不完备，按采购人要求实施）</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45403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77F2F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r>
      <w:tr w14:paraId="7BA50A5A">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A239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7B9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智能人脸晨检门禁</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CA9671">
            <w:pPr>
              <w:keepNext w:val="0"/>
              <w:keepLines w:val="0"/>
              <w:pageBreakBefore w:val="0"/>
              <w:widowControl/>
              <w:numPr>
                <w:ilvl w:val="0"/>
                <w:numId w:val="1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功能描述：</w:t>
            </w:r>
          </w:p>
          <w:p w14:paraId="05461148">
            <w:pPr>
              <w:keepNext w:val="0"/>
              <w:keepLines w:val="0"/>
              <w:pageBreakBefore w:val="0"/>
              <w:widowControl/>
              <w:numPr>
                <w:ilvl w:val="0"/>
                <w:numId w:val="1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实现每日自动晨检，并对晨检数据实时记录、自动存档，确保有效落实从业人员每日健康管理要求；</w:t>
            </w:r>
          </w:p>
          <w:p w14:paraId="1F744F8B">
            <w:pPr>
              <w:keepNext w:val="0"/>
              <w:keepLines w:val="0"/>
              <w:pageBreakBefore w:val="0"/>
              <w:widowControl/>
              <w:numPr>
                <w:ilvl w:val="0"/>
                <w:numId w:val="1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通过人体无感测温、人脸健康证比对、手部检测识别、智能语音提醒，实现每日员工测温晨检；自动生成晨检、出勤记录；同时进行员工健康证状态提醒，节省人工管理成本，降低食堂人员证照风险，同时解决员工出入管控问题；</w:t>
            </w:r>
          </w:p>
          <w:p w14:paraId="6A410854">
            <w:pPr>
              <w:keepNext w:val="0"/>
              <w:keepLines w:val="0"/>
              <w:pageBreakBefore w:val="0"/>
              <w:widowControl/>
              <w:numPr>
                <w:ilvl w:val="0"/>
                <w:numId w:val="1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自动生成晨检台账在手机APP端、电脑后台端可导出记录生成表格打印纸质晨检台账并最少保存2年数据；</w:t>
            </w:r>
          </w:p>
          <w:p w14:paraId="7611185B">
            <w:pPr>
              <w:keepNext w:val="0"/>
              <w:keepLines w:val="0"/>
              <w:pageBreakBefore w:val="0"/>
              <w:widowControl/>
              <w:numPr>
                <w:ilvl w:val="0"/>
                <w:numId w:val="1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设备参数：</w:t>
            </w:r>
          </w:p>
          <w:p w14:paraId="2FA60ED0">
            <w:pPr>
              <w:keepNext w:val="0"/>
              <w:keepLines w:val="0"/>
              <w:pageBreakBefore w:val="0"/>
              <w:widowControl/>
              <w:numPr>
                <w:ilvl w:val="0"/>
                <w:numId w:val="1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显示参数：</w:t>
            </w:r>
          </w:p>
          <w:p w14:paraId="6C6CA6CF">
            <w:pPr>
              <w:keepNext w:val="0"/>
              <w:keepLines w:val="0"/>
              <w:pageBreakBefore w:val="0"/>
              <w:widowControl/>
              <w:numPr>
                <w:ilvl w:val="0"/>
                <w:numId w:val="1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操作系统：Linux操作系统；</w:t>
            </w:r>
          </w:p>
          <w:p w14:paraId="4120A71D">
            <w:pPr>
              <w:keepNext w:val="0"/>
              <w:keepLines w:val="0"/>
              <w:pageBreakBefore w:val="0"/>
              <w:widowControl/>
              <w:numPr>
                <w:ilvl w:val="0"/>
                <w:numId w:val="1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处理器：不低于双核ARMCortex-A7andRISC-VMCU的性能；</w:t>
            </w:r>
          </w:p>
          <w:p w14:paraId="707323E1">
            <w:pPr>
              <w:keepNext w:val="0"/>
              <w:keepLines w:val="0"/>
              <w:pageBreakBefore w:val="0"/>
              <w:widowControl/>
              <w:numPr>
                <w:ilvl w:val="0"/>
                <w:numId w:val="1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摄像头双目：210万有效像素，1920*1080；</w:t>
            </w:r>
          </w:p>
          <w:p w14:paraId="32D69860">
            <w:pPr>
              <w:keepNext w:val="0"/>
              <w:keepLines w:val="0"/>
              <w:pageBreakBefore w:val="0"/>
              <w:widowControl/>
              <w:numPr>
                <w:ilvl w:val="0"/>
                <w:numId w:val="1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成像器件：1/2.8"；</w:t>
            </w:r>
          </w:p>
          <w:p w14:paraId="409F6FBE">
            <w:pPr>
              <w:keepNext w:val="0"/>
              <w:keepLines w:val="0"/>
              <w:pageBreakBefore w:val="0"/>
              <w:widowControl/>
              <w:numPr>
                <w:ilvl w:val="0"/>
                <w:numId w:val="1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镜头：4.5mm焦距；</w:t>
            </w:r>
          </w:p>
          <w:p w14:paraId="16DAC34F">
            <w:pPr>
              <w:keepNext w:val="0"/>
              <w:keepLines w:val="0"/>
              <w:pageBreakBefore w:val="0"/>
              <w:widowControl/>
              <w:numPr>
                <w:ilvl w:val="0"/>
                <w:numId w:val="1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扬声器：语音播放内容可定制；</w:t>
            </w:r>
          </w:p>
          <w:p w14:paraId="360AB3EF">
            <w:pPr>
              <w:keepNext w:val="0"/>
              <w:keepLines w:val="0"/>
              <w:pageBreakBefore w:val="0"/>
              <w:widowControl/>
              <w:numPr>
                <w:ilvl w:val="0"/>
                <w:numId w:val="1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存储：1GB内存+8GBeMMC。</w:t>
            </w:r>
          </w:p>
          <w:p w14:paraId="0C2F780D">
            <w:pPr>
              <w:keepNext w:val="0"/>
              <w:keepLines w:val="0"/>
              <w:pageBreakBefore w:val="0"/>
              <w:widowControl/>
              <w:numPr>
                <w:ilvl w:val="0"/>
                <w:numId w:val="1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性能参数：</w:t>
            </w:r>
          </w:p>
          <w:p w14:paraId="7C7D4D27">
            <w:pPr>
              <w:keepNext w:val="0"/>
              <w:keepLines w:val="0"/>
              <w:pageBreakBefore w:val="0"/>
              <w:widowControl/>
              <w:numPr>
                <w:ilvl w:val="0"/>
                <w:numId w:val="1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识别高度：1.2~2.3米；</w:t>
            </w:r>
          </w:p>
          <w:p w14:paraId="39804DA2">
            <w:pPr>
              <w:keepNext w:val="0"/>
              <w:keepLines w:val="0"/>
              <w:pageBreakBefore w:val="0"/>
              <w:widowControl/>
              <w:numPr>
                <w:ilvl w:val="0"/>
                <w:numId w:val="1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角度可调：识别距离0.5~1.5米，视镜头可变；</w:t>
            </w:r>
          </w:p>
          <w:p w14:paraId="77BAF3EE">
            <w:pPr>
              <w:keepNext w:val="0"/>
              <w:keepLines w:val="0"/>
              <w:pageBreakBefore w:val="0"/>
              <w:widowControl/>
              <w:numPr>
                <w:ilvl w:val="0"/>
                <w:numId w:val="1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人脸角度：左右30度，上下30度；</w:t>
            </w:r>
          </w:p>
          <w:p w14:paraId="16C7AB31">
            <w:pPr>
              <w:keepNext w:val="0"/>
              <w:keepLines w:val="0"/>
              <w:pageBreakBefore w:val="0"/>
              <w:widowControl/>
              <w:numPr>
                <w:ilvl w:val="0"/>
                <w:numId w:val="1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识别时间：小于0.3秒；</w:t>
            </w:r>
          </w:p>
          <w:p w14:paraId="66F85B53">
            <w:pPr>
              <w:keepNext w:val="0"/>
              <w:keepLines w:val="0"/>
              <w:pageBreakBefore w:val="0"/>
              <w:widowControl/>
              <w:numPr>
                <w:ilvl w:val="0"/>
                <w:numId w:val="1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识别记录容量：69000；</w:t>
            </w:r>
          </w:p>
          <w:p w14:paraId="63FDCCC9">
            <w:pPr>
              <w:keepNext w:val="0"/>
              <w:keepLines w:val="0"/>
              <w:pageBreakBefore w:val="0"/>
              <w:widowControl/>
              <w:numPr>
                <w:ilvl w:val="0"/>
                <w:numId w:val="1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人脸容量：24000张；</w:t>
            </w:r>
          </w:p>
          <w:p w14:paraId="04581411">
            <w:pPr>
              <w:keepNext w:val="0"/>
              <w:keepLines w:val="0"/>
              <w:pageBreakBefore w:val="0"/>
              <w:widowControl/>
              <w:numPr>
                <w:ilvl w:val="0"/>
                <w:numId w:val="1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其他参数：</w:t>
            </w:r>
          </w:p>
          <w:p w14:paraId="25F40E12">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工作温度：-20℃-60℃（测温环境温度：+16℃-+40℃）；</w:t>
            </w:r>
          </w:p>
          <w:p w14:paraId="0CC4CD50">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工作湿度：0%～90%相对湿度，无冷凝；</w:t>
            </w:r>
          </w:p>
          <w:p w14:paraId="093964EA">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设备功率：20W(MAX)；</w:t>
            </w:r>
          </w:p>
          <w:p w14:paraId="092470F0">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盐雾等级：Rp6级以上；</w:t>
            </w:r>
          </w:p>
          <w:p w14:paraId="08935FCE">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ESD：接触±6KV，空气±8KV；</w:t>
            </w:r>
          </w:p>
          <w:p w14:paraId="4D6C5600">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供电：DC12V/2A；</w:t>
            </w:r>
          </w:p>
          <w:p w14:paraId="0D1FC756">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防护等级：IP42；</w:t>
            </w:r>
          </w:p>
          <w:p w14:paraId="6EF38CBC">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屏幕规格：8寸高清IPS屏，分辨率1280*800；</w:t>
            </w:r>
          </w:p>
          <w:p w14:paraId="03AFA66E">
            <w:pPr>
              <w:keepNext w:val="0"/>
              <w:keepLines w:val="0"/>
              <w:pageBreakBefore w:val="0"/>
              <w:widowControl/>
              <w:numPr>
                <w:ilvl w:val="0"/>
                <w:numId w:val="1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设备尺寸：不低于261.97（长）*133（宽）*87.34（厚）mm；</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2A34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561EB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5B842092">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C9CE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A01F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离人监管预警</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152994">
            <w:pPr>
              <w:keepNext w:val="0"/>
              <w:keepLines w:val="0"/>
              <w:pageBreakBefore w:val="0"/>
              <w:widowControl/>
              <w:numPr>
                <w:ilvl w:val="0"/>
                <w:numId w:val="1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功能描述：</w:t>
            </w:r>
          </w:p>
          <w:p w14:paraId="6DA53724">
            <w:pPr>
              <w:keepNext w:val="0"/>
              <w:keepLines w:val="0"/>
              <w:pageBreakBefore w:val="0"/>
              <w:widowControl/>
              <w:numPr>
                <w:ilvl w:val="0"/>
                <w:numId w:val="2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识别灶台中心温度和区域人员侦测，如灶台温度超过150度人员离开30秒即刻现场报警，同时摄像头拍照记录现场情况并上传数据；</w:t>
            </w:r>
          </w:p>
          <w:p w14:paraId="1D583FDB">
            <w:pPr>
              <w:keepNext w:val="0"/>
              <w:keepLines w:val="0"/>
              <w:pageBreakBefore w:val="0"/>
              <w:widowControl/>
              <w:numPr>
                <w:ilvl w:val="0"/>
                <w:numId w:val="2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温度和人员离开时间可自定义设置；</w:t>
            </w:r>
          </w:p>
          <w:p w14:paraId="123ECB7D">
            <w:pPr>
              <w:keepNext w:val="0"/>
              <w:keepLines w:val="0"/>
              <w:pageBreakBefore w:val="0"/>
              <w:widowControl/>
              <w:numPr>
                <w:ilvl w:val="0"/>
                <w:numId w:val="2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摄像头支持定制语音报警；</w:t>
            </w:r>
          </w:p>
          <w:p w14:paraId="05980216">
            <w:pPr>
              <w:keepNext w:val="0"/>
              <w:keepLines w:val="0"/>
              <w:pageBreakBefore w:val="0"/>
              <w:widowControl/>
              <w:numPr>
                <w:ilvl w:val="0"/>
                <w:numId w:val="2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摄像头支持联动声光报警装置；</w:t>
            </w:r>
          </w:p>
          <w:p w14:paraId="02848229">
            <w:pPr>
              <w:keepNext w:val="0"/>
              <w:keepLines w:val="0"/>
              <w:pageBreakBefore w:val="0"/>
              <w:widowControl/>
              <w:numPr>
                <w:ilvl w:val="0"/>
                <w:numId w:val="1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设备参数：</w:t>
            </w:r>
          </w:p>
          <w:p w14:paraId="38BD4D2B">
            <w:pPr>
              <w:keepNext w:val="0"/>
              <w:keepLines w:val="0"/>
              <w:pageBreakBefore w:val="0"/>
              <w:widowControl/>
              <w:numPr>
                <w:ilvl w:val="0"/>
                <w:numId w:val="2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基本参数：</w:t>
            </w:r>
          </w:p>
          <w:p w14:paraId="7F20DC2E">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主板：算力不低于1.0Tops，内存不低于512MB，闪存不低于8GBEMMC；</w:t>
            </w:r>
          </w:p>
          <w:p w14:paraId="745A26A9">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探测器类型：氧化钒非制冷红外焦平面探测器；</w:t>
            </w:r>
          </w:p>
          <w:p w14:paraId="1D45D469">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成像器件：400万像素1/3CMOS，F1.6光圈，超低照度，星光级；</w:t>
            </w:r>
          </w:p>
          <w:p w14:paraId="292213CD">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有效像素：4MP有效像素（2560*1440）；</w:t>
            </w:r>
          </w:p>
          <w:p w14:paraId="5D8EE90A">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镜头类型：定焦；</w:t>
            </w:r>
          </w:p>
          <w:p w14:paraId="29F38891">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焦距：6mm；</w:t>
            </w:r>
          </w:p>
          <w:p w14:paraId="44E8C403">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补光：IR*4，白光LED*4；</w:t>
            </w:r>
          </w:p>
          <w:p w14:paraId="0E48956D">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光谱范围：8-14μm；</w:t>
            </w:r>
          </w:p>
          <w:p w14:paraId="0B8586DB">
            <w:pPr>
              <w:keepNext w:val="0"/>
              <w:keepLines w:val="0"/>
              <w:pageBreakBefore w:val="0"/>
              <w:widowControl/>
              <w:numPr>
                <w:ilvl w:val="0"/>
                <w:numId w:val="2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原始分辨率：256×192；</w:t>
            </w:r>
          </w:p>
          <w:p w14:paraId="7ACEFA3F">
            <w:pPr>
              <w:keepNext w:val="0"/>
              <w:keepLines w:val="0"/>
              <w:pageBreakBefore w:val="0"/>
              <w:widowControl/>
              <w:numPr>
                <w:ilvl w:val="0"/>
                <w:numId w:val="2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功能参数：</w:t>
            </w:r>
          </w:p>
          <w:p w14:paraId="1691488B">
            <w:pPr>
              <w:keepNext w:val="0"/>
              <w:keepLines w:val="0"/>
              <w:pageBreakBefore w:val="0"/>
              <w:widowControl/>
              <w:numPr>
                <w:ilvl w:val="0"/>
                <w:numId w:val="2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实时高温检测：实时全屏测温，最高温、最低温、平均温；</w:t>
            </w:r>
          </w:p>
          <w:p w14:paraId="16432CAD">
            <w:pPr>
              <w:keepNext w:val="0"/>
              <w:keepLines w:val="0"/>
              <w:pageBreakBefore w:val="0"/>
              <w:widowControl/>
              <w:numPr>
                <w:ilvl w:val="0"/>
                <w:numId w:val="2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自定义测温绘制：支持自定义20个点、线、面和区域测温，区间测温对比；</w:t>
            </w:r>
          </w:p>
          <w:p w14:paraId="166F60F3">
            <w:pPr>
              <w:keepNext w:val="0"/>
              <w:keepLines w:val="0"/>
              <w:pageBreakBefore w:val="0"/>
              <w:widowControl/>
              <w:numPr>
                <w:ilvl w:val="0"/>
                <w:numId w:val="2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高温报警：高温异常语音报警、白光灯报警；</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4FC4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B028E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48BD9855">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A097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17F0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智能AI留样秤</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111100">
            <w:pPr>
              <w:keepNext w:val="0"/>
              <w:keepLines w:val="0"/>
              <w:pageBreakBefore w:val="0"/>
              <w:widowControl/>
              <w:numPr>
                <w:ilvl w:val="0"/>
                <w:numId w:val="2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功能描述：</w:t>
            </w:r>
          </w:p>
          <w:p w14:paraId="6DA67A8A">
            <w:pPr>
              <w:keepNext w:val="0"/>
              <w:keepLines w:val="0"/>
              <w:pageBreakBefore w:val="0"/>
              <w:widowControl/>
              <w:numPr>
                <w:ilvl w:val="0"/>
                <w:numId w:val="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实现智能AI菜品名称自动识别功能，同时拍照系统留存保证留样真实性并称重显示克重，如克重不满足条件不允许打印标签留样；</w:t>
            </w:r>
          </w:p>
          <w:p w14:paraId="0A5B4AAF">
            <w:pPr>
              <w:keepNext w:val="0"/>
              <w:keepLines w:val="0"/>
              <w:pageBreakBefore w:val="0"/>
              <w:widowControl/>
              <w:numPr>
                <w:ilvl w:val="0"/>
                <w:numId w:val="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实现留样标签自动生成打印展示留样菜品名称、克重、档口名称、留样员、留样时间；</w:t>
            </w:r>
          </w:p>
          <w:p w14:paraId="3E50C261">
            <w:pPr>
              <w:keepNext w:val="0"/>
              <w:keepLines w:val="0"/>
              <w:pageBreakBefore w:val="0"/>
              <w:widowControl/>
              <w:numPr>
                <w:ilvl w:val="0"/>
                <w:numId w:val="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自动生成留样台账在手机APP端、电脑后台端可导出记录生成表格打印纸质留样台账并最少保存2年数据；</w:t>
            </w:r>
          </w:p>
          <w:p w14:paraId="309F4359">
            <w:pPr>
              <w:keepNext w:val="0"/>
              <w:keepLines w:val="0"/>
              <w:pageBreakBefore w:val="0"/>
              <w:widowControl/>
              <w:numPr>
                <w:ilvl w:val="0"/>
                <w:numId w:val="2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设备参数：</w:t>
            </w:r>
          </w:p>
          <w:p w14:paraId="6E2CAB5E">
            <w:pPr>
              <w:keepNext w:val="0"/>
              <w:keepLines w:val="0"/>
              <w:pageBreakBefore w:val="0"/>
              <w:widowControl/>
              <w:numPr>
                <w:ilvl w:val="0"/>
                <w:numId w:val="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基本参数：</w:t>
            </w:r>
          </w:p>
          <w:p w14:paraId="6CD38A99">
            <w:pPr>
              <w:keepNext w:val="0"/>
              <w:keepLines w:val="0"/>
              <w:pageBreakBefore w:val="0"/>
              <w:widowControl/>
              <w:numPr>
                <w:ilvl w:val="0"/>
                <w:numId w:val="2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摄像头：800万或以上摄像头带补光灯；</w:t>
            </w:r>
          </w:p>
          <w:p w14:paraId="62690B72">
            <w:pPr>
              <w:keepNext w:val="0"/>
              <w:keepLines w:val="0"/>
              <w:pageBreakBefore w:val="0"/>
              <w:widowControl/>
              <w:numPr>
                <w:ilvl w:val="0"/>
                <w:numId w:val="2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摄像头像素：800万USB摄像头，分辨率3246*2448；</w:t>
            </w:r>
          </w:p>
          <w:p w14:paraId="2FAF46B8">
            <w:pPr>
              <w:keepNext w:val="0"/>
              <w:keepLines w:val="0"/>
              <w:pageBreakBefore w:val="0"/>
              <w:widowControl/>
              <w:numPr>
                <w:ilvl w:val="0"/>
                <w:numId w:val="2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主屏15.6寸1920*1080分辨率，液晶带电容触控屏；</w:t>
            </w:r>
          </w:p>
          <w:p w14:paraId="0943ED7F">
            <w:pPr>
              <w:keepNext w:val="0"/>
              <w:keepLines w:val="0"/>
              <w:pageBreakBefore w:val="0"/>
              <w:widowControl/>
              <w:numPr>
                <w:ilvl w:val="0"/>
                <w:numId w:val="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性能参数：</w:t>
            </w:r>
          </w:p>
          <w:p w14:paraId="07988854">
            <w:pPr>
              <w:keepNext w:val="0"/>
              <w:keepLines w:val="0"/>
              <w:pageBreakBefore w:val="0"/>
              <w:widowControl/>
              <w:numPr>
                <w:ilvl w:val="0"/>
                <w:numId w:val="2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主机内核：不低于四核64位A55处理器2.0GHz、2GB内存+32GBEMMCWIFI的性能；</w:t>
            </w:r>
          </w:p>
          <w:p w14:paraId="611711FB">
            <w:pPr>
              <w:keepNext w:val="0"/>
              <w:keepLines w:val="0"/>
              <w:pageBreakBefore w:val="0"/>
              <w:widowControl/>
              <w:numPr>
                <w:ilvl w:val="0"/>
                <w:numId w:val="2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操作系统：Android；</w:t>
            </w:r>
          </w:p>
          <w:p w14:paraId="1F8C4A00">
            <w:pPr>
              <w:keepNext w:val="0"/>
              <w:keepLines w:val="0"/>
              <w:pageBreakBefore w:val="0"/>
              <w:widowControl/>
              <w:numPr>
                <w:ilvl w:val="0"/>
                <w:numId w:val="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功能参数：</w:t>
            </w:r>
          </w:p>
          <w:p w14:paraId="74EAB992">
            <w:pPr>
              <w:keepNext w:val="0"/>
              <w:keepLines w:val="0"/>
              <w:pageBreakBefore w:val="0"/>
              <w:widowControl/>
              <w:numPr>
                <w:ilvl w:val="0"/>
                <w:numId w:val="2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最大量程：Max=15kg；</w:t>
            </w:r>
          </w:p>
          <w:p w14:paraId="40C237F0">
            <w:pPr>
              <w:keepNext w:val="0"/>
              <w:keepLines w:val="0"/>
              <w:pageBreakBefore w:val="0"/>
              <w:widowControl/>
              <w:numPr>
                <w:ilvl w:val="0"/>
                <w:numId w:val="2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分度数：3000；</w:t>
            </w:r>
          </w:p>
          <w:p w14:paraId="15CD0791">
            <w:pPr>
              <w:keepNext w:val="0"/>
              <w:keepLines w:val="0"/>
              <w:pageBreakBefore w:val="0"/>
              <w:widowControl/>
              <w:numPr>
                <w:ilvl w:val="0"/>
                <w:numId w:val="2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分度值：5g；</w:t>
            </w:r>
          </w:p>
          <w:p w14:paraId="3B8D2EB0">
            <w:pPr>
              <w:keepNext w:val="0"/>
              <w:keepLines w:val="0"/>
              <w:pageBreakBefore w:val="0"/>
              <w:widowControl/>
              <w:numPr>
                <w:ilvl w:val="0"/>
                <w:numId w:val="2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最小称量：100g；</w:t>
            </w:r>
          </w:p>
          <w:p w14:paraId="2E41CF0B">
            <w:pPr>
              <w:keepNext w:val="0"/>
              <w:keepLines w:val="0"/>
              <w:pageBreakBefore w:val="0"/>
              <w:widowControl/>
              <w:numPr>
                <w:ilvl w:val="0"/>
                <w:numId w:val="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其他参数:</w:t>
            </w:r>
          </w:p>
          <w:p w14:paraId="529BECFC">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计重秤显：62mm*8mm可视LED5位重量显示RS232串口通讯；</w:t>
            </w:r>
          </w:p>
          <w:p w14:paraId="27D65B1B">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四按键：秤体开关、设置、置零、去皮；</w:t>
            </w:r>
          </w:p>
          <w:p w14:paraId="436BCBC8">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内置打印机：内置58mm以下宽度标签打印；</w:t>
            </w:r>
          </w:p>
          <w:p w14:paraId="0F3659AB">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打印留样票据支持自定义格式，可更改留样票据上的各个类目；</w:t>
            </w:r>
          </w:p>
          <w:p w14:paraId="16B8D123">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可在一个画面下0.5秒内同时识别10个菜品目标。</w:t>
            </w:r>
          </w:p>
          <w:p w14:paraId="511F1F39">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支持同时检测多个样品，还具备去皮功能，能够精确计算每个菜品的净重，实现高效的重量管理和分析。</w:t>
            </w:r>
          </w:p>
          <w:p w14:paraId="6A354EB3">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单机留存菜品库标准比对图片2000张以上。</w:t>
            </w:r>
          </w:p>
          <w:p w14:paraId="39CFE134">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打印留样票据支持自定义格式，可更改留样票据上的各个类目。</w:t>
            </w:r>
          </w:p>
          <w:p w14:paraId="10ADD63F">
            <w:pPr>
              <w:keepNext w:val="0"/>
              <w:keepLines w:val="0"/>
              <w:pageBreakBefore w:val="0"/>
              <w:widowControl/>
              <w:numPr>
                <w:ilvl w:val="0"/>
                <w:numId w:val="3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留样台账支持自动生成，且保持5年以上。</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6A94A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ECBB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258FDFBB">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3157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4</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E257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仓库物联监管套装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8020C">
            <w:pPr>
              <w:keepNext w:val="0"/>
              <w:keepLines w:val="0"/>
              <w:pageBreakBefore w:val="0"/>
              <w:widowControl/>
              <w:numPr>
                <w:ilvl w:val="0"/>
                <w:numId w:val="3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功能描述：</w:t>
            </w:r>
          </w:p>
          <w:p w14:paraId="6F07E43B">
            <w:pPr>
              <w:keepNext w:val="0"/>
              <w:keepLines w:val="0"/>
              <w:pageBreakBefore w:val="0"/>
              <w:widowControl/>
              <w:numPr>
                <w:ilvl w:val="0"/>
                <w:numId w:val="3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挡鼠板未闭合超过预设时间可声光报警；</w:t>
            </w:r>
          </w:p>
          <w:p w14:paraId="019D5124">
            <w:pPr>
              <w:keepNext w:val="0"/>
              <w:keepLines w:val="0"/>
              <w:pageBreakBefore w:val="0"/>
              <w:widowControl/>
              <w:numPr>
                <w:ilvl w:val="0"/>
                <w:numId w:val="3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食材隔墙离地未规范达标，红外感应装置现场声光报警；</w:t>
            </w:r>
          </w:p>
          <w:p w14:paraId="7E6D8733">
            <w:pPr>
              <w:keepNext w:val="0"/>
              <w:keepLines w:val="0"/>
              <w:pageBreakBefore w:val="0"/>
              <w:widowControl/>
              <w:numPr>
                <w:ilvl w:val="0"/>
                <w:numId w:val="3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仓库温湿度超标现场声光报警；</w:t>
            </w:r>
          </w:p>
          <w:p w14:paraId="1F77AD8A">
            <w:pPr>
              <w:keepNext w:val="0"/>
              <w:keepLines w:val="0"/>
              <w:pageBreakBefore w:val="0"/>
              <w:widowControl/>
              <w:numPr>
                <w:ilvl w:val="0"/>
                <w:numId w:val="3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支持后台查看仓库设备状态数据、物联预警事件数据；</w:t>
            </w:r>
          </w:p>
          <w:p w14:paraId="78AF98FD">
            <w:pPr>
              <w:keepNext w:val="0"/>
              <w:keepLines w:val="0"/>
              <w:pageBreakBefore w:val="0"/>
              <w:widowControl/>
              <w:numPr>
                <w:ilvl w:val="0"/>
                <w:numId w:val="3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各类设备状态或报警数据可在大屏端显示；</w:t>
            </w:r>
          </w:p>
          <w:p w14:paraId="234CA761">
            <w:pPr>
              <w:keepNext w:val="0"/>
              <w:keepLines w:val="0"/>
              <w:pageBreakBefore w:val="0"/>
              <w:widowControl/>
              <w:numPr>
                <w:ilvl w:val="0"/>
                <w:numId w:val="3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物联中控屏设备参数：</w:t>
            </w:r>
          </w:p>
          <w:p w14:paraId="1DCDBAA6">
            <w:pPr>
              <w:keepNext w:val="0"/>
              <w:keepLines w:val="0"/>
              <w:pageBreakBefore w:val="0"/>
              <w:numPr>
                <w:ilvl w:val="0"/>
                <w:numId w:val="33"/>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68442C6D">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外壳：前置钢化玻璃+塑胶外壳；</w:t>
            </w:r>
          </w:p>
          <w:p w14:paraId="74EECAB7">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保护面板：钢化玻璃；</w:t>
            </w:r>
          </w:p>
          <w:p w14:paraId="2337B64A">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尺寸：不低于10.1寸；</w:t>
            </w:r>
          </w:p>
          <w:p w14:paraId="3B766D74">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屏幕比例：16:9；</w:t>
            </w:r>
          </w:p>
          <w:p w14:paraId="1AD95118">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摄像头像素：100W；</w:t>
            </w:r>
          </w:p>
          <w:p w14:paraId="17E133A8">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像素间距：0.17925×0.17925mm；</w:t>
            </w:r>
          </w:p>
          <w:p w14:paraId="2971B023">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亮度：350cd/m²可视角度85/85/85/85（左/右/上/下)；</w:t>
            </w:r>
          </w:p>
          <w:p w14:paraId="59A58ED8">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对比度：1000:1；</w:t>
            </w:r>
          </w:p>
          <w:p w14:paraId="49E70469">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颜色数：16.7M；</w:t>
            </w:r>
          </w:p>
          <w:p w14:paraId="7518CAD8">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灯管寿命：超过50000小时；</w:t>
            </w:r>
          </w:p>
          <w:p w14:paraId="6D0113F7">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操作系统：Android7.1.2；</w:t>
            </w:r>
          </w:p>
          <w:p w14:paraId="21F7FF39">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CPU：RK3288，四核；</w:t>
            </w:r>
          </w:p>
          <w:p w14:paraId="10960CDB">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CPU主频：1.8GHz；</w:t>
            </w:r>
          </w:p>
          <w:p w14:paraId="00174B9C">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内存：DDR32G；</w:t>
            </w:r>
          </w:p>
          <w:p w14:paraId="735092E3">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内置存储容量：EMMC8G；</w:t>
            </w:r>
          </w:p>
          <w:p w14:paraId="6B785D90">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喇叭：8Ω2W；</w:t>
            </w:r>
          </w:p>
          <w:p w14:paraId="04E0CECD">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网络：支持WiFi、BT；</w:t>
            </w:r>
          </w:p>
          <w:p w14:paraId="2B2D4A97">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接口：I/O:2*USB，可扩展2*USB；</w:t>
            </w:r>
          </w:p>
          <w:p w14:paraId="6EF61E7C">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工作环境温度：0～50摄氏度；</w:t>
            </w:r>
          </w:p>
          <w:p w14:paraId="6DB5BABD">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触摸精度：±2mm；</w:t>
            </w:r>
          </w:p>
          <w:p w14:paraId="0B5D7EA5">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响应时间：25ms~30ms；</w:t>
            </w:r>
          </w:p>
          <w:p w14:paraId="0F354770">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可识别物体：手指或者专用触摸笔；</w:t>
            </w:r>
          </w:p>
          <w:p w14:paraId="242D9C51">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透明度：≥85％±2％；</w:t>
            </w:r>
          </w:p>
          <w:p w14:paraId="1216B836">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温度范围：工作温度：-10℃~60℃；</w:t>
            </w:r>
          </w:p>
          <w:p w14:paraId="36218423">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供电方式：外置12V/2A适配器；</w:t>
            </w:r>
          </w:p>
          <w:p w14:paraId="59C9802D">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整机功率：15W；</w:t>
            </w:r>
          </w:p>
          <w:p w14:paraId="4AE553B2">
            <w:pPr>
              <w:keepNext w:val="0"/>
              <w:keepLines w:val="0"/>
              <w:pageBreakBefore w:val="0"/>
              <w:widowControl/>
              <w:numPr>
                <w:ilvl w:val="0"/>
                <w:numId w:val="3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安装方式：壁挂式；</w:t>
            </w:r>
          </w:p>
          <w:p w14:paraId="334BDD3B">
            <w:pPr>
              <w:keepNext w:val="0"/>
              <w:keepLines w:val="0"/>
              <w:pageBreakBefore w:val="0"/>
              <w:widowControl/>
              <w:numPr>
                <w:ilvl w:val="0"/>
                <w:numId w:val="3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IO通讯模块设备参数：</w:t>
            </w:r>
          </w:p>
          <w:p w14:paraId="07C4849A">
            <w:pPr>
              <w:keepNext w:val="0"/>
              <w:keepLines w:val="0"/>
              <w:pageBreakBefore w:val="0"/>
              <w:numPr>
                <w:ilvl w:val="0"/>
                <w:numId w:val="3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392A7CA0">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4路继电器控制输出，触点容量250VAC10A/DC30V10A；</w:t>
            </w:r>
          </w:p>
          <w:p w14:paraId="2716755F">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4路数字量输入，隔离输入，抗浪涌等级1500V，有源无源均支持；</w:t>
            </w:r>
          </w:p>
          <w:p w14:paraId="2B0A094B">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1路RS485接口，支持连接485接口Modbus协议仪表或传感器；</w:t>
            </w:r>
          </w:p>
          <w:p w14:paraId="1757D281">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以太网通讯接口，10/100M自适应；</w:t>
            </w:r>
          </w:p>
          <w:p w14:paraId="5E03C1CE">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支持MQTT通讯，参数可配置；</w:t>
            </w:r>
          </w:p>
          <w:p w14:paraId="057354E0">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通信波特率，bps：1200～115200bps；</w:t>
            </w:r>
          </w:p>
          <w:p w14:paraId="2FDFB3C2">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通信协议ModbusTCP；</w:t>
            </w:r>
          </w:p>
          <w:p w14:paraId="08076945">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工作电压范围DC7-40V宽压；静态工作电流≤100ma；支持定点/星期/时段控制，可设置定时规则不少于100条；</w:t>
            </w:r>
          </w:p>
          <w:p w14:paraId="6DB5DC6A">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支持自定义设置四路继电器输出之间互锁联动；规则不少于70条；</w:t>
            </w:r>
          </w:p>
          <w:p w14:paraId="2F08ED86">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支持数字量输入联动控制输出，可一路输入联动多路输出，也可多路输入联动一路输出；规则不少于70条；</w:t>
            </w:r>
          </w:p>
          <w:p w14:paraId="191B4CCE">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支持自定义传感器上下限，区间阈值联动控制一路或多路输出；规则不少于70条；</w:t>
            </w:r>
          </w:p>
          <w:p w14:paraId="0D403E75">
            <w:pPr>
              <w:keepNext w:val="0"/>
              <w:keepLines w:val="0"/>
              <w:pageBreakBefore w:val="0"/>
              <w:widowControl/>
              <w:numPr>
                <w:ilvl w:val="0"/>
                <w:numId w:val="3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工作环境温度-40～80℃，环境湿度为0～95%无凝露；</w:t>
            </w:r>
          </w:p>
          <w:p w14:paraId="337901D0">
            <w:pPr>
              <w:keepNext w:val="0"/>
              <w:keepLines w:val="0"/>
              <w:pageBreakBefore w:val="0"/>
              <w:widowControl/>
              <w:numPr>
                <w:ilvl w:val="0"/>
                <w:numId w:val="3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温湿度探测器（485版）设备参数：</w:t>
            </w:r>
          </w:p>
          <w:p w14:paraId="3992C82B">
            <w:pPr>
              <w:keepNext w:val="0"/>
              <w:keepLines w:val="0"/>
              <w:pageBreakBefore w:val="0"/>
              <w:numPr>
                <w:ilvl w:val="0"/>
                <w:numId w:val="3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468AD391">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精度湿度：±3%RH(60%RH，25℃)；</w:t>
            </w:r>
          </w:p>
          <w:p w14:paraId="249372A7">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温度：±0.5℃（25℃）；</w:t>
            </w:r>
          </w:p>
          <w:p w14:paraId="1BC9D2F5">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探测器电路工作温度：-40℃~+60℃，0%RH~80%RH；</w:t>
            </w:r>
          </w:p>
          <w:p w14:paraId="39C52560">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探头工作温度：-40℃~+120℃，默认-40℃~+80℃；</w:t>
            </w:r>
          </w:p>
          <w:p w14:paraId="3885D58A">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探头工作湿度：0%RH-100%RH；</w:t>
            </w:r>
          </w:p>
          <w:p w14:paraId="7C00424B">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温度显示分辨率：0.1℃；</w:t>
            </w:r>
          </w:p>
          <w:p w14:paraId="062804C2">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湿度显示分辨率：0.1%RH；</w:t>
            </w:r>
          </w:p>
          <w:p w14:paraId="0DC7EEC7">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温湿度刷新时间：1S；</w:t>
            </w:r>
          </w:p>
          <w:p w14:paraId="249E11EC">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直流供电（默认）：DC10-30V；</w:t>
            </w:r>
          </w:p>
          <w:p w14:paraId="4E35C818">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最大功耗：0.1W；</w:t>
            </w:r>
          </w:p>
          <w:p w14:paraId="743DC86B">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输出信号：485(Modbus协议）；</w:t>
            </w:r>
          </w:p>
          <w:p w14:paraId="7E8E8012">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安装方式：壁挂式；</w:t>
            </w:r>
          </w:p>
          <w:p w14:paraId="3CE4DDE8">
            <w:pPr>
              <w:keepNext w:val="0"/>
              <w:keepLines w:val="0"/>
              <w:pageBreakBefore w:val="0"/>
              <w:widowControl/>
              <w:numPr>
                <w:ilvl w:val="0"/>
                <w:numId w:val="3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尺寸：不低于110×85×44mm；</w:t>
            </w:r>
          </w:p>
          <w:p w14:paraId="45734E0E">
            <w:pPr>
              <w:keepNext w:val="0"/>
              <w:keepLines w:val="0"/>
              <w:pageBreakBefore w:val="0"/>
              <w:widowControl/>
              <w:numPr>
                <w:ilvl w:val="0"/>
                <w:numId w:val="3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挡鼠板门磁设备参数：</w:t>
            </w:r>
          </w:p>
          <w:p w14:paraId="7DE6FC88">
            <w:pPr>
              <w:keepNext w:val="0"/>
              <w:keepLines w:val="0"/>
              <w:pageBreakBefore w:val="0"/>
              <w:numPr>
                <w:ilvl w:val="0"/>
                <w:numId w:val="3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4B3F2599">
            <w:pPr>
              <w:keepNext w:val="0"/>
              <w:keepLines w:val="0"/>
              <w:pageBreakBefore w:val="0"/>
              <w:widowControl/>
              <w:numPr>
                <w:ilvl w:val="0"/>
                <w:numId w:val="4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感应距离：25-35MM；</w:t>
            </w:r>
          </w:p>
          <w:p w14:paraId="04AAAA57">
            <w:pPr>
              <w:keepNext w:val="0"/>
              <w:keepLines w:val="0"/>
              <w:pageBreakBefore w:val="0"/>
              <w:widowControl/>
              <w:numPr>
                <w:ilvl w:val="0"/>
                <w:numId w:val="4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孔距离：33MM；</w:t>
            </w:r>
          </w:p>
          <w:p w14:paraId="7A166FAD">
            <w:pPr>
              <w:keepNext w:val="0"/>
              <w:keepLines w:val="0"/>
              <w:pageBreakBefore w:val="0"/>
              <w:widowControl/>
              <w:numPr>
                <w:ilvl w:val="0"/>
                <w:numId w:val="4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开关形式：常闭；</w:t>
            </w:r>
          </w:p>
          <w:p w14:paraId="29B4EA87">
            <w:pPr>
              <w:keepNext w:val="0"/>
              <w:keepLines w:val="0"/>
              <w:pageBreakBefore w:val="0"/>
              <w:widowControl/>
              <w:numPr>
                <w:ilvl w:val="0"/>
                <w:numId w:val="4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参数：最大功率10W，最高电压100V，最大电流0.5A；</w:t>
            </w:r>
          </w:p>
          <w:p w14:paraId="574276AF">
            <w:pPr>
              <w:keepNext w:val="0"/>
              <w:keepLines w:val="0"/>
              <w:pageBreakBefore w:val="0"/>
              <w:widowControl/>
              <w:numPr>
                <w:ilvl w:val="0"/>
                <w:numId w:val="4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外壳材质：锌合金，银灰电镀；</w:t>
            </w:r>
          </w:p>
          <w:p w14:paraId="3B9E6393">
            <w:pPr>
              <w:keepNext w:val="0"/>
              <w:keepLines w:val="0"/>
              <w:pageBreakBefore w:val="0"/>
              <w:widowControl/>
              <w:numPr>
                <w:ilvl w:val="0"/>
                <w:numId w:val="3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智能防潮光栅（1M）设备参数：</w:t>
            </w:r>
          </w:p>
          <w:p w14:paraId="6082A925">
            <w:pPr>
              <w:keepNext w:val="0"/>
              <w:keepLines w:val="0"/>
              <w:pageBreakBefore w:val="0"/>
              <w:numPr>
                <w:ilvl w:val="0"/>
                <w:numId w:val="4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40CD8E96">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警戒距离：同步工作0-100米，异步工作10-80米；</w:t>
            </w:r>
          </w:p>
          <w:p w14:paraId="5BD30AA5">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光束：2/4/6/8/10/12光束；</w:t>
            </w:r>
          </w:p>
          <w:p w14:paraId="1812D156">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消耗电流：50-120mA；</w:t>
            </w:r>
          </w:p>
          <w:p w14:paraId="4FBDB79C">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电源电压：DC12一18V；</w:t>
            </w:r>
          </w:p>
          <w:p w14:paraId="050E6BF5">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环境温度：-30℃一+70℃；</w:t>
            </w:r>
          </w:p>
          <w:p w14:paraId="65555A9B">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报警输出：常开常闭可选（出厂默认常闭）；接点容盘：30V2A；</w:t>
            </w:r>
          </w:p>
          <w:p w14:paraId="0304935A">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反应速度：≤40ms；</w:t>
            </w:r>
          </w:p>
          <w:p w14:paraId="6B3F8C07">
            <w:pPr>
              <w:keepNext w:val="0"/>
              <w:keepLines w:val="0"/>
              <w:pageBreakBefore w:val="0"/>
              <w:widowControl/>
              <w:numPr>
                <w:ilvl w:val="0"/>
                <w:numId w:val="4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报警持续时间：≥1S；</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2CEA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B366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66A6E771">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EF3A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5</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6EDF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备餐间消毒网关套装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0F9CEE">
            <w:pPr>
              <w:keepNext w:val="0"/>
              <w:keepLines w:val="0"/>
              <w:pageBreakBefore w:val="0"/>
              <w:widowControl/>
              <w:numPr>
                <w:ilvl w:val="0"/>
                <w:numId w:val="43"/>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功能描述：</w:t>
            </w:r>
          </w:p>
          <w:p w14:paraId="28D775CF">
            <w:pPr>
              <w:keepNext w:val="0"/>
              <w:keepLines w:val="0"/>
              <w:pageBreakBefore w:val="0"/>
              <w:widowControl/>
              <w:numPr>
                <w:ilvl w:val="0"/>
                <w:numId w:val="44"/>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支持设定多个规则实现定时开启、关闭紫外线灯，进行消毒操作；</w:t>
            </w:r>
          </w:p>
          <w:p w14:paraId="29C539DE">
            <w:pPr>
              <w:keepNext w:val="0"/>
              <w:keepLines w:val="0"/>
              <w:pageBreakBefore w:val="0"/>
              <w:widowControl/>
              <w:numPr>
                <w:ilvl w:val="0"/>
                <w:numId w:val="44"/>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支持远程控制，开启关闭紫外线灯；</w:t>
            </w:r>
          </w:p>
          <w:p w14:paraId="216E7588">
            <w:pPr>
              <w:keepNext w:val="0"/>
              <w:keepLines w:val="0"/>
              <w:pageBreakBefore w:val="0"/>
              <w:widowControl/>
              <w:numPr>
                <w:ilvl w:val="0"/>
                <w:numId w:val="44"/>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支持实现自动感应人员进入并关闭紫外线灯，避免人员伤害；</w:t>
            </w:r>
          </w:p>
          <w:p w14:paraId="72CDEB7E">
            <w:pPr>
              <w:keepNext w:val="0"/>
              <w:keepLines w:val="0"/>
              <w:pageBreakBefore w:val="0"/>
              <w:widowControl/>
              <w:numPr>
                <w:ilvl w:val="0"/>
                <w:numId w:val="44"/>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自动生成消毒台账在手机APP端、电脑后台端可导出记录生成表格打印纸质消毒台账并最少保存2年数据；</w:t>
            </w:r>
          </w:p>
          <w:p w14:paraId="5F7D4C35">
            <w:pPr>
              <w:keepNext w:val="0"/>
              <w:keepLines w:val="0"/>
              <w:pageBreakBefore w:val="0"/>
              <w:widowControl/>
              <w:numPr>
                <w:ilvl w:val="0"/>
                <w:numId w:val="43"/>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物联中控屏设备参数：</w:t>
            </w:r>
          </w:p>
          <w:p w14:paraId="7CFAC297">
            <w:pPr>
              <w:keepNext w:val="0"/>
              <w:keepLines w:val="0"/>
              <w:pageBreakBefore w:val="0"/>
              <w:numPr>
                <w:ilvl w:val="0"/>
                <w:numId w:val="4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2DACFE5D">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外壳：前置钢化玻璃+塑胶外壳；</w:t>
            </w:r>
          </w:p>
          <w:p w14:paraId="50076D26">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保护面板：钢化玻璃；</w:t>
            </w:r>
          </w:p>
          <w:p w14:paraId="68B9950B">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尺寸：不低于10.1寸；</w:t>
            </w:r>
          </w:p>
          <w:p w14:paraId="63026A32">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屏幕比例：16:9；</w:t>
            </w:r>
          </w:p>
          <w:p w14:paraId="2D9E89C6">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摄像头像素：100W；</w:t>
            </w:r>
          </w:p>
          <w:p w14:paraId="110D917F">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像素间距：0.17925×0.17925mm；</w:t>
            </w:r>
          </w:p>
          <w:p w14:paraId="511C68AD">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亮度：350cd/m²可视角度85/85/85/85（左/右/上/下）；</w:t>
            </w:r>
          </w:p>
          <w:p w14:paraId="4506A7DB">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对比度：1000:1；</w:t>
            </w:r>
          </w:p>
          <w:p w14:paraId="5537734C">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颜色数：16.7M；</w:t>
            </w:r>
          </w:p>
          <w:p w14:paraId="7A5398A4">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灯管寿命：超过50000小时；</w:t>
            </w:r>
          </w:p>
          <w:p w14:paraId="7E9E9A0E">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操作系统：Android7.1.2；</w:t>
            </w:r>
          </w:p>
          <w:p w14:paraId="4B2849C1">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CPU：RK3288，四核；</w:t>
            </w:r>
          </w:p>
          <w:p w14:paraId="7E7E7B6A">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CPU主频：1.8GHz；</w:t>
            </w:r>
          </w:p>
          <w:p w14:paraId="444EC7F4">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内存：DDR32G；</w:t>
            </w:r>
          </w:p>
          <w:p w14:paraId="3FF2C52C">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内置存储容量：EMMC8G；</w:t>
            </w:r>
          </w:p>
          <w:p w14:paraId="38B9B8E9">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喇叭：8Ω2W；</w:t>
            </w:r>
          </w:p>
          <w:p w14:paraId="0E513E02">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网络：支持WiFi、BT；</w:t>
            </w:r>
          </w:p>
          <w:p w14:paraId="47E4BE00">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接口：I/O:2*USB，可扩展2*USB；</w:t>
            </w:r>
          </w:p>
          <w:p w14:paraId="01D87D6F">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工作环境温度：0～50摄氏度；</w:t>
            </w:r>
          </w:p>
          <w:p w14:paraId="7B034A6A">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触摸精度：±2mm；</w:t>
            </w:r>
          </w:p>
          <w:p w14:paraId="457FFDFE">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响应时间：25ms~30ms；</w:t>
            </w:r>
          </w:p>
          <w:p w14:paraId="2B24C950">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可识别物体：手指或者专用触摸笔；</w:t>
            </w:r>
          </w:p>
          <w:p w14:paraId="65204405">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透明度：≥85％±2％；</w:t>
            </w:r>
          </w:p>
          <w:p w14:paraId="18AD9600">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温度范围：工作温度：-10℃~60℃；</w:t>
            </w:r>
          </w:p>
          <w:p w14:paraId="79781CC5">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供电方式：外置12V/2A适配器；</w:t>
            </w:r>
          </w:p>
          <w:p w14:paraId="169DDD6E">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整机功率：15W；</w:t>
            </w:r>
          </w:p>
          <w:p w14:paraId="3C0F3BCA">
            <w:pPr>
              <w:keepNext w:val="0"/>
              <w:keepLines w:val="0"/>
              <w:pageBreakBefore w:val="0"/>
              <w:widowControl/>
              <w:numPr>
                <w:ilvl w:val="0"/>
                <w:numId w:val="4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安装方式：壁挂式；</w:t>
            </w:r>
          </w:p>
          <w:p w14:paraId="7B069FC5">
            <w:pPr>
              <w:keepNext w:val="0"/>
              <w:keepLines w:val="0"/>
              <w:pageBreakBefore w:val="0"/>
              <w:widowControl/>
              <w:numPr>
                <w:ilvl w:val="0"/>
                <w:numId w:val="43"/>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IO通讯模块设备参数：</w:t>
            </w:r>
          </w:p>
          <w:p w14:paraId="6A4B3BC4">
            <w:pPr>
              <w:keepNext w:val="0"/>
              <w:keepLines w:val="0"/>
              <w:pageBreakBefore w:val="0"/>
              <w:numPr>
                <w:ilvl w:val="0"/>
                <w:numId w:val="4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2596EB35">
            <w:pPr>
              <w:keepNext w:val="0"/>
              <w:keepLines w:val="0"/>
              <w:pageBreakBefore w:val="0"/>
              <w:widowControl/>
              <w:numPr>
                <w:ilvl w:val="0"/>
                <w:numId w:val="48"/>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2路继电器控制输出，触点容250VAC10A/DC30V10A；</w:t>
            </w:r>
          </w:p>
          <w:p w14:paraId="5CD45B14">
            <w:pPr>
              <w:keepNext w:val="0"/>
              <w:keepLines w:val="0"/>
              <w:pageBreakBefore w:val="0"/>
              <w:widowControl/>
              <w:numPr>
                <w:ilvl w:val="0"/>
                <w:numId w:val="48"/>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2路数字量输入，隔离输入，抗浪涌等级1500V，有源无源均支持；</w:t>
            </w:r>
          </w:p>
          <w:p w14:paraId="70E285B1">
            <w:pPr>
              <w:keepNext w:val="0"/>
              <w:keepLines w:val="0"/>
              <w:pageBreakBefore w:val="0"/>
              <w:widowControl/>
              <w:numPr>
                <w:ilvl w:val="0"/>
                <w:numId w:val="48"/>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以太网通讯接口，10/100M自适应；</w:t>
            </w:r>
          </w:p>
          <w:p w14:paraId="0CF0F957">
            <w:pPr>
              <w:keepNext w:val="0"/>
              <w:keepLines w:val="0"/>
              <w:pageBreakBefore w:val="0"/>
              <w:widowControl/>
              <w:numPr>
                <w:ilvl w:val="0"/>
                <w:numId w:val="48"/>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支持MQTT通讯，参数可配置；</w:t>
            </w:r>
          </w:p>
          <w:p w14:paraId="52D7D78A">
            <w:pPr>
              <w:keepNext w:val="0"/>
              <w:keepLines w:val="0"/>
              <w:pageBreakBefore w:val="0"/>
              <w:widowControl/>
              <w:numPr>
                <w:ilvl w:val="0"/>
                <w:numId w:val="48"/>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通信波特率，bps：1200～115200bps；</w:t>
            </w:r>
          </w:p>
          <w:p w14:paraId="6A3A5CB4">
            <w:pPr>
              <w:keepNext w:val="0"/>
              <w:keepLines w:val="0"/>
              <w:pageBreakBefore w:val="0"/>
              <w:widowControl/>
              <w:numPr>
                <w:ilvl w:val="0"/>
                <w:numId w:val="48"/>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通信协议ModbusTCP；</w:t>
            </w:r>
          </w:p>
          <w:p w14:paraId="47DA8A70">
            <w:pPr>
              <w:keepNext w:val="0"/>
              <w:keepLines w:val="0"/>
              <w:pageBreakBefore w:val="0"/>
              <w:widowControl/>
              <w:numPr>
                <w:ilvl w:val="0"/>
                <w:numId w:val="48"/>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工作电压范围DC7-40V宽压；静态工作电流≤100ma；</w:t>
            </w:r>
          </w:p>
          <w:p w14:paraId="3083A79F">
            <w:pPr>
              <w:keepNext w:val="0"/>
              <w:keepLines w:val="0"/>
              <w:pageBreakBefore w:val="0"/>
              <w:widowControl/>
              <w:numPr>
                <w:ilvl w:val="0"/>
                <w:numId w:val="4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中间继电器（220V）设备参数：</w:t>
            </w:r>
          </w:p>
          <w:p w14:paraId="3F9D88B5">
            <w:pPr>
              <w:keepNext w:val="0"/>
              <w:keepLines w:val="0"/>
              <w:pageBreakBefore w:val="0"/>
              <w:numPr>
                <w:ilvl w:val="0"/>
                <w:numId w:val="4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45F68662">
            <w:pPr>
              <w:keepNext w:val="0"/>
              <w:keepLines w:val="0"/>
              <w:pageBreakBefore w:val="0"/>
              <w:numPr>
                <w:ilvl w:val="0"/>
                <w:numId w:val="5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额定电流：5A/10A；</w:t>
            </w:r>
          </w:p>
          <w:p w14:paraId="2253D256">
            <w:pPr>
              <w:keepNext w:val="0"/>
              <w:keepLines w:val="0"/>
              <w:pageBreakBefore w:val="0"/>
              <w:numPr>
                <w:ilvl w:val="0"/>
                <w:numId w:val="5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额定频率：50Hz/60Hz；</w:t>
            </w:r>
          </w:p>
          <w:p w14:paraId="3BAE81DA">
            <w:pPr>
              <w:keepNext w:val="0"/>
              <w:keepLines w:val="0"/>
              <w:pageBreakBefore w:val="0"/>
              <w:numPr>
                <w:ilvl w:val="0"/>
                <w:numId w:val="5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引脚：细脚、宽脚；</w:t>
            </w:r>
          </w:p>
          <w:p w14:paraId="5F4186DD">
            <w:pPr>
              <w:keepNext w:val="0"/>
              <w:keepLines w:val="0"/>
              <w:pageBreakBefore w:val="0"/>
              <w:numPr>
                <w:ilvl w:val="0"/>
                <w:numId w:val="5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触点形式：二开二闭；</w:t>
            </w:r>
          </w:p>
          <w:p w14:paraId="50708DCB">
            <w:pPr>
              <w:keepNext w:val="0"/>
              <w:keepLines w:val="0"/>
              <w:pageBreakBefore w:val="0"/>
              <w:widowControl/>
              <w:numPr>
                <w:ilvl w:val="0"/>
                <w:numId w:val="5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电压规格：交流AC:12、24、36、48、110、220；</w:t>
            </w:r>
          </w:p>
          <w:p w14:paraId="27306E0C">
            <w:pPr>
              <w:keepNext w:val="0"/>
              <w:keepLines w:val="0"/>
              <w:pageBreakBefore w:val="0"/>
              <w:widowControl/>
              <w:numPr>
                <w:ilvl w:val="0"/>
                <w:numId w:val="4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人体感应器设备参数：</w:t>
            </w:r>
          </w:p>
          <w:p w14:paraId="31E88EEE">
            <w:pPr>
              <w:keepNext w:val="0"/>
              <w:keepLines w:val="0"/>
              <w:pageBreakBefore w:val="0"/>
              <w:numPr>
                <w:ilvl w:val="0"/>
                <w:numId w:val="5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4B592446">
            <w:pPr>
              <w:keepNext w:val="0"/>
              <w:keepLines w:val="0"/>
              <w:pageBreakBefore w:val="0"/>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感应原理：红外线感应；</w:t>
            </w:r>
          </w:p>
          <w:p w14:paraId="6FB44995">
            <w:pPr>
              <w:keepNext w:val="0"/>
              <w:keepLines w:val="0"/>
              <w:pageBreakBefore w:val="0"/>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感应范围：3—5m；</w:t>
            </w:r>
          </w:p>
          <w:p w14:paraId="2DC3095C">
            <w:pPr>
              <w:keepNext w:val="0"/>
              <w:keepLines w:val="0"/>
              <w:pageBreakBefore w:val="0"/>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负载功率：10W；</w:t>
            </w:r>
          </w:p>
          <w:p w14:paraId="2777914E">
            <w:pPr>
              <w:keepNext w:val="0"/>
              <w:keepLines w:val="0"/>
              <w:pageBreakBefore w:val="0"/>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延时关闭时间：50±10s；</w:t>
            </w:r>
          </w:p>
          <w:p w14:paraId="312BC406">
            <w:pPr>
              <w:keepNext w:val="0"/>
              <w:keepLines w:val="0"/>
              <w:pageBreakBefore w:val="0"/>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颜色：雅白色；</w:t>
            </w:r>
          </w:p>
          <w:p w14:paraId="15BB75A5">
            <w:pPr>
              <w:keepNext w:val="0"/>
              <w:keepLines w:val="0"/>
              <w:pageBreakBefore w:val="0"/>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工作电压：220（V）；</w:t>
            </w:r>
          </w:p>
          <w:p w14:paraId="5B0FBFF2">
            <w:pPr>
              <w:keepNext w:val="0"/>
              <w:keepLines w:val="0"/>
              <w:pageBreakBefore w:val="0"/>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3C额定电压范围：440V以上；</w:t>
            </w:r>
          </w:p>
          <w:p w14:paraId="2813C707">
            <w:pPr>
              <w:keepNext w:val="0"/>
              <w:keepLines w:val="0"/>
              <w:pageBreakBefore w:val="0"/>
              <w:widowControl/>
              <w:numPr>
                <w:ilvl w:val="0"/>
                <w:numId w:val="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可联动继电器检测人员经过关闭紫外线消毒灯；</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1CCF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FBDE7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1BB140AF">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0B1C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502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AI行为识别摄像机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59970F">
            <w:pPr>
              <w:keepNext w:val="0"/>
              <w:keepLines w:val="0"/>
              <w:pageBreakBefore w:val="0"/>
              <w:numPr>
                <w:ilvl w:val="0"/>
                <w:numId w:val="5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1F1F062C">
            <w:pPr>
              <w:keepNext w:val="0"/>
              <w:keepLines w:val="0"/>
              <w:pageBreakBefore w:val="0"/>
              <w:numPr>
                <w:ilvl w:val="0"/>
                <w:numId w:val="5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支持口罩、工服、工帽三白预警抓拍并现场定制语音实施报警；</w:t>
            </w:r>
          </w:p>
          <w:p w14:paraId="27178396">
            <w:pPr>
              <w:keepNext w:val="0"/>
              <w:keepLines w:val="0"/>
              <w:pageBreakBefore w:val="0"/>
              <w:numPr>
                <w:ilvl w:val="0"/>
                <w:numId w:val="5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支持特定颜色工服、工帽识别预警；</w:t>
            </w:r>
          </w:p>
          <w:p w14:paraId="4A391B10">
            <w:pPr>
              <w:keepNext w:val="0"/>
              <w:keepLines w:val="0"/>
              <w:pageBreakBefore w:val="0"/>
              <w:numPr>
                <w:ilvl w:val="0"/>
                <w:numId w:val="5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AI行为识别摄像机设备</w:t>
            </w:r>
            <w:r>
              <w:rPr>
                <w:rFonts w:hint="eastAsia" w:ascii="宋体" w:hAnsi="宋体" w:eastAsia="宋体" w:cs="宋体"/>
                <w:color w:val="auto"/>
                <w:sz w:val="24"/>
                <w:szCs w:val="24"/>
                <w:highlight w:val="none"/>
              </w:rPr>
              <w:t>参数：</w:t>
            </w:r>
          </w:p>
          <w:p w14:paraId="41A104C2">
            <w:pPr>
              <w:keepNext w:val="0"/>
              <w:keepLines w:val="0"/>
              <w:pageBreakBefore w:val="0"/>
              <w:numPr>
                <w:ilvl w:val="0"/>
                <w:numId w:val="5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02691980">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主板性能：算力2.0Tops,内存：8Gbit,闪存：8GBEMMC；</w:t>
            </w:r>
          </w:p>
          <w:p w14:paraId="31C6912E">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传感器类型：1/3"CMOS；</w:t>
            </w:r>
          </w:p>
          <w:p w14:paraId="238D0B37">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镜头类型：定焦；</w:t>
            </w:r>
          </w:p>
          <w:p w14:paraId="40FD78BD">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视场角：（H）47.6°(D)59.4°；</w:t>
            </w:r>
          </w:p>
          <w:p w14:paraId="435B53B2">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光圈：F1.6；</w:t>
            </w:r>
          </w:p>
          <w:p w14:paraId="5E4EE39E">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焦距：6mm；</w:t>
            </w:r>
          </w:p>
          <w:p w14:paraId="3B2FBA66">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红外灯：最大补光距离40米；</w:t>
            </w:r>
          </w:p>
          <w:p w14:paraId="0B542205">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白光灯：最大补光距离10米；</w:t>
            </w:r>
          </w:p>
          <w:p w14:paraId="55D3C9BA">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灯光控制：自动/手动，亮度可调；</w:t>
            </w:r>
          </w:p>
          <w:p w14:paraId="4FB31901">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图像设置：亮度、对比度、饱和度、锐度；</w:t>
            </w:r>
          </w:p>
          <w:p w14:paraId="2FEAD0EC">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最低照度：0.001Lux（彩色模式）,0.001Lux（黑白模式）,0Lux（补光灯开启）；</w:t>
            </w:r>
          </w:p>
          <w:p w14:paraId="3BD56048">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白平衡：自动/手动；</w:t>
            </w:r>
          </w:p>
          <w:p w14:paraId="1FDB9906">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强光抑制：支持；</w:t>
            </w:r>
          </w:p>
          <w:p w14:paraId="56DF9EDB">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背光补偿；支持；</w:t>
            </w:r>
          </w:p>
          <w:p w14:paraId="178DB66F">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降噪：支持2D/3D数字降噪；</w:t>
            </w:r>
          </w:p>
          <w:p w14:paraId="75AB0A9D">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宽动态：支持；</w:t>
            </w:r>
          </w:p>
          <w:p w14:paraId="250FCCCD">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信噪比：≥56db；</w:t>
            </w:r>
          </w:p>
          <w:p w14:paraId="0CA13131">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增益控制：自动/快门优先/增益优先/手动；</w:t>
            </w:r>
          </w:p>
          <w:p w14:paraId="23755D59">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视频压缩标准：H.265、H.264、H.264H、H.264B、MJPEG；</w:t>
            </w:r>
          </w:p>
          <w:p w14:paraId="7AA7186B">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分辨率：码流一：2560x14401920x10801280*720；码流二：1960*544704x576640*360；</w:t>
            </w:r>
          </w:p>
          <w:p w14:paraId="148C9E44">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视频制式PAL(25fps)/NTSC(30fps)；</w:t>
            </w:r>
          </w:p>
          <w:p w14:paraId="298F3865">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码率控制：CBR/VBR；</w:t>
            </w:r>
          </w:p>
          <w:p w14:paraId="643892DD">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默认码流：4096kbps(2560×1440)；</w:t>
            </w:r>
          </w:p>
          <w:p w14:paraId="1948CAD6">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码率调节范围：主、辅30Kbps~16Mbps连续可调；</w:t>
            </w:r>
          </w:p>
          <w:p w14:paraId="1BD1CEBB">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音频压缩标准：G.711A,G.711U,G.726,AAC；</w:t>
            </w:r>
          </w:p>
          <w:p w14:paraId="6DEDA3C8">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网络协议：HTTP,TCP,RTSP,RTP,UDP,RTCP,SMTP,FTP,DHCP,DNS,DDNS,PPPoE,IPv4/v6,UPnP,NTP；</w:t>
            </w:r>
          </w:p>
          <w:p w14:paraId="2E08FE97">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协议：支持Onvif,GB28181,GA/T1400,MQTT；</w:t>
            </w:r>
          </w:p>
          <w:p w14:paraId="4CDDB908">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5.功能特性参数：</w:t>
            </w:r>
          </w:p>
          <w:p w14:paraId="7E8D4084">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通用行为分析：区域入侵,绊线入侵；</w:t>
            </w:r>
          </w:p>
          <w:p w14:paraId="5C33C1AE">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报警功能：声光报警,隐私遮挡报警,移动侦测报警,网络故障报警,语音播报；</w:t>
            </w:r>
          </w:p>
          <w:p w14:paraId="664C4C5D">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录像模式：手动录像,视频事件检测录像,定时录像,报警录像；</w:t>
            </w:r>
          </w:p>
          <w:p w14:paraId="1B111BEB">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OSD信息叠加时间,通道标题,设备名称,支持自定义；</w:t>
            </w:r>
          </w:p>
          <w:p w14:paraId="4B5AB570">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日夜模式：白天、夜晚,支持定时转换,手动转换,自动转换；</w:t>
            </w:r>
          </w:p>
          <w:p w14:paraId="3C70E636">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隐私遮蔽：支持4个区域设置；</w:t>
            </w:r>
          </w:p>
          <w:p w14:paraId="4BD4F09D">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镜像：支持90°/180°图像翻转；</w:t>
            </w:r>
          </w:p>
          <w:p w14:paraId="278D840C">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ROI：支持；</w:t>
            </w:r>
          </w:p>
          <w:p w14:paraId="05E14E0C">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检测类型：厨师帽，厨师服，猫、狗，鼠，抽烟，打电话，口罩检测；</w:t>
            </w:r>
          </w:p>
          <w:p w14:paraId="2184FA88">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检测区域：支持自定义；</w:t>
            </w:r>
          </w:p>
          <w:p w14:paraId="50561399">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抓拍模式：支持离开后抓拍、实时抓拍、间隔抓拍、实时抓拍+离开后抓拍、实时抓拍+间隔抓拍；</w:t>
            </w:r>
          </w:p>
          <w:p w14:paraId="7ED24E2E">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检测范围：支持最小/最大检测目标可调；</w:t>
            </w:r>
          </w:p>
          <w:p w14:paraId="312FE4A9">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图片类型：目标图,全景图；</w:t>
            </w:r>
          </w:p>
          <w:p w14:paraId="6E5E0465">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图片格式：JPG；</w:t>
            </w:r>
          </w:p>
          <w:p w14:paraId="2163602C">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网络接口：1个RJ45，10/100M自适应以太网口，支持PoE供电；</w:t>
            </w:r>
          </w:p>
          <w:p w14:paraId="0F2949E8">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电源接口：DC12V(-15%~+10%)；</w:t>
            </w:r>
          </w:p>
          <w:p w14:paraId="240A3412">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报警接口：1进1出；</w:t>
            </w:r>
          </w:p>
          <w:p w14:paraId="47B6FD2B">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音频接口；1路音频输入/1路音频输出（RCA头），内置MIC/扬声器；</w:t>
            </w:r>
          </w:p>
          <w:p w14:paraId="6E330D20">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SD卡接口：最大容量256GB；</w:t>
            </w:r>
          </w:p>
          <w:p w14:paraId="7D1E6AED">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RS485：预留；</w:t>
            </w:r>
          </w:p>
          <w:p w14:paraId="23AD66FB">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复位：软件复位，硬件复位；</w:t>
            </w:r>
          </w:p>
          <w:p w14:paraId="7780D38B">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安装方式：壁装，吊装；</w:t>
            </w:r>
          </w:p>
          <w:p w14:paraId="21721181">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工作电压：DC12V(-15%~+10%)/PoE(802.3af选配）；</w:t>
            </w:r>
          </w:p>
          <w:p w14:paraId="0AE9C8A9">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功耗&lt;8W；</w:t>
            </w:r>
          </w:p>
          <w:p w14:paraId="4150E874">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工作温度：-30℃-+60℃；</w:t>
            </w:r>
          </w:p>
          <w:p w14:paraId="71E43574">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工作湿度：0%~95%RH（无凝结）；</w:t>
            </w:r>
          </w:p>
          <w:p w14:paraId="22335493">
            <w:pPr>
              <w:keepNext w:val="0"/>
              <w:keepLines w:val="0"/>
              <w:pageBreakBefore w:val="0"/>
              <w:numPr>
                <w:ilvl w:val="0"/>
                <w:numId w:val="5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防护等级：IP66；</w:t>
            </w:r>
          </w:p>
          <w:p w14:paraId="7FD9D859">
            <w:pPr>
              <w:keepNext w:val="0"/>
              <w:keepLines w:val="0"/>
              <w:pageBreakBefore w:val="0"/>
              <w:numPr>
                <w:ilvl w:val="0"/>
                <w:numId w:val="5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音柱设备设备参数：</w:t>
            </w:r>
          </w:p>
          <w:p w14:paraId="0AC16DE6">
            <w:pPr>
              <w:keepNext w:val="0"/>
              <w:keepLines w:val="0"/>
              <w:pageBreakBefore w:val="0"/>
              <w:numPr>
                <w:ilvl w:val="0"/>
                <w:numId w:val="5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322FF8A9">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机身采用纯铝合金打造，防水性能强，可以直接在户外使用；</w:t>
            </w:r>
          </w:p>
          <w:p w14:paraId="0EE81A88">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内置高效率全频带单元、高灵敏度、声音清晰明亮；</w:t>
            </w:r>
          </w:p>
          <w:p w14:paraId="044A8BC4">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采用进口功放电路、性能高效、低失真、低损耗；</w:t>
            </w:r>
          </w:p>
          <w:p w14:paraId="6AB46884">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具有1路非平衡信号输入、插拔式端子；</w:t>
            </w:r>
          </w:p>
          <w:p w14:paraId="7E2B9227">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具有1组短路控制线，控制内存6首歌曲，内置16M音频存储空间，可以通过外置USB接口擦除拷贝6首音乐，通过拨码开关选择预设音乐信号，通过触发播放预设语音节目；</w:t>
            </w:r>
          </w:p>
          <w:p w14:paraId="37F74695">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适合于室外背景音乐场所、壁挂式安装；</w:t>
            </w:r>
          </w:p>
          <w:p w14:paraId="30B8FC63">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额定功率：20W；</w:t>
            </w:r>
          </w:p>
          <w:p w14:paraId="129F1030">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线路输入：10kohms(Ω)300Mv非平衡信号；</w:t>
            </w:r>
          </w:p>
          <w:p w14:paraId="1FFF9D64">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频响：100Hz-18KHz（±3dB）；</w:t>
            </w:r>
          </w:p>
          <w:p w14:paraId="79A330FC">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非线性失真THD：&lt;1%at1kHz，1/3额定输出功率；</w:t>
            </w:r>
          </w:p>
          <w:p w14:paraId="11C8D5FD">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信噪比S/N：&gt;70dB；</w:t>
            </w:r>
          </w:p>
          <w:p w14:paraId="73ED94B9">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喇叭单元：4"防水全频单元*1；2"高音*1保护：内置贴片保险丝；</w:t>
            </w:r>
          </w:p>
          <w:p w14:paraId="6B2432BF">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安装形式：支架式安装；</w:t>
            </w:r>
          </w:p>
          <w:p w14:paraId="697CD31D">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供电电压：AC220V/50Hz；</w:t>
            </w:r>
          </w:p>
          <w:p w14:paraId="01DA193D">
            <w:pPr>
              <w:keepNext w:val="0"/>
              <w:keepLines w:val="0"/>
              <w:pageBreakBefore w:val="0"/>
              <w:numPr>
                <w:ilvl w:val="0"/>
                <w:numId w:val="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外壳尺寸：</w:t>
            </w:r>
            <w:r>
              <w:rPr>
                <w:rFonts w:hint="eastAsia" w:ascii="宋体" w:hAnsi="宋体" w:eastAsia="宋体" w:cs="宋体"/>
                <w:color w:val="auto"/>
                <w:kern w:val="0"/>
                <w:sz w:val="24"/>
                <w:szCs w:val="24"/>
                <w:highlight w:val="none"/>
                <w:lang w:bidi="ar"/>
              </w:rPr>
              <w:t>不低于</w:t>
            </w:r>
            <w:r>
              <w:rPr>
                <w:rFonts w:hint="eastAsia" w:ascii="宋体" w:hAnsi="宋体" w:eastAsia="宋体" w:cs="宋体"/>
                <w:color w:val="auto"/>
                <w:sz w:val="24"/>
                <w:szCs w:val="24"/>
                <w:highlight w:val="none"/>
              </w:rPr>
              <w:t>小于150×96×336mm；</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2363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0E748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6F6E89CA">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4F64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4D689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AI盒子</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DB7FCD">
            <w:pPr>
              <w:keepNext w:val="0"/>
              <w:keepLines w:val="0"/>
              <w:pageBreakBefore w:val="0"/>
              <w:numPr>
                <w:ilvl w:val="0"/>
                <w:numId w:val="5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669BDEE8">
            <w:pPr>
              <w:keepNext w:val="0"/>
              <w:keepLines w:val="0"/>
              <w:pageBreakBefore w:val="0"/>
              <w:widowControl/>
              <w:numPr>
                <w:ilvl w:val="0"/>
                <w:numId w:val="6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实现有害生物抓拍并上传系统预警；</w:t>
            </w:r>
          </w:p>
          <w:p w14:paraId="08EF7FDD">
            <w:pPr>
              <w:keepNext w:val="0"/>
              <w:keepLines w:val="0"/>
              <w:pageBreakBefore w:val="0"/>
              <w:widowControl/>
              <w:numPr>
                <w:ilvl w:val="0"/>
                <w:numId w:val="6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支持利旧普通摄像头做识别分析；</w:t>
            </w:r>
          </w:p>
          <w:p w14:paraId="45ACA9C7">
            <w:pPr>
              <w:keepNext w:val="0"/>
              <w:keepLines w:val="0"/>
              <w:pageBreakBefore w:val="0"/>
              <w:widowControl/>
              <w:numPr>
                <w:ilvl w:val="0"/>
                <w:numId w:val="6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支持口罩、工服、工帽三白预警抓拍；</w:t>
            </w:r>
          </w:p>
          <w:p w14:paraId="1D85B96D">
            <w:pPr>
              <w:keepNext w:val="0"/>
              <w:keepLines w:val="0"/>
              <w:pageBreakBefore w:val="0"/>
              <w:numPr>
                <w:ilvl w:val="0"/>
                <w:numId w:val="5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设备参数：</w:t>
            </w:r>
          </w:p>
          <w:p w14:paraId="4CCAC241">
            <w:pPr>
              <w:keepNext w:val="0"/>
              <w:keepLines w:val="0"/>
              <w:pageBreakBefore w:val="0"/>
              <w:numPr>
                <w:ilvl w:val="0"/>
                <w:numId w:val="6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w:t>
            </w:r>
          </w:p>
          <w:p w14:paraId="7099B275">
            <w:pPr>
              <w:keepNext w:val="0"/>
              <w:keepLines w:val="0"/>
              <w:pageBreakBefore w:val="0"/>
              <w:widowControl/>
              <w:numPr>
                <w:ilvl w:val="0"/>
                <w:numId w:val="6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处理器：六核处理器，双Cortex-A72+四Cortex-A53大小核CPU结构，频率不低于1.8GHz；</w:t>
            </w:r>
          </w:p>
          <w:p w14:paraId="79DEE917">
            <w:pPr>
              <w:keepNext w:val="0"/>
              <w:keepLines w:val="0"/>
              <w:pageBreakBefore w:val="0"/>
              <w:widowControl/>
              <w:numPr>
                <w:ilvl w:val="0"/>
                <w:numId w:val="6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GPU：四核GPU，支持OpenGLES1.1/2.0/3.0/3.1，OpenVG1.1，OpenCL；</w:t>
            </w:r>
          </w:p>
          <w:p w14:paraId="7260622E">
            <w:pPr>
              <w:keepNext w:val="0"/>
              <w:keepLines w:val="0"/>
              <w:pageBreakBefore w:val="0"/>
              <w:numPr>
                <w:ilvl w:val="0"/>
                <w:numId w:val="6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接口参数：</w:t>
            </w:r>
          </w:p>
          <w:p w14:paraId="3747B0AE">
            <w:pPr>
              <w:keepNext w:val="0"/>
              <w:keepLines w:val="0"/>
              <w:pageBreakBefore w:val="0"/>
              <w:widowControl/>
              <w:numPr>
                <w:ilvl w:val="0"/>
                <w:numId w:val="6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USB接口：USBx2；</w:t>
            </w:r>
          </w:p>
          <w:p w14:paraId="61826A2C">
            <w:pPr>
              <w:keepNext w:val="0"/>
              <w:keepLines w:val="0"/>
              <w:pageBreakBefore w:val="0"/>
              <w:widowControl/>
              <w:numPr>
                <w:ilvl w:val="0"/>
                <w:numId w:val="6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物联网接口：支持1个RS485；</w:t>
            </w:r>
          </w:p>
          <w:p w14:paraId="206C19F1">
            <w:pPr>
              <w:keepNext w:val="0"/>
              <w:keepLines w:val="0"/>
              <w:pageBreakBefore w:val="0"/>
              <w:numPr>
                <w:ilvl w:val="0"/>
                <w:numId w:val="6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其他参数：</w:t>
            </w:r>
          </w:p>
          <w:p w14:paraId="02A2713E">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DX11，支持AFBC（帧缓冲压缩）；</w:t>
            </w:r>
          </w:p>
          <w:p w14:paraId="031EEEEE">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内存与flash：4G内存、64G芯片存储；</w:t>
            </w:r>
          </w:p>
          <w:p w14:paraId="439ADA1F">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存储：内置监控级硬盘，最大支持16TB；</w:t>
            </w:r>
          </w:p>
          <w:p w14:paraId="099F3969">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报警输入输出：GPIO口：2进1出，可接开关量报警探头和联动输出电路控制设备；</w:t>
            </w:r>
          </w:p>
          <w:p w14:paraId="25C00E97">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音频输入输出：RCA接口1进1出，外部MIC插孔（3.5MM）1个；</w:t>
            </w:r>
          </w:p>
          <w:p w14:paraId="2FDAC7C9">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视频输出：HDMIx1；</w:t>
            </w:r>
          </w:p>
          <w:p w14:paraId="3CD5153E">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WiFi/4G/5G:WiFi/4G/5G；</w:t>
            </w:r>
          </w:p>
          <w:p w14:paraId="3A9F245E">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工作湿度：≤90%；</w:t>
            </w:r>
          </w:p>
          <w:p w14:paraId="56EFCD2D">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工作温度：-10℃~+50℃；</w:t>
            </w:r>
          </w:p>
          <w:p w14:paraId="24F86428">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电源：DC12V5A；</w:t>
            </w:r>
          </w:p>
          <w:p w14:paraId="00E47335">
            <w:pPr>
              <w:keepNext w:val="0"/>
              <w:keepLines w:val="0"/>
              <w:pageBreakBefore w:val="0"/>
              <w:widowControl/>
              <w:numPr>
                <w:ilvl w:val="0"/>
                <w:numId w:val="6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w:t>
            </w:r>
            <w:r>
              <w:rPr>
                <w:rFonts w:hint="eastAsia" w:ascii="宋体" w:hAnsi="宋体" w:eastAsia="宋体" w:cs="宋体"/>
                <w:color w:val="auto"/>
                <w:kern w:val="0"/>
                <w:sz w:val="24"/>
                <w:szCs w:val="24"/>
                <w:highlight w:val="none"/>
                <w:lang w:bidi="ar"/>
              </w:rPr>
              <w:t>不低于</w:t>
            </w:r>
            <w:r>
              <w:rPr>
                <w:rFonts w:hint="eastAsia" w:ascii="宋体" w:hAnsi="宋体" w:eastAsia="宋体" w:cs="宋体"/>
                <w:color w:val="auto"/>
                <w:sz w:val="24"/>
                <w:szCs w:val="24"/>
                <w:highlight w:val="none"/>
              </w:rPr>
              <w:t>320mm×214mm×40mm（长宽高）；</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0BF51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BBB9E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198E0E78">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EFF6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40DE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数据驾驶舱</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F753D">
            <w:pPr>
              <w:keepNext w:val="0"/>
              <w:keepLines w:val="0"/>
              <w:pageBreakBefore w:val="0"/>
              <w:numPr>
                <w:ilvl w:val="0"/>
                <w:numId w:val="6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166B3F86">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食堂信息公示：食堂证件、经营范围；</w:t>
            </w:r>
          </w:p>
          <w:p w14:paraId="20144699">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人员健康安全：食堂人员安全：食堂基础信息、出勤晨检、着装行为监管、人员健康安全、烹饪行为监管、意见与反馈等六个维护公示；</w:t>
            </w:r>
          </w:p>
          <w:p w14:paraId="25F70A13">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菜品、存储环境、添加剂、供货商、农残、留样等六个维度公示；</w:t>
            </w:r>
          </w:p>
          <w:p w14:paraId="5E83C8CE">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智能监管状态公示：设备状态公示；</w:t>
            </w:r>
          </w:p>
          <w:p w14:paraId="49D74DCD">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食堂日管控执行进度公示；</w:t>
            </w:r>
          </w:p>
          <w:p w14:paraId="4D5392F5">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食堂留样公示：留样记录、图片、冰箱状态；</w:t>
            </w:r>
          </w:p>
          <w:p w14:paraId="50B1F085">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后厨食安监管：数智场景数据公示；</w:t>
            </w:r>
          </w:p>
          <w:p w14:paraId="73C69CF6">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消毒台账公示：环境消毒、餐饮具消毒台账公示；</w:t>
            </w:r>
          </w:p>
          <w:p w14:paraId="066E1F0A">
            <w:pPr>
              <w:keepNext w:val="0"/>
              <w:keepLines w:val="0"/>
              <w:pageBreakBefore w:val="0"/>
              <w:numPr>
                <w:ilvl w:val="0"/>
                <w:numId w:val="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意见与反馈公示：负责人联系方式公示</w:t>
            </w:r>
          </w:p>
          <w:p w14:paraId="721D5B4B">
            <w:pPr>
              <w:keepNext w:val="0"/>
              <w:keepLines w:val="0"/>
              <w:pageBreakBefore w:val="0"/>
              <w:numPr>
                <w:ilvl w:val="0"/>
                <w:numId w:val="6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数据驾驶舱方案：</w:t>
            </w:r>
          </w:p>
          <w:p w14:paraId="3787A6B3">
            <w:pPr>
              <w:keepNext w:val="0"/>
              <w:keepLines w:val="0"/>
              <w:pageBreakBefore w:val="0"/>
              <w:numPr>
                <w:ilvl w:val="0"/>
                <w:numId w:val="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支持显示出勤信息公示：出勤统计，测温统计，出勤明细，测温明细；</w:t>
            </w:r>
          </w:p>
          <w:p w14:paraId="45C6E060">
            <w:pPr>
              <w:keepNext w:val="0"/>
              <w:keepLines w:val="0"/>
              <w:pageBreakBefore w:val="0"/>
              <w:numPr>
                <w:ilvl w:val="0"/>
                <w:numId w:val="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支持显示食堂证照信息公示：食堂评分，服务许可证，员工健康证；</w:t>
            </w:r>
          </w:p>
          <w:p w14:paraId="1040841C">
            <w:pPr>
              <w:keepNext w:val="0"/>
              <w:keepLines w:val="0"/>
              <w:pageBreakBefore w:val="0"/>
              <w:numPr>
                <w:ilvl w:val="0"/>
                <w:numId w:val="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支持显示数智管控公示：备餐间空气紫外线消毒状态，餐饮具消毒状态，刀具砧板消毒状态，仓库挡鼠板、红外光栅工作状态，自动灭火工作状态，后厨人员行为管控状态；</w:t>
            </w:r>
          </w:p>
          <w:p w14:paraId="0AFC9FC5">
            <w:pPr>
              <w:keepNext w:val="0"/>
              <w:keepLines w:val="0"/>
              <w:pageBreakBefore w:val="0"/>
              <w:numPr>
                <w:ilvl w:val="0"/>
                <w:numId w:val="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支持显示食堂留样公示：食堂留样信息；</w:t>
            </w:r>
          </w:p>
          <w:p w14:paraId="41A4EBD9">
            <w:pPr>
              <w:keepNext w:val="0"/>
              <w:keepLines w:val="0"/>
              <w:pageBreakBefore w:val="0"/>
              <w:numPr>
                <w:ilvl w:val="0"/>
                <w:numId w:val="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支持显示食堂交流公示：食客建议信息，食堂服务提升回复信息，营业时间，食堂负责人信息；</w:t>
            </w:r>
          </w:p>
          <w:p w14:paraId="2F74BF51">
            <w:pPr>
              <w:keepNext w:val="0"/>
              <w:keepLines w:val="0"/>
              <w:pageBreakBefore w:val="0"/>
              <w:numPr>
                <w:ilvl w:val="0"/>
                <w:numId w:val="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支持显示食堂检测公示：农药残留检测信息，添加剂使用检测信息；</w:t>
            </w:r>
          </w:p>
          <w:p w14:paraId="5ABE1E4A">
            <w:pPr>
              <w:keepNext w:val="0"/>
              <w:keepLines w:val="0"/>
              <w:pageBreakBefore w:val="0"/>
              <w:numPr>
                <w:ilvl w:val="0"/>
                <w:numId w:val="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支持显示环境公示：用餐大厅温湿度，主食/副食仓库温湿度，备餐间温湿度，食堂主要区域视频播放（明厨亮灶）；</w:t>
            </w:r>
          </w:p>
          <w:p w14:paraId="46BD0D52">
            <w:pPr>
              <w:keepNext w:val="0"/>
              <w:keepLines w:val="0"/>
              <w:pageBreakBefore w:val="0"/>
              <w:numPr>
                <w:ilvl w:val="0"/>
                <w:numId w:val="6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75寸屏幕设备参数：</w:t>
            </w:r>
          </w:p>
          <w:p w14:paraId="5E80F7F9">
            <w:pPr>
              <w:keepNext w:val="0"/>
              <w:keepLines w:val="0"/>
              <w:pageBreakBefore w:val="0"/>
              <w:numPr>
                <w:ilvl w:val="0"/>
                <w:numId w:val="5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7E006CCF">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背光类型：LED；</w:t>
            </w:r>
          </w:p>
          <w:p w14:paraId="5154BDC8">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屏幕分辨率：3840（H）*2160（V）；</w:t>
            </w:r>
          </w:p>
          <w:p w14:paraId="2CC07A68">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视角：178°；</w:t>
            </w:r>
          </w:p>
          <w:p w14:paraId="5585727B">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颜色：66.8m；</w:t>
            </w:r>
          </w:p>
          <w:p w14:paraId="3A2158EC">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亮度：350（cd/m2）10±；</w:t>
            </w:r>
          </w:p>
          <w:p w14:paraId="2EE9D257">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对比度：4000:1；</w:t>
            </w:r>
          </w:p>
          <w:p w14:paraId="204ABBAE">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响应时间：6ms；</w:t>
            </w:r>
          </w:p>
          <w:p w14:paraId="6517F429">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高清视频输入（HDMI）端口：二组；</w:t>
            </w:r>
          </w:p>
          <w:p w14:paraId="67059296">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模拟信号输入（RF）端口：一组；</w:t>
            </w:r>
          </w:p>
          <w:p w14:paraId="0BA3806D">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标准视频输入（AV）端口：二组；</w:t>
            </w:r>
          </w:p>
          <w:p w14:paraId="4C78C0E4">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音频输出（EARPHONE　OUT）端口：一组；</w:t>
            </w:r>
          </w:p>
          <w:p w14:paraId="739CEA3D">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运行内存：1G，机身内存8G；</w:t>
            </w:r>
          </w:p>
          <w:p w14:paraId="497CB3C3">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多媒体（USB3.0）端口：一组；</w:t>
            </w:r>
          </w:p>
          <w:p w14:paraId="674426AF">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电视系统：安卓系统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9；</w:t>
            </w:r>
          </w:p>
          <w:p w14:paraId="4DEF4671">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图像制式：PAL/NTSC/SECAM；</w:t>
            </w:r>
          </w:p>
          <w:p w14:paraId="791DEC4C">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声音制式：DK/I/BG；</w:t>
            </w:r>
          </w:p>
          <w:p w14:paraId="52263B7A">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喇叭类型：内置喇叭高低音；</w:t>
            </w:r>
          </w:p>
          <w:p w14:paraId="743C0F7B">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喇叭功率：8Ω10W；</w:t>
            </w:r>
          </w:p>
          <w:p w14:paraId="40204AB7">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相对湿度：≤80%；</w:t>
            </w:r>
          </w:p>
          <w:p w14:paraId="64F9E2FA">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存储湿度：-10～60℃；</w:t>
            </w:r>
          </w:p>
          <w:p w14:paraId="2DB3E726">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使用湿度：0～40℃；</w:t>
            </w:r>
          </w:p>
          <w:p w14:paraId="40EC80BE">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输入电压：交流电110～240V50/60Hz；</w:t>
            </w:r>
          </w:p>
          <w:p w14:paraId="459E6EB1">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功耗：280W；</w:t>
            </w:r>
          </w:p>
          <w:p w14:paraId="42446E50">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中国能效标识等级：3级；</w:t>
            </w:r>
          </w:p>
          <w:p w14:paraId="2E56B1DD">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电源规格：三合一电源（主板+背光+电源）；</w:t>
            </w:r>
          </w:p>
          <w:p w14:paraId="1617EFBC">
            <w:pPr>
              <w:keepNext w:val="0"/>
              <w:keepLines w:val="0"/>
              <w:pageBreakBefore w:val="0"/>
              <w:numPr>
                <w:ilvl w:val="0"/>
                <w:numId w:val="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待机功率：＜0.5W；</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F687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0FA12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71E3F93E">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B572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E998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食安服务终端</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4A2442">
            <w:pPr>
              <w:keepNext w:val="0"/>
              <w:keepLines w:val="0"/>
              <w:pageBreakBefore w:val="0"/>
              <w:numPr>
                <w:ilvl w:val="0"/>
                <w:numId w:val="6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1BCE88FC">
            <w:pPr>
              <w:keepNext w:val="0"/>
              <w:keepLines w:val="0"/>
              <w:pageBreakBefore w:val="0"/>
              <w:numPr>
                <w:ilvl w:val="0"/>
                <w:numId w:val="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可进行食堂菜品宣传、电子台账、明厨亮灶视频展示，可进行评价点评；</w:t>
            </w:r>
          </w:p>
          <w:p w14:paraId="45B7E0ED">
            <w:pPr>
              <w:keepNext w:val="0"/>
              <w:keepLines w:val="0"/>
              <w:pageBreakBefore w:val="0"/>
              <w:numPr>
                <w:ilvl w:val="0"/>
                <w:numId w:val="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用餐人员用餐反馈意见收集，统一渠道收集/答复食堂信息；</w:t>
            </w:r>
          </w:p>
          <w:p w14:paraId="25AD06A9">
            <w:pPr>
              <w:keepNext w:val="0"/>
              <w:keepLines w:val="0"/>
              <w:pageBreakBefore w:val="0"/>
              <w:numPr>
                <w:ilvl w:val="0"/>
                <w:numId w:val="6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设备参数</w:t>
            </w:r>
          </w:p>
          <w:p w14:paraId="43871C34">
            <w:pPr>
              <w:keepNext w:val="0"/>
              <w:keepLines w:val="0"/>
              <w:pageBreakBefore w:val="0"/>
              <w:numPr>
                <w:ilvl w:val="0"/>
                <w:numId w:val="7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显示/触摸参数：</w:t>
            </w:r>
          </w:p>
          <w:p w14:paraId="386A210B">
            <w:pPr>
              <w:keepNext w:val="0"/>
              <w:keepLines w:val="0"/>
              <w:pageBreakBefore w:val="0"/>
              <w:numPr>
                <w:ilvl w:val="0"/>
                <w:numId w:val="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液晶等级：全新A+品牌液晶面板</w:t>
            </w:r>
          </w:p>
          <w:p w14:paraId="27291A99">
            <w:pPr>
              <w:keepNext w:val="0"/>
              <w:keepLines w:val="0"/>
              <w:pageBreakBefore w:val="0"/>
              <w:numPr>
                <w:ilvl w:val="0"/>
                <w:numId w:val="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液晶尺寸：不小于43英寸；</w:t>
            </w:r>
          </w:p>
          <w:p w14:paraId="6755245A">
            <w:pPr>
              <w:keepNext w:val="0"/>
              <w:keepLines w:val="0"/>
              <w:pageBreakBefore w:val="0"/>
              <w:numPr>
                <w:ilvl w:val="0"/>
                <w:numId w:val="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背光类型：E-LED；</w:t>
            </w:r>
          </w:p>
          <w:p w14:paraId="4530148F">
            <w:pPr>
              <w:keepNext w:val="0"/>
              <w:keepLines w:val="0"/>
              <w:pageBreakBefore w:val="0"/>
              <w:numPr>
                <w:ilvl w:val="0"/>
                <w:numId w:val="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分辨率：1920*1080；</w:t>
            </w:r>
          </w:p>
          <w:p w14:paraId="281DAD4D">
            <w:pPr>
              <w:keepNext w:val="0"/>
              <w:keepLines w:val="0"/>
              <w:pageBreakBefore w:val="0"/>
              <w:numPr>
                <w:ilvl w:val="0"/>
                <w:numId w:val="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显示亮度：≥350cd；</w:t>
            </w:r>
          </w:p>
          <w:p w14:paraId="037B6A76">
            <w:pPr>
              <w:keepNext w:val="0"/>
              <w:keepLines w:val="0"/>
              <w:pageBreakBefore w:val="0"/>
              <w:numPr>
                <w:ilvl w:val="0"/>
                <w:numId w:val="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触摸方案：电容G+G；</w:t>
            </w:r>
          </w:p>
          <w:p w14:paraId="51B78AE8">
            <w:pPr>
              <w:keepNext w:val="0"/>
              <w:keepLines w:val="0"/>
              <w:pageBreakBefore w:val="0"/>
              <w:numPr>
                <w:ilvl w:val="0"/>
                <w:numId w:val="7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系统参数：</w:t>
            </w:r>
          </w:p>
          <w:p w14:paraId="6BACCC03">
            <w:pPr>
              <w:keepNext w:val="0"/>
              <w:keepLines w:val="0"/>
              <w:pageBreakBefore w:val="0"/>
              <w:numPr>
                <w:ilvl w:val="0"/>
                <w:numId w:val="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CPU：四核，主频不低于2.0GHz；</w:t>
            </w:r>
          </w:p>
          <w:p w14:paraId="1D447AF5">
            <w:pPr>
              <w:keepNext w:val="0"/>
              <w:keepLines w:val="0"/>
              <w:pageBreakBefore w:val="0"/>
              <w:numPr>
                <w:ilvl w:val="0"/>
                <w:numId w:val="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内存：2+16GB；</w:t>
            </w:r>
          </w:p>
          <w:p w14:paraId="32229204">
            <w:pPr>
              <w:keepNext w:val="0"/>
              <w:keepLines w:val="0"/>
              <w:pageBreakBefore w:val="0"/>
              <w:numPr>
                <w:ilvl w:val="0"/>
                <w:numId w:val="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NPU：支持1Tops算力；</w:t>
            </w:r>
          </w:p>
          <w:p w14:paraId="792C834A">
            <w:pPr>
              <w:keepNext w:val="0"/>
              <w:keepLines w:val="0"/>
              <w:pageBreakBefore w:val="0"/>
              <w:numPr>
                <w:ilvl w:val="0"/>
                <w:numId w:val="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操作系统：安卓11；</w:t>
            </w:r>
          </w:p>
          <w:p w14:paraId="10809998">
            <w:pPr>
              <w:keepNext w:val="0"/>
              <w:keepLines w:val="0"/>
              <w:pageBreakBefore w:val="0"/>
              <w:numPr>
                <w:ilvl w:val="0"/>
                <w:numId w:val="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网络通讯：以太网+WiFi；</w:t>
            </w:r>
          </w:p>
          <w:p w14:paraId="7EFA792E">
            <w:pPr>
              <w:keepNext w:val="0"/>
              <w:keepLines w:val="0"/>
              <w:pageBreakBefore w:val="0"/>
              <w:numPr>
                <w:ilvl w:val="0"/>
                <w:numId w:val="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音频功放：内置2路8欧5瓦优质喇叭；</w:t>
            </w:r>
          </w:p>
          <w:p w14:paraId="30668267">
            <w:pPr>
              <w:keepNext w:val="0"/>
              <w:keepLines w:val="0"/>
              <w:pageBreakBefore w:val="0"/>
              <w:numPr>
                <w:ilvl w:val="0"/>
                <w:numId w:val="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开关设备：支持定时开关、遥控开关、通电自启等方式开关机；</w:t>
            </w:r>
          </w:p>
          <w:p w14:paraId="2D1C31D5">
            <w:pPr>
              <w:keepNext w:val="0"/>
              <w:keepLines w:val="0"/>
              <w:pageBreakBefore w:val="0"/>
              <w:numPr>
                <w:ilvl w:val="0"/>
                <w:numId w:val="7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机身参数：</w:t>
            </w:r>
          </w:p>
          <w:p w14:paraId="3D40E8A9">
            <w:pPr>
              <w:keepNext w:val="0"/>
              <w:keepLines w:val="0"/>
              <w:pageBreakBefore w:val="0"/>
              <w:numPr>
                <w:ilvl w:val="0"/>
                <w:numId w:val="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边框材质：铝型材（氧化拉丝工艺）；</w:t>
            </w:r>
          </w:p>
          <w:p w14:paraId="7922D697">
            <w:pPr>
              <w:keepNext w:val="0"/>
              <w:keepLines w:val="0"/>
              <w:pageBreakBefore w:val="0"/>
              <w:numPr>
                <w:ilvl w:val="0"/>
                <w:numId w:val="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机身材质：镀锌板（金属喷涂工艺）；</w:t>
            </w:r>
          </w:p>
          <w:p w14:paraId="18F62BED">
            <w:pPr>
              <w:keepNext w:val="0"/>
              <w:keepLines w:val="0"/>
              <w:pageBreakBefore w:val="0"/>
              <w:numPr>
                <w:ilvl w:val="0"/>
                <w:numId w:val="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表面材质：钢化玻璃（物理钢化工艺）；</w:t>
            </w:r>
          </w:p>
          <w:p w14:paraId="7D99B172">
            <w:pPr>
              <w:keepNext w:val="0"/>
              <w:keepLines w:val="0"/>
              <w:pageBreakBefore w:val="0"/>
              <w:numPr>
                <w:ilvl w:val="0"/>
                <w:numId w:val="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机身尺寸：不大于981.6*569.6*64mm；</w:t>
            </w:r>
          </w:p>
          <w:p w14:paraId="3C77594A">
            <w:pPr>
              <w:keepNext w:val="0"/>
              <w:keepLines w:val="0"/>
              <w:pageBreakBefore w:val="0"/>
              <w:numPr>
                <w:ilvl w:val="0"/>
                <w:numId w:val="7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底座参数：</w:t>
            </w:r>
          </w:p>
          <w:p w14:paraId="24CFCCEB">
            <w:pPr>
              <w:keepNext w:val="0"/>
              <w:keepLines w:val="0"/>
              <w:pageBreakBefore w:val="0"/>
              <w:numPr>
                <w:ilvl w:val="0"/>
                <w:numId w:val="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材质：镀锌板；</w:t>
            </w:r>
          </w:p>
          <w:p w14:paraId="36AE18A5">
            <w:pPr>
              <w:keepNext w:val="0"/>
              <w:keepLines w:val="0"/>
              <w:pageBreakBefore w:val="0"/>
              <w:numPr>
                <w:ilvl w:val="0"/>
                <w:numId w:val="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安装孔位：400*200mm；</w:t>
            </w:r>
          </w:p>
          <w:p w14:paraId="160EC85D">
            <w:pPr>
              <w:keepNext w:val="0"/>
              <w:keepLines w:val="0"/>
              <w:pageBreakBefore w:val="0"/>
              <w:numPr>
                <w:ilvl w:val="0"/>
                <w:numId w:val="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底座重量：8KG；</w:t>
            </w:r>
          </w:p>
          <w:p w14:paraId="510DA244">
            <w:pPr>
              <w:keepNext w:val="0"/>
              <w:keepLines w:val="0"/>
              <w:pageBreakBefore w:val="0"/>
              <w:numPr>
                <w:ilvl w:val="0"/>
                <w:numId w:val="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配件：调节脚杯*4个；</w:t>
            </w:r>
          </w:p>
          <w:p w14:paraId="19A9947E">
            <w:pPr>
              <w:keepNext w:val="0"/>
              <w:keepLines w:val="0"/>
              <w:pageBreakBefore w:val="0"/>
              <w:numPr>
                <w:ilvl w:val="0"/>
                <w:numId w:val="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M8螺丝*4颗；</w:t>
            </w:r>
          </w:p>
          <w:p w14:paraId="404A9105">
            <w:pPr>
              <w:keepNext w:val="0"/>
              <w:keepLines w:val="0"/>
              <w:pageBreakBefore w:val="0"/>
              <w:numPr>
                <w:ilvl w:val="0"/>
                <w:numId w:val="7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电气性能：</w:t>
            </w:r>
          </w:p>
          <w:p w14:paraId="278A9217">
            <w:pPr>
              <w:keepNext w:val="0"/>
              <w:keepLines w:val="0"/>
              <w:pageBreakBefore w:val="0"/>
              <w:numPr>
                <w:ilvl w:val="0"/>
                <w:numId w:val="7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输入电压：AC110-220V；</w:t>
            </w:r>
          </w:p>
          <w:p w14:paraId="0432BFB8">
            <w:pPr>
              <w:keepNext w:val="0"/>
              <w:keepLines w:val="0"/>
              <w:pageBreakBefore w:val="0"/>
              <w:numPr>
                <w:ilvl w:val="0"/>
                <w:numId w:val="7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待机功率：≦1W；</w:t>
            </w:r>
          </w:p>
          <w:p w14:paraId="062F16F5">
            <w:pPr>
              <w:keepNext w:val="0"/>
              <w:keepLines w:val="0"/>
              <w:pageBreakBefore w:val="0"/>
              <w:numPr>
                <w:ilvl w:val="0"/>
                <w:numId w:val="7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额定功率：≦55W；</w:t>
            </w:r>
          </w:p>
          <w:p w14:paraId="6BB3D177">
            <w:pPr>
              <w:keepNext w:val="0"/>
              <w:keepLines w:val="0"/>
              <w:pageBreakBefore w:val="0"/>
              <w:numPr>
                <w:ilvl w:val="0"/>
                <w:numId w:val="7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存储环境：温度‐5℃~60℃/湿度10%RH~90%RH；</w:t>
            </w:r>
          </w:p>
          <w:p w14:paraId="5796631E">
            <w:pPr>
              <w:keepNext w:val="0"/>
              <w:keepLines w:val="0"/>
              <w:pageBreakBefore w:val="0"/>
              <w:numPr>
                <w:ilvl w:val="0"/>
                <w:numId w:val="7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工作环境：温度‐0℃~55℃/湿度10%RH~90%RH；</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DD0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5D4A7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54F94030">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330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E034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智能溯源收货秤</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70103C">
            <w:pPr>
              <w:keepNext w:val="0"/>
              <w:keepLines w:val="0"/>
              <w:pageBreakBefore w:val="0"/>
              <w:numPr>
                <w:ilvl w:val="0"/>
                <w:numId w:val="7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0170E6D9">
            <w:pPr>
              <w:keepNext w:val="0"/>
              <w:keepLines w:val="0"/>
              <w:pageBreakBefore w:val="0"/>
              <w:numPr>
                <w:ilvl w:val="0"/>
                <w:numId w:val="7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快速验货登记、票证拍照、快捷验收，生成台账；</w:t>
            </w:r>
          </w:p>
          <w:p w14:paraId="46C23D62">
            <w:pPr>
              <w:keepNext w:val="0"/>
              <w:keepLines w:val="0"/>
              <w:pageBreakBefore w:val="0"/>
              <w:numPr>
                <w:ilvl w:val="0"/>
                <w:numId w:val="7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快速出库登记、领料，并自动生成台账；</w:t>
            </w:r>
          </w:p>
          <w:p w14:paraId="588AAE63">
            <w:pPr>
              <w:keepNext w:val="0"/>
              <w:keepLines w:val="0"/>
              <w:pageBreakBefore w:val="0"/>
              <w:numPr>
                <w:ilvl w:val="0"/>
                <w:numId w:val="7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进行现有库存明细查询；</w:t>
            </w:r>
          </w:p>
          <w:p w14:paraId="144B7BD9">
            <w:pPr>
              <w:keepNext w:val="0"/>
              <w:keepLines w:val="0"/>
              <w:pageBreakBefore w:val="0"/>
              <w:numPr>
                <w:ilvl w:val="0"/>
                <w:numId w:val="7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设备参数：</w:t>
            </w:r>
          </w:p>
          <w:p w14:paraId="1BAB6617">
            <w:pPr>
              <w:keepNext w:val="0"/>
              <w:keepLines w:val="0"/>
              <w:pageBreakBefore w:val="0"/>
              <w:numPr>
                <w:ilvl w:val="0"/>
                <w:numId w:val="7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364432D0">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主板：不低于armrk3568的性能；</w:t>
            </w:r>
          </w:p>
          <w:p w14:paraId="7DC3106B">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操作系统：安卓；</w:t>
            </w:r>
          </w:p>
          <w:p w14:paraId="4A285AF7">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内存：4G+32G；</w:t>
            </w:r>
          </w:p>
          <w:p w14:paraId="316E6442">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网络：以太网wifi；</w:t>
            </w:r>
          </w:p>
          <w:p w14:paraId="1C3F2867">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屏幕：14.1寸电容屏；1280*800；</w:t>
            </w:r>
          </w:p>
          <w:p w14:paraId="4EEF361C">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最大量程：150KG；</w:t>
            </w:r>
          </w:p>
          <w:p w14:paraId="472D48C7">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分度数：3000；</w:t>
            </w:r>
          </w:p>
          <w:p w14:paraId="0718BB32">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分度值：50g；</w:t>
            </w:r>
          </w:p>
          <w:p w14:paraId="64392E00">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最小量程：1000g；</w:t>
            </w:r>
          </w:p>
          <w:p w14:paraId="4831216D">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秤台尺寸：不低于400mm*500mm；</w:t>
            </w:r>
          </w:p>
          <w:p w14:paraId="27C58853">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电源充电器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输入AC220V,输出DC12.6V/5A；</w:t>
            </w:r>
          </w:p>
          <w:p w14:paraId="4F6BCBA5">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环境湿度：0～90%空气湿度，无冷凝；</w:t>
            </w:r>
          </w:p>
          <w:p w14:paraId="6879C195">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电池：12V10000mAh锂电池组，常温非打印状态下，可正常工作约10—12小时；</w:t>
            </w:r>
          </w:p>
          <w:p w14:paraId="6106EC27">
            <w:pPr>
              <w:keepNext w:val="0"/>
              <w:keepLines w:val="0"/>
              <w:pageBreakBefore w:val="0"/>
              <w:numPr>
                <w:ilvl w:val="0"/>
                <w:numId w:val="8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摄像头：800万像素；</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8268A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2D5C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7F17D951">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6D0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2D37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餐饮具消毒监管</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EC0331">
            <w:pPr>
              <w:keepNext w:val="0"/>
              <w:keepLines w:val="0"/>
              <w:pageBreakBefore w:val="0"/>
              <w:numPr>
                <w:ilvl w:val="0"/>
                <w:numId w:val="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功能描述：</w:t>
            </w:r>
          </w:p>
          <w:p w14:paraId="273528BF">
            <w:pPr>
              <w:keepNext w:val="0"/>
              <w:keepLines w:val="0"/>
              <w:pageBreakBefore w:val="0"/>
              <w:numPr>
                <w:ilvl w:val="0"/>
                <w:numId w:val="8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支持现场实时监测，数据实时统计，系统远程预警；</w:t>
            </w:r>
          </w:p>
          <w:p w14:paraId="541DC243">
            <w:pPr>
              <w:keepNext w:val="0"/>
              <w:keepLines w:val="0"/>
              <w:pageBreakBefore w:val="0"/>
              <w:numPr>
                <w:ilvl w:val="0"/>
                <w:numId w:val="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智能空开设备参数：</w:t>
            </w:r>
          </w:p>
          <w:p w14:paraId="1B292589">
            <w:pPr>
              <w:keepNext w:val="0"/>
              <w:keepLines w:val="0"/>
              <w:pageBreakBefore w:val="0"/>
              <w:numPr>
                <w:ilvl w:val="0"/>
                <w:numId w:val="83"/>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3E08AD1E">
            <w:pPr>
              <w:keepNext w:val="0"/>
              <w:keepLines w:val="0"/>
              <w:pageBreakBefore w:val="0"/>
              <w:numPr>
                <w:ilvl w:val="0"/>
                <w:numId w:val="8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环境温度：-15℃～40℃;空气相对湿度：≤95%（不凝露）</w:t>
            </w:r>
          </w:p>
          <w:p w14:paraId="7C4065EC">
            <w:pPr>
              <w:keepNext w:val="0"/>
              <w:keepLines w:val="0"/>
              <w:pageBreakBefore w:val="0"/>
              <w:numPr>
                <w:ilvl w:val="0"/>
                <w:numId w:val="8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海拔≤2000m;污染等级：2级;无显著振动和冲击的地方</w:t>
            </w:r>
          </w:p>
          <w:p w14:paraId="32A3C55D">
            <w:pPr>
              <w:keepNext w:val="0"/>
              <w:keepLines w:val="0"/>
              <w:pageBreakBefore w:val="0"/>
              <w:numPr>
                <w:ilvl w:val="0"/>
                <w:numId w:val="8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输入电压：AC100V～250V。额定输出电压：DC12V。额定输出电流MAXDC2A。</w:t>
            </w:r>
          </w:p>
          <w:p w14:paraId="342CD690">
            <w:pPr>
              <w:keepNext w:val="0"/>
              <w:keepLines w:val="0"/>
              <w:pageBreakBefore w:val="0"/>
              <w:numPr>
                <w:ilvl w:val="0"/>
                <w:numId w:val="8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防雷击浪涌保护，最大泄放电流：20kA。安装方式：导轨卡口。</w:t>
            </w:r>
          </w:p>
          <w:p w14:paraId="5FB18809">
            <w:pPr>
              <w:keepNext w:val="0"/>
              <w:keepLines w:val="0"/>
              <w:pageBreakBefore w:val="0"/>
              <w:numPr>
                <w:ilvl w:val="0"/>
                <w:numId w:val="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电源模组设备参数：、</w:t>
            </w:r>
          </w:p>
          <w:p w14:paraId="79B6B8E8">
            <w:pPr>
              <w:keepNext w:val="0"/>
              <w:keepLines w:val="0"/>
              <w:pageBreakBefore w:val="0"/>
              <w:numPr>
                <w:ilvl w:val="0"/>
                <w:numId w:val="8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20650BB0">
            <w:pPr>
              <w:keepNext w:val="0"/>
              <w:keepLines w:val="0"/>
              <w:pageBreakBefore w:val="0"/>
              <w:numPr>
                <w:ilvl w:val="0"/>
                <w:numId w:val="8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外形尺寸不高于94*35*70mm（尺寸公差：±1mm）;安装占位2P;安装方式导轨卡扣安装</w:t>
            </w:r>
          </w:p>
          <w:p w14:paraId="7CEB913C">
            <w:pPr>
              <w:keepNext w:val="0"/>
              <w:keepLines w:val="0"/>
              <w:pageBreakBefore w:val="0"/>
              <w:numPr>
                <w:ilvl w:val="0"/>
                <w:numId w:val="8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重量≈220g;允许线径MAX25mm;AC输入2*25mm;2接地端子25mm</w:t>
            </w:r>
          </w:p>
          <w:p w14:paraId="1A054A81">
            <w:pPr>
              <w:keepNext w:val="0"/>
              <w:keepLines w:val="0"/>
              <w:pageBreakBefore w:val="0"/>
              <w:numPr>
                <w:ilvl w:val="0"/>
                <w:numId w:val="8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2DC输出6PIN针端子;电源指示灯红色+绿色;工作电压AC100VtoAC250V，输出电压DC12V;输出电流MAX2000mA</w:t>
            </w:r>
          </w:p>
          <w:p w14:paraId="3A5343AB">
            <w:pPr>
              <w:keepNext w:val="0"/>
              <w:keepLines w:val="0"/>
              <w:pageBreakBefore w:val="0"/>
              <w:numPr>
                <w:ilvl w:val="0"/>
                <w:numId w:val="8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静态功耗0.5W;工作温度-5to+45℃;额定泄放电流10kA;最大泄放电流20KA</w:t>
            </w:r>
          </w:p>
          <w:p w14:paraId="2E8A266C">
            <w:pPr>
              <w:keepNext w:val="0"/>
              <w:keepLines w:val="0"/>
              <w:pageBreakBefore w:val="0"/>
              <w:numPr>
                <w:ilvl w:val="0"/>
                <w:numId w:val="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通讯模组设备参数：</w:t>
            </w:r>
          </w:p>
          <w:p w14:paraId="54EF2A45">
            <w:pPr>
              <w:keepNext w:val="0"/>
              <w:keepLines w:val="0"/>
              <w:pageBreakBefore w:val="0"/>
              <w:numPr>
                <w:ilvl w:val="0"/>
                <w:numId w:val="8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083E8A0F">
            <w:pPr>
              <w:keepNext w:val="0"/>
              <w:keepLines w:val="0"/>
              <w:pageBreakBefore w:val="0"/>
              <w:numPr>
                <w:ilvl w:val="0"/>
                <w:numId w:val="8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工作电压DC12V;功率消耗&lt;2W;工作温度-20~70℃存储温度-40~75℃;相对湿度5%~95%（无冷凝）</w:t>
            </w:r>
          </w:p>
          <w:p w14:paraId="191E6FC4">
            <w:pPr>
              <w:keepNext w:val="0"/>
              <w:keepLines w:val="0"/>
              <w:pageBreakBefore w:val="0"/>
              <w:numPr>
                <w:ilvl w:val="0"/>
                <w:numId w:val="8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外形尺寸不高于109*72*18mm;安装占位1P;安装方式35mm导轨安装;重量≈85g</w:t>
            </w:r>
          </w:p>
          <w:p w14:paraId="6D441466">
            <w:pPr>
              <w:keepNext w:val="0"/>
              <w:keepLines w:val="0"/>
              <w:pageBreakBefore w:val="0"/>
              <w:numPr>
                <w:ilvl w:val="0"/>
                <w:numId w:val="8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6PIN数据口模组互联通讯接口，采用6PIN针连接;天线接口SMA;BUS蓝色;NET蓝色;SYS红色</w:t>
            </w:r>
          </w:p>
          <w:p w14:paraId="59628D90">
            <w:pPr>
              <w:keepNext w:val="0"/>
              <w:keepLines w:val="0"/>
              <w:pageBreakBefore w:val="0"/>
              <w:numPr>
                <w:ilvl w:val="0"/>
                <w:numId w:val="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联动模块设备参数：</w:t>
            </w:r>
          </w:p>
          <w:p w14:paraId="5371F212">
            <w:pPr>
              <w:keepNext w:val="0"/>
              <w:keepLines w:val="0"/>
              <w:pageBreakBefore w:val="0"/>
              <w:numPr>
                <w:ilvl w:val="0"/>
                <w:numId w:val="8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043D4BDF">
            <w:pPr>
              <w:keepNext w:val="0"/>
              <w:keepLines w:val="0"/>
              <w:pageBreakBefore w:val="0"/>
              <w:numPr>
                <w:ilvl w:val="0"/>
                <w:numId w:val="9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工作电压DC12V;功率消耗1.5W;输出数;4个开关量继电器输出端子;4个数字量OC输出端子（光耦的输入输出只能2选1）</w:t>
            </w:r>
          </w:p>
          <w:p w14:paraId="65F39BFA">
            <w:pPr>
              <w:keepNext w:val="0"/>
              <w:keepLines w:val="0"/>
              <w:pageBreakBefore w:val="0"/>
              <w:numPr>
                <w:ilvl w:val="0"/>
                <w:numId w:val="9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输出类型;开关量继电器输出：支持最大负载能力：125VAC/0.5A，持最大承受电压250VAC。各自独立，默认常开状态</w:t>
            </w:r>
          </w:p>
          <w:p w14:paraId="3A1D7530">
            <w:pPr>
              <w:keepNext w:val="0"/>
              <w:keepLines w:val="0"/>
              <w:pageBreakBefore w:val="0"/>
              <w:numPr>
                <w:ilvl w:val="0"/>
                <w:numId w:val="9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报警输出时闭合;数字量OC输出：支持最大24V电压接入;输入数4个开关量输入端子（光耦的输入输出只能2选1）;输入类型开关量（内置电源，干接点输入）</w:t>
            </w:r>
          </w:p>
          <w:p w14:paraId="1F437D8F">
            <w:pPr>
              <w:keepNext w:val="0"/>
              <w:keepLines w:val="0"/>
              <w:pageBreakBefore w:val="0"/>
              <w:numPr>
                <w:ilvl w:val="0"/>
                <w:numId w:val="9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尺寸不高于94*70*18mm（尺寸公差：±1mm）;安装占位1P;安装方式导轨安装;工作温度-15to+60℃</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6E8E6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BC31D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5BD686CA">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8153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86C6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智能人脸留样冰箱</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F8DEB">
            <w:pPr>
              <w:keepNext w:val="0"/>
              <w:keepLines w:val="0"/>
              <w:pageBreakBefore w:val="0"/>
              <w:numPr>
                <w:ilvl w:val="0"/>
                <w:numId w:val="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7EEC3287">
            <w:pPr>
              <w:keepNext w:val="0"/>
              <w:keepLines w:val="0"/>
              <w:pageBreakBefore w:val="0"/>
              <w:numPr>
                <w:ilvl w:val="0"/>
                <w:numId w:val="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专人专用（人脸识别开门）、自动除霜；</w:t>
            </w:r>
          </w:p>
          <w:p w14:paraId="7838345D">
            <w:pPr>
              <w:keepNext w:val="0"/>
              <w:keepLines w:val="0"/>
              <w:pageBreakBefore w:val="0"/>
              <w:numPr>
                <w:ilvl w:val="0"/>
                <w:numId w:val="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自动存档，记录人员、时间，方便回溯；</w:t>
            </w:r>
          </w:p>
          <w:p w14:paraId="5C4BA308">
            <w:pPr>
              <w:keepNext w:val="0"/>
              <w:keepLines w:val="0"/>
              <w:pageBreakBefore w:val="0"/>
              <w:numPr>
                <w:ilvl w:val="0"/>
                <w:numId w:val="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设备参数：</w:t>
            </w:r>
          </w:p>
          <w:p w14:paraId="36C9C69A">
            <w:pPr>
              <w:keepNext w:val="0"/>
              <w:keepLines w:val="0"/>
              <w:pageBreakBefore w:val="0"/>
              <w:numPr>
                <w:ilvl w:val="0"/>
                <w:numId w:val="9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7E55EBE9">
            <w:pPr>
              <w:keepNext w:val="0"/>
              <w:keepLines w:val="0"/>
              <w:pageBreakBefore w:val="0"/>
              <w:numPr>
                <w:ilvl w:val="0"/>
                <w:numId w:val="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外观尺寸：不低于高X宽X厚=1980X1100X630mm；</w:t>
            </w:r>
          </w:p>
          <w:p w14:paraId="242CDB8E">
            <w:pPr>
              <w:keepNext w:val="0"/>
              <w:keepLines w:val="0"/>
              <w:pageBreakBefore w:val="0"/>
              <w:numPr>
                <w:ilvl w:val="0"/>
                <w:numId w:val="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制冷温度范围：0到18度；</w:t>
            </w:r>
          </w:p>
          <w:p w14:paraId="05C436AB">
            <w:pPr>
              <w:keepNext w:val="0"/>
              <w:keepLines w:val="0"/>
              <w:pageBreakBefore w:val="0"/>
              <w:numPr>
                <w:ilvl w:val="0"/>
                <w:numId w:val="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自动除霜：具有自动除霜功能，确保蒸发器不结冰；</w:t>
            </w:r>
          </w:p>
          <w:p w14:paraId="183907C4">
            <w:pPr>
              <w:keepNext w:val="0"/>
              <w:keepLines w:val="0"/>
              <w:pageBreakBefore w:val="0"/>
              <w:numPr>
                <w:ilvl w:val="0"/>
                <w:numId w:val="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灯光控制：内部两壁具有照明LED灯管。顶部广告牌有灯光照明；</w:t>
            </w:r>
          </w:p>
          <w:p w14:paraId="43513E7B">
            <w:pPr>
              <w:keepNext w:val="0"/>
              <w:keepLines w:val="0"/>
              <w:pageBreakBefore w:val="0"/>
              <w:numPr>
                <w:ilvl w:val="0"/>
                <w:numId w:val="9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门禁系统：</w:t>
            </w:r>
          </w:p>
          <w:p w14:paraId="3D708D4F">
            <w:pPr>
              <w:keepNext w:val="0"/>
              <w:keepLines w:val="0"/>
              <w:pageBreakBefore w:val="0"/>
              <w:numPr>
                <w:ilvl w:val="0"/>
                <w:numId w:val="9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摄像头安装高度：摄像头安装位置离地面在140cm到150cm之间；</w:t>
            </w:r>
          </w:p>
          <w:p w14:paraId="5021EEF2">
            <w:pPr>
              <w:keepNext w:val="0"/>
              <w:keepLines w:val="0"/>
              <w:pageBreakBefore w:val="0"/>
              <w:numPr>
                <w:ilvl w:val="0"/>
                <w:numId w:val="9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人脸识别要求：具有双目立体人脸识别功能，具有较强的安全性；</w:t>
            </w:r>
          </w:p>
          <w:p w14:paraId="6383F985">
            <w:pPr>
              <w:keepNext w:val="0"/>
              <w:keepLines w:val="0"/>
              <w:pageBreakBefore w:val="0"/>
              <w:numPr>
                <w:ilvl w:val="0"/>
                <w:numId w:val="9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人脸数据设定：可以设定不少于100张预置人脸；</w:t>
            </w:r>
          </w:p>
          <w:p w14:paraId="280CB1A7">
            <w:pPr>
              <w:keepNext w:val="0"/>
              <w:keepLines w:val="0"/>
              <w:pageBreakBefore w:val="0"/>
              <w:numPr>
                <w:ilvl w:val="0"/>
                <w:numId w:val="9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玻璃门锁：每个柜门都有独立门锁，并可通过门禁系统控制，刷脸开门。6秒落锁；</w:t>
            </w:r>
          </w:p>
          <w:p w14:paraId="4A6A6639">
            <w:pPr>
              <w:keepNext w:val="0"/>
              <w:keepLines w:val="0"/>
              <w:pageBreakBefore w:val="0"/>
              <w:numPr>
                <w:ilvl w:val="0"/>
                <w:numId w:val="9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开门数据：门禁系统具有数据接口，可以把人员数据和开关门记录数据上传到远程服务器；</w:t>
            </w:r>
          </w:p>
          <w:p w14:paraId="3F1DFB8E">
            <w:pPr>
              <w:keepNext w:val="0"/>
              <w:keepLines w:val="0"/>
              <w:pageBreakBefore w:val="0"/>
              <w:numPr>
                <w:ilvl w:val="0"/>
                <w:numId w:val="9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性能指标：</w:t>
            </w:r>
          </w:p>
          <w:p w14:paraId="3442660E">
            <w:pPr>
              <w:keepNext w:val="0"/>
              <w:keepLines w:val="0"/>
              <w:pageBreakBefore w:val="0"/>
              <w:numPr>
                <w:ilvl w:val="0"/>
                <w:numId w:val="9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降温速度：环境温度30度时，制冷启动后，内部从环境温度降温到5度，不多于20分钟；</w:t>
            </w:r>
          </w:p>
          <w:p w14:paraId="3C7B55AD">
            <w:pPr>
              <w:keepNext w:val="0"/>
              <w:keepLines w:val="0"/>
              <w:pageBreakBefore w:val="0"/>
              <w:numPr>
                <w:ilvl w:val="0"/>
                <w:numId w:val="9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人脸识别准确率：识别率高于95%，误识别率低于万分之一；</w:t>
            </w:r>
          </w:p>
          <w:p w14:paraId="03E1B01E">
            <w:pPr>
              <w:keepNext w:val="0"/>
              <w:keepLines w:val="0"/>
              <w:pageBreakBefore w:val="0"/>
              <w:numPr>
                <w:ilvl w:val="0"/>
                <w:numId w:val="9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落锁要求：人脸识别成功，开锁。开锁后6秒内柜门没有打开即重新上锁；</w:t>
            </w:r>
          </w:p>
          <w:p w14:paraId="31227865">
            <w:pPr>
              <w:keepNext w:val="0"/>
              <w:keepLines w:val="0"/>
              <w:pageBreakBefore w:val="0"/>
              <w:numPr>
                <w:ilvl w:val="0"/>
                <w:numId w:val="9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门禁抗干扰能力：门禁在接地良好情况下，不出现触控不灵情况；</w:t>
            </w:r>
          </w:p>
          <w:p w14:paraId="0EFD9601">
            <w:pPr>
              <w:keepNext w:val="0"/>
              <w:keepLines w:val="0"/>
              <w:pageBreakBefore w:val="0"/>
              <w:numPr>
                <w:ilvl w:val="0"/>
                <w:numId w:val="9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耗电量：环境温度30度时，设定温度为5度，24小时耗电量小于4.5KWH；</w:t>
            </w:r>
          </w:p>
          <w:p w14:paraId="4A7DE14F">
            <w:pPr>
              <w:keepNext w:val="0"/>
              <w:keepLines w:val="0"/>
              <w:pageBreakBefore w:val="0"/>
              <w:numPr>
                <w:ilvl w:val="0"/>
                <w:numId w:val="9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运行环境</w:t>
            </w:r>
          </w:p>
          <w:p w14:paraId="4C3A1F7E">
            <w:pPr>
              <w:keepNext w:val="0"/>
              <w:keepLines w:val="0"/>
              <w:pageBreakBefore w:val="0"/>
              <w:numPr>
                <w:ilvl w:val="0"/>
                <w:numId w:val="9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环境温度：0到40度；</w:t>
            </w:r>
          </w:p>
          <w:p w14:paraId="7B6770D4">
            <w:pPr>
              <w:keepNext w:val="0"/>
              <w:keepLines w:val="0"/>
              <w:pageBreakBefore w:val="0"/>
              <w:numPr>
                <w:ilvl w:val="0"/>
                <w:numId w:val="9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环境湿度：20%到95%；</w:t>
            </w:r>
          </w:p>
          <w:p w14:paraId="40DEC765">
            <w:pPr>
              <w:keepNext w:val="0"/>
              <w:keepLines w:val="0"/>
              <w:pageBreakBefore w:val="0"/>
              <w:numPr>
                <w:ilvl w:val="0"/>
                <w:numId w:val="9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海拔高度：&lt;2000米；</w:t>
            </w:r>
          </w:p>
          <w:p w14:paraId="24D2B899">
            <w:pPr>
              <w:keepNext w:val="0"/>
              <w:keepLines w:val="0"/>
              <w:pageBreakBefore w:val="0"/>
              <w:numPr>
                <w:ilvl w:val="0"/>
                <w:numId w:val="9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供电系统：电压220V，频率50Hz；</w:t>
            </w:r>
          </w:p>
          <w:p w14:paraId="4B2132BF">
            <w:pPr>
              <w:keepNext w:val="0"/>
              <w:keepLines w:val="0"/>
              <w:pageBreakBefore w:val="0"/>
              <w:numPr>
                <w:ilvl w:val="0"/>
                <w:numId w:val="9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支持查询开门留样事件，留样事件支持自动生成，且保持5年以上；</w:t>
            </w:r>
          </w:p>
          <w:p w14:paraId="66B160A8">
            <w:pPr>
              <w:keepNext w:val="0"/>
              <w:keepLines w:val="0"/>
              <w:pageBreakBefore w:val="0"/>
              <w:numPr>
                <w:ilvl w:val="0"/>
                <w:numId w:val="9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支持留样区域及权限设定，可限定留样冰箱用于档口留样还是大餐留样；</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B1191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0DD1D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48330BC0">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30C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5D996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多功能食品安全检测仪</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084B01">
            <w:pPr>
              <w:keepNext w:val="0"/>
              <w:keepLines w:val="0"/>
              <w:pageBreakBefore w:val="0"/>
              <w:numPr>
                <w:ilvl w:val="0"/>
                <w:numId w:val="9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455B1464">
            <w:pPr>
              <w:keepNext w:val="0"/>
              <w:keepLines w:val="0"/>
              <w:pageBreakBefore w:val="0"/>
              <w:numPr>
                <w:ilvl w:val="0"/>
                <w:numId w:val="9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对多种食材进行定性定量检测，输出检测报告；</w:t>
            </w:r>
          </w:p>
          <w:p w14:paraId="06DC2FF0">
            <w:pPr>
              <w:keepNext w:val="0"/>
              <w:keepLines w:val="0"/>
              <w:pageBreakBefore w:val="0"/>
              <w:numPr>
                <w:ilvl w:val="0"/>
                <w:numId w:val="9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设备参数：</w:t>
            </w:r>
          </w:p>
          <w:p w14:paraId="1522371A">
            <w:pPr>
              <w:keepNext w:val="0"/>
              <w:keepLines w:val="0"/>
              <w:pageBreakBefore w:val="0"/>
              <w:numPr>
                <w:ilvl w:val="0"/>
                <w:numId w:val="10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357EE751">
            <w:pPr>
              <w:keepNext w:val="0"/>
              <w:keepLines w:val="0"/>
              <w:pageBreakBefore w:val="0"/>
              <w:numPr>
                <w:ilvl w:val="0"/>
                <w:numId w:val="10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显示方式：支持不低于7英寸液晶触摸屏显示；</w:t>
            </w:r>
          </w:p>
          <w:p w14:paraId="3EB33F5F">
            <w:pPr>
              <w:keepNext w:val="0"/>
              <w:keepLines w:val="0"/>
              <w:pageBreakBefore w:val="0"/>
              <w:numPr>
                <w:ilvl w:val="0"/>
                <w:numId w:val="10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供电方式：交直流两用，直流12V供电；</w:t>
            </w:r>
          </w:p>
          <w:p w14:paraId="7DCE95F5">
            <w:pPr>
              <w:keepNext w:val="0"/>
              <w:keepLines w:val="0"/>
              <w:pageBreakBefore w:val="0"/>
              <w:numPr>
                <w:ilvl w:val="0"/>
                <w:numId w:val="10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采样方式：不间断进样，连续检测；</w:t>
            </w:r>
          </w:p>
          <w:p w14:paraId="3EE21432">
            <w:pPr>
              <w:keepNext w:val="0"/>
              <w:keepLines w:val="0"/>
              <w:pageBreakBefore w:val="0"/>
              <w:numPr>
                <w:ilvl w:val="0"/>
                <w:numId w:val="10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检测内容：非食用化学物质、滥用食品添加剂、农药残留、兽药残留、重金属、病害肉、营养强化剂、抗生素类残留、激素类残留、真菌毒素类残留、化学类残留；</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D562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601C9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175A93E1">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169B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14</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D4958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客流量智能人员统计摄像头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49051F">
            <w:pPr>
              <w:keepNext w:val="0"/>
              <w:keepLines w:val="0"/>
              <w:pageBreakBefore w:val="0"/>
              <w:numPr>
                <w:ilvl w:val="0"/>
                <w:numId w:val="10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5CE872EC">
            <w:pPr>
              <w:keepNext w:val="0"/>
              <w:keepLines w:val="0"/>
              <w:pageBreakBefore w:val="0"/>
              <w:numPr>
                <w:ilvl w:val="0"/>
                <w:numId w:val="10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支持进行每日食堂客流统计：人员留存、今日客流量、昨日客流、新增、近七天客流量趋势、日客流时间对比、档口热度；</w:t>
            </w:r>
          </w:p>
          <w:p w14:paraId="696F28BE">
            <w:pPr>
              <w:keepNext w:val="0"/>
              <w:keepLines w:val="0"/>
              <w:pageBreakBefore w:val="0"/>
              <w:numPr>
                <w:ilvl w:val="0"/>
                <w:numId w:val="10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支持食堂档口候餐热度监管：档口候餐人员统计、日候餐人数趋势、档口抓拍、热门档口排行；</w:t>
            </w:r>
          </w:p>
          <w:p w14:paraId="1F13AB3C">
            <w:pPr>
              <w:keepNext w:val="0"/>
              <w:keepLines w:val="0"/>
              <w:pageBreakBefore w:val="0"/>
              <w:numPr>
                <w:ilvl w:val="0"/>
                <w:numId w:val="10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设备参数：</w:t>
            </w:r>
          </w:p>
          <w:p w14:paraId="043020A9">
            <w:pPr>
              <w:keepNext w:val="0"/>
              <w:keepLines w:val="0"/>
              <w:pageBreakBefore w:val="0"/>
              <w:numPr>
                <w:ilvl w:val="0"/>
                <w:numId w:val="104"/>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1F09FFFA">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同时预览路数：最多20路；</w:t>
            </w:r>
          </w:p>
          <w:p w14:paraId="434743CA">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网络存储：支持MicrQSR/MicrQSRHC/MicrQSDXC卡（最大256GB）断网本地存储及断网续传，NAS(NFS,SMB/CIFS均支持），配合海康黑卡支持SD卡加密及SD卡状态检测；</w:t>
            </w:r>
          </w:p>
          <w:p w14:paraId="232B91A5">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用户管理：最多32个用户，可分3级用户权限管理：管理员，操作员，普通用户；</w:t>
            </w:r>
          </w:p>
          <w:p w14:paraId="06DA09B2">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网络协议：TCP/IP，ICMP，HTTP，HTTPS，FTP，DHCP，DNS，DDNS，RTP，RTSP，RTCP，PPPoE，NTP，UPnP，SMTP，SNMP，IGMP，802.1X，QoS，IPv6，UDP，Bonjour，WebSocket，WebSockets；</w:t>
            </w:r>
          </w:p>
          <w:p w14:paraId="1A817D4C">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接口协议（API）：开放型网络视频接口，ISAPI，GB28181，SDK，ISUP5.0；</w:t>
            </w:r>
          </w:p>
          <w:p w14:paraId="17ECA22B">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浏览器：使用插件预览：IE11；</w:t>
            </w:r>
          </w:p>
          <w:p w14:paraId="5C6F4354">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无插件预览：Safari12+；</w:t>
            </w:r>
          </w:p>
          <w:p w14:paraId="59CB9D82">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使用本地服务预览：Chrome57.0+，Firefox52.0+；</w:t>
            </w:r>
          </w:p>
          <w:p w14:paraId="7E619498">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不建议使用：Safari11+，edge；</w:t>
            </w:r>
          </w:p>
          <w:p w14:paraId="42136BC2">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网络：1个RJ4510M/100M自适应以太网口；</w:t>
            </w:r>
          </w:p>
          <w:p w14:paraId="46ADD1E0">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SD卡扩展：内置；MicroSD/MicroSDHC/MicroSDXC插槽，最大支持256GB；</w:t>
            </w:r>
          </w:p>
          <w:p w14:paraId="46D5B7A1">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音频：1路输入（Linein），1路输出（Lineout），接口类型open裸线，2个内置麦克风，1个内置喇叭；</w:t>
            </w:r>
          </w:p>
          <w:p w14:paraId="6B61E779">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报警：1路输入，1路输出（报警输入支持开关量，报警输出最大支持DC12V，30mA），接口类型open裸线；</w:t>
            </w:r>
          </w:p>
          <w:p w14:paraId="5DB87CAC">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RS-485:1个RS-485接口，半双工模式，支持自适应HIKVISION，PELCO-P和PELCO-D协议，接口类型open裸线；</w:t>
            </w:r>
          </w:p>
          <w:p w14:paraId="2EB923D7">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复位：支持；</w:t>
            </w:r>
          </w:p>
          <w:p w14:paraId="3866CA92">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电源输出：DC12V，100mA，接口类型端子座；</w:t>
            </w:r>
          </w:p>
          <w:p w14:paraId="3E343FB3">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接口类型：外甩线；</w:t>
            </w:r>
          </w:p>
          <w:p w14:paraId="6F8C15BB">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存储温湿度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-30℃~60℃，湿度小于95%（无凝结）；</w:t>
            </w:r>
          </w:p>
          <w:p w14:paraId="7FEB3A76">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启动和工作温湿度：-30℃~60℃，湿度小于95%（无凝结）；</w:t>
            </w:r>
          </w:p>
          <w:p w14:paraId="019C5831">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电流及功耗：DC：12V，0.9A，最大功耗：10.8W；</w:t>
            </w:r>
          </w:p>
          <w:p w14:paraId="28ADE618">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PoE：802.3at，42.5V～57V，0.32A～0.24A，最大功耗：13.5W；</w:t>
            </w:r>
          </w:p>
          <w:p w14:paraId="47DBC688">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供电方式：DC：12V±20%，支持防反接保护；</w:t>
            </w:r>
          </w:p>
          <w:p w14:paraId="4BBE490A">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PoE:802.3at，Type2，Class4；</w:t>
            </w:r>
          </w:p>
          <w:p w14:paraId="184E6CED">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电源接口类型：3芯接口；</w:t>
            </w:r>
          </w:p>
          <w:p w14:paraId="098BCFE5">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线缆长度：35cm；</w:t>
            </w:r>
          </w:p>
          <w:p w14:paraId="0E00F5D1">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通用功能：一键恢复，心跳，镜像，密码保护，视频遮盖，水印技术，IP地址过滤；</w:t>
            </w:r>
          </w:p>
          <w:p w14:paraId="0ABB3AA5">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恢复出厂设置：支持RESET按键，客户端或浏览器恢复；</w:t>
            </w:r>
          </w:p>
          <w:p w14:paraId="35AC7EF1">
            <w:pPr>
              <w:keepNext w:val="0"/>
              <w:keepLines w:val="0"/>
              <w:pageBreakBefore w:val="0"/>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在线升级：支持；</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F19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6B94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4426AD7E">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D663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672E6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陌生人识别摄像机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CB16DF">
            <w:pPr>
              <w:keepNext w:val="0"/>
              <w:keepLines w:val="0"/>
              <w:pageBreakBefore w:val="0"/>
              <w:numPr>
                <w:ilvl w:val="0"/>
                <w:numId w:val="10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0257EF3E">
            <w:pPr>
              <w:keepNext w:val="0"/>
              <w:keepLines w:val="0"/>
              <w:pageBreakBefore w:val="0"/>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支持识别非食堂人员，进行风险上报，本地提醒；</w:t>
            </w:r>
          </w:p>
          <w:p w14:paraId="3346FF25">
            <w:pPr>
              <w:keepNext w:val="0"/>
              <w:keepLines w:val="0"/>
              <w:pageBreakBefore w:val="0"/>
              <w:numPr>
                <w:ilvl w:val="0"/>
                <w:numId w:val="10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陌生人识别摄像机设备参数:</w:t>
            </w:r>
          </w:p>
          <w:p w14:paraId="572913F9">
            <w:pPr>
              <w:keepNext w:val="0"/>
              <w:keepLines w:val="0"/>
              <w:pageBreakBefore w:val="0"/>
              <w:numPr>
                <w:ilvl w:val="0"/>
                <w:numId w:val="10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35C51483">
            <w:pPr>
              <w:keepNext w:val="0"/>
              <w:keepLines w:val="0"/>
              <w:pageBreakBefore w:val="0"/>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主板性能：不低于算力 1.0Tops、内存:8Gbit、闪存8GBEMMC的性能；</w:t>
            </w:r>
          </w:p>
          <w:p w14:paraId="09202386">
            <w:pPr>
              <w:keepNext w:val="0"/>
              <w:keepLines w:val="0"/>
              <w:pageBreakBefore w:val="0"/>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传感器类型：1/3"CMOS；</w:t>
            </w:r>
          </w:p>
          <w:p w14:paraId="48A23434">
            <w:pPr>
              <w:keepNext w:val="0"/>
              <w:keepLines w:val="0"/>
              <w:pageBreakBefore w:val="0"/>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镜头类型：电动变焦；</w:t>
            </w:r>
          </w:p>
          <w:p w14:paraId="6EC6A3BB">
            <w:pPr>
              <w:keepNext w:val="0"/>
              <w:keepLines w:val="0"/>
              <w:pageBreakBefore w:val="0"/>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视场角：(H)103.4°- 29.3°；(V)54.3°- 16.5°；(D)124.2°- 33.6°；</w:t>
            </w:r>
          </w:p>
          <w:p w14:paraId="2A1153B7">
            <w:pPr>
              <w:keepNext w:val="0"/>
              <w:keepLines w:val="0"/>
              <w:pageBreakBefore w:val="0"/>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光圈：1.6-3.3士10%；</w:t>
            </w:r>
          </w:p>
          <w:p w14:paraId="17E0D692">
            <w:pPr>
              <w:keepNext w:val="0"/>
              <w:keepLines w:val="0"/>
              <w:pageBreakBefore w:val="0"/>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焦距：2.8-12mm；</w:t>
            </w:r>
          </w:p>
          <w:p w14:paraId="38373DCE">
            <w:pPr>
              <w:keepNext w:val="0"/>
              <w:keepLines w:val="0"/>
              <w:pageBreakBefore w:val="0"/>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自动聚焦：支持；</w:t>
            </w:r>
          </w:p>
          <w:p w14:paraId="63466EBD">
            <w:pPr>
              <w:keepNext w:val="0"/>
              <w:keepLines w:val="0"/>
              <w:pageBreakBefore w:val="0"/>
              <w:numPr>
                <w:ilvl w:val="0"/>
                <w:numId w:val="10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网络特性：</w:t>
            </w:r>
          </w:p>
          <w:p w14:paraId="53B6A411">
            <w:pPr>
              <w:keepNext w:val="0"/>
              <w:keepLines w:val="0"/>
              <w:pageBreakBefore w:val="0"/>
              <w:numPr>
                <w:ilvl w:val="0"/>
                <w:numId w:val="11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网络协议：HTTP, TCP, RTSP, RTP, UDP, RTCP, SMTP, FTP, DHCP, DNS, DDNSPPPoE, IPv4/v6, UPnP, NTP；</w:t>
            </w:r>
          </w:p>
          <w:p w14:paraId="5DAAD024">
            <w:pPr>
              <w:keepNext w:val="0"/>
              <w:keepLines w:val="0"/>
              <w:pageBreakBefore w:val="0"/>
              <w:numPr>
                <w:ilvl w:val="0"/>
                <w:numId w:val="11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协议：Onvif,GB28181,GA/T1400,MQTT, HTTP；</w:t>
            </w:r>
          </w:p>
          <w:p w14:paraId="40C46EF7">
            <w:pPr>
              <w:keepNext w:val="0"/>
              <w:keepLines w:val="0"/>
              <w:pageBreakBefore w:val="0"/>
              <w:numPr>
                <w:ilvl w:val="0"/>
                <w:numId w:val="10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功能参数：</w:t>
            </w:r>
          </w:p>
          <w:p w14:paraId="005C4333">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通用行为分析：区域入侵,绊线入侵，人数统计；</w:t>
            </w:r>
          </w:p>
          <w:p w14:paraId="6548F505">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报警功能：声光报警,隐私遮挡报警,移动侦测报警,网络故障报警,语音播报；</w:t>
            </w:r>
          </w:p>
          <w:p w14:paraId="4D27D95B">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录像模式：手动录像,视频事件检测录像，定时录像,报警录像；</w:t>
            </w:r>
          </w:p>
          <w:p w14:paraId="0E9DD7D4">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OSD信息叠加：时间,通道标题，设备名称，支持自定义；</w:t>
            </w:r>
          </w:p>
          <w:p w14:paraId="3550BB77">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日夜模式：白天、夜晚,支持定时转换,手动转换，自动转换；</w:t>
            </w:r>
          </w:p>
          <w:p w14:paraId="2A9185DA">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 私 遮 蔽：支持4个区域设置；</w:t>
            </w:r>
          </w:p>
          <w:p w14:paraId="70258D32">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镜像：支持 90°/180°图像翻转；</w:t>
            </w:r>
          </w:p>
          <w:p w14:paraId="07100BB8">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ROI：支持；</w:t>
            </w:r>
          </w:p>
          <w:p w14:paraId="6E4D46A7">
            <w:pPr>
              <w:keepNext w:val="0"/>
              <w:keepLines w:val="0"/>
              <w:pageBreakBefore w:val="0"/>
              <w:numPr>
                <w:ilvl w:val="0"/>
                <w:numId w:val="10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接口参数：</w:t>
            </w:r>
          </w:p>
          <w:p w14:paraId="01B6B24D">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网络接口：1个RJ45，10/100M 自适应以太网口；</w:t>
            </w:r>
          </w:p>
          <w:p w14:paraId="547FC477">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电源接口：DC12V /2A(-15%~+10%)；</w:t>
            </w:r>
          </w:p>
          <w:p w14:paraId="0BCCE3BF">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报警接口：1进1出；</w:t>
            </w:r>
          </w:p>
          <w:p w14:paraId="11E5D746">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音频接口：路音频输入/1路音频输出(RCA 头)，内置 MIC/扬声器；</w:t>
            </w:r>
          </w:p>
          <w:p w14:paraId="22CA852B">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SD 卡接口：最大容量 256GB；</w:t>
            </w:r>
          </w:p>
          <w:p w14:paraId="0AB2FA26">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工作电压：DC12V /2A(-15%~+10%)；</w:t>
            </w:r>
          </w:p>
          <w:p w14:paraId="36A017B2">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功耗：&lt;8W；</w:t>
            </w:r>
          </w:p>
          <w:p w14:paraId="452B8329">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工作温度：-30℃-+60℃；</w:t>
            </w:r>
          </w:p>
          <w:p w14:paraId="10B44B89">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工作湿度：0%~95% RH(无凝结)；</w:t>
            </w:r>
          </w:p>
          <w:p w14:paraId="4F33DDA6">
            <w:pPr>
              <w:keepNext w:val="0"/>
              <w:keepLines w:val="0"/>
              <w:pageBreakBefore w:val="0"/>
              <w:numPr>
                <w:ilvl w:val="0"/>
                <w:numId w:val="11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防护等级：IP66；</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F405E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C1A0A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1DFE73D9">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3B13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16</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14A7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冷库摄像头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EBC74B">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311A9105">
            <w:pPr>
              <w:keepNext w:val="0"/>
              <w:keepLines w:val="0"/>
              <w:pageBreakBefore w:val="0"/>
              <w:numPr>
                <w:ilvl w:val="0"/>
                <w:numId w:val="11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支持本地场景展示、冷库内部画面、语音预警提醒(温度状态、冷库门状态、人员选留)；</w:t>
            </w:r>
          </w:p>
          <w:p w14:paraId="01B653F4">
            <w:pPr>
              <w:keepNext w:val="0"/>
              <w:keepLines w:val="0"/>
              <w:pageBreakBefore w:val="0"/>
              <w:numPr>
                <w:ilvl w:val="0"/>
                <w:numId w:val="11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支持设置预警提醒时间(例:冷库门持续未关预警事件)；</w:t>
            </w:r>
          </w:p>
          <w:p w14:paraId="7C7DB217">
            <w:pPr>
              <w:keepNext w:val="0"/>
              <w:keepLines w:val="0"/>
              <w:pageBreakBefore w:val="0"/>
              <w:numPr>
                <w:ilvl w:val="0"/>
                <w:numId w:val="11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支持后台查看冷库状态数据、物联预警事件数据；</w:t>
            </w:r>
          </w:p>
          <w:p w14:paraId="058874C7">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物联中控屏设备参数：</w:t>
            </w:r>
          </w:p>
          <w:p w14:paraId="7656D18E">
            <w:pPr>
              <w:keepNext w:val="0"/>
              <w:keepLines w:val="0"/>
              <w:pageBreakBefore w:val="0"/>
              <w:numPr>
                <w:ilvl w:val="0"/>
                <w:numId w:val="11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2DEFAE25">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外壳：前置钢化玻璃+塑胶外壳；</w:t>
            </w:r>
          </w:p>
          <w:p w14:paraId="2975EC1D">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保护面板：钢化玻璃；</w:t>
            </w:r>
          </w:p>
          <w:p w14:paraId="6E00A95F">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尺寸：不低于10.1寸；</w:t>
            </w:r>
          </w:p>
          <w:p w14:paraId="15EC34DA">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屏幕比例：16:9；</w:t>
            </w:r>
          </w:p>
          <w:p w14:paraId="33DAB086">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摄像头像素：100W；</w:t>
            </w:r>
          </w:p>
          <w:p w14:paraId="2FC227D0">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像素间距：0.17925×0.17925mm；</w:t>
            </w:r>
          </w:p>
          <w:p w14:paraId="44FB3AF8">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亮度：350cd/m²可视角度85/85/85/85（左/右/上/下）；</w:t>
            </w:r>
          </w:p>
          <w:p w14:paraId="59402CB3">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对比度：1000:1；</w:t>
            </w:r>
          </w:p>
          <w:p w14:paraId="45219D48">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颜色数：16.7M；</w:t>
            </w:r>
          </w:p>
          <w:p w14:paraId="533DACD8">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灯管寿命：超过50000小时；</w:t>
            </w:r>
          </w:p>
          <w:p w14:paraId="377C5D17">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操作系统：Android7.1.2；</w:t>
            </w:r>
          </w:p>
          <w:p w14:paraId="0386808F">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CPU：四核；</w:t>
            </w:r>
          </w:p>
          <w:p w14:paraId="183E61B4">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CPU主频：1.8GHz；</w:t>
            </w:r>
          </w:p>
          <w:p w14:paraId="7EF5E226">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内存：DDR32G；</w:t>
            </w:r>
          </w:p>
          <w:p w14:paraId="0F447C04">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内置存储容量：EMMC8G；</w:t>
            </w:r>
          </w:p>
          <w:p w14:paraId="10EA7973">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喇叭：8Ω2W；</w:t>
            </w:r>
          </w:p>
          <w:p w14:paraId="06E0278A">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网络：支持WiFi、BT；</w:t>
            </w:r>
          </w:p>
          <w:p w14:paraId="33575803">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接口：I/O:2*USB，可扩展2*USB；</w:t>
            </w:r>
          </w:p>
          <w:p w14:paraId="78A5AD60">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工作环境温度：0～50摄氏度；</w:t>
            </w:r>
          </w:p>
          <w:p w14:paraId="44C3880E">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触摸精度：±2mm；</w:t>
            </w:r>
          </w:p>
          <w:p w14:paraId="4164E46F">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响应时间：25ms~30ms；</w:t>
            </w:r>
          </w:p>
          <w:p w14:paraId="3E0D8598">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可识别物体：手指或者专用触摸笔；</w:t>
            </w:r>
          </w:p>
          <w:p w14:paraId="7AEB0938">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透明度：≥85％±2％；</w:t>
            </w:r>
          </w:p>
          <w:p w14:paraId="3C12B799">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温度范围：工作温度：-10℃~60℃；</w:t>
            </w:r>
          </w:p>
          <w:p w14:paraId="19CA93A8">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供电方式：外置12V/2A适配器；</w:t>
            </w:r>
          </w:p>
          <w:p w14:paraId="4985E13B">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整机功率：15W；</w:t>
            </w:r>
          </w:p>
          <w:p w14:paraId="4CA12F9B">
            <w:pPr>
              <w:keepNext w:val="0"/>
              <w:keepLines w:val="0"/>
              <w:pageBreakBefore w:val="0"/>
              <w:widowControl/>
              <w:numPr>
                <w:ilvl w:val="0"/>
                <w:numId w:val="116"/>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安装方式：壁挂式；</w:t>
            </w:r>
          </w:p>
          <w:p w14:paraId="7D46B6EE">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冷库摄像头设备参数：</w:t>
            </w:r>
          </w:p>
          <w:p w14:paraId="3EDAF6F4">
            <w:pPr>
              <w:keepNext w:val="0"/>
              <w:keepLines w:val="0"/>
              <w:pageBreakBefore w:val="0"/>
              <w:numPr>
                <w:ilvl w:val="0"/>
                <w:numId w:val="11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70943A0D">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焦距&amp;视场角：2.8mm，水平视场角:98.2，垂直视场角:54.2°，对角视场角:114.6°；</w:t>
            </w:r>
          </w:p>
          <w:p w14:paraId="6B6B013E">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6mm，水平视场角：49.1°，垂直视场角:26.3，对角视场角:57.2；</w:t>
            </w:r>
          </w:p>
          <w:p w14:paraId="7ED9C32F">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光圈类型：固定光圈；</w:t>
            </w:r>
          </w:p>
          <w:p w14:paraId="5D871780">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最大光圈数：F1.6；</w:t>
            </w:r>
          </w:p>
          <w:p w14:paraId="70DFABC0">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用户管理：最多32个用户，可分3级用户权限管理:管理员，操作员，普通用户；</w:t>
            </w:r>
          </w:p>
          <w:p w14:paraId="4E4F52B1">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接口协议(API)：开放型网络视频接口，ISAPI，GB28181-2016，ISUP(5.0)，视图库；</w:t>
            </w:r>
          </w:p>
          <w:p w14:paraId="7A7EDF07">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网络存储：支持MicrosD/MicroSDHc/MicrosDXC卡(最大256 GB)断网本地存储及断网续传，NAS(NFS,SMB/CIFS均支持)，配合海康黑卡支持SD卡加密及SD卡状态检测</w:t>
            </w:r>
          </w:p>
          <w:p w14:paraId="547AC7B6">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网络协议：TCP/IP, ICMP, HTTP, HTTPS, FTP, DHCP, DNS, DDNS, RTP, RTSP, RTCP, PPPOE, NTPWPNP,SMTP,SNMP,IGMP,802.1X,QOS,IP6,UDP,Bonjour, sSL/TLs, Websocket.Websockets(-GL机型不支持PPPOE)；</w:t>
            </w:r>
          </w:p>
          <w:p w14:paraId="6FCA9F3C">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浏览器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使用插件预览:IE10，IE11使用本地服务预览:Chrome57.0+，Firefox52.0+无插件预览:Chrome57.0+，Firefox52.0+，Safari12+；</w:t>
            </w:r>
          </w:p>
          <w:p w14:paraId="7AF099F3">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客户端：iVMS-4200，董石云；</w:t>
            </w:r>
          </w:p>
          <w:p w14:paraId="784282D5">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同时预览路数：20.0；</w:t>
            </w:r>
          </w:p>
          <w:p w14:paraId="4931B94D">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网络：1个RJ45 10 M/100 M自适应以太网口；</w:t>
            </w:r>
          </w:p>
          <w:p w14:paraId="11BE8DAE">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音频：1路输入(Linein)，1路输出(Line out)，2个内置麦克风，1个内置扬声器；</w:t>
            </w:r>
          </w:p>
          <w:p w14:paraId="7990F56D">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复位：支持；</w:t>
            </w:r>
          </w:p>
          <w:p w14:paraId="467FD3DF">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接口类型：外甩线；</w:t>
            </w:r>
          </w:p>
          <w:p w14:paraId="297606EA">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电源接口类型：3芯接口；</w:t>
            </w:r>
          </w:p>
          <w:p w14:paraId="491CBB51">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IO通讯模块设备参数：</w:t>
            </w:r>
          </w:p>
          <w:p w14:paraId="3BCDD27D">
            <w:pPr>
              <w:keepNext w:val="0"/>
              <w:keepLines w:val="0"/>
              <w:pageBreakBefore w:val="0"/>
              <w:numPr>
                <w:ilvl w:val="0"/>
                <w:numId w:val="11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0FEB6B8A">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触点容量:10A/250VAC；</w:t>
            </w:r>
          </w:p>
          <w:p w14:paraId="5CA8C065">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耐久性:10万次；</w:t>
            </w:r>
          </w:p>
          <w:p w14:paraId="72559D9B">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数据接口:RS232、RS485；</w:t>
            </w:r>
          </w:p>
          <w:p w14:paraId="0F86A9D0">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额定电压:DC 7-30V；</w:t>
            </w:r>
          </w:p>
          <w:p w14:paraId="750FAC2F">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电源指示:1路红色 LED 指示(通电时常亮)；</w:t>
            </w:r>
          </w:p>
          <w:p w14:paraId="68C93A44">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温度范围:工业级，-40℃~85℃；</w:t>
            </w:r>
          </w:p>
          <w:p w14:paraId="6CC5E754">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尺寸:不高于90*150*30mm；</w:t>
            </w:r>
          </w:p>
          <w:p w14:paraId="4542950E">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默认通讯格式:9600,n,8,1；</w:t>
            </w:r>
          </w:p>
          <w:p w14:paraId="051CD696">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波特率:2400.4800.9600 19200.38400.115200；</w:t>
            </w:r>
          </w:p>
          <w:p w14:paraId="125B5DBC">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软件支持:配套配置软件、控制软件；支持各家组态软件；支持Labviewd 等；</w:t>
            </w:r>
          </w:p>
          <w:p w14:paraId="6F9F5B7A">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温度变送器设备参数：</w:t>
            </w:r>
          </w:p>
          <w:p w14:paraId="3C85E0E9">
            <w:pPr>
              <w:keepNext w:val="0"/>
              <w:keepLines w:val="0"/>
              <w:pageBreakBefore w:val="0"/>
              <w:numPr>
                <w:ilvl w:val="0"/>
                <w:numId w:val="121"/>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1A773834">
            <w:pPr>
              <w:keepNext w:val="0"/>
              <w:keepLines w:val="0"/>
              <w:pageBreakBefore w:val="0"/>
              <w:numPr>
                <w:ilvl w:val="0"/>
                <w:numId w:val="12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供电电压：最小值DC 10V，标准值DC 12V，最大值DC 30V，条件：-20-70℃；</w:t>
            </w:r>
          </w:p>
          <w:p w14:paraId="3EC54614">
            <w:pPr>
              <w:keepNext w:val="0"/>
              <w:keepLines w:val="0"/>
              <w:pageBreakBefore w:val="0"/>
              <w:numPr>
                <w:ilvl w:val="0"/>
                <w:numId w:val="12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RS485总线电压：最小值4V，标准值4.1V，最大值4.5V，条件：与总线断开；</w:t>
            </w:r>
          </w:p>
          <w:p w14:paraId="41D6C5F9">
            <w:pPr>
              <w:keepNext w:val="0"/>
              <w:keepLines w:val="0"/>
              <w:pageBreakBefore w:val="0"/>
              <w:numPr>
                <w:ilvl w:val="0"/>
                <w:numId w:val="12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测量精度：热电阻±0.2，热电偶±1 ± 0.02%，电流电压±0.02%；</w:t>
            </w:r>
          </w:p>
          <w:p w14:paraId="7206439C">
            <w:pPr>
              <w:keepNext w:val="0"/>
              <w:keepLines w:val="0"/>
              <w:pageBreakBefore w:val="0"/>
              <w:numPr>
                <w:ilvl w:val="0"/>
                <w:numId w:val="12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通信波特率：最小值1200bps，标准值9600bps，最大值115200bps；</w:t>
            </w:r>
          </w:p>
          <w:p w14:paraId="4B984E86">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铂热电阻设备参数：</w:t>
            </w:r>
          </w:p>
          <w:p w14:paraId="218AECA5">
            <w:pPr>
              <w:keepNext w:val="0"/>
              <w:keepLines w:val="0"/>
              <w:pageBreakBefore w:val="0"/>
              <w:numPr>
                <w:ilvl w:val="0"/>
                <w:numId w:val="123"/>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501DA2EC">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分度号：Pt100(默认)/K/E/J/T/PL1000等；</w:t>
            </w:r>
          </w:p>
          <w:p w14:paraId="12706F19">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测量范围：-50+200℃(Pt100)/0-200℃(0 /0-200℃(E)；</w:t>
            </w:r>
          </w:p>
          <w:p w14:paraId="377DA183">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保护管直径：4mm(默认)/另有3mm、5mm.6mm等可选择定制；</w:t>
            </w:r>
          </w:p>
          <w:p w14:paraId="5E2BE50F">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线材：三芯镀银四氟屏蔽线；</w:t>
            </w:r>
          </w:p>
          <w:p w14:paraId="55801C98">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保护管材质：304不锈钢，可定制316或者其他材质；</w:t>
            </w:r>
          </w:p>
          <w:p w14:paraId="29F2957F">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电阻类型：1/3B级、A级、B级、2B级可选；</w:t>
            </w:r>
          </w:p>
          <w:p w14:paraId="4E2FEEA5">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保护管长度：30mm(默认)/另有10/15/20/40/50/60/100/150/200mm等可选择定制；</w:t>
            </w:r>
          </w:p>
          <w:p w14:paraId="450D2F3F">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线长：0.5米/1米/1.5米/2米/3米，可按要求定制任意线长；</w:t>
            </w:r>
          </w:p>
          <w:p w14:paraId="5CBE150E">
            <w:pPr>
              <w:keepNext w:val="0"/>
              <w:keepLines w:val="0"/>
              <w:pageBreakBefore w:val="0"/>
              <w:numPr>
                <w:ilvl w:val="0"/>
                <w:numId w:val="12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接线端子：U型端子(默认)/可定制插针端子、小黄插头、航空插头等；</w:t>
            </w:r>
          </w:p>
          <w:p w14:paraId="1DC4055A">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挡鼠板门磁设备参数：</w:t>
            </w:r>
          </w:p>
          <w:p w14:paraId="24DA4269">
            <w:pPr>
              <w:keepNext w:val="0"/>
              <w:keepLines w:val="0"/>
              <w:pageBreakBefore w:val="0"/>
              <w:numPr>
                <w:ilvl w:val="0"/>
                <w:numId w:val="12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p w14:paraId="648135E0">
            <w:pPr>
              <w:keepNext w:val="0"/>
              <w:keepLines w:val="0"/>
              <w:pageBreakBefore w:val="0"/>
              <w:widowControl/>
              <w:numPr>
                <w:ilvl w:val="0"/>
                <w:numId w:val="1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感应距离：25-35MM；</w:t>
            </w:r>
          </w:p>
          <w:p w14:paraId="26E34365">
            <w:pPr>
              <w:keepNext w:val="0"/>
              <w:keepLines w:val="0"/>
              <w:pageBreakBefore w:val="0"/>
              <w:widowControl/>
              <w:numPr>
                <w:ilvl w:val="0"/>
                <w:numId w:val="1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孔距离：33MM；</w:t>
            </w:r>
          </w:p>
          <w:p w14:paraId="45015765">
            <w:pPr>
              <w:keepNext w:val="0"/>
              <w:keepLines w:val="0"/>
              <w:pageBreakBefore w:val="0"/>
              <w:widowControl/>
              <w:numPr>
                <w:ilvl w:val="0"/>
                <w:numId w:val="1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开关形式：常闭；</w:t>
            </w:r>
          </w:p>
          <w:p w14:paraId="5761108C">
            <w:pPr>
              <w:keepNext w:val="0"/>
              <w:keepLines w:val="0"/>
              <w:pageBreakBefore w:val="0"/>
              <w:widowControl/>
              <w:numPr>
                <w:ilvl w:val="0"/>
                <w:numId w:val="1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参数：最大功率10W，最高电压100V，最大电流0.5A；</w:t>
            </w:r>
          </w:p>
          <w:p w14:paraId="0ECD7D5E">
            <w:pPr>
              <w:keepNext w:val="0"/>
              <w:keepLines w:val="0"/>
              <w:pageBreakBefore w:val="0"/>
              <w:widowControl/>
              <w:numPr>
                <w:ilvl w:val="0"/>
                <w:numId w:val="12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外壳材质：锌合金，银灰电镀；</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F81E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BBBB4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2F43BDA4">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3D97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9E81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水电能耗监管</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8E25CE">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w:t>
            </w:r>
            <w:r>
              <w:rPr>
                <w:rFonts w:hint="eastAsia" w:ascii="宋体" w:hAnsi="宋体" w:eastAsia="宋体" w:cs="宋体"/>
                <w:color w:val="auto"/>
                <w:kern w:val="0"/>
                <w:sz w:val="24"/>
                <w:szCs w:val="24"/>
                <w:highlight w:val="none"/>
                <w:lang w:bidi="ar"/>
              </w:rPr>
              <w:t>描述：</w:t>
            </w:r>
          </w:p>
          <w:p w14:paraId="7B540613">
            <w:pPr>
              <w:keepNext w:val="0"/>
              <w:keepLines w:val="0"/>
              <w:pageBreakBefore w:val="0"/>
              <w:numPr>
                <w:ilvl w:val="0"/>
                <w:numId w:val="12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支持实时用水量、电量监测，设置用电预警提醒；</w:t>
            </w:r>
          </w:p>
          <w:p w14:paraId="491878FA">
            <w:pPr>
              <w:keepNext w:val="0"/>
              <w:keepLines w:val="0"/>
              <w:pageBreakBefore w:val="0"/>
              <w:numPr>
                <w:ilvl w:val="0"/>
                <w:numId w:val="12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支持每日用水、用电数据记录、对比；</w:t>
            </w:r>
          </w:p>
          <w:p w14:paraId="0F0076BE">
            <w:pPr>
              <w:keepNext w:val="0"/>
              <w:keepLines w:val="0"/>
              <w:pageBreakBefore w:val="0"/>
              <w:numPr>
                <w:ilvl w:val="0"/>
                <w:numId w:val="12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支持依据不同场所设置总表、分表，进行数据统计；</w:t>
            </w:r>
          </w:p>
          <w:p w14:paraId="27C5F622">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用电管理设备参数：</w:t>
            </w:r>
          </w:p>
          <w:p w14:paraId="62F33EFA">
            <w:pPr>
              <w:keepNext w:val="0"/>
              <w:keepLines w:val="0"/>
              <w:pageBreakBefore w:val="0"/>
              <w:numPr>
                <w:ilvl w:val="0"/>
                <w:numId w:val="12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IO通讯模块主要参数：</w:t>
            </w:r>
          </w:p>
          <w:p w14:paraId="5151F17B">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触点容量:10A/250VAC；</w:t>
            </w:r>
          </w:p>
          <w:p w14:paraId="57B349A6">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耐久性:10万次；</w:t>
            </w:r>
          </w:p>
          <w:p w14:paraId="42BA258F">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数据接口:RS232、RS485；</w:t>
            </w:r>
          </w:p>
          <w:p w14:paraId="1D150F8C">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额定电压:DC 7-30V；</w:t>
            </w:r>
          </w:p>
          <w:p w14:paraId="08F15FF7">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电源指示:1路红色 LED 指示(通电时常亮)；</w:t>
            </w:r>
          </w:p>
          <w:p w14:paraId="40B0EC6B">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温度范围:工业级，-40℃~85℃；</w:t>
            </w:r>
          </w:p>
          <w:p w14:paraId="052F0A7A">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尺寸:不高于90*150*30mm；</w:t>
            </w:r>
          </w:p>
          <w:p w14:paraId="08E9A85C">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默认通讯格式:9600,n,8,1；</w:t>
            </w:r>
          </w:p>
          <w:p w14:paraId="4526228F">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波特率:2400.4800.9600 19200.38400.115200；</w:t>
            </w:r>
          </w:p>
          <w:p w14:paraId="1ACC6E11">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软件支持:配套配置软件、控制软件；支持各家组态软件；支持Labviewd 等；</w:t>
            </w:r>
          </w:p>
          <w:p w14:paraId="7E89A401">
            <w:pPr>
              <w:keepNext w:val="0"/>
              <w:keepLines w:val="0"/>
              <w:pageBreakBefore w:val="0"/>
              <w:numPr>
                <w:ilvl w:val="0"/>
                <w:numId w:val="12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能耗监管-电主要参数：</w:t>
            </w:r>
          </w:p>
          <w:p w14:paraId="3B1367B0">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精度等级：有功1级；</w:t>
            </w:r>
          </w:p>
          <w:p w14:paraId="22E1FC6B">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参比电压：AC 220V±20%；</w:t>
            </w:r>
          </w:p>
          <w:p w14:paraId="1DDB247D">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电流规格：5(40)A，10(40)A，5(60)A,20(80)A，10(100)A；</w:t>
            </w:r>
          </w:p>
          <w:p w14:paraId="7ECB1453">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整机功耗：≤1W/8VA；</w:t>
            </w:r>
          </w:p>
          <w:p w14:paraId="27CD0D89">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参比频率：50HZ；</w:t>
            </w:r>
          </w:p>
          <w:p w14:paraId="64E5811E">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工作电压范围：70%Un-115%Un；</w:t>
            </w:r>
          </w:p>
          <w:p w14:paraId="323A033D">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工作温度：-20℃-+55℃；</w:t>
            </w:r>
          </w:p>
          <w:p w14:paraId="62CA78BB">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极限工作温度：-25℃-+70℃；</w:t>
            </w:r>
          </w:p>
          <w:p w14:paraId="5754E91C">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产品标准：GB/T17215.321；</w:t>
            </w:r>
          </w:p>
          <w:p w14:paraId="033940F9">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RS485串口：DL/T645-2007，DL/T645-1997为偶校验，Modbus-RTU为无校验；</w:t>
            </w:r>
          </w:p>
          <w:p w14:paraId="7C957524">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外形尺寸(mm)：不高于145x105x51mm；</w:t>
            </w:r>
          </w:p>
          <w:p w14:paraId="52CD1C89">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用水管理设备参数：</w:t>
            </w:r>
          </w:p>
          <w:p w14:paraId="6620A5BA">
            <w:pPr>
              <w:keepNext w:val="0"/>
              <w:keepLines w:val="0"/>
              <w:pageBreakBefore w:val="0"/>
              <w:numPr>
                <w:ilvl w:val="0"/>
                <w:numId w:val="13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IO通讯模块主要参数：</w:t>
            </w:r>
          </w:p>
          <w:p w14:paraId="12641332">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触点容量:10A/250VAC；</w:t>
            </w:r>
          </w:p>
          <w:p w14:paraId="4A6FBE62">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耐久性:10万次；</w:t>
            </w:r>
          </w:p>
          <w:p w14:paraId="457F527A">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数据接口:RS232、RS485；</w:t>
            </w:r>
          </w:p>
          <w:p w14:paraId="68B798D8">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额定电压:DC 7-30V；</w:t>
            </w:r>
          </w:p>
          <w:p w14:paraId="6E4A56DE">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电源指示:1路红色 LED 指示(通电时常亮)；</w:t>
            </w:r>
          </w:p>
          <w:p w14:paraId="67A1788D">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温度范围:工业级，-40℃~85℃；</w:t>
            </w:r>
          </w:p>
          <w:p w14:paraId="3D4D851B">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尺寸:不高于90*150*30mm；</w:t>
            </w:r>
          </w:p>
          <w:p w14:paraId="0BB82433">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默认通讯格式:9600,n,8,1；</w:t>
            </w:r>
          </w:p>
          <w:p w14:paraId="298DBD72">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波特率:2400.4800.9600 19200.38400.115200；</w:t>
            </w:r>
          </w:p>
          <w:p w14:paraId="3B91A38A">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软件支持:配套配置软件、控制软件；支持各家组态软件；支持Labviewd 等；</w:t>
            </w:r>
          </w:p>
          <w:p w14:paraId="00BDA589">
            <w:pPr>
              <w:keepNext w:val="0"/>
              <w:keepLines w:val="0"/>
              <w:pageBreakBefore w:val="0"/>
              <w:numPr>
                <w:ilvl w:val="0"/>
                <w:numId w:val="13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能耗监管-水主要参数：</w:t>
            </w:r>
          </w:p>
          <w:p w14:paraId="0CCD7A5A">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抄表工作电流:M-bus通讯接口:≤10.0mA，RS-485通讯接口：≤1.5 mA，直读大口径水表：≤5.0mA；</w:t>
            </w:r>
          </w:p>
          <w:p w14:paraId="1FA2F2B8">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静态工作电流：M-bus通讯接口：≤1.0mA，RS-485通讯接口：&lt;≤.0mA，直读大口径水表：≤1.3mA；</w:t>
            </w:r>
          </w:p>
          <w:p w14:paraId="2B046FA6">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工作环境：温度范围：+0.1℃~+55℃，存储温度：-25℃-+65℃；</w:t>
            </w:r>
          </w:p>
          <w:p w14:paraId="1677782A">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通信规约：DL/T645、CJ/T 188、MODBUS、TTL、内部或用户指定协议</w:t>
            </w:r>
          </w:p>
          <w:p w14:paraId="759B7B73">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工作电压：M-bus通讯接口：DC36V，RS-485通讯接口：DC12V~24V；</w:t>
            </w:r>
          </w:p>
          <w:p w14:paraId="284C017F">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温度等级：T30(冷水表) T90(热水表)；</w:t>
            </w:r>
          </w:p>
          <w:p w14:paraId="1B63C800">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工作压力：≤1.0 MPa；</w:t>
            </w:r>
          </w:p>
          <w:p w14:paraId="2962CA9B">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压力损失等级：△P63；</w:t>
            </w:r>
          </w:p>
          <w:p w14:paraId="4A6C7083">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与上位机通讯方式：RS-485/M-bus 总线；</w:t>
            </w:r>
          </w:p>
          <w:p w14:paraId="4174C8C7">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准确度等级：2级；</w:t>
            </w:r>
          </w:p>
          <w:p w14:paraId="1BB50CE4">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通讯传输最大距离：300m；</w:t>
            </w:r>
          </w:p>
          <w:p w14:paraId="5B8F5C39">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通讯传输速率：1200/2400/48009600bps；</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AE60A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2EA50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3E0C46B8">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0D05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18</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AEC3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明厨亮灶</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3B2C9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实现食堂所有区域全覆盖，无死角，摄像头像素不低于600万像素。按相关要求接入市场监管单位和学校安防系统。存储时长不低于90天。</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2CBA4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B769E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r w14:paraId="45731296">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95A4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19</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B1596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设备实施安装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CB78DA">
            <w:pPr>
              <w:keepNext w:val="0"/>
              <w:keepLines w:val="0"/>
              <w:pageBreakBefore w:val="0"/>
              <w:numPr>
                <w:ilvl w:val="0"/>
                <w:numId w:val="13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硬件设备部署耗材、施工、安装、调试：</w:t>
            </w:r>
          </w:p>
          <w:p w14:paraId="707B2938">
            <w:pPr>
              <w:keepNext w:val="0"/>
              <w:keepLines w:val="0"/>
              <w:pageBreakBefore w:val="0"/>
              <w:numPr>
                <w:ilvl w:val="0"/>
                <w:numId w:val="13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主体设备安装调试含：主要耗材+网线+电源线、PVC管材（根据实际需求提供）；主要辅材含水晶头、排插、卡扣、转接头等；</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696D8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5C5EB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按需配置并征得采购人书面同意</w:t>
            </w:r>
          </w:p>
        </w:tc>
      </w:tr>
    </w:tbl>
    <w:p w14:paraId="2FCA02CA">
      <w:pPr>
        <w:spacing w:before="167" w:line="223" w:lineRule="auto"/>
        <w:rPr>
          <w:rFonts w:hint="eastAsia" w:ascii="宋体" w:hAnsi="宋体" w:eastAsia="宋体" w:cs="宋体"/>
          <w:color w:val="auto"/>
          <w:spacing w:val="8"/>
          <w:sz w:val="24"/>
          <w:szCs w:val="24"/>
          <w:highlight w:val="none"/>
          <w:lang w:val="en-US" w:eastAsia="zh-CN"/>
        </w:rPr>
      </w:pPr>
    </w:p>
    <w:p w14:paraId="75AD6609">
      <w:pPr>
        <w:spacing w:before="167" w:line="223" w:lineRule="auto"/>
        <w:rPr>
          <w:rFonts w:hint="eastAsia" w:ascii="宋体" w:hAnsi="宋体" w:eastAsia="宋体" w:cs="宋体"/>
          <w:color w:val="auto"/>
          <w:spacing w:val="8"/>
          <w:sz w:val="24"/>
          <w:szCs w:val="24"/>
          <w:highlight w:val="none"/>
          <w:lang w:val="en-US" w:eastAsia="zh-CN"/>
        </w:rPr>
      </w:pPr>
    </w:p>
    <w:p w14:paraId="13CF564E">
      <w:pPr>
        <w:spacing w:before="167" w:line="223" w:lineRule="auto"/>
        <w:rPr>
          <w:rFonts w:hint="eastAsia" w:ascii="宋体" w:hAnsi="宋体" w:eastAsia="宋体" w:cs="宋体"/>
          <w:color w:val="auto"/>
          <w:spacing w:val="8"/>
          <w:sz w:val="24"/>
          <w:szCs w:val="24"/>
          <w:highlight w:val="none"/>
          <w:lang w:val="en-US" w:eastAsia="zh-CN"/>
        </w:rPr>
      </w:pPr>
    </w:p>
    <w:p w14:paraId="7085D49B">
      <w:pPr>
        <w:spacing w:before="167" w:line="223" w:lineRule="auto"/>
        <w:rPr>
          <w:rFonts w:hint="eastAsia" w:ascii="宋体" w:hAnsi="宋体" w:eastAsia="宋体" w:cs="宋体"/>
          <w:color w:val="auto"/>
          <w:spacing w:val="8"/>
          <w:sz w:val="24"/>
          <w:szCs w:val="24"/>
          <w:highlight w:val="none"/>
          <w:lang w:val="en-US" w:eastAsia="zh-CN"/>
        </w:rPr>
      </w:pPr>
    </w:p>
    <w:p w14:paraId="6A921605">
      <w:pPr>
        <w:spacing w:before="167" w:line="223" w:lineRule="auto"/>
        <w:rPr>
          <w:rFonts w:hint="eastAsia" w:ascii="宋体" w:hAnsi="宋体" w:eastAsia="宋体" w:cs="宋体"/>
          <w:color w:val="auto"/>
          <w:spacing w:val="8"/>
          <w:sz w:val="24"/>
          <w:szCs w:val="24"/>
          <w:highlight w:val="none"/>
          <w:lang w:val="en-US" w:eastAsia="zh-CN"/>
        </w:rPr>
      </w:pPr>
    </w:p>
    <w:p w14:paraId="22E130AD">
      <w:pPr>
        <w:spacing w:before="167" w:line="223" w:lineRule="auto"/>
        <w:rPr>
          <w:rFonts w:hint="eastAsia" w:ascii="宋体" w:hAnsi="宋体" w:eastAsia="宋体" w:cs="宋体"/>
          <w:color w:val="auto"/>
          <w:spacing w:val="8"/>
          <w:sz w:val="24"/>
          <w:szCs w:val="24"/>
          <w:highlight w:val="none"/>
          <w:lang w:val="en-US" w:eastAsia="zh-CN"/>
        </w:rPr>
      </w:pPr>
    </w:p>
    <w:p w14:paraId="57B6D9CC">
      <w:pPr>
        <w:spacing w:before="167" w:line="223" w:lineRule="auto"/>
        <w:rPr>
          <w:rFonts w:hint="eastAsia" w:ascii="宋体" w:hAnsi="宋体" w:eastAsia="宋体" w:cs="宋体"/>
          <w:color w:val="auto"/>
          <w:spacing w:val="8"/>
          <w:sz w:val="24"/>
          <w:szCs w:val="24"/>
          <w:highlight w:val="none"/>
          <w:lang w:val="en-US" w:eastAsia="zh-CN"/>
        </w:rPr>
      </w:pPr>
    </w:p>
    <w:p w14:paraId="63B669E8">
      <w:pPr>
        <w:spacing w:before="167" w:line="223" w:lineRule="auto"/>
        <w:rPr>
          <w:rFonts w:hint="eastAsia" w:ascii="宋体" w:hAnsi="宋体" w:eastAsia="宋体" w:cs="宋体"/>
          <w:color w:val="auto"/>
          <w:spacing w:val="8"/>
          <w:sz w:val="24"/>
          <w:szCs w:val="24"/>
          <w:highlight w:val="none"/>
          <w:lang w:val="en-US" w:eastAsia="zh-CN"/>
        </w:rPr>
      </w:pPr>
    </w:p>
    <w:p w14:paraId="45DCBEA0">
      <w:pPr>
        <w:spacing w:before="167" w:line="223" w:lineRule="auto"/>
        <w:rPr>
          <w:rFonts w:hint="eastAsia" w:ascii="宋体" w:hAnsi="宋体" w:eastAsia="宋体" w:cs="宋体"/>
          <w:color w:val="auto"/>
          <w:spacing w:val="8"/>
          <w:sz w:val="24"/>
          <w:szCs w:val="24"/>
          <w:highlight w:val="none"/>
          <w:lang w:val="en-US" w:eastAsia="zh-CN"/>
        </w:rPr>
      </w:pPr>
    </w:p>
    <w:p w14:paraId="6A49F316">
      <w:pPr>
        <w:spacing w:before="167" w:line="223" w:lineRule="auto"/>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附件三：</w:t>
      </w:r>
    </w:p>
    <w:p w14:paraId="37FC45D5">
      <w:pPr>
        <w:spacing w:before="167" w:line="223" w:lineRule="auto"/>
        <w:jc w:val="center"/>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lang w:val="en-US" w:eastAsia="zh-CN"/>
        </w:rPr>
        <w:t>甲方</w:t>
      </w:r>
      <w:r>
        <w:rPr>
          <w:rFonts w:hint="eastAsia" w:ascii="宋体" w:hAnsi="宋体" w:eastAsia="宋体" w:cs="宋体"/>
          <w:color w:val="auto"/>
          <w:spacing w:val="8"/>
          <w:sz w:val="31"/>
          <w:szCs w:val="31"/>
          <w:highlight w:val="none"/>
        </w:rPr>
        <w:t>食堂原有设备设施一览</w:t>
      </w:r>
      <w:r>
        <w:rPr>
          <w:rFonts w:hint="eastAsia" w:ascii="宋体" w:hAnsi="宋体" w:eastAsia="宋体" w:cs="宋体"/>
          <w:color w:val="auto"/>
          <w:spacing w:val="6"/>
          <w:sz w:val="31"/>
          <w:szCs w:val="31"/>
          <w:highlight w:val="none"/>
        </w:rPr>
        <w:t>表</w:t>
      </w:r>
    </w:p>
    <w:p w14:paraId="1A5B6678">
      <w:pPr>
        <w:spacing w:line="38" w:lineRule="exact"/>
        <w:rPr>
          <w:rFonts w:hint="eastAsia" w:ascii="宋体" w:hAnsi="宋体" w:eastAsia="宋体" w:cs="宋体"/>
          <w:color w:val="auto"/>
          <w:highlight w:val="none"/>
        </w:rPr>
      </w:pPr>
    </w:p>
    <w:p w14:paraId="208D0F7C">
      <w:pPr>
        <w:snapToGrid w:val="0"/>
        <w:spacing w:line="400" w:lineRule="exact"/>
        <w:ind w:firstLine="480" w:firstLineChars="20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（详见移交清单）</w:t>
      </w:r>
    </w:p>
    <w:p w14:paraId="1E62EE60">
      <w:pPr>
        <w:jc w:val="center"/>
        <w:rPr>
          <w:rFonts w:ascii="宋体" w:hAnsi="宋体" w:cs="宋体"/>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0456F3D1">
      <w:pPr>
        <w:pStyle w:val="3"/>
        <w:spacing w:before="0" w:after="0" w:line="360" w:lineRule="auto"/>
        <w:jc w:val="center"/>
        <w:rPr>
          <w:rFonts w:ascii="宋体" w:hAnsi="宋体" w:eastAsia="宋体" w:cs="宋体"/>
          <w:b w:val="0"/>
          <w:color w:val="auto"/>
          <w:sz w:val="36"/>
          <w:szCs w:val="30"/>
          <w:highlight w:val="none"/>
        </w:rPr>
      </w:pPr>
      <w:bookmarkStart w:id="202" w:name="_Hlt41879464"/>
      <w:bookmarkEnd w:id="202"/>
      <w:bookmarkStart w:id="203" w:name="_Toc12789072"/>
      <w:bookmarkStart w:id="204" w:name="_Toc3944"/>
      <w:bookmarkStart w:id="205" w:name="_Toc14133"/>
      <w:bookmarkStart w:id="206" w:name="_Toc2426"/>
      <w:r>
        <w:rPr>
          <w:rFonts w:hint="eastAsia" w:ascii="宋体" w:hAnsi="宋体" w:eastAsia="宋体" w:cs="宋体"/>
          <w:b w:val="0"/>
          <w:color w:val="auto"/>
          <w:sz w:val="36"/>
          <w:szCs w:val="30"/>
          <w:highlight w:val="none"/>
        </w:rPr>
        <w:t xml:space="preserve">第七篇  </w:t>
      </w:r>
      <w:bookmarkEnd w:id="203"/>
      <w:r>
        <w:rPr>
          <w:rFonts w:hint="eastAsia" w:ascii="宋体" w:hAnsi="宋体" w:eastAsia="宋体" w:cs="宋体"/>
          <w:b w:val="0"/>
          <w:color w:val="auto"/>
          <w:sz w:val="36"/>
          <w:szCs w:val="30"/>
          <w:highlight w:val="none"/>
        </w:rPr>
        <w:t>响应文件编制要求</w:t>
      </w:r>
      <w:bookmarkEnd w:id="204"/>
      <w:bookmarkEnd w:id="205"/>
      <w:bookmarkEnd w:id="206"/>
    </w:p>
    <w:p w14:paraId="5CF2AE4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7780515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14764194">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b w:val="0"/>
          <w:bCs w:val="0"/>
          <w:color w:val="auto"/>
          <w:sz w:val="24"/>
          <w:szCs w:val="24"/>
          <w:highlight w:val="none"/>
        </w:rPr>
        <w:t>投标保证金提交依据</w:t>
      </w:r>
    </w:p>
    <w:p w14:paraId="07893000">
      <w:pPr>
        <w:pStyle w:val="4"/>
        <w:spacing w:before="0" w:after="0" w:line="440" w:lineRule="exact"/>
        <w:ind w:firstLine="480" w:firstLineChars="200"/>
        <w:rPr>
          <w:rFonts w:ascii="宋体" w:hAnsi="宋体" w:cs="宋体"/>
          <w:b w:val="0"/>
          <w:bCs w:val="0"/>
          <w:color w:val="auto"/>
          <w:sz w:val="24"/>
          <w:szCs w:val="24"/>
          <w:highlight w:val="none"/>
        </w:rPr>
      </w:pPr>
      <w:bookmarkStart w:id="207" w:name="_Toc42790106"/>
      <w:bookmarkStart w:id="208" w:name="_Toc14008"/>
      <w:bookmarkStart w:id="209" w:name="_Toc41457525"/>
      <w:bookmarkStart w:id="210" w:name="_Toc41986761"/>
      <w:r>
        <w:rPr>
          <w:rFonts w:hint="eastAsia" w:ascii="宋体" w:hAnsi="宋体" w:cs="宋体"/>
          <w:b w:val="0"/>
          <w:bCs w:val="0"/>
          <w:color w:val="auto"/>
          <w:sz w:val="24"/>
          <w:szCs w:val="24"/>
          <w:highlight w:val="none"/>
        </w:rPr>
        <w:t>二、资格文件</w:t>
      </w:r>
      <w:bookmarkEnd w:id="207"/>
      <w:bookmarkEnd w:id="208"/>
      <w:bookmarkEnd w:id="209"/>
      <w:bookmarkEnd w:id="210"/>
    </w:p>
    <w:p w14:paraId="7E46964A">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（一）</w:t>
      </w:r>
      <w:r>
        <w:rPr>
          <w:rFonts w:hint="eastAsia" w:ascii="宋体" w:hAnsi="宋体" w:cs="宋体"/>
          <w:color w:val="auto"/>
          <w:sz w:val="24"/>
          <w:szCs w:val="24"/>
          <w:highlight w:val="none"/>
        </w:rPr>
        <w:t>法人营业执照（副本）或事业单位法人证书（副本）或个体工商户营业执照或有效的自然人身份证明或社会团体法人登记证书复印件</w:t>
      </w:r>
      <w:r>
        <w:rPr>
          <w:rFonts w:hint="eastAsia" w:ascii="宋体" w:hAnsi="宋体"/>
          <w:b w:val="0"/>
          <w:bCs w:val="0"/>
          <w:color w:val="auto"/>
          <w:sz w:val="24"/>
          <w:szCs w:val="24"/>
          <w:highlight w:val="none"/>
        </w:rPr>
        <w:t>。</w:t>
      </w:r>
    </w:p>
    <w:p w14:paraId="0552A31B">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二</w:t>
      </w:r>
      <w:r>
        <w:rPr>
          <w:rFonts w:hint="eastAsia" w:ascii="宋体" w:hAnsi="宋体"/>
          <w:b w:val="0"/>
          <w:bCs w:val="0"/>
          <w:color w:val="auto"/>
          <w:sz w:val="24"/>
          <w:szCs w:val="24"/>
          <w:highlight w:val="none"/>
        </w:rPr>
        <w:t>）法定代表人身份证明书（格式）</w:t>
      </w:r>
    </w:p>
    <w:p w14:paraId="2E12F331">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三</w:t>
      </w:r>
      <w:r>
        <w:rPr>
          <w:rFonts w:hint="eastAsia" w:ascii="宋体" w:hAnsi="宋体"/>
          <w:b w:val="0"/>
          <w:bCs w:val="0"/>
          <w:color w:val="auto"/>
          <w:sz w:val="24"/>
          <w:szCs w:val="24"/>
          <w:highlight w:val="none"/>
        </w:rPr>
        <w:t>）法定代表人授权委托书（格式）</w:t>
      </w:r>
    </w:p>
    <w:p w14:paraId="10FBD132">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四</w:t>
      </w:r>
      <w:r>
        <w:rPr>
          <w:rFonts w:hint="eastAsia" w:ascii="宋体" w:hAnsi="宋体"/>
          <w:b w:val="0"/>
          <w:bCs w:val="0"/>
          <w:color w:val="auto"/>
          <w:sz w:val="24"/>
          <w:szCs w:val="24"/>
          <w:highlight w:val="none"/>
        </w:rPr>
        <w:t>）诚信声明格式(如果有)</w:t>
      </w:r>
    </w:p>
    <w:p w14:paraId="4633CFCF">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五</w:t>
      </w:r>
      <w:r>
        <w:rPr>
          <w:rFonts w:hint="eastAsia" w:ascii="宋体" w:hAnsi="宋体"/>
          <w:b w:val="0"/>
          <w:bCs w:val="0"/>
          <w:color w:val="auto"/>
          <w:sz w:val="24"/>
          <w:szCs w:val="24"/>
          <w:highlight w:val="none"/>
        </w:rPr>
        <w:t>）上一年度资产负债表、利润表、现金流量表复印件，本年度新成立的公司提供投标截止时间前一个月的财务状况报告（资产负债表、利润表、现金流量表复印件）。</w:t>
      </w:r>
    </w:p>
    <w:p w14:paraId="1974AD0F">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六</w:t>
      </w:r>
      <w:r>
        <w:rPr>
          <w:rFonts w:hint="eastAsia" w:ascii="宋体" w:hAnsi="宋体"/>
          <w:b w:val="0"/>
          <w:bCs w:val="0"/>
          <w:color w:val="auto"/>
          <w:sz w:val="24"/>
          <w:szCs w:val="24"/>
          <w:highlight w:val="none"/>
        </w:rPr>
        <w:t>）缴纳税收的证明材料和社会保险缴纳证明材料</w:t>
      </w:r>
    </w:p>
    <w:p w14:paraId="2C79C7E2">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eastAsia="zh-CN"/>
        </w:rPr>
        <w:t>七</w:t>
      </w:r>
      <w:r>
        <w:rPr>
          <w:rFonts w:hint="eastAsia" w:ascii="宋体" w:hAnsi="宋体"/>
          <w:b w:val="0"/>
          <w:bCs w:val="0"/>
          <w:color w:val="auto"/>
          <w:sz w:val="24"/>
          <w:szCs w:val="24"/>
          <w:highlight w:val="none"/>
        </w:rPr>
        <w:t>）诚信声明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投标人公章）。查询结果为本项目采购公告发布之日起至投标截止时间前。</w:t>
      </w:r>
    </w:p>
    <w:p w14:paraId="3B3DD961">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八</w:t>
      </w:r>
      <w:r>
        <w:rPr>
          <w:rFonts w:hint="eastAsia" w:ascii="宋体" w:hAnsi="宋体"/>
          <w:b w:val="0"/>
          <w:bCs w:val="0"/>
          <w:color w:val="auto"/>
          <w:sz w:val="24"/>
          <w:szCs w:val="24"/>
          <w:highlight w:val="none"/>
        </w:rPr>
        <w:t xml:space="preserve">）特定资格条件证明文件(如果有) </w:t>
      </w:r>
    </w:p>
    <w:p w14:paraId="51ECE025">
      <w:pPr>
        <w:pStyle w:val="4"/>
        <w:spacing w:before="0" w:after="0" w:line="440" w:lineRule="exact"/>
        <w:ind w:firstLine="480" w:firstLineChars="200"/>
        <w:rPr>
          <w:rFonts w:ascii="宋体" w:hAnsi="宋体" w:cs="宋体"/>
          <w:b w:val="0"/>
          <w:bCs w:val="0"/>
          <w:color w:val="auto"/>
          <w:sz w:val="24"/>
          <w:szCs w:val="24"/>
          <w:highlight w:val="none"/>
        </w:rPr>
      </w:pPr>
      <w:bookmarkStart w:id="211" w:name="_Toc19785"/>
      <w:bookmarkStart w:id="212" w:name="_Toc42790107"/>
      <w:bookmarkStart w:id="213" w:name="_Toc41457526"/>
      <w:bookmarkStart w:id="214" w:name="_Toc41986762"/>
      <w:r>
        <w:rPr>
          <w:rFonts w:hint="eastAsia" w:ascii="宋体" w:hAnsi="宋体" w:cs="宋体"/>
          <w:b w:val="0"/>
          <w:bCs w:val="0"/>
          <w:color w:val="auto"/>
          <w:sz w:val="24"/>
          <w:szCs w:val="24"/>
          <w:highlight w:val="none"/>
        </w:rPr>
        <w:t>三、商务文件</w:t>
      </w:r>
      <w:bookmarkEnd w:id="211"/>
      <w:bookmarkEnd w:id="212"/>
      <w:bookmarkEnd w:id="213"/>
      <w:bookmarkEnd w:id="214"/>
    </w:p>
    <w:p w14:paraId="6E080086">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（一）响应文件函（格式）；</w:t>
      </w:r>
    </w:p>
    <w:p w14:paraId="51626650">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（二）投标人基本情况介绍及商务承诺；</w:t>
      </w:r>
    </w:p>
    <w:p w14:paraId="171E788B">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（三）商务条款差异表；</w:t>
      </w:r>
    </w:p>
    <w:p w14:paraId="04B33141">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（四）委托经营服务承诺。</w:t>
      </w:r>
    </w:p>
    <w:p w14:paraId="5C656566">
      <w:pPr>
        <w:pStyle w:val="4"/>
        <w:spacing w:before="0" w:after="0" w:line="440" w:lineRule="exact"/>
        <w:ind w:firstLine="480" w:firstLineChars="200"/>
        <w:rPr>
          <w:rFonts w:ascii="宋体" w:hAnsi="宋体" w:cs="宋体"/>
          <w:b w:val="0"/>
          <w:bCs w:val="0"/>
          <w:color w:val="auto"/>
          <w:sz w:val="24"/>
          <w:szCs w:val="24"/>
          <w:highlight w:val="none"/>
        </w:rPr>
      </w:pPr>
      <w:bookmarkStart w:id="215" w:name="_Toc22204"/>
      <w:bookmarkStart w:id="216" w:name="_Toc42790108"/>
      <w:bookmarkStart w:id="217" w:name="_Toc41986763"/>
      <w:bookmarkStart w:id="218" w:name="_Toc41457527"/>
      <w:r>
        <w:rPr>
          <w:rFonts w:hint="eastAsia" w:ascii="宋体" w:hAnsi="宋体" w:cs="宋体"/>
          <w:b w:val="0"/>
          <w:bCs w:val="0"/>
          <w:color w:val="auto"/>
          <w:sz w:val="24"/>
          <w:szCs w:val="24"/>
          <w:highlight w:val="none"/>
        </w:rPr>
        <w:t>四、技术文件</w:t>
      </w:r>
      <w:bookmarkEnd w:id="215"/>
      <w:bookmarkEnd w:id="216"/>
      <w:bookmarkEnd w:id="217"/>
      <w:bookmarkEnd w:id="218"/>
    </w:p>
    <w:p w14:paraId="09B49425">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一</w:t>
      </w:r>
      <w:r>
        <w:rPr>
          <w:rFonts w:hint="eastAsia" w:ascii="宋体" w:hAnsi="宋体"/>
          <w:b w:val="0"/>
          <w:bCs w:val="0"/>
          <w:color w:val="auto"/>
          <w:sz w:val="24"/>
          <w:szCs w:val="24"/>
          <w:highlight w:val="none"/>
        </w:rPr>
        <w:t>）首期投资食堂装修和餐厨设施设备等费用；</w:t>
      </w:r>
    </w:p>
    <w:p w14:paraId="7E2F8C7D">
      <w:pPr>
        <w:snapToGrid w:val="0"/>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二</w:t>
      </w:r>
      <w:r>
        <w:rPr>
          <w:rFonts w:hint="eastAsia" w:ascii="宋体" w:hAnsi="宋体"/>
          <w:b w:val="0"/>
          <w:bCs w:val="0"/>
          <w:color w:val="auto"/>
          <w:sz w:val="24"/>
          <w:szCs w:val="24"/>
          <w:highlight w:val="none"/>
        </w:rPr>
        <w:t>）经济与技术条款差异表。</w:t>
      </w:r>
    </w:p>
    <w:p w14:paraId="53E138A4">
      <w:pPr>
        <w:pStyle w:val="4"/>
        <w:spacing w:before="0" w:after="0" w:line="440" w:lineRule="exact"/>
        <w:ind w:firstLine="480" w:firstLineChars="200"/>
        <w:rPr>
          <w:rFonts w:ascii="宋体" w:hAnsi="宋体" w:cs="宋体"/>
          <w:b w:val="0"/>
          <w:bCs w:val="0"/>
          <w:color w:val="auto"/>
          <w:sz w:val="24"/>
          <w:szCs w:val="24"/>
          <w:highlight w:val="none"/>
        </w:rPr>
      </w:pPr>
      <w:bookmarkStart w:id="219" w:name="_Toc41457528"/>
      <w:bookmarkStart w:id="220" w:name="_Toc41986764"/>
      <w:bookmarkStart w:id="221" w:name="_Toc42790109"/>
      <w:bookmarkStart w:id="222" w:name="_Toc28063"/>
      <w:r>
        <w:rPr>
          <w:rFonts w:hint="eastAsia" w:ascii="宋体" w:hAnsi="宋体" w:cs="宋体"/>
          <w:b w:val="0"/>
          <w:bCs w:val="0"/>
          <w:color w:val="auto"/>
          <w:sz w:val="24"/>
          <w:szCs w:val="24"/>
          <w:highlight w:val="none"/>
        </w:rPr>
        <w:t>五、其他</w:t>
      </w:r>
      <w:bookmarkEnd w:id="219"/>
      <w:bookmarkEnd w:id="220"/>
      <w:bookmarkEnd w:id="221"/>
      <w:bookmarkEnd w:id="222"/>
    </w:p>
    <w:p w14:paraId="447800D4">
      <w:pPr>
        <w:snapToGrid w:val="0"/>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（一）其他与项目有关的资料</w:t>
      </w:r>
      <w:r>
        <w:rPr>
          <w:rFonts w:hint="eastAsia" w:ascii="宋体" w:hAnsi="宋体" w:eastAsia="宋体" w:cs="宋体"/>
          <w:b w:val="0"/>
          <w:bCs w:val="0"/>
          <w:color w:val="auto"/>
          <w:highlight w:val="none"/>
        </w:rPr>
        <w:t>（自附）</w:t>
      </w:r>
    </w:p>
    <w:p w14:paraId="2D577D1A">
      <w:pPr>
        <w:snapToGrid w:val="0"/>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（二）同一供应商投标2个包的，须提供书面承诺函（承诺如果不止一个包成为排名第一的中标人，我方将按照包</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包</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的先后顺序保留一个包），且各包书面承诺函必须一致。供应商投标1个包的无须提供此书面承诺函。</w:t>
      </w:r>
    </w:p>
    <w:p w14:paraId="7FDA5C5C">
      <w:pPr>
        <w:snapToGrid w:val="0"/>
        <w:spacing w:line="500" w:lineRule="exact"/>
        <w:ind w:right="-84" w:rightChars="-3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特别提醒：</w:t>
      </w:r>
    </w:p>
    <w:p w14:paraId="4146CE6D">
      <w:pPr>
        <w:snapToGrid w:val="0"/>
        <w:spacing w:line="500" w:lineRule="exact"/>
        <w:ind w:right="-84" w:rightChars="-30" w:firstLine="475" w:firstLineChars="19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请各供应商严格按上述顺序编制响应文件。</w:t>
      </w:r>
    </w:p>
    <w:p w14:paraId="74B01BA2">
      <w:pPr>
        <w:snapToGrid w:val="0"/>
        <w:spacing w:line="500" w:lineRule="exact"/>
        <w:ind w:right="-84" w:rightChars="-3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响应文件应编写目录、页码以便评标查询。</w:t>
      </w:r>
    </w:p>
    <w:p w14:paraId="7BE75629">
      <w:pPr>
        <w:snapToGrid w:val="0"/>
        <w:spacing w:line="500" w:lineRule="exact"/>
        <w:ind w:right="-84" w:rightChars="-30" w:firstLine="475" w:firstLineChars="198"/>
        <w:rPr>
          <w:rFonts w:hint="eastAsia" w:ascii="宋体" w:hAnsi="宋体" w:eastAsia="宋体" w:cs="宋体"/>
          <w:b w:val="0"/>
          <w:bCs w:val="0"/>
          <w:color w:val="auto"/>
          <w:szCs w:val="28"/>
          <w:highlight w:val="none"/>
        </w:rPr>
      </w:pPr>
      <w:r>
        <w:rPr>
          <w:rFonts w:hint="eastAsia" w:ascii="宋体" w:hAnsi="宋体" w:eastAsia="宋体" w:cs="宋体"/>
          <w:b w:val="0"/>
          <w:bCs w:val="0"/>
          <w:color w:val="auto"/>
          <w:sz w:val="24"/>
          <w:szCs w:val="24"/>
          <w:highlight w:val="none"/>
        </w:rPr>
        <w:t>清单中提供了格式文件的，请按格式编写；清单中没有提供格式的，请供应商自行编写应补充的响应资料。</w:t>
      </w:r>
    </w:p>
    <w:p w14:paraId="4402C8D5">
      <w:pPr>
        <w:snapToGrid w:val="0"/>
        <w:spacing w:line="312"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794" w:gutter="0"/>
          <w:cols w:space="720" w:num="1"/>
          <w:docGrid w:linePitch="380" w:charSpace="-5735"/>
        </w:sectPr>
      </w:pPr>
    </w:p>
    <w:p w14:paraId="72A457FE">
      <w:pPr>
        <w:snapToGrid w:val="0"/>
        <w:spacing w:line="440" w:lineRule="exact"/>
        <w:ind w:firstLine="562" w:firstLineChars="200"/>
        <w:rPr>
          <w:rFonts w:hint="eastAsia" w:ascii="宋体" w:hAnsi="宋体"/>
          <w:b/>
          <w:bCs/>
          <w:color w:val="auto"/>
          <w:highlight w:val="none"/>
        </w:rPr>
      </w:pPr>
      <w:bookmarkStart w:id="223" w:name="_Toc76462350"/>
      <w:bookmarkStart w:id="224" w:name="_Toc26001"/>
      <w:bookmarkStart w:id="225" w:name="_Toc8278"/>
      <w:bookmarkStart w:id="226" w:name="_Toc12976"/>
      <w:bookmarkStart w:id="227" w:name="_Toc31533"/>
      <w:bookmarkStart w:id="228" w:name="_Toc14641"/>
      <w:r>
        <w:rPr>
          <w:rFonts w:hint="eastAsia" w:ascii="宋体" w:hAnsi="宋体"/>
          <w:b/>
          <w:bCs/>
          <w:color w:val="auto"/>
          <w:highlight w:val="none"/>
        </w:rPr>
        <w:t>一、经济部分</w:t>
      </w:r>
      <w:bookmarkEnd w:id="223"/>
      <w:bookmarkEnd w:id="224"/>
      <w:bookmarkEnd w:id="225"/>
      <w:bookmarkEnd w:id="226"/>
      <w:bookmarkEnd w:id="227"/>
      <w:bookmarkEnd w:id="228"/>
    </w:p>
    <w:p w14:paraId="7243FBE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723103A6">
      <w:pPr>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22C3F851">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65EE490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5AA71957">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w:t>
      </w:r>
    </w:p>
    <w:tbl>
      <w:tblPr>
        <w:tblStyle w:val="59"/>
        <w:tblpPr w:leftFromText="180" w:rightFromText="180" w:vertAnchor="text" w:horzAnchor="page" w:tblpX="1771" w:tblpY="104"/>
        <w:tblOverlap w:val="never"/>
        <w:tblW w:w="0" w:type="auto"/>
        <w:jc w:val="center"/>
        <w:tblLayout w:type="fixed"/>
        <w:tblCellMar>
          <w:top w:w="0" w:type="dxa"/>
          <w:left w:w="108" w:type="dxa"/>
          <w:bottom w:w="0" w:type="dxa"/>
          <w:right w:w="108" w:type="dxa"/>
        </w:tblCellMar>
      </w:tblPr>
      <w:tblGrid>
        <w:gridCol w:w="826"/>
        <w:gridCol w:w="1833"/>
        <w:gridCol w:w="2268"/>
        <w:gridCol w:w="2472"/>
        <w:gridCol w:w="1440"/>
      </w:tblGrid>
      <w:tr w14:paraId="0C16B5DC">
        <w:tblPrEx>
          <w:tblCellMar>
            <w:top w:w="0" w:type="dxa"/>
            <w:left w:w="108" w:type="dxa"/>
            <w:bottom w:w="0" w:type="dxa"/>
            <w:right w:w="108" w:type="dxa"/>
          </w:tblCellMar>
        </w:tblPrEx>
        <w:trPr>
          <w:trHeight w:val="73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4053454F">
            <w:pPr>
              <w:snapToGrid w:val="0"/>
              <w:spacing w:line="440" w:lineRule="exact"/>
              <w:jc w:val="center"/>
              <w:rPr>
                <w:rFonts w:ascii="宋体" w:hAnsi="宋体"/>
                <w:bCs/>
                <w:color w:val="auto"/>
                <w:sz w:val="24"/>
                <w:szCs w:val="24"/>
                <w:highlight w:val="none"/>
              </w:rPr>
            </w:pPr>
            <w:r>
              <w:rPr>
                <w:rFonts w:ascii="宋体" w:hAnsi="宋体"/>
                <w:bCs/>
                <w:color w:val="auto"/>
                <w:sz w:val="24"/>
                <w:szCs w:val="24"/>
                <w:highlight w:val="none"/>
              </w:rPr>
              <w:t>包号</w:t>
            </w:r>
          </w:p>
        </w:tc>
        <w:tc>
          <w:tcPr>
            <w:tcW w:w="1833" w:type="dxa"/>
            <w:tcBorders>
              <w:top w:val="single" w:color="auto" w:sz="4" w:space="0"/>
              <w:left w:val="single" w:color="auto" w:sz="4" w:space="0"/>
              <w:bottom w:val="single" w:color="auto" w:sz="4" w:space="0"/>
              <w:right w:val="single" w:color="auto" w:sz="4" w:space="0"/>
            </w:tcBorders>
            <w:vAlign w:val="center"/>
          </w:tcPr>
          <w:p w14:paraId="3A599760">
            <w:pPr>
              <w:snapToGrid w:val="0"/>
              <w:spacing w:line="440" w:lineRule="exact"/>
              <w:jc w:val="center"/>
              <w:rPr>
                <w:rFonts w:ascii="宋体" w:hAnsi="宋体"/>
                <w:bCs/>
                <w:color w:val="auto"/>
                <w:sz w:val="24"/>
                <w:szCs w:val="24"/>
                <w:highlight w:val="none"/>
              </w:rPr>
            </w:pPr>
            <w:r>
              <w:rPr>
                <w:rFonts w:ascii="宋体" w:hAnsi="宋体"/>
                <w:bCs/>
                <w:color w:val="auto"/>
                <w:sz w:val="24"/>
                <w:szCs w:val="24"/>
                <w:highlight w:val="none"/>
              </w:rPr>
              <w:t>项目内容</w:t>
            </w:r>
          </w:p>
        </w:tc>
        <w:tc>
          <w:tcPr>
            <w:tcW w:w="2268" w:type="dxa"/>
            <w:tcBorders>
              <w:top w:val="single" w:color="auto" w:sz="4" w:space="0"/>
              <w:left w:val="single" w:color="auto" w:sz="4" w:space="0"/>
              <w:bottom w:val="single" w:color="auto" w:sz="4" w:space="0"/>
              <w:right w:val="single" w:color="auto" w:sz="4" w:space="0"/>
            </w:tcBorders>
            <w:vAlign w:val="center"/>
          </w:tcPr>
          <w:p w14:paraId="1FA8E9C2">
            <w:pPr>
              <w:snapToGrid w:val="0"/>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投标单位</w:t>
            </w:r>
          </w:p>
        </w:tc>
        <w:tc>
          <w:tcPr>
            <w:tcW w:w="2472" w:type="dxa"/>
            <w:tcBorders>
              <w:top w:val="single" w:color="auto" w:sz="4" w:space="0"/>
              <w:left w:val="nil"/>
              <w:bottom w:val="single" w:color="auto" w:sz="4" w:space="0"/>
              <w:right w:val="single" w:color="auto" w:sz="4" w:space="0"/>
            </w:tcBorders>
            <w:vAlign w:val="center"/>
          </w:tcPr>
          <w:p w14:paraId="6A2906E3">
            <w:pPr>
              <w:snapToGrid w:val="0"/>
              <w:spacing w:line="440" w:lineRule="exact"/>
              <w:jc w:val="center"/>
              <w:rPr>
                <w:rFonts w:ascii="宋体" w:hAnsi="宋体"/>
                <w:bCs/>
                <w:color w:val="auto"/>
                <w:sz w:val="24"/>
                <w:szCs w:val="24"/>
                <w:highlight w:val="none"/>
              </w:rPr>
            </w:pPr>
            <w:r>
              <w:rPr>
                <w:rFonts w:ascii="宋体" w:hAnsi="宋体"/>
                <w:bCs/>
                <w:color w:val="auto"/>
                <w:sz w:val="24"/>
                <w:szCs w:val="24"/>
                <w:highlight w:val="none"/>
              </w:rPr>
              <w:t>报价（每月</w:t>
            </w:r>
            <w:r>
              <w:rPr>
                <w:rFonts w:hint="eastAsia" w:ascii="宋体" w:hAnsi="宋体"/>
                <w:bCs/>
                <w:color w:val="auto"/>
                <w:sz w:val="24"/>
                <w:szCs w:val="24"/>
                <w:highlight w:val="none"/>
              </w:rPr>
              <w:t>考核费按营业额计提（</w:t>
            </w:r>
            <w:r>
              <w:rPr>
                <w:rFonts w:ascii="宋体" w:hAnsi="宋体"/>
                <w:bCs/>
                <w:color w:val="auto"/>
                <w:sz w:val="24"/>
                <w:szCs w:val="24"/>
                <w:highlight w:val="none"/>
              </w:rPr>
              <w:t>%</w:t>
            </w:r>
            <w:r>
              <w:rPr>
                <w:rFonts w:hint="eastAsia" w:ascii="宋体" w:hAnsi="宋体"/>
                <w:bCs/>
                <w:color w:val="auto"/>
                <w:sz w:val="24"/>
                <w:szCs w:val="24"/>
                <w:highlight w:val="none"/>
              </w:rPr>
              <w:t>）</w:t>
            </w:r>
            <w:r>
              <w:rPr>
                <w:rFonts w:ascii="宋体" w:hAnsi="宋体"/>
                <w:bCs/>
                <w:color w:val="auto"/>
                <w:sz w:val="24"/>
                <w:szCs w:val="24"/>
                <w:highlight w:val="none"/>
              </w:rPr>
              <w:t>）</w:t>
            </w:r>
          </w:p>
        </w:tc>
        <w:tc>
          <w:tcPr>
            <w:tcW w:w="1440" w:type="dxa"/>
            <w:tcBorders>
              <w:top w:val="single" w:color="auto" w:sz="4" w:space="0"/>
              <w:left w:val="nil"/>
              <w:bottom w:val="single" w:color="auto" w:sz="4" w:space="0"/>
              <w:right w:val="single" w:color="auto" w:sz="4" w:space="0"/>
            </w:tcBorders>
            <w:vAlign w:val="center"/>
          </w:tcPr>
          <w:p w14:paraId="292D5F12">
            <w:pPr>
              <w:snapToGrid w:val="0"/>
              <w:spacing w:line="440" w:lineRule="exact"/>
              <w:jc w:val="center"/>
              <w:rPr>
                <w:rFonts w:ascii="宋体" w:hAnsi="宋体"/>
                <w:bCs/>
                <w:color w:val="auto"/>
                <w:sz w:val="24"/>
                <w:szCs w:val="24"/>
                <w:highlight w:val="none"/>
              </w:rPr>
            </w:pPr>
            <w:r>
              <w:rPr>
                <w:rFonts w:hint="eastAsia" w:ascii="宋体" w:hAnsi="宋体"/>
                <w:bCs/>
                <w:color w:val="auto"/>
                <w:sz w:val="24"/>
                <w:szCs w:val="24"/>
                <w:highlight w:val="none"/>
              </w:rPr>
              <w:t>备注</w:t>
            </w:r>
          </w:p>
        </w:tc>
      </w:tr>
      <w:tr w14:paraId="720FE53E">
        <w:tblPrEx>
          <w:tblCellMar>
            <w:top w:w="0" w:type="dxa"/>
            <w:left w:w="108" w:type="dxa"/>
            <w:bottom w:w="0" w:type="dxa"/>
            <w:right w:w="108" w:type="dxa"/>
          </w:tblCellMar>
        </w:tblPrEx>
        <w:trPr>
          <w:trHeight w:val="662" w:hRule="atLeast"/>
          <w:jc w:val="center"/>
        </w:trPr>
        <w:tc>
          <w:tcPr>
            <w:tcW w:w="826" w:type="dxa"/>
            <w:tcBorders>
              <w:top w:val="nil"/>
              <w:left w:val="single" w:color="auto" w:sz="4" w:space="0"/>
              <w:bottom w:val="single" w:color="auto" w:sz="4" w:space="0"/>
              <w:right w:val="single" w:color="auto" w:sz="4" w:space="0"/>
            </w:tcBorders>
            <w:vAlign w:val="center"/>
          </w:tcPr>
          <w:p w14:paraId="72788DB2">
            <w:pPr>
              <w:snapToGrid w:val="0"/>
              <w:spacing w:line="440" w:lineRule="exact"/>
              <w:ind w:firstLine="480" w:firstLineChars="200"/>
              <w:rPr>
                <w:rFonts w:ascii="宋体" w:hAnsi="宋体"/>
                <w:color w:val="auto"/>
                <w:sz w:val="24"/>
                <w:szCs w:val="24"/>
                <w:highlight w:val="none"/>
              </w:rPr>
            </w:pPr>
          </w:p>
        </w:tc>
        <w:tc>
          <w:tcPr>
            <w:tcW w:w="1833" w:type="dxa"/>
            <w:tcBorders>
              <w:top w:val="nil"/>
              <w:left w:val="single" w:color="auto" w:sz="4" w:space="0"/>
              <w:bottom w:val="single" w:color="auto" w:sz="4" w:space="0"/>
              <w:right w:val="single" w:color="auto" w:sz="4" w:space="0"/>
            </w:tcBorders>
            <w:vAlign w:val="center"/>
          </w:tcPr>
          <w:p w14:paraId="52EE233D">
            <w:pPr>
              <w:snapToGrid w:val="0"/>
              <w:spacing w:line="440" w:lineRule="exact"/>
              <w:ind w:firstLine="480" w:firstLineChars="200"/>
              <w:rPr>
                <w:rFonts w:ascii="宋体" w:hAnsi="宋体"/>
                <w:color w:val="auto"/>
                <w:sz w:val="24"/>
                <w:szCs w:val="24"/>
                <w:highlight w:val="none"/>
              </w:rPr>
            </w:pPr>
          </w:p>
        </w:tc>
        <w:tc>
          <w:tcPr>
            <w:tcW w:w="2268" w:type="dxa"/>
            <w:tcBorders>
              <w:top w:val="nil"/>
              <w:left w:val="single" w:color="auto" w:sz="4" w:space="0"/>
              <w:bottom w:val="single" w:color="auto" w:sz="4" w:space="0"/>
              <w:right w:val="single" w:color="auto" w:sz="4" w:space="0"/>
            </w:tcBorders>
            <w:vAlign w:val="center"/>
          </w:tcPr>
          <w:p w14:paraId="7F751D18">
            <w:pPr>
              <w:snapToGrid w:val="0"/>
              <w:spacing w:line="440" w:lineRule="exact"/>
              <w:ind w:firstLine="480" w:firstLineChars="200"/>
              <w:rPr>
                <w:rFonts w:ascii="宋体" w:hAnsi="宋体"/>
                <w:color w:val="auto"/>
                <w:sz w:val="24"/>
                <w:szCs w:val="24"/>
                <w:highlight w:val="none"/>
              </w:rPr>
            </w:pPr>
          </w:p>
        </w:tc>
        <w:tc>
          <w:tcPr>
            <w:tcW w:w="2472" w:type="dxa"/>
            <w:tcBorders>
              <w:top w:val="nil"/>
              <w:left w:val="nil"/>
              <w:bottom w:val="single" w:color="auto" w:sz="4" w:space="0"/>
              <w:right w:val="single" w:color="auto" w:sz="4" w:space="0"/>
            </w:tcBorders>
            <w:vAlign w:val="center"/>
          </w:tcPr>
          <w:p w14:paraId="62AABE83">
            <w:pPr>
              <w:snapToGrid w:val="0"/>
              <w:spacing w:line="440" w:lineRule="exact"/>
              <w:ind w:firstLine="480" w:firstLineChars="200"/>
              <w:rPr>
                <w:rFonts w:ascii="宋体" w:hAnsi="宋体"/>
                <w:color w:val="auto"/>
                <w:sz w:val="24"/>
                <w:szCs w:val="24"/>
                <w:highlight w:val="none"/>
              </w:rPr>
            </w:pPr>
          </w:p>
        </w:tc>
        <w:tc>
          <w:tcPr>
            <w:tcW w:w="1440" w:type="dxa"/>
            <w:tcBorders>
              <w:top w:val="nil"/>
              <w:left w:val="nil"/>
              <w:bottom w:val="single" w:color="auto" w:sz="4" w:space="0"/>
              <w:right w:val="single" w:color="auto" w:sz="4" w:space="0"/>
            </w:tcBorders>
          </w:tcPr>
          <w:p w14:paraId="5D164489">
            <w:pPr>
              <w:tabs>
                <w:tab w:val="left" w:pos="6300"/>
              </w:tabs>
              <w:snapToGrid w:val="0"/>
              <w:spacing w:line="240" w:lineRule="exact"/>
              <w:rPr>
                <w:rFonts w:ascii="宋体" w:hAnsi="宋体"/>
                <w:color w:val="auto"/>
                <w:sz w:val="24"/>
                <w:szCs w:val="24"/>
                <w:highlight w:val="none"/>
              </w:rPr>
            </w:pPr>
            <w:r>
              <w:rPr>
                <w:rFonts w:hint="eastAsia" w:ascii="宋体" w:hAnsi="宋体" w:cs="宋体"/>
                <w:color w:val="auto"/>
                <w:kern w:val="1"/>
                <w:sz w:val="24"/>
                <w:szCs w:val="24"/>
                <w:highlight w:val="none"/>
              </w:rPr>
              <w:t>考核费报价：不限。</w:t>
            </w:r>
          </w:p>
        </w:tc>
      </w:tr>
    </w:tbl>
    <w:p w14:paraId="5C5E3C97">
      <w:pPr>
        <w:tabs>
          <w:tab w:val="left" w:pos="6300"/>
        </w:tabs>
        <w:snapToGrid w:val="0"/>
        <w:spacing w:line="312" w:lineRule="auto"/>
        <w:ind w:firstLine="480" w:firstLineChars="200"/>
        <w:rPr>
          <w:rFonts w:hint="eastAsia" w:ascii="宋体" w:hAnsi="宋体" w:cs="宋体"/>
          <w:color w:val="auto"/>
          <w:sz w:val="24"/>
          <w:szCs w:val="24"/>
          <w:highlight w:val="none"/>
        </w:rPr>
      </w:pPr>
    </w:p>
    <w:p w14:paraId="497A980B">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3524D70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5FA9647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1A82302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69A2007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6.我方若成为成交商，将按照最终磋商结果签订合同，并且严格履行合同义务。本承诺函将成为合同不可分割的一部分，与合同具有同等的法律效力。</w:t>
      </w:r>
    </w:p>
    <w:p w14:paraId="544757C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7.如果我方成为成交商，保证在接到成交通知书后，向采购代理机构和</w:t>
      </w:r>
      <w:r>
        <w:rPr>
          <w:rFonts w:hint="eastAsia" w:ascii="宋体" w:hAnsi="宋体" w:cs="宋体"/>
          <w:color w:val="auto"/>
          <w:sz w:val="24"/>
          <w:highlight w:val="none"/>
        </w:rPr>
        <w:t>重庆联合产权交易所集团股份有限公司缴纳</w:t>
      </w:r>
      <w:r>
        <w:rPr>
          <w:rFonts w:hint="eastAsia" w:ascii="宋体" w:hAnsi="宋体" w:cs="宋体"/>
          <w:color w:val="auto"/>
          <w:sz w:val="24"/>
          <w:szCs w:val="24"/>
          <w:highlight w:val="none"/>
        </w:rPr>
        <w:t>竞争性磋商文件规定的采购代理服务费和交易服务费。</w:t>
      </w:r>
    </w:p>
    <w:p w14:paraId="5CD367F4">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6D2A71B5">
      <w:pPr>
        <w:tabs>
          <w:tab w:val="left" w:pos="6300"/>
        </w:tabs>
        <w:snapToGrid w:val="0"/>
        <w:spacing w:line="312" w:lineRule="auto"/>
        <w:ind w:firstLine="570"/>
        <w:rPr>
          <w:rFonts w:ascii="宋体" w:hAnsi="宋体" w:cs="宋体"/>
          <w:color w:val="auto"/>
          <w:sz w:val="24"/>
          <w:szCs w:val="24"/>
          <w:highlight w:val="none"/>
        </w:rPr>
      </w:pPr>
    </w:p>
    <w:p w14:paraId="40D7597E">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6C3C339">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EF345A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1117DF11">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41DAC38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5154437E">
      <w:pPr>
        <w:snapToGrid w:val="0"/>
        <w:spacing w:line="312" w:lineRule="auto"/>
        <w:ind w:firstLine="480" w:firstLineChars="200"/>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32FD1504">
      <w:pPr>
        <w:tabs>
          <w:tab w:val="left" w:pos="2895"/>
        </w:tabs>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b/>
          <w:color w:val="auto"/>
          <w:sz w:val="24"/>
          <w:szCs w:val="24"/>
          <w:highlight w:val="none"/>
        </w:rPr>
        <w:t>投标保证金提交依据</w:t>
      </w:r>
    </w:p>
    <w:p w14:paraId="1AA57DF6">
      <w:pPr>
        <w:rPr>
          <w:rFonts w:ascii="宋体" w:hAnsi="宋体" w:cs="宋体"/>
          <w:color w:val="auto"/>
          <w:highlight w:val="none"/>
        </w:rPr>
      </w:pPr>
    </w:p>
    <w:p w14:paraId="0F4A1015">
      <w:pPr>
        <w:rPr>
          <w:rFonts w:ascii="宋体" w:hAnsi="宋体" w:cs="宋体"/>
          <w:color w:val="auto"/>
          <w:highlight w:val="none"/>
        </w:rPr>
      </w:pPr>
    </w:p>
    <w:p w14:paraId="3FF77B6D">
      <w:pPr>
        <w:rPr>
          <w:rFonts w:ascii="宋体" w:hAnsi="宋体" w:cs="宋体"/>
          <w:color w:val="auto"/>
          <w:highlight w:val="none"/>
        </w:rPr>
      </w:pPr>
    </w:p>
    <w:p w14:paraId="22E0BCD6">
      <w:pPr>
        <w:rPr>
          <w:rFonts w:ascii="宋体" w:hAnsi="宋体" w:cs="宋体"/>
          <w:color w:val="auto"/>
          <w:highlight w:val="none"/>
        </w:rPr>
      </w:pPr>
    </w:p>
    <w:p w14:paraId="37348F92">
      <w:pPr>
        <w:rPr>
          <w:rFonts w:ascii="宋体" w:hAnsi="宋体" w:cs="宋体"/>
          <w:color w:val="auto"/>
          <w:highlight w:val="none"/>
        </w:rPr>
      </w:pPr>
    </w:p>
    <w:p w14:paraId="2C9A49CF">
      <w:pPr>
        <w:rPr>
          <w:rFonts w:ascii="宋体" w:hAnsi="宋体" w:cs="宋体"/>
          <w:color w:val="auto"/>
          <w:highlight w:val="none"/>
        </w:rPr>
      </w:pPr>
    </w:p>
    <w:p w14:paraId="685535C7">
      <w:pPr>
        <w:rPr>
          <w:rFonts w:ascii="宋体" w:hAnsi="宋体" w:cs="宋体"/>
          <w:color w:val="auto"/>
          <w:highlight w:val="none"/>
        </w:rPr>
      </w:pPr>
    </w:p>
    <w:p w14:paraId="7C23B315">
      <w:pPr>
        <w:rPr>
          <w:rFonts w:ascii="宋体" w:hAnsi="宋体" w:cs="宋体"/>
          <w:color w:val="auto"/>
          <w:highlight w:val="none"/>
        </w:rPr>
      </w:pPr>
    </w:p>
    <w:p w14:paraId="7A3150BF">
      <w:pPr>
        <w:rPr>
          <w:rFonts w:ascii="宋体" w:hAnsi="宋体" w:cs="宋体"/>
          <w:color w:val="auto"/>
          <w:highlight w:val="none"/>
        </w:rPr>
      </w:pPr>
    </w:p>
    <w:p w14:paraId="30D13573">
      <w:pPr>
        <w:rPr>
          <w:rFonts w:ascii="宋体" w:hAnsi="宋体" w:cs="宋体"/>
          <w:color w:val="auto"/>
          <w:highlight w:val="none"/>
        </w:rPr>
      </w:pPr>
    </w:p>
    <w:p w14:paraId="6698B177">
      <w:pPr>
        <w:rPr>
          <w:rFonts w:ascii="宋体" w:hAnsi="宋体" w:cs="宋体"/>
          <w:color w:val="auto"/>
          <w:highlight w:val="none"/>
        </w:rPr>
      </w:pPr>
    </w:p>
    <w:p w14:paraId="3CE6EB50">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937109B">
      <w:pPr>
        <w:snapToGrid w:val="0"/>
        <w:spacing w:line="360" w:lineRule="auto"/>
        <w:ind w:firstLine="480" w:firstLineChars="200"/>
        <w:rPr>
          <w:rFonts w:ascii="宋体" w:hAnsi="宋体" w:cs="宋体"/>
          <w:color w:val="auto"/>
          <w:sz w:val="24"/>
          <w:szCs w:val="24"/>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322B22A1">
      <w:pPr>
        <w:snapToGrid w:val="0"/>
        <w:spacing w:line="440" w:lineRule="exact"/>
        <w:ind w:firstLine="562" w:firstLineChars="200"/>
        <w:rPr>
          <w:rFonts w:ascii="宋体" w:hAnsi="宋体"/>
          <w:b/>
          <w:bCs/>
          <w:color w:val="auto"/>
          <w:highlight w:val="none"/>
        </w:rPr>
      </w:pPr>
      <w:bookmarkStart w:id="229" w:name="_Toc186919434"/>
      <w:bookmarkStart w:id="230" w:name="_Toc76462351"/>
      <w:bookmarkStart w:id="231" w:name="_Toc11946"/>
      <w:r>
        <w:rPr>
          <w:rFonts w:hint="eastAsia" w:ascii="宋体" w:hAnsi="宋体"/>
          <w:b/>
          <w:bCs/>
          <w:color w:val="auto"/>
          <w:highlight w:val="none"/>
        </w:rPr>
        <w:t>二、资格文件</w:t>
      </w:r>
      <w:bookmarkEnd w:id="229"/>
    </w:p>
    <w:p w14:paraId="44E491FF">
      <w:pPr>
        <w:snapToGrid w:val="0"/>
        <w:spacing w:line="440" w:lineRule="exact"/>
        <w:ind w:firstLine="560" w:firstLineChars="200"/>
        <w:rPr>
          <w:rFonts w:ascii="宋体" w:hAnsi="宋体"/>
          <w:color w:val="auto"/>
          <w:highlight w:val="none"/>
        </w:rPr>
      </w:pPr>
    </w:p>
    <w:p w14:paraId="4D593C9E">
      <w:pPr>
        <w:snapToGrid w:val="0"/>
        <w:spacing w:line="440" w:lineRule="exact"/>
        <w:ind w:firstLine="562" w:firstLineChars="200"/>
        <w:rPr>
          <w:rFonts w:ascii="宋体" w:hAnsi="宋体"/>
          <w:color w:val="auto"/>
          <w:highlight w:val="none"/>
        </w:rPr>
      </w:pPr>
      <w:r>
        <w:rPr>
          <w:rFonts w:hint="eastAsia" w:ascii="宋体" w:hAnsi="宋体"/>
          <w:b/>
          <w:color w:val="auto"/>
          <w:highlight w:val="none"/>
        </w:rPr>
        <w:t>（一）法人营业执照（副本）或事业单位法人证书（副本）或个体工商户营业执照或有效的自然人身份证明或社会团体法人登记证书复印件</w:t>
      </w:r>
    </w:p>
    <w:p w14:paraId="1C92C558">
      <w:pPr>
        <w:snapToGrid w:val="0"/>
        <w:spacing w:line="440" w:lineRule="exact"/>
        <w:ind w:firstLine="560" w:firstLineChars="200"/>
        <w:rPr>
          <w:rFonts w:ascii="宋体" w:hAnsi="宋体"/>
          <w:color w:val="auto"/>
          <w:highlight w:val="none"/>
        </w:rPr>
      </w:pPr>
    </w:p>
    <w:p w14:paraId="750E94A6">
      <w:pPr>
        <w:snapToGrid w:val="0"/>
        <w:spacing w:line="440" w:lineRule="exact"/>
        <w:ind w:firstLine="560" w:firstLineChars="200"/>
        <w:rPr>
          <w:rFonts w:ascii="宋体" w:hAnsi="宋体"/>
          <w:color w:val="auto"/>
          <w:highlight w:val="none"/>
        </w:rPr>
      </w:pPr>
    </w:p>
    <w:p w14:paraId="6E329FCB">
      <w:pPr>
        <w:snapToGrid w:val="0"/>
        <w:spacing w:line="440" w:lineRule="exact"/>
        <w:ind w:firstLine="562" w:firstLineChars="200"/>
        <w:rPr>
          <w:rFonts w:ascii="宋体" w:hAnsi="宋体"/>
          <w:b/>
          <w:color w:val="auto"/>
          <w:highlight w:val="none"/>
        </w:rPr>
      </w:pPr>
    </w:p>
    <w:p w14:paraId="2EC3BC13">
      <w:pPr>
        <w:snapToGrid w:val="0"/>
        <w:spacing w:line="440" w:lineRule="exact"/>
        <w:ind w:firstLine="562" w:firstLineChars="200"/>
        <w:rPr>
          <w:rFonts w:ascii="宋体" w:hAnsi="宋体"/>
          <w:b/>
          <w:color w:val="auto"/>
          <w:highlight w:val="none"/>
        </w:rPr>
      </w:pPr>
    </w:p>
    <w:p w14:paraId="18DE0C6B">
      <w:pPr>
        <w:snapToGrid w:val="0"/>
        <w:spacing w:line="440" w:lineRule="exact"/>
        <w:ind w:firstLine="562" w:firstLineChars="200"/>
        <w:rPr>
          <w:rFonts w:ascii="宋体" w:hAnsi="宋体"/>
          <w:b/>
          <w:color w:val="auto"/>
          <w:highlight w:val="none"/>
        </w:rPr>
      </w:pPr>
    </w:p>
    <w:p w14:paraId="33D52F83">
      <w:pPr>
        <w:snapToGrid w:val="0"/>
        <w:spacing w:line="440" w:lineRule="exact"/>
        <w:ind w:firstLine="562" w:firstLineChars="200"/>
        <w:rPr>
          <w:rFonts w:ascii="宋体" w:hAnsi="宋体"/>
          <w:b/>
          <w:color w:val="auto"/>
          <w:highlight w:val="none"/>
        </w:rPr>
      </w:pPr>
    </w:p>
    <w:p w14:paraId="53AAA379">
      <w:pPr>
        <w:snapToGrid w:val="0"/>
        <w:spacing w:line="440" w:lineRule="exact"/>
        <w:ind w:firstLine="562" w:firstLineChars="200"/>
        <w:rPr>
          <w:rFonts w:ascii="宋体" w:hAnsi="宋体"/>
          <w:b/>
          <w:color w:val="auto"/>
          <w:highlight w:val="none"/>
        </w:rPr>
      </w:pPr>
    </w:p>
    <w:p w14:paraId="6B5F28C8">
      <w:pPr>
        <w:snapToGrid w:val="0"/>
        <w:spacing w:line="440" w:lineRule="exact"/>
        <w:ind w:firstLine="562" w:firstLineChars="200"/>
        <w:rPr>
          <w:rFonts w:ascii="宋体" w:hAnsi="宋体"/>
          <w:b/>
          <w:color w:val="auto"/>
          <w:highlight w:val="none"/>
        </w:rPr>
      </w:pPr>
    </w:p>
    <w:p w14:paraId="01E31316">
      <w:pPr>
        <w:snapToGrid w:val="0"/>
        <w:spacing w:line="440" w:lineRule="exact"/>
        <w:ind w:firstLine="562" w:firstLineChars="200"/>
        <w:rPr>
          <w:rFonts w:ascii="宋体" w:hAnsi="宋体"/>
          <w:b/>
          <w:color w:val="auto"/>
          <w:highlight w:val="none"/>
        </w:rPr>
      </w:pPr>
    </w:p>
    <w:p w14:paraId="0BD3CE54">
      <w:pPr>
        <w:snapToGrid w:val="0"/>
        <w:spacing w:line="440" w:lineRule="exact"/>
        <w:ind w:firstLine="562" w:firstLineChars="200"/>
        <w:rPr>
          <w:rFonts w:ascii="宋体" w:hAnsi="宋体"/>
          <w:b/>
          <w:color w:val="auto"/>
          <w:highlight w:val="none"/>
        </w:rPr>
      </w:pPr>
    </w:p>
    <w:p w14:paraId="54CC8FC7">
      <w:pPr>
        <w:snapToGrid w:val="0"/>
        <w:spacing w:line="440" w:lineRule="exact"/>
        <w:ind w:firstLine="562" w:firstLineChars="200"/>
        <w:rPr>
          <w:rFonts w:ascii="宋体" w:hAnsi="宋体"/>
          <w:b/>
          <w:color w:val="auto"/>
          <w:highlight w:val="none"/>
        </w:rPr>
      </w:pPr>
    </w:p>
    <w:p w14:paraId="1C7FB304">
      <w:pPr>
        <w:snapToGrid w:val="0"/>
        <w:spacing w:line="440" w:lineRule="exact"/>
        <w:ind w:firstLine="562" w:firstLineChars="200"/>
        <w:rPr>
          <w:rFonts w:ascii="宋体" w:hAnsi="宋体"/>
          <w:b/>
          <w:color w:val="auto"/>
          <w:highlight w:val="none"/>
        </w:rPr>
      </w:pPr>
    </w:p>
    <w:p w14:paraId="33CD50AD">
      <w:pPr>
        <w:snapToGrid w:val="0"/>
        <w:spacing w:line="440" w:lineRule="exact"/>
        <w:ind w:firstLine="562" w:firstLineChars="200"/>
        <w:rPr>
          <w:rFonts w:ascii="宋体" w:hAnsi="宋体"/>
          <w:b/>
          <w:color w:val="auto"/>
          <w:highlight w:val="none"/>
        </w:rPr>
      </w:pPr>
    </w:p>
    <w:p w14:paraId="6655E875">
      <w:pPr>
        <w:snapToGrid w:val="0"/>
        <w:spacing w:line="440" w:lineRule="exact"/>
        <w:ind w:firstLine="562" w:firstLineChars="200"/>
        <w:rPr>
          <w:rFonts w:ascii="宋体" w:hAnsi="宋体"/>
          <w:b/>
          <w:color w:val="auto"/>
          <w:highlight w:val="none"/>
        </w:rPr>
      </w:pPr>
    </w:p>
    <w:p w14:paraId="5D328536">
      <w:pPr>
        <w:snapToGrid w:val="0"/>
        <w:spacing w:line="440" w:lineRule="exact"/>
        <w:ind w:firstLine="562" w:firstLineChars="200"/>
        <w:rPr>
          <w:rFonts w:ascii="宋体" w:hAnsi="宋体"/>
          <w:b/>
          <w:color w:val="auto"/>
          <w:highlight w:val="none"/>
        </w:rPr>
      </w:pPr>
    </w:p>
    <w:p w14:paraId="1BD9C371">
      <w:pPr>
        <w:snapToGrid w:val="0"/>
        <w:spacing w:line="440" w:lineRule="exact"/>
        <w:ind w:firstLine="562" w:firstLineChars="200"/>
        <w:rPr>
          <w:rFonts w:ascii="宋体" w:hAnsi="宋体"/>
          <w:b/>
          <w:color w:val="auto"/>
          <w:highlight w:val="none"/>
        </w:rPr>
      </w:pPr>
    </w:p>
    <w:p w14:paraId="7D73A695">
      <w:pPr>
        <w:snapToGrid w:val="0"/>
        <w:spacing w:line="440" w:lineRule="exact"/>
        <w:ind w:firstLine="562" w:firstLineChars="200"/>
        <w:rPr>
          <w:rFonts w:ascii="宋体" w:hAnsi="宋体"/>
          <w:b/>
          <w:color w:val="auto"/>
          <w:highlight w:val="none"/>
        </w:rPr>
      </w:pPr>
    </w:p>
    <w:p w14:paraId="52588D6A">
      <w:pPr>
        <w:snapToGrid w:val="0"/>
        <w:spacing w:line="440" w:lineRule="exact"/>
        <w:ind w:firstLine="562" w:firstLineChars="200"/>
        <w:rPr>
          <w:rFonts w:ascii="宋体" w:hAnsi="宋体"/>
          <w:b/>
          <w:color w:val="auto"/>
          <w:highlight w:val="none"/>
        </w:rPr>
      </w:pPr>
    </w:p>
    <w:p w14:paraId="0E81DDEC">
      <w:pPr>
        <w:snapToGrid w:val="0"/>
        <w:spacing w:line="440" w:lineRule="exact"/>
        <w:ind w:firstLine="562" w:firstLineChars="200"/>
        <w:rPr>
          <w:rFonts w:ascii="宋体" w:hAnsi="宋体"/>
          <w:b/>
          <w:color w:val="auto"/>
          <w:highlight w:val="none"/>
        </w:rPr>
      </w:pPr>
    </w:p>
    <w:p w14:paraId="7F290ECF">
      <w:pPr>
        <w:snapToGrid w:val="0"/>
        <w:spacing w:line="440" w:lineRule="exact"/>
        <w:ind w:firstLine="562" w:firstLineChars="200"/>
        <w:rPr>
          <w:rFonts w:ascii="宋体" w:hAnsi="宋体"/>
          <w:b/>
          <w:color w:val="auto"/>
          <w:highlight w:val="none"/>
        </w:rPr>
      </w:pPr>
    </w:p>
    <w:p w14:paraId="7838B14E">
      <w:pPr>
        <w:snapToGrid w:val="0"/>
        <w:spacing w:line="440" w:lineRule="exact"/>
        <w:ind w:firstLine="562" w:firstLineChars="200"/>
        <w:rPr>
          <w:rFonts w:ascii="宋体" w:hAnsi="宋体"/>
          <w:b/>
          <w:color w:val="auto"/>
          <w:highlight w:val="none"/>
        </w:rPr>
      </w:pPr>
    </w:p>
    <w:p w14:paraId="286DFEA2">
      <w:pPr>
        <w:snapToGrid w:val="0"/>
        <w:spacing w:line="440" w:lineRule="exact"/>
        <w:ind w:firstLine="562" w:firstLineChars="200"/>
        <w:rPr>
          <w:rFonts w:ascii="宋体" w:hAnsi="宋体"/>
          <w:b/>
          <w:color w:val="auto"/>
          <w:highlight w:val="none"/>
        </w:rPr>
      </w:pPr>
    </w:p>
    <w:p w14:paraId="2CB54480">
      <w:pPr>
        <w:snapToGrid w:val="0"/>
        <w:spacing w:line="440" w:lineRule="exact"/>
        <w:ind w:firstLine="562" w:firstLineChars="200"/>
        <w:rPr>
          <w:rFonts w:ascii="宋体" w:hAnsi="宋体"/>
          <w:b/>
          <w:color w:val="auto"/>
          <w:highlight w:val="none"/>
        </w:rPr>
      </w:pPr>
    </w:p>
    <w:p w14:paraId="26E206A1">
      <w:pPr>
        <w:snapToGrid w:val="0"/>
        <w:spacing w:line="440" w:lineRule="exact"/>
        <w:ind w:firstLine="562" w:firstLineChars="200"/>
        <w:rPr>
          <w:rFonts w:ascii="宋体" w:hAnsi="宋体"/>
          <w:b/>
          <w:color w:val="auto"/>
          <w:highlight w:val="none"/>
        </w:rPr>
      </w:pPr>
    </w:p>
    <w:p w14:paraId="56101E83">
      <w:pPr>
        <w:rPr>
          <w:rFonts w:hint="eastAsia" w:ascii="宋体" w:hAnsi="宋体"/>
          <w:b/>
          <w:color w:val="auto"/>
          <w:highlight w:val="none"/>
        </w:rPr>
      </w:pPr>
      <w:r>
        <w:rPr>
          <w:rFonts w:hint="eastAsia" w:ascii="宋体" w:hAnsi="宋体"/>
          <w:b/>
          <w:color w:val="auto"/>
          <w:highlight w:val="none"/>
        </w:rPr>
        <w:br w:type="page"/>
      </w:r>
    </w:p>
    <w:p w14:paraId="4A85281D">
      <w:p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二</w:t>
      </w:r>
      <w:r>
        <w:rPr>
          <w:rFonts w:hint="eastAsia" w:ascii="宋体" w:hAnsi="宋体"/>
          <w:b/>
          <w:color w:val="auto"/>
          <w:highlight w:val="none"/>
        </w:rPr>
        <w:t>）法定代表人身份证明书（格式）</w:t>
      </w:r>
    </w:p>
    <w:p w14:paraId="3C7117DD">
      <w:pPr>
        <w:snapToGrid w:val="0"/>
        <w:spacing w:line="440" w:lineRule="exact"/>
        <w:ind w:firstLine="560" w:firstLineChars="200"/>
        <w:rPr>
          <w:rFonts w:ascii="宋体" w:hAnsi="宋体"/>
          <w:color w:val="auto"/>
          <w:highlight w:val="none"/>
        </w:rPr>
      </w:pPr>
    </w:p>
    <w:p w14:paraId="0DF76E12">
      <w:pPr>
        <w:snapToGrid w:val="0"/>
        <w:spacing w:line="440" w:lineRule="exact"/>
        <w:ind w:firstLine="560" w:firstLineChars="200"/>
        <w:rPr>
          <w:rFonts w:ascii="宋体" w:hAnsi="宋体"/>
          <w:color w:val="auto"/>
          <w:highlight w:val="none"/>
        </w:rPr>
      </w:pPr>
      <w:r>
        <w:rPr>
          <w:rFonts w:hint="eastAsia" w:ascii="宋体" w:hAnsi="宋体"/>
          <w:color w:val="auto"/>
          <w:highlight w:val="none"/>
        </w:rPr>
        <w:t>采购项目名称：</w:t>
      </w:r>
    </w:p>
    <w:p w14:paraId="6C73D76C">
      <w:pPr>
        <w:snapToGrid w:val="0"/>
        <w:spacing w:line="440" w:lineRule="exact"/>
        <w:ind w:firstLine="560" w:firstLineChars="200"/>
        <w:rPr>
          <w:rFonts w:ascii="宋体" w:hAnsi="宋体"/>
          <w:color w:val="auto"/>
          <w:highlight w:val="none"/>
        </w:rPr>
      </w:pPr>
    </w:p>
    <w:p w14:paraId="09B039DD">
      <w:pPr>
        <w:snapToGrid w:val="0"/>
        <w:spacing w:line="440" w:lineRule="exact"/>
        <w:ind w:firstLine="560" w:firstLineChars="200"/>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重庆文理学院</w:t>
      </w:r>
    </w:p>
    <w:p w14:paraId="3B6B746E">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（法定代表人姓名）在（投标人名称）任（职务名称）职务，是（投标人名称）的法定代表人。</w:t>
      </w:r>
    </w:p>
    <w:p w14:paraId="6FF78CFF">
      <w:pPr>
        <w:snapToGrid w:val="0"/>
        <w:spacing w:line="440" w:lineRule="exact"/>
        <w:ind w:firstLine="560" w:firstLineChars="200"/>
        <w:rPr>
          <w:rFonts w:ascii="宋体" w:hAnsi="宋体"/>
          <w:color w:val="auto"/>
          <w:highlight w:val="none"/>
        </w:rPr>
      </w:pPr>
    </w:p>
    <w:p w14:paraId="23AF12DA">
      <w:pPr>
        <w:snapToGrid w:val="0"/>
        <w:spacing w:line="440" w:lineRule="exact"/>
        <w:ind w:firstLine="560" w:firstLineChars="200"/>
        <w:rPr>
          <w:rFonts w:ascii="宋体" w:hAnsi="宋体"/>
          <w:color w:val="auto"/>
          <w:highlight w:val="none"/>
        </w:rPr>
      </w:pPr>
      <w:r>
        <w:rPr>
          <w:rFonts w:hint="eastAsia" w:ascii="宋体" w:hAnsi="宋体"/>
          <w:color w:val="auto"/>
          <w:highlight w:val="none"/>
        </w:rPr>
        <w:t>特此证明。</w:t>
      </w:r>
    </w:p>
    <w:p w14:paraId="4F60C24C">
      <w:pPr>
        <w:snapToGrid w:val="0"/>
        <w:spacing w:line="440" w:lineRule="exact"/>
        <w:ind w:firstLine="560" w:firstLineChars="200"/>
        <w:rPr>
          <w:rFonts w:ascii="宋体" w:hAnsi="宋体"/>
          <w:color w:val="auto"/>
          <w:highlight w:val="none"/>
        </w:rPr>
      </w:pPr>
    </w:p>
    <w:p w14:paraId="2383B907">
      <w:pPr>
        <w:snapToGrid w:val="0"/>
        <w:spacing w:line="440" w:lineRule="exact"/>
        <w:ind w:firstLine="560" w:firstLineChars="200"/>
        <w:rPr>
          <w:rFonts w:ascii="宋体" w:hAnsi="宋体"/>
          <w:color w:val="auto"/>
          <w:highlight w:val="none"/>
        </w:rPr>
      </w:pPr>
    </w:p>
    <w:p w14:paraId="10E66D2A">
      <w:pPr>
        <w:snapToGrid w:val="0"/>
        <w:spacing w:line="440" w:lineRule="exact"/>
        <w:ind w:firstLine="560" w:firstLineChars="200"/>
        <w:rPr>
          <w:rFonts w:ascii="宋体" w:hAnsi="宋体"/>
          <w:color w:val="auto"/>
          <w:highlight w:val="none"/>
        </w:rPr>
      </w:pPr>
    </w:p>
    <w:p w14:paraId="515F1519">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（投标人公章）</w:t>
      </w:r>
    </w:p>
    <w:p w14:paraId="2C2CA27E">
      <w:pPr>
        <w:snapToGrid w:val="0"/>
        <w:spacing w:line="440" w:lineRule="exact"/>
        <w:ind w:firstLine="560" w:firstLineChars="200"/>
        <w:rPr>
          <w:rFonts w:ascii="宋体" w:hAnsi="宋体"/>
          <w:color w:val="auto"/>
          <w:highlight w:val="none"/>
        </w:rPr>
      </w:pPr>
    </w:p>
    <w:p w14:paraId="671B9BEB">
      <w:pPr>
        <w:snapToGrid w:val="0"/>
        <w:spacing w:line="440" w:lineRule="exact"/>
        <w:ind w:firstLine="560" w:firstLineChars="200"/>
        <w:rPr>
          <w:rFonts w:ascii="宋体" w:hAnsi="宋体"/>
          <w:color w:val="auto"/>
          <w:highlight w:val="none"/>
        </w:rPr>
      </w:pPr>
      <w:r>
        <w:rPr>
          <w:rFonts w:hint="eastAsia" w:ascii="宋体" w:hAnsi="宋体"/>
          <w:color w:val="auto"/>
          <w:highlight w:val="none"/>
        </w:rPr>
        <w:t>年月日</w:t>
      </w:r>
    </w:p>
    <w:p w14:paraId="68EEA1EB">
      <w:pPr>
        <w:snapToGrid w:val="0"/>
        <w:spacing w:line="440" w:lineRule="exact"/>
        <w:ind w:firstLine="560" w:firstLineChars="200"/>
        <w:rPr>
          <w:rFonts w:ascii="宋体" w:hAnsi="宋体"/>
          <w:color w:val="auto"/>
          <w:highlight w:val="none"/>
        </w:rPr>
      </w:pPr>
    </w:p>
    <w:p w14:paraId="5608376A">
      <w:pPr>
        <w:snapToGrid w:val="0"/>
        <w:spacing w:line="440" w:lineRule="exact"/>
        <w:ind w:firstLine="560" w:firstLineChars="200"/>
        <w:rPr>
          <w:rFonts w:ascii="宋体" w:hAnsi="宋体"/>
          <w:color w:val="auto"/>
          <w:highlight w:val="none"/>
        </w:rPr>
      </w:pPr>
      <w:r>
        <w:rPr>
          <w:rFonts w:hint="eastAsia" w:ascii="宋体" w:hAnsi="宋体"/>
          <w:color w:val="auto"/>
          <w:highlight w:val="none"/>
        </w:rPr>
        <w:t>（附：法定代表人身份证正反面复印件）</w:t>
      </w:r>
    </w:p>
    <w:p w14:paraId="375A35FC">
      <w:pPr>
        <w:snapToGrid w:val="0"/>
        <w:spacing w:line="440" w:lineRule="exact"/>
        <w:ind w:firstLine="562" w:firstLineChars="200"/>
        <w:rPr>
          <w:rFonts w:ascii="宋体" w:hAnsi="宋体"/>
          <w:b/>
          <w:color w:val="auto"/>
          <w:highlight w:val="none"/>
        </w:rPr>
      </w:pPr>
    </w:p>
    <w:p w14:paraId="3AFB69EB">
      <w:pPr>
        <w:snapToGrid w:val="0"/>
        <w:spacing w:line="440" w:lineRule="exact"/>
        <w:ind w:firstLine="562" w:firstLineChars="200"/>
        <w:rPr>
          <w:rFonts w:ascii="宋体" w:hAnsi="宋体"/>
          <w:b/>
          <w:color w:val="auto"/>
          <w:highlight w:val="none"/>
        </w:rPr>
      </w:pPr>
    </w:p>
    <w:p w14:paraId="07E873BA">
      <w:pPr>
        <w:snapToGrid w:val="0"/>
        <w:spacing w:line="440" w:lineRule="exact"/>
        <w:ind w:firstLine="562" w:firstLineChars="200"/>
        <w:rPr>
          <w:rFonts w:ascii="宋体" w:hAnsi="宋体"/>
          <w:b/>
          <w:color w:val="auto"/>
          <w:highlight w:val="none"/>
        </w:rPr>
      </w:pPr>
    </w:p>
    <w:p w14:paraId="0CFAB68F">
      <w:pPr>
        <w:snapToGrid w:val="0"/>
        <w:spacing w:line="440" w:lineRule="exact"/>
        <w:ind w:firstLine="562" w:firstLineChars="200"/>
        <w:rPr>
          <w:rFonts w:ascii="宋体" w:hAnsi="宋体"/>
          <w:b/>
          <w:color w:val="auto"/>
          <w:highlight w:val="none"/>
        </w:rPr>
      </w:pPr>
    </w:p>
    <w:p w14:paraId="382F8D31">
      <w:pPr>
        <w:snapToGrid w:val="0"/>
        <w:spacing w:line="440" w:lineRule="exact"/>
        <w:ind w:firstLine="562" w:firstLineChars="200"/>
        <w:rPr>
          <w:rFonts w:ascii="宋体" w:hAnsi="宋体"/>
          <w:b/>
          <w:color w:val="auto"/>
          <w:highlight w:val="none"/>
        </w:rPr>
      </w:pPr>
    </w:p>
    <w:p w14:paraId="3063CC39">
      <w:pPr>
        <w:snapToGrid w:val="0"/>
        <w:spacing w:line="440" w:lineRule="exact"/>
        <w:ind w:firstLine="562" w:firstLineChars="200"/>
        <w:rPr>
          <w:rFonts w:ascii="宋体" w:hAnsi="宋体"/>
          <w:b/>
          <w:color w:val="auto"/>
          <w:highlight w:val="none"/>
        </w:rPr>
      </w:pPr>
    </w:p>
    <w:p w14:paraId="6620F201">
      <w:pPr>
        <w:snapToGrid w:val="0"/>
        <w:spacing w:line="440" w:lineRule="exact"/>
        <w:ind w:firstLine="562" w:firstLineChars="200"/>
        <w:rPr>
          <w:rFonts w:ascii="宋体" w:hAnsi="宋体"/>
          <w:b/>
          <w:color w:val="auto"/>
          <w:highlight w:val="none"/>
        </w:rPr>
      </w:pPr>
    </w:p>
    <w:p w14:paraId="78730282">
      <w:pPr>
        <w:snapToGrid w:val="0"/>
        <w:spacing w:line="440" w:lineRule="exact"/>
        <w:ind w:firstLine="562" w:firstLineChars="200"/>
        <w:rPr>
          <w:rFonts w:ascii="宋体" w:hAnsi="宋体"/>
          <w:b/>
          <w:color w:val="auto"/>
          <w:highlight w:val="none"/>
        </w:rPr>
      </w:pPr>
    </w:p>
    <w:p w14:paraId="563D6E5D">
      <w:pPr>
        <w:snapToGrid w:val="0"/>
        <w:spacing w:line="440" w:lineRule="exact"/>
        <w:ind w:firstLine="562" w:firstLineChars="200"/>
        <w:rPr>
          <w:rFonts w:ascii="宋体" w:hAnsi="宋体"/>
          <w:b/>
          <w:color w:val="auto"/>
          <w:highlight w:val="none"/>
        </w:rPr>
      </w:pPr>
    </w:p>
    <w:p w14:paraId="155EA438">
      <w:pPr>
        <w:snapToGrid w:val="0"/>
        <w:spacing w:line="440" w:lineRule="exact"/>
        <w:ind w:firstLine="562" w:firstLineChars="200"/>
        <w:rPr>
          <w:rFonts w:ascii="宋体" w:hAnsi="宋体"/>
          <w:b/>
          <w:color w:val="auto"/>
          <w:highlight w:val="none"/>
        </w:rPr>
      </w:pPr>
    </w:p>
    <w:p w14:paraId="15546531">
      <w:pPr>
        <w:snapToGrid w:val="0"/>
        <w:spacing w:line="440" w:lineRule="exact"/>
        <w:ind w:firstLine="562" w:firstLineChars="200"/>
        <w:rPr>
          <w:rFonts w:ascii="宋体" w:hAnsi="宋体"/>
          <w:b/>
          <w:color w:val="auto"/>
          <w:highlight w:val="none"/>
        </w:rPr>
      </w:pPr>
    </w:p>
    <w:p w14:paraId="73E1762B">
      <w:pPr>
        <w:snapToGrid w:val="0"/>
        <w:spacing w:line="440" w:lineRule="exact"/>
        <w:ind w:firstLine="562" w:firstLineChars="200"/>
        <w:rPr>
          <w:rFonts w:ascii="宋体" w:hAnsi="宋体"/>
          <w:b/>
          <w:color w:val="auto"/>
          <w:highlight w:val="none"/>
        </w:rPr>
      </w:pPr>
    </w:p>
    <w:p w14:paraId="6D67F172">
      <w:pPr>
        <w:snapToGrid w:val="0"/>
        <w:spacing w:line="440" w:lineRule="exact"/>
        <w:ind w:firstLine="562" w:firstLineChars="200"/>
        <w:rPr>
          <w:rFonts w:ascii="宋体" w:hAnsi="宋体"/>
          <w:b/>
          <w:color w:val="auto"/>
          <w:highlight w:val="none"/>
        </w:rPr>
      </w:pPr>
    </w:p>
    <w:p w14:paraId="2AF04D91">
      <w:pPr>
        <w:snapToGrid w:val="0"/>
        <w:spacing w:line="440" w:lineRule="exact"/>
        <w:ind w:firstLine="562" w:firstLineChars="200"/>
        <w:rPr>
          <w:rFonts w:ascii="宋体" w:hAnsi="宋体"/>
          <w:b/>
          <w:color w:val="auto"/>
          <w:highlight w:val="none"/>
        </w:rPr>
      </w:pPr>
    </w:p>
    <w:p w14:paraId="7A1FEFC2">
      <w:pPr>
        <w:snapToGrid w:val="0"/>
        <w:spacing w:line="440" w:lineRule="exact"/>
        <w:ind w:firstLine="562" w:firstLineChars="200"/>
        <w:rPr>
          <w:rFonts w:ascii="宋体" w:hAnsi="宋体"/>
          <w:b/>
          <w:color w:val="auto"/>
          <w:highlight w:val="none"/>
        </w:rPr>
      </w:pPr>
    </w:p>
    <w:p w14:paraId="63B2A106">
      <w:pPr>
        <w:snapToGrid w:val="0"/>
        <w:spacing w:line="440" w:lineRule="exact"/>
        <w:ind w:firstLine="562" w:firstLineChars="200"/>
        <w:rPr>
          <w:rFonts w:ascii="宋体" w:hAnsi="宋体"/>
          <w:b/>
          <w:color w:val="auto"/>
          <w:highlight w:val="none"/>
        </w:rPr>
      </w:pPr>
    </w:p>
    <w:p w14:paraId="30EADB58">
      <w:p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三</w:t>
      </w:r>
      <w:r>
        <w:rPr>
          <w:rFonts w:hint="eastAsia" w:ascii="宋体" w:hAnsi="宋体"/>
          <w:b/>
          <w:color w:val="auto"/>
          <w:highlight w:val="none"/>
        </w:rPr>
        <w:t>）法定代表人授权委托书（格式）</w:t>
      </w:r>
    </w:p>
    <w:p w14:paraId="7DA704F9">
      <w:pPr>
        <w:snapToGrid w:val="0"/>
        <w:spacing w:line="440" w:lineRule="exact"/>
        <w:ind w:firstLine="560" w:firstLineChars="200"/>
        <w:rPr>
          <w:rFonts w:ascii="宋体" w:hAnsi="宋体"/>
          <w:color w:val="auto"/>
          <w:highlight w:val="none"/>
        </w:rPr>
      </w:pPr>
    </w:p>
    <w:p w14:paraId="6C9130F5">
      <w:pPr>
        <w:snapToGrid w:val="0"/>
        <w:spacing w:line="440" w:lineRule="exact"/>
        <w:ind w:firstLine="560" w:firstLineChars="200"/>
        <w:rPr>
          <w:rFonts w:ascii="宋体" w:hAnsi="宋体"/>
          <w:color w:val="auto"/>
          <w:highlight w:val="none"/>
        </w:rPr>
      </w:pPr>
      <w:r>
        <w:rPr>
          <w:rFonts w:hint="eastAsia" w:ascii="宋体" w:hAnsi="宋体"/>
          <w:color w:val="auto"/>
          <w:highlight w:val="none"/>
        </w:rPr>
        <w:t>采购项目名称：</w:t>
      </w:r>
    </w:p>
    <w:p w14:paraId="22299B76">
      <w:pPr>
        <w:snapToGrid w:val="0"/>
        <w:spacing w:line="440" w:lineRule="exact"/>
        <w:ind w:firstLine="560" w:firstLineChars="200"/>
        <w:rPr>
          <w:rFonts w:ascii="宋体" w:hAnsi="宋体"/>
          <w:color w:val="auto"/>
          <w:highlight w:val="none"/>
        </w:rPr>
      </w:pPr>
    </w:p>
    <w:p w14:paraId="22F28EE3">
      <w:pPr>
        <w:snapToGrid w:val="0"/>
        <w:spacing w:line="440" w:lineRule="exact"/>
        <w:ind w:firstLine="560" w:firstLineChars="200"/>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重庆文理学院</w:t>
      </w:r>
    </w:p>
    <w:p w14:paraId="5C9BC139">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（投标人法定代表人名称）是（投标人名称）的法定代表人，特授权（被授权人姓名及身份证代码）代表我单位全权办理上述项目的投标、谈判、签约等具体工作，并签署全部有关文件、协议及合同。</w:t>
      </w:r>
    </w:p>
    <w:p w14:paraId="0B578745">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我单位对被授权人的签名负全部责任。</w:t>
      </w:r>
    </w:p>
    <w:p w14:paraId="54FBEC92">
      <w:pPr>
        <w:snapToGrid w:val="0"/>
        <w:spacing w:line="440" w:lineRule="exact"/>
        <w:ind w:firstLine="560" w:firstLineChars="200"/>
        <w:rPr>
          <w:rFonts w:ascii="宋体" w:hAnsi="宋体"/>
          <w:color w:val="auto"/>
          <w:highlight w:val="none"/>
        </w:rPr>
      </w:pPr>
      <w:r>
        <w:rPr>
          <w:rFonts w:hint="eastAsia" w:ascii="宋体" w:hAnsi="宋体"/>
          <w:color w:val="auto"/>
          <w:highlight w:val="none"/>
        </w:rPr>
        <w:t>在撤消授权的书面通知以前，本授权书一直有效。被授权人在授权书有效期内签署的所有文件不因授权的撤消而失效。</w:t>
      </w:r>
    </w:p>
    <w:p w14:paraId="1DD26053">
      <w:pPr>
        <w:snapToGrid w:val="0"/>
        <w:spacing w:line="440" w:lineRule="exact"/>
        <w:ind w:firstLine="560" w:firstLineChars="200"/>
        <w:rPr>
          <w:rFonts w:ascii="宋体" w:hAnsi="宋体"/>
          <w:color w:val="auto"/>
          <w:highlight w:val="none"/>
        </w:rPr>
      </w:pPr>
    </w:p>
    <w:p w14:paraId="7B2A30E6">
      <w:pPr>
        <w:snapToGrid w:val="0"/>
        <w:spacing w:line="440" w:lineRule="exact"/>
        <w:ind w:firstLine="560" w:firstLineChars="200"/>
        <w:rPr>
          <w:rFonts w:ascii="宋体" w:hAnsi="宋体"/>
          <w:color w:val="auto"/>
          <w:highlight w:val="none"/>
        </w:rPr>
      </w:pPr>
    </w:p>
    <w:p w14:paraId="4F33B71F">
      <w:pPr>
        <w:snapToGrid w:val="0"/>
        <w:spacing w:line="440" w:lineRule="exact"/>
        <w:ind w:firstLine="560" w:firstLineChars="200"/>
        <w:rPr>
          <w:rFonts w:ascii="宋体" w:hAnsi="宋体"/>
          <w:color w:val="auto"/>
          <w:highlight w:val="none"/>
        </w:rPr>
      </w:pPr>
      <w:r>
        <w:rPr>
          <w:rFonts w:hint="eastAsia" w:ascii="宋体" w:hAnsi="宋体"/>
          <w:color w:val="auto"/>
          <w:highlight w:val="none"/>
        </w:rPr>
        <w:t>被授权人签名：投标人法定代表人签名：</w:t>
      </w:r>
    </w:p>
    <w:p w14:paraId="09F1B8E1">
      <w:pPr>
        <w:snapToGrid w:val="0"/>
        <w:spacing w:line="440" w:lineRule="exact"/>
        <w:ind w:firstLine="560" w:firstLineChars="200"/>
        <w:rPr>
          <w:rFonts w:ascii="宋体" w:hAnsi="宋体"/>
          <w:color w:val="auto"/>
          <w:highlight w:val="none"/>
        </w:rPr>
      </w:pPr>
    </w:p>
    <w:p w14:paraId="27AD3B22">
      <w:pPr>
        <w:snapToGrid w:val="0"/>
        <w:spacing w:line="440" w:lineRule="exact"/>
        <w:ind w:firstLine="560" w:firstLineChars="200"/>
        <w:rPr>
          <w:rFonts w:ascii="宋体" w:hAnsi="宋体"/>
          <w:color w:val="auto"/>
          <w:highlight w:val="none"/>
        </w:rPr>
      </w:pPr>
    </w:p>
    <w:p w14:paraId="74770676">
      <w:pPr>
        <w:snapToGrid w:val="0"/>
        <w:spacing w:line="440" w:lineRule="exact"/>
        <w:ind w:firstLine="560" w:firstLineChars="200"/>
        <w:rPr>
          <w:rFonts w:ascii="宋体" w:hAnsi="宋体"/>
          <w:color w:val="auto"/>
          <w:highlight w:val="none"/>
        </w:rPr>
      </w:pPr>
      <w:r>
        <w:rPr>
          <w:rFonts w:hint="eastAsia" w:ascii="宋体" w:hAnsi="宋体"/>
          <w:color w:val="auto"/>
          <w:highlight w:val="none"/>
        </w:rPr>
        <w:t>（附：被授权人身份证正反面复印件）</w:t>
      </w:r>
    </w:p>
    <w:p w14:paraId="4D3B6E94">
      <w:pPr>
        <w:snapToGrid w:val="0"/>
        <w:spacing w:line="440" w:lineRule="exact"/>
        <w:ind w:firstLine="560" w:firstLineChars="200"/>
        <w:rPr>
          <w:rFonts w:ascii="宋体" w:hAnsi="宋体"/>
          <w:color w:val="auto"/>
          <w:highlight w:val="none"/>
        </w:rPr>
      </w:pPr>
    </w:p>
    <w:p w14:paraId="6B0C41E6">
      <w:pPr>
        <w:snapToGrid w:val="0"/>
        <w:spacing w:line="440" w:lineRule="exact"/>
        <w:ind w:firstLine="560" w:firstLineChars="200"/>
        <w:rPr>
          <w:rFonts w:ascii="宋体" w:hAnsi="宋体"/>
          <w:color w:val="auto"/>
          <w:highlight w:val="none"/>
        </w:rPr>
      </w:pPr>
    </w:p>
    <w:p w14:paraId="04C9F881">
      <w:pPr>
        <w:snapToGrid w:val="0"/>
        <w:spacing w:line="440" w:lineRule="exact"/>
        <w:ind w:firstLine="560" w:firstLineChars="200"/>
        <w:rPr>
          <w:rFonts w:ascii="宋体" w:hAnsi="宋体"/>
          <w:color w:val="auto"/>
          <w:highlight w:val="none"/>
        </w:rPr>
      </w:pPr>
    </w:p>
    <w:p w14:paraId="59E96400">
      <w:pPr>
        <w:snapToGrid w:val="0"/>
        <w:spacing w:line="440" w:lineRule="exact"/>
        <w:ind w:firstLine="5040" w:firstLineChars="1800"/>
        <w:rPr>
          <w:rFonts w:ascii="宋体" w:hAnsi="宋体"/>
          <w:color w:val="auto"/>
          <w:highlight w:val="none"/>
        </w:rPr>
      </w:pPr>
      <w:r>
        <w:rPr>
          <w:rFonts w:hint="eastAsia" w:ascii="宋体" w:hAnsi="宋体"/>
          <w:color w:val="auto"/>
          <w:highlight w:val="none"/>
        </w:rPr>
        <w:t>（投标人公章）</w:t>
      </w:r>
    </w:p>
    <w:p w14:paraId="7AD8AD2A">
      <w:pPr>
        <w:snapToGrid w:val="0"/>
        <w:spacing w:line="440" w:lineRule="exact"/>
        <w:ind w:firstLine="5320" w:firstLineChars="1900"/>
        <w:rPr>
          <w:rFonts w:ascii="宋体" w:hAnsi="宋体"/>
          <w:color w:val="auto"/>
          <w:highlight w:val="none"/>
        </w:rPr>
      </w:pPr>
      <w:r>
        <w:rPr>
          <w:rFonts w:hint="eastAsia" w:ascii="宋体" w:hAnsi="宋体"/>
          <w:color w:val="auto"/>
          <w:highlight w:val="none"/>
        </w:rPr>
        <w:t>年月日</w:t>
      </w:r>
    </w:p>
    <w:p w14:paraId="4F8FC527">
      <w:pPr>
        <w:snapToGrid w:val="0"/>
        <w:spacing w:line="440" w:lineRule="exact"/>
        <w:ind w:firstLine="560" w:firstLineChars="200"/>
        <w:rPr>
          <w:rFonts w:ascii="宋体" w:hAnsi="宋体"/>
          <w:color w:val="auto"/>
          <w:highlight w:val="none"/>
        </w:rPr>
      </w:pPr>
    </w:p>
    <w:p w14:paraId="15497EA6">
      <w:pPr>
        <w:snapToGrid w:val="0"/>
        <w:spacing w:line="440" w:lineRule="exact"/>
        <w:ind w:firstLine="560" w:firstLineChars="200"/>
        <w:rPr>
          <w:rFonts w:ascii="宋体" w:hAnsi="宋体"/>
          <w:color w:val="auto"/>
          <w:highlight w:val="none"/>
        </w:rPr>
      </w:pPr>
    </w:p>
    <w:p w14:paraId="0E70EA41">
      <w:pPr>
        <w:snapToGrid w:val="0"/>
        <w:spacing w:line="440" w:lineRule="exact"/>
        <w:ind w:firstLine="560" w:firstLineChars="200"/>
        <w:rPr>
          <w:rFonts w:ascii="宋体" w:hAnsi="宋体"/>
          <w:color w:val="auto"/>
          <w:highlight w:val="none"/>
        </w:rPr>
      </w:pPr>
    </w:p>
    <w:p w14:paraId="41DC70A7">
      <w:pPr>
        <w:snapToGrid w:val="0"/>
        <w:spacing w:line="440" w:lineRule="exact"/>
        <w:ind w:firstLine="560" w:firstLineChars="200"/>
        <w:rPr>
          <w:rFonts w:ascii="宋体" w:hAnsi="宋体"/>
          <w:color w:val="auto"/>
          <w:highlight w:val="none"/>
        </w:rPr>
      </w:pPr>
    </w:p>
    <w:p w14:paraId="3A44DB8F">
      <w:pPr>
        <w:snapToGrid w:val="0"/>
        <w:spacing w:line="440" w:lineRule="exact"/>
        <w:ind w:firstLine="560" w:firstLineChars="200"/>
        <w:rPr>
          <w:rFonts w:ascii="宋体" w:hAnsi="宋体"/>
          <w:color w:val="auto"/>
          <w:highlight w:val="none"/>
        </w:rPr>
      </w:pPr>
    </w:p>
    <w:p w14:paraId="15073070">
      <w:pPr>
        <w:snapToGrid w:val="0"/>
        <w:spacing w:line="440" w:lineRule="exact"/>
        <w:ind w:firstLine="560" w:firstLineChars="200"/>
        <w:rPr>
          <w:rFonts w:ascii="宋体" w:hAnsi="宋体"/>
          <w:color w:val="auto"/>
          <w:highlight w:val="none"/>
        </w:rPr>
      </w:pPr>
    </w:p>
    <w:p w14:paraId="4B95CD03">
      <w:pPr>
        <w:snapToGrid w:val="0"/>
        <w:spacing w:line="440" w:lineRule="exact"/>
        <w:ind w:firstLine="560" w:firstLineChars="200"/>
        <w:rPr>
          <w:rFonts w:ascii="宋体" w:hAnsi="宋体"/>
          <w:color w:val="auto"/>
          <w:highlight w:val="none"/>
        </w:rPr>
      </w:pPr>
    </w:p>
    <w:p w14:paraId="2B11DF6C">
      <w:pPr>
        <w:snapToGrid w:val="0"/>
        <w:spacing w:line="440" w:lineRule="exact"/>
        <w:ind w:firstLine="560" w:firstLineChars="200"/>
        <w:rPr>
          <w:rFonts w:ascii="宋体" w:hAnsi="宋体"/>
          <w:color w:val="auto"/>
          <w:highlight w:val="none"/>
        </w:rPr>
      </w:pPr>
    </w:p>
    <w:p w14:paraId="44B04D49">
      <w:pPr>
        <w:snapToGrid w:val="0"/>
        <w:spacing w:line="440" w:lineRule="exact"/>
        <w:ind w:firstLine="560" w:firstLineChars="200"/>
        <w:rPr>
          <w:rFonts w:ascii="宋体" w:hAnsi="宋体"/>
          <w:color w:val="auto"/>
          <w:highlight w:val="none"/>
        </w:rPr>
      </w:pPr>
    </w:p>
    <w:p w14:paraId="7E398833">
      <w:pPr>
        <w:snapToGrid w:val="0"/>
        <w:spacing w:line="440" w:lineRule="exact"/>
        <w:ind w:firstLine="560" w:firstLineChars="200"/>
        <w:rPr>
          <w:rFonts w:ascii="宋体" w:hAnsi="宋体"/>
          <w:color w:val="auto"/>
          <w:highlight w:val="none"/>
        </w:rPr>
      </w:pPr>
    </w:p>
    <w:p w14:paraId="0A0A9735">
      <w:p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四</w:t>
      </w:r>
      <w:r>
        <w:rPr>
          <w:rFonts w:hint="eastAsia" w:ascii="宋体" w:hAnsi="宋体"/>
          <w:b/>
          <w:color w:val="auto"/>
          <w:highlight w:val="none"/>
        </w:rPr>
        <w:t>）诚信声明</w:t>
      </w:r>
    </w:p>
    <w:p w14:paraId="570FCEEE">
      <w:pPr>
        <w:snapToGrid w:val="0"/>
        <w:spacing w:line="440" w:lineRule="exact"/>
        <w:ind w:firstLine="560" w:firstLineChars="200"/>
        <w:rPr>
          <w:rFonts w:ascii="宋体" w:hAnsi="宋体"/>
          <w:color w:val="auto"/>
          <w:highlight w:val="none"/>
        </w:rPr>
      </w:pPr>
    </w:p>
    <w:p w14:paraId="5190FE0A">
      <w:pPr>
        <w:snapToGrid w:val="0"/>
        <w:spacing w:line="440" w:lineRule="exact"/>
        <w:ind w:firstLine="560" w:firstLineChars="200"/>
        <w:rPr>
          <w:rFonts w:ascii="宋体" w:hAnsi="宋体"/>
          <w:color w:val="auto"/>
          <w:highlight w:val="none"/>
        </w:rPr>
      </w:pPr>
      <w:r>
        <w:rPr>
          <w:rFonts w:hint="eastAsia" w:ascii="宋体" w:hAnsi="宋体"/>
          <w:color w:val="auto"/>
          <w:highlight w:val="none"/>
        </w:rPr>
        <w:t>采购项目名称：</w:t>
      </w:r>
    </w:p>
    <w:p w14:paraId="2F1DF255">
      <w:pPr>
        <w:snapToGrid w:val="0"/>
        <w:spacing w:line="440" w:lineRule="exact"/>
        <w:ind w:firstLine="560" w:firstLineChars="200"/>
        <w:rPr>
          <w:rFonts w:ascii="宋体" w:hAnsi="宋体"/>
          <w:color w:val="auto"/>
          <w:highlight w:val="none"/>
        </w:rPr>
      </w:pPr>
    </w:p>
    <w:p w14:paraId="106CC0B9">
      <w:pPr>
        <w:snapToGrid w:val="0"/>
        <w:spacing w:line="440" w:lineRule="exact"/>
        <w:ind w:firstLine="560" w:firstLineChars="200"/>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重庆文理学院</w:t>
      </w:r>
    </w:p>
    <w:p w14:paraId="1F1402CF">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投标人名称）郑重声明，我公司具有良好的商业信誉和健全的财务会计制度，依法缴纳税收和社会保障金，具有履行合同所必需的设备和专业技术能力，我公司还同时声明参加本项目采购活动前三年内无重大违法活动记录，符合《政府采购法》规定的供应商资格条件。我方对以上声明负全部法律责任。</w:t>
      </w:r>
    </w:p>
    <w:p w14:paraId="7688821A">
      <w:pPr>
        <w:snapToGrid w:val="0"/>
        <w:spacing w:line="440" w:lineRule="exact"/>
        <w:ind w:firstLine="560" w:firstLineChars="200"/>
        <w:rPr>
          <w:rFonts w:ascii="宋体" w:hAnsi="宋体"/>
          <w:color w:val="auto"/>
          <w:highlight w:val="none"/>
        </w:rPr>
      </w:pPr>
      <w:r>
        <w:rPr>
          <w:rFonts w:hint="eastAsia" w:ascii="宋体" w:hAnsi="宋体"/>
          <w:color w:val="auto"/>
          <w:highlight w:val="none"/>
        </w:rPr>
        <w:t>特此声明。</w:t>
      </w:r>
    </w:p>
    <w:p w14:paraId="539C0147">
      <w:pPr>
        <w:snapToGrid w:val="0"/>
        <w:spacing w:line="440" w:lineRule="exact"/>
        <w:ind w:firstLine="560" w:firstLineChars="200"/>
        <w:rPr>
          <w:rFonts w:ascii="宋体" w:hAnsi="宋体"/>
          <w:color w:val="auto"/>
          <w:highlight w:val="none"/>
        </w:rPr>
      </w:pPr>
    </w:p>
    <w:p w14:paraId="2C1402BB">
      <w:pPr>
        <w:snapToGrid w:val="0"/>
        <w:spacing w:line="440" w:lineRule="exact"/>
        <w:ind w:firstLine="560" w:firstLineChars="200"/>
        <w:rPr>
          <w:rFonts w:ascii="宋体" w:hAnsi="宋体"/>
          <w:color w:val="auto"/>
          <w:highlight w:val="none"/>
        </w:rPr>
      </w:pPr>
    </w:p>
    <w:p w14:paraId="21902F40">
      <w:pPr>
        <w:snapToGrid w:val="0"/>
        <w:spacing w:line="440" w:lineRule="exact"/>
        <w:ind w:firstLine="560" w:firstLineChars="200"/>
        <w:rPr>
          <w:rFonts w:ascii="宋体" w:hAnsi="宋体"/>
          <w:color w:val="auto"/>
          <w:highlight w:val="none"/>
        </w:rPr>
      </w:pPr>
    </w:p>
    <w:p w14:paraId="27F8EDF5">
      <w:pPr>
        <w:snapToGrid w:val="0"/>
        <w:spacing w:line="440" w:lineRule="exact"/>
        <w:ind w:firstLine="5600" w:firstLineChars="2000"/>
        <w:rPr>
          <w:rFonts w:ascii="宋体" w:hAnsi="宋体"/>
          <w:color w:val="auto"/>
          <w:highlight w:val="none"/>
        </w:rPr>
      </w:pPr>
      <w:r>
        <w:rPr>
          <w:rFonts w:hint="eastAsia" w:ascii="宋体" w:hAnsi="宋体"/>
          <w:color w:val="auto"/>
          <w:highlight w:val="none"/>
        </w:rPr>
        <w:t>（投标人公章）</w:t>
      </w:r>
    </w:p>
    <w:p w14:paraId="48AE915F">
      <w:pPr>
        <w:snapToGrid w:val="0"/>
        <w:spacing w:line="440" w:lineRule="exact"/>
        <w:ind w:firstLine="6160" w:firstLineChars="2200"/>
        <w:rPr>
          <w:rFonts w:ascii="宋体" w:hAnsi="宋体"/>
          <w:color w:val="auto"/>
          <w:highlight w:val="none"/>
        </w:rPr>
      </w:pPr>
      <w:r>
        <w:rPr>
          <w:rFonts w:hint="eastAsia" w:ascii="宋体" w:hAnsi="宋体"/>
          <w:color w:val="auto"/>
          <w:highlight w:val="none"/>
        </w:rPr>
        <w:t>年月日</w:t>
      </w:r>
    </w:p>
    <w:p w14:paraId="33F23E42">
      <w:pPr>
        <w:snapToGrid w:val="0"/>
        <w:spacing w:line="440" w:lineRule="exact"/>
        <w:ind w:firstLine="560" w:firstLineChars="200"/>
        <w:rPr>
          <w:rFonts w:ascii="宋体" w:hAnsi="宋体"/>
          <w:color w:val="auto"/>
          <w:highlight w:val="none"/>
        </w:rPr>
      </w:pPr>
    </w:p>
    <w:p w14:paraId="75F5ECF6">
      <w:pPr>
        <w:snapToGrid w:val="0"/>
        <w:spacing w:line="440" w:lineRule="exact"/>
        <w:ind w:firstLine="560" w:firstLineChars="200"/>
        <w:rPr>
          <w:rFonts w:ascii="宋体" w:hAnsi="宋体"/>
          <w:color w:val="auto"/>
          <w:highlight w:val="none"/>
        </w:rPr>
      </w:pPr>
    </w:p>
    <w:p w14:paraId="43EB3100">
      <w:pPr>
        <w:snapToGrid w:val="0"/>
        <w:spacing w:line="440" w:lineRule="exact"/>
        <w:ind w:firstLine="560" w:firstLineChars="200"/>
        <w:rPr>
          <w:rFonts w:ascii="宋体" w:hAnsi="宋体"/>
          <w:color w:val="auto"/>
          <w:highlight w:val="none"/>
        </w:rPr>
      </w:pPr>
    </w:p>
    <w:p w14:paraId="72B5C723">
      <w:pPr>
        <w:snapToGrid w:val="0"/>
        <w:spacing w:line="440" w:lineRule="exact"/>
        <w:ind w:firstLine="560" w:firstLineChars="200"/>
        <w:rPr>
          <w:rFonts w:ascii="宋体" w:hAnsi="宋体"/>
          <w:color w:val="auto"/>
          <w:highlight w:val="none"/>
        </w:rPr>
      </w:pPr>
    </w:p>
    <w:p w14:paraId="614EBD54">
      <w:pPr>
        <w:snapToGrid w:val="0"/>
        <w:spacing w:line="440" w:lineRule="exact"/>
        <w:ind w:firstLine="560" w:firstLineChars="200"/>
        <w:rPr>
          <w:rFonts w:ascii="宋体" w:hAnsi="宋体"/>
          <w:color w:val="auto"/>
          <w:highlight w:val="none"/>
        </w:rPr>
      </w:pPr>
    </w:p>
    <w:p w14:paraId="3A2129B8">
      <w:pPr>
        <w:snapToGrid w:val="0"/>
        <w:spacing w:line="440" w:lineRule="exact"/>
        <w:ind w:firstLine="560" w:firstLineChars="200"/>
        <w:rPr>
          <w:rFonts w:ascii="宋体" w:hAnsi="宋体"/>
          <w:color w:val="auto"/>
          <w:highlight w:val="none"/>
        </w:rPr>
      </w:pPr>
    </w:p>
    <w:p w14:paraId="0802F7DE">
      <w:pPr>
        <w:snapToGrid w:val="0"/>
        <w:spacing w:line="440" w:lineRule="exact"/>
        <w:ind w:firstLine="560" w:firstLineChars="200"/>
        <w:rPr>
          <w:rFonts w:ascii="宋体" w:hAnsi="宋体"/>
          <w:color w:val="auto"/>
          <w:highlight w:val="none"/>
        </w:rPr>
      </w:pPr>
    </w:p>
    <w:p w14:paraId="034C4BA9">
      <w:pPr>
        <w:snapToGrid w:val="0"/>
        <w:spacing w:line="440" w:lineRule="exact"/>
        <w:ind w:firstLine="560" w:firstLineChars="200"/>
        <w:rPr>
          <w:rFonts w:ascii="宋体" w:hAnsi="宋体"/>
          <w:color w:val="auto"/>
          <w:highlight w:val="none"/>
        </w:rPr>
      </w:pPr>
    </w:p>
    <w:p w14:paraId="6904415E">
      <w:pPr>
        <w:snapToGrid w:val="0"/>
        <w:spacing w:line="440" w:lineRule="exact"/>
        <w:ind w:firstLine="560" w:firstLineChars="200"/>
        <w:rPr>
          <w:rFonts w:ascii="宋体" w:hAnsi="宋体"/>
          <w:color w:val="auto"/>
          <w:highlight w:val="none"/>
        </w:rPr>
      </w:pPr>
    </w:p>
    <w:p w14:paraId="071E61B2">
      <w:pPr>
        <w:snapToGrid w:val="0"/>
        <w:spacing w:line="440" w:lineRule="exact"/>
        <w:ind w:firstLine="560" w:firstLineChars="200"/>
        <w:rPr>
          <w:rFonts w:ascii="宋体" w:hAnsi="宋体"/>
          <w:color w:val="auto"/>
          <w:highlight w:val="none"/>
        </w:rPr>
      </w:pPr>
    </w:p>
    <w:p w14:paraId="523E7C1D">
      <w:pPr>
        <w:snapToGrid w:val="0"/>
        <w:spacing w:line="440" w:lineRule="exact"/>
        <w:ind w:firstLine="560" w:firstLineChars="200"/>
        <w:rPr>
          <w:rFonts w:ascii="宋体" w:hAnsi="宋体"/>
          <w:color w:val="auto"/>
          <w:highlight w:val="none"/>
        </w:rPr>
      </w:pPr>
    </w:p>
    <w:p w14:paraId="398BB772">
      <w:pPr>
        <w:snapToGrid w:val="0"/>
        <w:spacing w:line="440" w:lineRule="exact"/>
        <w:ind w:firstLine="560" w:firstLineChars="200"/>
        <w:rPr>
          <w:rFonts w:ascii="宋体" w:hAnsi="宋体"/>
          <w:color w:val="auto"/>
          <w:highlight w:val="none"/>
        </w:rPr>
      </w:pPr>
    </w:p>
    <w:p w14:paraId="36A7BA2C">
      <w:pPr>
        <w:snapToGrid w:val="0"/>
        <w:spacing w:line="440" w:lineRule="exact"/>
        <w:ind w:firstLine="560" w:firstLineChars="200"/>
        <w:rPr>
          <w:rFonts w:ascii="宋体" w:hAnsi="宋体"/>
          <w:color w:val="auto"/>
          <w:highlight w:val="none"/>
        </w:rPr>
      </w:pPr>
    </w:p>
    <w:p w14:paraId="1CB346A5">
      <w:pPr>
        <w:snapToGrid w:val="0"/>
        <w:spacing w:line="440" w:lineRule="exact"/>
        <w:ind w:firstLine="560" w:firstLineChars="200"/>
        <w:rPr>
          <w:rFonts w:ascii="宋体" w:hAnsi="宋体"/>
          <w:color w:val="auto"/>
          <w:highlight w:val="none"/>
        </w:rPr>
      </w:pPr>
    </w:p>
    <w:p w14:paraId="29F9C18E">
      <w:pPr>
        <w:snapToGrid w:val="0"/>
        <w:spacing w:line="440" w:lineRule="exact"/>
        <w:ind w:firstLine="560" w:firstLineChars="200"/>
        <w:rPr>
          <w:rFonts w:ascii="宋体" w:hAnsi="宋体"/>
          <w:color w:val="auto"/>
          <w:highlight w:val="none"/>
        </w:rPr>
      </w:pPr>
    </w:p>
    <w:p w14:paraId="4DBA60B0">
      <w:pPr>
        <w:snapToGrid w:val="0"/>
        <w:spacing w:line="440" w:lineRule="exact"/>
        <w:ind w:firstLine="560" w:firstLineChars="200"/>
        <w:rPr>
          <w:rFonts w:ascii="宋体" w:hAnsi="宋体"/>
          <w:color w:val="auto"/>
          <w:highlight w:val="none"/>
        </w:rPr>
      </w:pPr>
    </w:p>
    <w:p w14:paraId="2ED65B63">
      <w:pPr>
        <w:snapToGrid w:val="0"/>
        <w:spacing w:line="440" w:lineRule="exact"/>
        <w:ind w:firstLine="560" w:firstLineChars="200"/>
        <w:rPr>
          <w:rFonts w:ascii="宋体" w:hAnsi="宋体"/>
          <w:color w:val="auto"/>
          <w:highlight w:val="none"/>
        </w:rPr>
      </w:pPr>
    </w:p>
    <w:p w14:paraId="11EADC77">
      <w:pPr>
        <w:snapToGrid w:val="0"/>
        <w:spacing w:line="440" w:lineRule="exact"/>
        <w:ind w:firstLine="56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五</w:t>
      </w:r>
      <w:r>
        <w:rPr>
          <w:rFonts w:hint="eastAsia" w:ascii="宋体" w:hAnsi="宋体"/>
          <w:color w:val="auto"/>
          <w:highlight w:val="none"/>
        </w:rPr>
        <w:t>）上一年度资产负债表、利润表、现金流量表复印件</w:t>
      </w:r>
      <w:r>
        <w:rPr>
          <w:rFonts w:hint="eastAsia" w:ascii="宋体" w:hAnsi="宋体"/>
          <w:color w:val="auto"/>
          <w:highlight w:val="none"/>
          <w:lang w:eastAsia="zh-CN"/>
        </w:rPr>
        <w:t>，本年度新成立的公司提供投标截止时间前一个月的财务状况报告（资产负债表、利润表、现金流量表复印件）</w:t>
      </w:r>
      <w:r>
        <w:rPr>
          <w:rFonts w:hint="eastAsia" w:ascii="宋体" w:hAnsi="宋体"/>
          <w:color w:val="auto"/>
          <w:highlight w:val="none"/>
        </w:rPr>
        <w:t>。</w:t>
      </w:r>
    </w:p>
    <w:p w14:paraId="6CEAC7E4">
      <w:pPr>
        <w:snapToGrid w:val="0"/>
        <w:spacing w:line="440" w:lineRule="exact"/>
        <w:ind w:firstLine="56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六</w:t>
      </w:r>
      <w:r>
        <w:rPr>
          <w:rFonts w:hint="eastAsia" w:ascii="宋体" w:hAnsi="宋体"/>
          <w:color w:val="auto"/>
          <w:highlight w:val="none"/>
        </w:rPr>
        <w:t>）缴纳税收的证明材料和社会保险缴纳证明材料。</w:t>
      </w:r>
    </w:p>
    <w:p w14:paraId="29E04BB9">
      <w:pPr>
        <w:snapToGrid w:val="0"/>
        <w:spacing w:line="440" w:lineRule="exact"/>
        <w:ind w:firstLine="560" w:firstLineChars="200"/>
        <w:rPr>
          <w:rFonts w:hint="eastAsia" w:ascii="宋体" w:hAnsi="宋体" w:eastAsia="宋体"/>
          <w:color w:val="auto"/>
          <w:highlight w:val="none"/>
          <w:lang w:val="en-US" w:eastAsia="zh-CN"/>
        </w:rPr>
      </w:pPr>
      <w:r>
        <w:rPr>
          <w:rFonts w:hint="eastAsia" w:ascii="宋体" w:hAnsi="宋体"/>
          <w:color w:val="auto"/>
          <w:highlight w:val="none"/>
        </w:rPr>
        <w:t>（</w:t>
      </w:r>
      <w:r>
        <w:rPr>
          <w:rFonts w:hint="eastAsia" w:ascii="宋体" w:hAnsi="宋体"/>
          <w:color w:val="auto"/>
          <w:highlight w:val="none"/>
          <w:lang w:val="en-US" w:eastAsia="zh-CN"/>
        </w:rPr>
        <w:t>七</w:t>
      </w:r>
      <w:r>
        <w:rPr>
          <w:rFonts w:hint="eastAsia" w:ascii="宋体" w:hAnsi="宋体"/>
          <w:color w:val="auto"/>
          <w:highlight w:val="none"/>
        </w:rPr>
        <w:t>）</w:t>
      </w:r>
      <w:r>
        <w:rPr>
          <w:rFonts w:hint="eastAsia" w:ascii="宋体" w:hAnsi="宋体" w:eastAsia="宋体" w:cs="宋体"/>
          <w:b w:val="0"/>
          <w:bCs w:val="0"/>
          <w:color w:val="auto"/>
          <w:sz w:val="28"/>
          <w:szCs w:val="28"/>
          <w:highlight w:val="none"/>
        </w:rPr>
        <w:t>诚信声明</w:t>
      </w:r>
      <w:r>
        <w:rPr>
          <w:rFonts w:hint="eastAsia" w:ascii="宋体" w:hAnsi="宋体"/>
          <w:color w:val="auto"/>
          <w:highlight w:val="none"/>
        </w:rPr>
        <w:t>与信用中国网站（</w:t>
      </w:r>
      <w:r>
        <w:rPr>
          <w:rFonts w:ascii="宋体" w:hAnsi="宋体"/>
          <w:color w:val="auto"/>
          <w:highlight w:val="none"/>
        </w:rPr>
        <w:t>www.creditchina.gov.cn</w:t>
      </w:r>
      <w:r>
        <w:rPr>
          <w:rFonts w:hint="eastAsia" w:ascii="宋体" w:hAnsi="宋体"/>
          <w:color w:val="auto"/>
          <w:highlight w:val="none"/>
        </w:rPr>
        <w:t>）“信用信息”（包括“失信被执行人”及“重大税收违法案件当事人名单”）及“行政处罚”查询结果以及中国政府采购网（</w:t>
      </w:r>
      <w:r>
        <w:rPr>
          <w:rFonts w:ascii="宋体" w:hAnsi="宋体"/>
          <w:color w:val="auto"/>
          <w:highlight w:val="none"/>
        </w:rPr>
        <w:t>www.ccgp.gov.cn</w:t>
      </w:r>
      <w:r>
        <w:rPr>
          <w:rFonts w:hint="eastAsia" w:ascii="宋体" w:hAnsi="宋体"/>
          <w:color w:val="auto"/>
          <w:highlight w:val="none"/>
        </w:rPr>
        <w:t>）“政府采购严重违法失信行为纪录名单”查询结果（上述两个网站查询结果网页打印件并加盖投标人公章）。查询结果为本项目采购公告发布之日起至投标截止时间前</w:t>
      </w:r>
      <w:r>
        <w:rPr>
          <w:rFonts w:hint="eastAsia" w:ascii="宋体" w:hAnsi="宋体"/>
          <w:color w:val="auto"/>
          <w:highlight w:val="none"/>
          <w:lang w:eastAsia="zh-CN"/>
        </w:rPr>
        <w:t>。</w:t>
      </w:r>
    </w:p>
    <w:p w14:paraId="5AB999F5">
      <w:pPr>
        <w:snapToGrid w:val="0"/>
        <w:spacing w:line="440" w:lineRule="exact"/>
        <w:ind w:firstLine="56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八</w:t>
      </w:r>
      <w:r>
        <w:rPr>
          <w:rFonts w:hint="eastAsia" w:ascii="宋体" w:hAnsi="宋体"/>
          <w:color w:val="auto"/>
          <w:highlight w:val="none"/>
        </w:rPr>
        <w:t>）特定资格条件证明文件</w:t>
      </w:r>
    </w:p>
    <w:p w14:paraId="4300ACAC">
      <w:pPr>
        <w:snapToGrid w:val="0"/>
        <w:spacing w:line="440" w:lineRule="exact"/>
        <w:ind w:firstLine="560" w:firstLineChars="200"/>
        <w:rPr>
          <w:rFonts w:ascii="宋体" w:hAnsi="宋体"/>
          <w:color w:val="auto"/>
          <w:highlight w:val="none"/>
        </w:rPr>
      </w:pPr>
    </w:p>
    <w:p w14:paraId="0A517DDE">
      <w:pPr>
        <w:snapToGrid w:val="0"/>
        <w:spacing w:line="440" w:lineRule="exact"/>
        <w:ind w:firstLine="560" w:firstLineChars="200"/>
        <w:rPr>
          <w:rFonts w:ascii="宋体" w:hAnsi="宋体"/>
          <w:color w:val="auto"/>
          <w:highlight w:val="none"/>
        </w:rPr>
      </w:pPr>
    </w:p>
    <w:p w14:paraId="538FA3BA">
      <w:pPr>
        <w:snapToGrid w:val="0"/>
        <w:spacing w:line="440" w:lineRule="exact"/>
        <w:ind w:firstLine="560" w:firstLineChars="200"/>
        <w:rPr>
          <w:rFonts w:ascii="宋体" w:hAnsi="宋体"/>
          <w:color w:val="auto"/>
          <w:highlight w:val="none"/>
        </w:rPr>
      </w:pPr>
    </w:p>
    <w:p w14:paraId="2AB77B4B">
      <w:pPr>
        <w:snapToGrid w:val="0"/>
        <w:spacing w:line="440" w:lineRule="exact"/>
        <w:ind w:firstLine="560" w:firstLineChars="200"/>
        <w:rPr>
          <w:rFonts w:ascii="宋体" w:hAnsi="宋体"/>
          <w:color w:val="auto"/>
          <w:highlight w:val="none"/>
        </w:rPr>
      </w:pPr>
    </w:p>
    <w:p w14:paraId="18171F94">
      <w:pPr>
        <w:snapToGrid w:val="0"/>
        <w:spacing w:line="440" w:lineRule="exact"/>
        <w:ind w:firstLine="560" w:firstLineChars="200"/>
        <w:rPr>
          <w:rFonts w:ascii="宋体" w:hAnsi="宋体"/>
          <w:color w:val="auto"/>
          <w:highlight w:val="none"/>
        </w:rPr>
      </w:pPr>
    </w:p>
    <w:p w14:paraId="2807B6E3">
      <w:pPr>
        <w:snapToGrid w:val="0"/>
        <w:spacing w:line="440" w:lineRule="exact"/>
        <w:ind w:firstLine="560" w:firstLineChars="200"/>
        <w:rPr>
          <w:rFonts w:ascii="宋体" w:hAnsi="宋体"/>
          <w:color w:val="auto"/>
          <w:highlight w:val="none"/>
        </w:rPr>
      </w:pPr>
    </w:p>
    <w:p w14:paraId="44D321B3">
      <w:pPr>
        <w:snapToGrid w:val="0"/>
        <w:spacing w:line="440" w:lineRule="exact"/>
        <w:ind w:firstLine="560" w:firstLineChars="200"/>
        <w:rPr>
          <w:rFonts w:ascii="宋体" w:hAnsi="宋体"/>
          <w:color w:val="auto"/>
          <w:highlight w:val="none"/>
        </w:rPr>
      </w:pPr>
    </w:p>
    <w:p w14:paraId="3063C7BF">
      <w:pPr>
        <w:snapToGrid w:val="0"/>
        <w:spacing w:line="440" w:lineRule="exact"/>
        <w:ind w:firstLine="560" w:firstLineChars="200"/>
        <w:rPr>
          <w:rFonts w:ascii="宋体" w:hAnsi="宋体"/>
          <w:color w:val="auto"/>
          <w:highlight w:val="none"/>
        </w:rPr>
      </w:pPr>
    </w:p>
    <w:p w14:paraId="2A2FEE69">
      <w:pPr>
        <w:snapToGrid w:val="0"/>
        <w:spacing w:line="440" w:lineRule="exact"/>
        <w:ind w:firstLine="560" w:firstLineChars="200"/>
        <w:rPr>
          <w:rFonts w:ascii="宋体" w:hAnsi="宋体"/>
          <w:color w:val="auto"/>
          <w:highlight w:val="none"/>
        </w:rPr>
      </w:pPr>
    </w:p>
    <w:p w14:paraId="1DCFC919">
      <w:pPr>
        <w:snapToGrid w:val="0"/>
        <w:spacing w:line="440" w:lineRule="exact"/>
        <w:ind w:firstLine="560" w:firstLineChars="200"/>
        <w:rPr>
          <w:rFonts w:ascii="宋体" w:hAnsi="宋体"/>
          <w:color w:val="auto"/>
          <w:highlight w:val="none"/>
        </w:rPr>
      </w:pPr>
    </w:p>
    <w:p w14:paraId="7538ED18">
      <w:pPr>
        <w:snapToGrid w:val="0"/>
        <w:spacing w:line="440" w:lineRule="exact"/>
        <w:ind w:firstLine="560" w:firstLineChars="200"/>
        <w:rPr>
          <w:rFonts w:ascii="宋体" w:hAnsi="宋体"/>
          <w:color w:val="auto"/>
          <w:highlight w:val="none"/>
        </w:rPr>
      </w:pPr>
    </w:p>
    <w:p w14:paraId="1242C6C9">
      <w:pPr>
        <w:snapToGrid w:val="0"/>
        <w:spacing w:line="440" w:lineRule="exact"/>
        <w:ind w:firstLine="560" w:firstLineChars="200"/>
        <w:rPr>
          <w:rFonts w:ascii="宋体" w:hAnsi="宋体"/>
          <w:color w:val="auto"/>
          <w:highlight w:val="none"/>
        </w:rPr>
      </w:pPr>
    </w:p>
    <w:p w14:paraId="7BECB736">
      <w:pPr>
        <w:snapToGrid w:val="0"/>
        <w:spacing w:line="440" w:lineRule="exact"/>
        <w:ind w:firstLine="560" w:firstLineChars="200"/>
        <w:rPr>
          <w:rFonts w:ascii="宋体" w:hAnsi="宋体"/>
          <w:color w:val="auto"/>
          <w:highlight w:val="none"/>
        </w:rPr>
      </w:pPr>
    </w:p>
    <w:p w14:paraId="6343B754">
      <w:pPr>
        <w:snapToGrid w:val="0"/>
        <w:spacing w:line="440" w:lineRule="exact"/>
        <w:ind w:firstLine="560" w:firstLineChars="200"/>
        <w:rPr>
          <w:rFonts w:ascii="宋体" w:hAnsi="宋体"/>
          <w:color w:val="auto"/>
          <w:highlight w:val="none"/>
        </w:rPr>
      </w:pPr>
    </w:p>
    <w:p w14:paraId="52A65D7B">
      <w:pPr>
        <w:snapToGrid w:val="0"/>
        <w:spacing w:line="440" w:lineRule="exact"/>
        <w:ind w:firstLine="560" w:firstLineChars="200"/>
        <w:rPr>
          <w:rFonts w:ascii="宋体" w:hAnsi="宋体"/>
          <w:color w:val="auto"/>
          <w:highlight w:val="none"/>
        </w:rPr>
      </w:pPr>
    </w:p>
    <w:p w14:paraId="41B10C89">
      <w:pPr>
        <w:snapToGrid w:val="0"/>
        <w:spacing w:line="440" w:lineRule="exact"/>
        <w:ind w:firstLine="560" w:firstLineChars="200"/>
        <w:rPr>
          <w:rFonts w:ascii="宋体" w:hAnsi="宋体"/>
          <w:color w:val="auto"/>
          <w:highlight w:val="none"/>
        </w:rPr>
      </w:pPr>
    </w:p>
    <w:p w14:paraId="7A1F81A7">
      <w:pPr>
        <w:snapToGrid w:val="0"/>
        <w:spacing w:line="440" w:lineRule="exact"/>
        <w:ind w:firstLine="560" w:firstLineChars="200"/>
        <w:rPr>
          <w:rFonts w:ascii="宋体" w:hAnsi="宋体"/>
          <w:color w:val="auto"/>
          <w:highlight w:val="none"/>
        </w:rPr>
      </w:pPr>
    </w:p>
    <w:p w14:paraId="201AE1E6">
      <w:pPr>
        <w:snapToGrid w:val="0"/>
        <w:spacing w:line="440" w:lineRule="exact"/>
        <w:ind w:firstLine="560" w:firstLineChars="200"/>
        <w:rPr>
          <w:rFonts w:ascii="宋体" w:hAnsi="宋体"/>
          <w:color w:val="auto"/>
          <w:highlight w:val="none"/>
        </w:rPr>
      </w:pPr>
    </w:p>
    <w:p w14:paraId="2046A0B2">
      <w:pPr>
        <w:snapToGrid w:val="0"/>
        <w:spacing w:line="440" w:lineRule="exact"/>
        <w:ind w:firstLine="560" w:firstLineChars="200"/>
        <w:rPr>
          <w:rFonts w:ascii="宋体" w:hAnsi="宋体"/>
          <w:color w:val="auto"/>
          <w:highlight w:val="none"/>
        </w:rPr>
      </w:pPr>
    </w:p>
    <w:p w14:paraId="6C6D3A05">
      <w:pPr>
        <w:snapToGrid w:val="0"/>
        <w:spacing w:line="440" w:lineRule="exact"/>
        <w:ind w:firstLine="560" w:firstLineChars="200"/>
        <w:rPr>
          <w:rFonts w:ascii="宋体" w:hAnsi="宋体"/>
          <w:color w:val="auto"/>
          <w:highlight w:val="none"/>
        </w:rPr>
      </w:pPr>
    </w:p>
    <w:p w14:paraId="02C17F7B">
      <w:pPr>
        <w:snapToGrid w:val="0"/>
        <w:spacing w:line="440" w:lineRule="exact"/>
        <w:ind w:firstLine="560" w:firstLineChars="200"/>
        <w:rPr>
          <w:rFonts w:ascii="宋体" w:hAnsi="宋体"/>
          <w:color w:val="auto"/>
          <w:highlight w:val="none"/>
        </w:rPr>
      </w:pPr>
    </w:p>
    <w:p w14:paraId="4EB3D0FF">
      <w:pPr>
        <w:snapToGrid w:val="0"/>
        <w:spacing w:line="440" w:lineRule="exact"/>
        <w:ind w:firstLine="562" w:firstLineChars="200"/>
        <w:rPr>
          <w:rFonts w:ascii="宋体" w:hAnsi="宋体"/>
          <w:b/>
          <w:bCs/>
          <w:color w:val="auto"/>
          <w:highlight w:val="none"/>
        </w:rPr>
      </w:pPr>
      <w:bookmarkStart w:id="232" w:name="_Toc186919435"/>
      <w:r>
        <w:rPr>
          <w:rFonts w:hint="eastAsia" w:ascii="宋体" w:hAnsi="宋体"/>
          <w:b/>
          <w:bCs/>
          <w:color w:val="auto"/>
          <w:highlight w:val="none"/>
        </w:rPr>
        <w:t>三、商务文件</w:t>
      </w:r>
      <w:bookmarkEnd w:id="232"/>
    </w:p>
    <w:p w14:paraId="1096D20E">
      <w:p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（一）响应文件函（格式）</w:t>
      </w:r>
    </w:p>
    <w:p w14:paraId="347B9150">
      <w:pPr>
        <w:snapToGrid w:val="0"/>
        <w:spacing w:line="440" w:lineRule="exact"/>
        <w:ind w:firstLine="560" w:firstLineChars="200"/>
        <w:rPr>
          <w:rFonts w:ascii="宋体" w:hAnsi="宋体"/>
          <w:color w:val="auto"/>
          <w:highlight w:val="none"/>
          <w:u w:val="single"/>
        </w:rPr>
      </w:pPr>
      <w:bookmarkStart w:id="233" w:name="_Toc28427"/>
      <w:bookmarkStart w:id="234" w:name="_Toc422381000"/>
      <w:bookmarkStart w:id="235" w:name="_Toc295233020"/>
      <w:r>
        <w:rPr>
          <w:rFonts w:hint="eastAsia" w:ascii="宋体" w:hAnsi="宋体"/>
          <w:color w:val="auto"/>
          <w:highlight w:val="none"/>
        </w:rPr>
        <w:t>采购项目名称：</w:t>
      </w:r>
    </w:p>
    <w:p w14:paraId="3C765517">
      <w:pPr>
        <w:snapToGrid w:val="0"/>
        <w:spacing w:line="440" w:lineRule="exact"/>
        <w:ind w:firstLine="560" w:firstLineChars="200"/>
        <w:rPr>
          <w:rFonts w:ascii="宋体" w:hAnsi="宋体"/>
          <w:color w:val="auto"/>
          <w:highlight w:val="none"/>
        </w:rPr>
      </w:pPr>
    </w:p>
    <w:p w14:paraId="0D7C7B18">
      <w:pPr>
        <w:snapToGrid w:val="0"/>
        <w:spacing w:line="440" w:lineRule="exact"/>
        <w:ind w:firstLine="560" w:firstLineChars="200"/>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重庆文理学院</w:t>
      </w:r>
    </w:p>
    <w:p w14:paraId="2D8AC842">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（投标人名称）系中华人民共和国合法企业，注册地址：。我方就参加本次投标有关事项郑重声明如下：</w:t>
      </w:r>
    </w:p>
    <w:p w14:paraId="3D509BF1">
      <w:pPr>
        <w:snapToGrid w:val="0"/>
        <w:spacing w:line="440" w:lineRule="exact"/>
        <w:ind w:firstLine="560" w:firstLineChars="200"/>
        <w:rPr>
          <w:rFonts w:ascii="宋体" w:hAnsi="宋体"/>
          <w:color w:val="auto"/>
          <w:highlight w:val="none"/>
        </w:rPr>
      </w:pPr>
      <w:r>
        <w:rPr>
          <w:rFonts w:hint="eastAsia" w:ascii="宋体" w:hAnsi="宋体"/>
          <w:color w:val="auto"/>
          <w:highlight w:val="none"/>
        </w:rPr>
        <w:t>一、我方完全理解并接受该项目招标文件所有要求。</w:t>
      </w:r>
    </w:p>
    <w:p w14:paraId="50C116BD">
      <w:pPr>
        <w:snapToGrid w:val="0"/>
        <w:spacing w:line="440" w:lineRule="exact"/>
        <w:ind w:firstLine="560" w:firstLineChars="200"/>
        <w:rPr>
          <w:rFonts w:ascii="宋体" w:hAnsi="宋体"/>
          <w:color w:val="auto"/>
          <w:highlight w:val="none"/>
        </w:rPr>
      </w:pPr>
      <w:r>
        <w:rPr>
          <w:rFonts w:hint="eastAsia" w:ascii="宋体" w:hAnsi="宋体"/>
          <w:color w:val="auto"/>
          <w:highlight w:val="none"/>
        </w:rPr>
        <w:t>二、我方提交的所有投标文件、资料都是准确和真实的，如有虚假或隐瞒，我方愿意承担一切法律责任。</w:t>
      </w:r>
    </w:p>
    <w:p w14:paraId="310A2F9A">
      <w:pPr>
        <w:snapToGrid w:val="0"/>
        <w:spacing w:line="440" w:lineRule="exact"/>
        <w:ind w:firstLine="560" w:firstLineChars="200"/>
        <w:rPr>
          <w:rFonts w:ascii="宋体" w:hAnsi="宋体"/>
          <w:color w:val="auto"/>
          <w:highlight w:val="none"/>
        </w:rPr>
      </w:pPr>
      <w:r>
        <w:rPr>
          <w:rFonts w:hint="eastAsia" w:ascii="宋体" w:hAnsi="宋体"/>
          <w:color w:val="auto"/>
          <w:highlight w:val="none"/>
        </w:rPr>
        <w:t>三、我方承诺按照招标文件要求，提供招标项目的技术服务。</w:t>
      </w:r>
    </w:p>
    <w:p w14:paraId="2C8548FA">
      <w:pPr>
        <w:snapToGrid w:val="0"/>
        <w:spacing w:line="440" w:lineRule="exact"/>
        <w:ind w:firstLine="560" w:firstLineChars="200"/>
        <w:rPr>
          <w:rFonts w:ascii="宋体" w:hAnsi="宋体"/>
          <w:color w:val="auto"/>
          <w:highlight w:val="none"/>
        </w:rPr>
      </w:pPr>
      <w:r>
        <w:rPr>
          <w:rFonts w:hint="eastAsia" w:ascii="宋体" w:hAnsi="宋体"/>
          <w:color w:val="auto"/>
          <w:highlight w:val="none"/>
        </w:rPr>
        <w:t>四、我方按招标文件要求提交的投标文件为：投标文件正本</w:t>
      </w:r>
      <w:r>
        <w:rPr>
          <w:rFonts w:ascii="宋体" w:hAnsi="宋体"/>
          <w:color w:val="auto"/>
          <w:highlight w:val="none"/>
        </w:rPr>
        <w:t>1</w:t>
      </w:r>
      <w:r>
        <w:rPr>
          <w:rFonts w:hint="eastAsia" w:ascii="宋体" w:hAnsi="宋体"/>
          <w:color w:val="auto"/>
          <w:highlight w:val="none"/>
        </w:rPr>
        <w:t>份，副本</w:t>
      </w:r>
      <w:r>
        <w:rPr>
          <w:rFonts w:hint="eastAsia" w:ascii="宋体" w:hAnsi="宋体"/>
          <w:color w:val="auto"/>
          <w:highlight w:val="none"/>
          <w:lang w:val="en-US" w:eastAsia="zh-CN"/>
        </w:rPr>
        <w:t>2</w:t>
      </w:r>
      <w:r>
        <w:rPr>
          <w:rFonts w:hint="eastAsia" w:ascii="宋体" w:hAnsi="宋体"/>
          <w:color w:val="auto"/>
          <w:highlight w:val="none"/>
        </w:rPr>
        <w:t>份</w:t>
      </w:r>
      <w:r>
        <w:rPr>
          <w:rFonts w:hint="eastAsia" w:ascii="宋体" w:hAnsi="宋体"/>
          <w:color w:val="auto"/>
          <w:highlight w:val="none"/>
          <w:lang w:eastAsia="zh-CN"/>
        </w:rPr>
        <w:t>，电子文档</w:t>
      </w:r>
      <w:r>
        <w:rPr>
          <w:rFonts w:hint="eastAsia" w:ascii="宋体" w:hAnsi="宋体"/>
          <w:color w:val="auto"/>
          <w:highlight w:val="none"/>
          <w:lang w:val="en-US" w:eastAsia="zh-CN"/>
        </w:rPr>
        <w:t>1</w:t>
      </w:r>
      <w:r>
        <w:rPr>
          <w:rFonts w:hint="eastAsia" w:ascii="宋体" w:hAnsi="宋体"/>
          <w:color w:val="auto"/>
          <w:highlight w:val="none"/>
          <w:lang w:eastAsia="zh-CN"/>
        </w:rPr>
        <w:t>份</w:t>
      </w:r>
      <w:r>
        <w:rPr>
          <w:rFonts w:hint="eastAsia" w:ascii="宋体" w:hAnsi="宋体"/>
          <w:color w:val="auto"/>
          <w:highlight w:val="none"/>
        </w:rPr>
        <w:t>。</w:t>
      </w:r>
    </w:p>
    <w:p w14:paraId="32A30EA0">
      <w:pPr>
        <w:snapToGrid w:val="0"/>
        <w:spacing w:line="440" w:lineRule="exact"/>
        <w:ind w:firstLine="560" w:firstLineChars="200"/>
        <w:rPr>
          <w:rFonts w:ascii="宋体" w:hAnsi="宋体"/>
          <w:color w:val="auto"/>
          <w:highlight w:val="none"/>
        </w:rPr>
      </w:pPr>
      <w:r>
        <w:rPr>
          <w:rFonts w:hint="eastAsia" w:ascii="宋体" w:hAnsi="宋体"/>
          <w:color w:val="auto"/>
          <w:highlight w:val="none"/>
        </w:rPr>
        <w:t>五、我方承诺：本次投标的投标有效期为</w:t>
      </w:r>
      <w:r>
        <w:rPr>
          <w:rFonts w:ascii="宋体" w:hAnsi="宋体"/>
          <w:color w:val="auto"/>
          <w:highlight w:val="none"/>
        </w:rPr>
        <w:t>90</w:t>
      </w:r>
      <w:r>
        <w:rPr>
          <w:rFonts w:hint="eastAsia" w:ascii="宋体" w:hAnsi="宋体"/>
          <w:color w:val="auto"/>
          <w:highlight w:val="none"/>
        </w:rPr>
        <w:t>天。</w:t>
      </w:r>
    </w:p>
    <w:p w14:paraId="112D7D6D">
      <w:pPr>
        <w:snapToGrid w:val="0"/>
        <w:spacing w:line="440" w:lineRule="exact"/>
        <w:ind w:firstLine="560" w:firstLineChars="200"/>
        <w:rPr>
          <w:rFonts w:ascii="宋体" w:hAnsi="宋体"/>
          <w:color w:val="auto"/>
          <w:highlight w:val="none"/>
        </w:rPr>
      </w:pPr>
      <w:r>
        <w:rPr>
          <w:rFonts w:hint="eastAsia" w:ascii="宋体" w:hAnsi="宋体"/>
          <w:color w:val="auto"/>
          <w:highlight w:val="none"/>
          <w:lang w:val="en-US" w:eastAsia="zh-CN"/>
        </w:rPr>
        <w:t>六</w:t>
      </w:r>
      <w:r>
        <w:rPr>
          <w:rFonts w:hint="eastAsia" w:ascii="宋体" w:hAnsi="宋体"/>
          <w:color w:val="auto"/>
          <w:highlight w:val="none"/>
        </w:rPr>
        <w:t>、我方投标报价为闭口价。即在投标有效期和合同有效期内，该报价固定不变。</w:t>
      </w:r>
    </w:p>
    <w:p w14:paraId="0ED6953E">
      <w:pPr>
        <w:snapToGrid w:val="0"/>
        <w:spacing w:line="440" w:lineRule="exact"/>
        <w:ind w:firstLine="560" w:firstLineChars="200"/>
        <w:rPr>
          <w:rFonts w:ascii="宋体" w:hAnsi="宋体"/>
          <w:color w:val="auto"/>
          <w:highlight w:val="none"/>
        </w:rPr>
      </w:pPr>
      <w:r>
        <w:rPr>
          <w:rFonts w:hint="eastAsia" w:ascii="宋体" w:hAnsi="宋体"/>
          <w:color w:val="auto"/>
          <w:highlight w:val="none"/>
          <w:lang w:val="en-US" w:eastAsia="zh-CN"/>
        </w:rPr>
        <w:t>七</w:t>
      </w:r>
      <w:r>
        <w:rPr>
          <w:rFonts w:hint="eastAsia" w:ascii="宋体" w:hAnsi="宋体"/>
          <w:color w:val="auto"/>
          <w:highlight w:val="none"/>
        </w:rPr>
        <w:t>、如果我方中标，我方将履行招标文件中规定的各项要求以及我方投标文件的各项承诺，按《政府采购法》、《合同法》及合同约定条款承担我方责任。</w:t>
      </w:r>
    </w:p>
    <w:p w14:paraId="48B9B7F9">
      <w:pPr>
        <w:snapToGrid w:val="0"/>
        <w:spacing w:line="440" w:lineRule="exact"/>
        <w:ind w:firstLine="560" w:firstLineChars="200"/>
        <w:rPr>
          <w:rFonts w:ascii="宋体" w:hAnsi="宋体"/>
          <w:color w:val="auto"/>
          <w:highlight w:val="none"/>
        </w:rPr>
      </w:pPr>
      <w:r>
        <w:rPr>
          <w:rFonts w:hint="eastAsia" w:ascii="宋体" w:hAnsi="宋体"/>
          <w:color w:val="auto"/>
          <w:highlight w:val="none"/>
          <w:lang w:val="en-US" w:eastAsia="zh-CN"/>
        </w:rPr>
        <w:t>八</w:t>
      </w:r>
      <w:r>
        <w:rPr>
          <w:rFonts w:hint="eastAsia" w:ascii="宋体" w:hAnsi="宋体"/>
          <w:color w:val="auto"/>
          <w:highlight w:val="none"/>
        </w:rPr>
        <w:t>、我方理解，最低报价不是中标的唯一条件。</w:t>
      </w:r>
    </w:p>
    <w:p w14:paraId="1FFBAD69">
      <w:pPr>
        <w:snapToGrid w:val="0"/>
        <w:spacing w:line="440" w:lineRule="exact"/>
        <w:ind w:firstLine="560" w:firstLineChars="200"/>
        <w:rPr>
          <w:rFonts w:ascii="宋体" w:hAnsi="宋体"/>
          <w:color w:val="auto"/>
          <w:highlight w:val="none"/>
        </w:rPr>
      </w:pPr>
      <w:r>
        <w:rPr>
          <w:rFonts w:hint="eastAsia" w:ascii="宋体" w:hAnsi="宋体"/>
          <w:color w:val="auto"/>
          <w:highlight w:val="none"/>
          <w:lang w:val="en-US" w:eastAsia="zh-CN"/>
        </w:rPr>
        <w:t>九</w:t>
      </w:r>
      <w:r>
        <w:rPr>
          <w:rFonts w:hint="eastAsia" w:ascii="宋体" w:hAnsi="宋体"/>
          <w:color w:val="auto"/>
          <w:highlight w:val="none"/>
        </w:rPr>
        <w:t>、我方同意按有关规定及招标文件要求，缴纳足额投标保证金。</w:t>
      </w:r>
    </w:p>
    <w:p w14:paraId="12F472D5">
      <w:pPr>
        <w:snapToGrid w:val="0"/>
        <w:spacing w:line="440" w:lineRule="exact"/>
        <w:ind w:firstLine="560" w:firstLineChars="200"/>
        <w:rPr>
          <w:rFonts w:ascii="宋体" w:hAnsi="宋体"/>
          <w:color w:val="auto"/>
          <w:highlight w:val="none"/>
        </w:rPr>
      </w:pPr>
      <w:r>
        <w:rPr>
          <w:rFonts w:hint="eastAsia" w:ascii="宋体" w:hAnsi="宋体"/>
          <w:color w:val="auto"/>
          <w:highlight w:val="none"/>
          <w:lang w:val="en-US" w:eastAsia="zh-CN"/>
        </w:rPr>
        <w:t>十</w:t>
      </w:r>
      <w:r>
        <w:rPr>
          <w:rFonts w:hint="eastAsia" w:ascii="宋体" w:hAnsi="宋体"/>
          <w:color w:val="auto"/>
          <w:highlight w:val="none"/>
        </w:rPr>
        <w:t>、若我方中标，愿意按有关规定及招标文件要求缴纳履约保证金。</w:t>
      </w:r>
    </w:p>
    <w:p w14:paraId="295FFDA0">
      <w:pPr>
        <w:snapToGrid w:val="0"/>
        <w:spacing w:line="440" w:lineRule="exact"/>
        <w:ind w:firstLine="560" w:firstLineChars="200"/>
        <w:rPr>
          <w:rFonts w:ascii="宋体" w:hAnsi="宋体"/>
          <w:color w:val="auto"/>
          <w:highlight w:val="none"/>
        </w:rPr>
      </w:pPr>
    </w:p>
    <w:p w14:paraId="2297E3FD">
      <w:pPr>
        <w:snapToGrid w:val="0"/>
        <w:spacing w:line="440" w:lineRule="exact"/>
        <w:ind w:firstLine="6160" w:firstLineChars="2200"/>
        <w:rPr>
          <w:rFonts w:ascii="宋体" w:hAnsi="宋体"/>
          <w:color w:val="auto"/>
          <w:highlight w:val="none"/>
        </w:rPr>
      </w:pPr>
      <w:r>
        <w:rPr>
          <w:rFonts w:hint="eastAsia" w:ascii="宋体" w:hAnsi="宋体"/>
          <w:color w:val="auto"/>
          <w:highlight w:val="none"/>
        </w:rPr>
        <w:t>（投标人公章）</w:t>
      </w:r>
    </w:p>
    <w:p w14:paraId="057D2AF5">
      <w:pPr>
        <w:snapToGrid w:val="0"/>
        <w:spacing w:line="440" w:lineRule="exact"/>
        <w:ind w:firstLine="560" w:firstLineChars="200"/>
        <w:rPr>
          <w:rFonts w:ascii="宋体" w:hAnsi="宋体"/>
          <w:color w:val="auto"/>
          <w:highlight w:val="none"/>
        </w:rPr>
      </w:pPr>
    </w:p>
    <w:p w14:paraId="075B31DA">
      <w:pPr>
        <w:snapToGrid w:val="0"/>
        <w:spacing w:line="440" w:lineRule="exact"/>
        <w:ind w:firstLine="6720" w:firstLineChars="2400"/>
        <w:rPr>
          <w:rFonts w:ascii="宋体" w:hAnsi="宋体"/>
          <w:color w:val="auto"/>
          <w:highlight w:val="none"/>
        </w:rPr>
      </w:pPr>
      <w:r>
        <w:rPr>
          <w:rFonts w:hint="eastAsia" w:ascii="宋体" w:hAnsi="宋体"/>
          <w:color w:val="auto"/>
          <w:highlight w:val="none"/>
        </w:rPr>
        <w:t>年月日</w:t>
      </w:r>
    </w:p>
    <w:p w14:paraId="06E863D7">
      <w:pPr>
        <w:snapToGrid w:val="0"/>
        <w:spacing w:line="440" w:lineRule="exact"/>
        <w:ind w:firstLine="562" w:firstLineChars="200"/>
        <w:rPr>
          <w:rFonts w:ascii="宋体" w:hAnsi="宋体"/>
          <w:b/>
          <w:color w:val="auto"/>
          <w:highlight w:val="none"/>
        </w:rPr>
      </w:pPr>
    </w:p>
    <w:p w14:paraId="33F82CE7">
      <w:pPr>
        <w:snapToGrid w:val="0"/>
        <w:spacing w:line="440" w:lineRule="exact"/>
        <w:ind w:firstLine="562" w:firstLineChars="200"/>
        <w:rPr>
          <w:rFonts w:ascii="宋体" w:hAnsi="宋体"/>
          <w:b/>
          <w:color w:val="auto"/>
          <w:highlight w:val="none"/>
        </w:rPr>
      </w:pPr>
    </w:p>
    <w:p w14:paraId="4F0F5F3D">
      <w:pPr>
        <w:snapToGrid w:val="0"/>
        <w:spacing w:line="440" w:lineRule="exact"/>
        <w:ind w:firstLine="562" w:firstLineChars="200"/>
        <w:rPr>
          <w:rFonts w:ascii="宋体" w:hAnsi="宋体"/>
          <w:b/>
          <w:color w:val="auto"/>
          <w:highlight w:val="none"/>
        </w:rPr>
      </w:pPr>
    </w:p>
    <w:p w14:paraId="3FA8265F">
      <w:pPr>
        <w:snapToGrid w:val="0"/>
        <w:spacing w:line="440" w:lineRule="exact"/>
        <w:ind w:firstLine="562" w:firstLineChars="200"/>
        <w:rPr>
          <w:rFonts w:ascii="宋体" w:hAnsi="宋体"/>
          <w:b/>
          <w:color w:val="auto"/>
          <w:highlight w:val="none"/>
        </w:rPr>
      </w:pPr>
    </w:p>
    <w:p w14:paraId="4C2B21FF">
      <w:pPr>
        <w:snapToGrid w:val="0"/>
        <w:spacing w:line="440" w:lineRule="exact"/>
        <w:ind w:firstLine="562" w:firstLineChars="200"/>
        <w:rPr>
          <w:rFonts w:ascii="宋体" w:hAnsi="宋体"/>
          <w:b/>
          <w:color w:val="auto"/>
          <w:highlight w:val="none"/>
        </w:rPr>
      </w:pPr>
    </w:p>
    <w:p w14:paraId="1FE092F7">
      <w:pPr>
        <w:snapToGrid w:val="0"/>
        <w:spacing w:line="440" w:lineRule="exact"/>
        <w:ind w:firstLine="562" w:firstLineChars="200"/>
        <w:rPr>
          <w:rFonts w:ascii="宋体" w:hAnsi="宋体"/>
          <w:b/>
          <w:color w:val="auto"/>
          <w:highlight w:val="none"/>
        </w:rPr>
      </w:pPr>
    </w:p>
    <w:p w14:paraId="1C1BBB6B">
      <w:pPr>
        <w:snapToGrid w:val="0"/>
        <w:spacing w:line="440" w:lineRule="exact"/>
        <w:ind w:firstLine="562" w:firstLineChars="200"/>
        <w:rPr>
          <w:rFonts w:ascii="宋体" w:hAnsi="宋体"/>
          <w:b/>
          <w:color w:val="auto"/>
          <w:highlight w:val="none"/>
        </w:rPr>
      </w:pPr>
    </w:p>
    <w:p w14:paraId="6FD07E6D">
      <w:p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（二）投标人基本情况表</w:t>
      </w:r>
      <w:bookmarkEnd w:id="233"/>
      <w:bookmarkEnd w:id="234"/>
      <w:bookmarkEnd w:id="235"/>
      <w:r>
        <w:rPr>
          <w:rFonts w:hint="eastAsia" w:ascii="宋体" w:hAnsi="宋体"/>
          <w:b/>
          <w:color w:val="auto"/>
          <w:highlight w:val="none"/>
        </w:rPr>
        <w:t>及商务承诺</w:t>
      </w:r>
    </w:p>
    <w:p w14:paraId="283C52AB">
      <w:pPr>
        <w:snapToGrid w:val="0"/>
        <w:spacing w:line="440" w:lineRule="exact"/>
        <w:ind w:firstLine="562" w:firstLineChars="200"/>
        <w:rPr>
          <w:rFonts w:ascii="宋体" w:hAnsi="宋体"/>
          <w:b/>
          <w:color w:val="auto"/>
          <w:highlight w:val="none"/>
        </w:rPr>
      </w:pPr>
      <w:r>
        <w:rPr>
          <w:rFonts w:ascii="宋体" w:hAnsi="宋体"/>
          <w:b/>
          <w:color w:val="auto"/>
          <w:highlight w:val="none"/>
        </w:rPr>
        <w:t>1.</w:t>
      </w:r>
      <w:r>
        <w:rPr>
          <w:rFonts w:hint="eastAsia" w:ascii="宋体" w:hAnsi="宋体"/>
          <w:b/>
          <w:color w:val="auto"/>
          <w:highlight w:val="none"/>
        </w:rPr>
        <w:t>投标人基本情况表</w:t>
      </w:r>
    </w:p>
    <w:tbl>
      <w:tblPr>
        <w:tblStyle w:val="59"/>
        <w:tblW w:w="0" w:type="auto"/>
        <w:jc w:val="center"/>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1152"/>
        <w:gridCol w:w="1420"/>
        <w:gridCol w:w="810"/>
        <w:gridCol w:w="706"/>
        <w:gridCol w:w="841"/>
        <w:gridCol w:w="806"/>
        <w:gridCol w:w="1355"/>
      </w:tblGrid>
      <w:tr w14:paraId="3809FD0B">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tcBorders>
              <w:top w:val="thinThickSmallGap" w:color="auto" w:sz="12" w:space="0"/>
            </w:tcBorders>
            <w:vAlign w:val="center"/>
          </w:tcPr>
          <w:p w14:paraId="5F2CD0EF">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投标人名称</w:t>
            </w:r>
          </w:p>
        </w:tc>
        <w:tc>
          <w:tcPr>
            <w:tcW w:w="7090" w:type="dxa"/>
            <w:gridSpan w:val="7"/>
            <w:tcBorders>
              <w:top w:val="thinThickSmallGap" w:color="auto" w:sz="12" w:space="0"/>
            </w:tcBorders>
            <w:vAlign w:val="center"/>
          </w:tcPr>
          <w:p w14:paraId="52EA3146">
            <w:pPr>
              <w:snapToGrid w:val="0"/>
              <w:spacing w:line="440" w:lineRule="exact"/>
              <w:ind w:firstLine="480" w:firstLineChars="200"/>
              <w:jc w:val="center"/>
              <w:rPr>
                <w:rFonts w:ascii="宋体" w:hAnsi="宋体"/>
                <w:color w:val="auto"/>
                <w:sz w:val="24"/>
                <w:szCs w:val="24"/>
                <w:highlight w:val="none"/>
              </w:rPr>
            </w:pPr>
          </w:p>
        </w:tc>
      </w:tr>
      <w:tr w14:paraId="2B740FA7">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1980" w:type="dxa"/>
            <w:vAlign w:val="center"/>
          </w:tcPr>
          <w:p w14:paraId="6A2474B6">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注册地址</w:t>
            </w:r>
          </w:p>
        </w:tc>
        <w:tc>
          <w:tcPr>
            <w:tcW w:w="4088" w:type="dxa"/>
            <w:gridSpan w:val="4"/>
            <w:vAlign w:val="center"/>
          </w:tcPr>
          <w:p w14:paraId="50B30A1F">
            <w:pPr>
              <w:snapToGrid w:val="0"/>
              <w:spacing w:line="440" w:lineRule="exact"/>
              <w:ind w:firstLine="480" w:firstLineChars="200"/>
              <w:jc w:val="center"/>
              <w:rPr>
                <w:rFonts w:ascii="宋体" w:hAnsi="宋体"/>
                <w:color w:val="auto"/>
                <w:sz w:val="24"/>
                <w:szCs w:val="24"/>
                <w:highlight w:val="none"/>
              </w:rPr>
            </w:pPr>
          </w:p>
        </w:tc>
        <w:tc>
          <w:tcPr>
            <w:tcW w:w="1647" w:type="dxa"/>
            <w:gridSpan w:val="2"/>
            <w:vAlign w:val="center"/>
          </w:tcPr>
          <w:p w14:paraId="4D0ABCC9">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邮政编码</w:t>
            </w:r>
          </w:p>
        </w:tc>
        <w:tc>
          <w:tcPr>
            <w:tcW w:w="1355" w:type="dxa"/>
            <w:vAlign w:val="center"/>
          </w:tcPr>
          <w:p w14:paraId="209AF154">
            <w:pPr>
              <w:snapToGrid w:val="0"/>
              <w:spacing w:line="440" w:lineRule="exact"/>
              <w:ind w:firstLine="480" w:firstLineChars="200"/>
              <w:jc w:val="center"/>
              <w:rPr>
                <w:rFonts w:ascii="宋体" w:hAnsi="宋体"/>
                <w:color w:val="auto"/>
                <w:sz w:val="24"/>
                <w:szCs w:val="24"/>
                <w:highlight w:val="none"/>
              </w:rPr>
            </w:pPr>
          </w:p>
        </w:tc>
      </w:tr>
      <w:tr w14:paraId="2271C2E2">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Merge w:val="restart"/>
            <w:vAlign w:val="center"/>
          </w:tcPr>
          <w:p w14:paraId="1D342EE6">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联系方式</w:t>
            </w:r>
          </w:p>
        </w:tc>
        <w:tc>
          <w:tcPr>
            <w:tcW w:w="1152" w:type="dxa"/>
            <w:vAlign w:val="center"/>
          </w:tcPr>
          <w:p w14:paraId="38F1462D">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联系人</w:t>
            </w:r>
          </w:p>
        </w:tc>
        <w:tc>
          <w:tcPr>
            <w:tcW w:w="2936" w:type="dxa"/>
            <w:gridSpan w:val="3"/>
            <w:vAlign w:val="center"/>
          </w:tcPr>
          <w:p w14:paraId="27EF7DED">
            <w:pPr>
              <w:snapToGrid w:val="0"/>
              <w:spacing w:line="440" w:lineRule="exact"/>
              <w:ind w:firstLine="480" w:firstLineChars="200"/>
              <w:jc w:val="center"/>
              <w:rPr>
                <w:rFonts w:ascii="宋体" w:hAnsi="宋体"/>
                <w:color w:val="auto"/>
                <w:sz w:val="24"/>
                <w:szCs w:val="24"/>
                <w:highlight w:val="none"/>
              </w:rPr>
            </w:pPr>
          </w:p>
        </w:tc>
        <w:tc>
          <w:tcPr>
            <w:tcW w:w="1647" w:type="dxa"/>
            <w:gridSpan w:val="2"/>
            <w:vAlign w:val="center"/>
          </w:tcPr>
          <w:p w14:paraId="3FE389AE">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电话</w:t>
            </w:r>
          </w:p>
        </w:tc>
        <w:tc>
          <w:tcPr>
            <w:tcW w:w="1355" w:type="dxa"/>
            <w:vAlign w:val="center"/>
          </w:tcPr>
          <w:p w14:paraId="53129C72">
            <w:pPr>
              <w:snapToGrid w:val="0"/>
              <w:spacing w:line="440" w:lineRule="exact"/>
              <w:ind w:firstLine="480" w:firstLineChars="200"/>
              <w:jc w:val="center"/>
              <w:rPr>
                <w:rFonts w:ascii="宋体" w:hAnsi="宋体"/>
                <w:color w:val="auto"/>
                <w:sz w:val="24"/>
                <w:szCs w:val="24"/>
                <w:highlight w:val="none"/>
              </w:rPr>
            </w:pPr>
          </w:p>
        </w:tc>
      </w:tr>
      <w:tr w14:paraId="2FB86BEF">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435" w:hRule="exact"/>
          <w:jc w:val="center"/>
        </w:trPr>
        <w:tc>
          <w:tcPr>
            <w:tcW w:w="1980" w:type="dxa"/>
            <w:vMerge w:val="continue"/>
            <w:vAlign w:val="center"/>
          </w:tcPr>
          <w:p w14:paraId="5A8C3874">
            <w:pPr>
              <w:snapToGrid w:val="0"/>
              <w:spacing w:line="440" w:lineRule="exact"/>
              <w:ind w:firstLine="480" w:firstLineChars="200"/>
              <w:jc w:val="center"/>
              <w:rPr>
                <w:rFonts w:ascii="宋体" w:hAnsi="宋体"/>
                <w:color w:val="auto"/>
                <w:sz w:val="24"/>
                <w:szCs w:val="24"/>
                <w:highlight w:val="none"/>
              </w:rPr>
            </w:pPr>
          </w:p>
        </w:tc>
        <w:tc>
          <w:tcPr>
            <w:tcW w:w="1152" w:type="dxa"/>
            <w:vAlign w:val="center"/>
          </w:tcPr>
          <w:p w14:paraId="318A2AEE">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传真</w:t>
            </w:r>
          </w:p>
        </w:tc>
        <w:tc>
          <w:tcPr>
            <w:tcW w:w="2936" w:type="dxa"/>
            <w:gridSpan w:val="3"/>
            <w:vAlign w:val="center"/>
          </w:tcPr>
          <w:p w14:paraId="04809BA1">
            <w:pPr>
              <w:snapToGrid w:val="0"/>
              <w:spacing w:line="440" w:lineRule="exact"/>
              <w:ind w:firstLine="480" w:firstLineChars="200"/>
              <w:jc w:val="center"/>
              <w:rPr>
                <w:rFonts w:ascii="宋体" w:hAnsi="宋体"/>
                <w:color w:val="auto"/>
                <w:sz w:val="24"/>
                <w:szCs w:val="24"/>
                <w:highlight w:val="none"/>
              </w:rPr>
            </w:pPr>
          </w:p>
        </w:tc>
        <w:tc>
          <w:tcPr>
            <w:tcW w:w="1647" w:type="dxa"/>
            <w:gridSpan w:val="2"/>
            <w:vAlign w:val="center"/>
          </w:tcPr>
          <w:p w14:paraId="27957ABC">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网址</w:t>
            </w:r>
          </w:p>
        </w:tc>
        <w:tc>
          <w:tcPr>
            <w:tcW w:w="1355" w:type="dxa"/>
            <w:vAlign w:val="center"/>
          </w:tcPr>
          <w:p w14:paraId="46FC1982">
            <w:pPr>
              <w:snapToGrid w:val="0"/>
              <w:spacing w:line="440" w:lineRule="exact"/>
              <w:ind w:firstLine="480" w:firstLineChars="200"/>
              <w:jc w:val="center"/>
              <w:rPr>
                <w:rFonts w:ascii="宋体" w:hAnsi="宋体"/>
                <w:color w:val="auto"/>
                <w:sz w:val="24"/>
                <w:szCs w:val="24"/>
                <w:highlight w:val="none"/>
              </w:rPr>
            </w:pPr>
          </w:p>
        </w:tc>
      </w:tr>
      <w:tr w14:paraId="6572BC37">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2658E2BD">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组织结构</w:t>
            </w:r>
          </w:p>
        </w:tc>
        <w:tc>
          <w:tcPr>
            <w:tcW w:w="7090" w:type="dxa"/>
            <w:gridSpan w:val="7"/>
            <w:vAlign w:val="center"/>
          </w:tcPr>
          <w:p w14:paraId="16A837A3">
            <w:pPr>
              <w:snapToGrid w:val="0"/>
              <w:spacing w:line="440" w:lineRule="exact"/>
              <w:ind w:firstLine="480" w:firstLineChars="200"/>
              <w:jc w:val="center"/>
              <w:rPr>
                <w:rFonts w:ascii="宋体" w:hAnsi="宋体"/>
                <w:color w:val="auto"/>
                <w:sz w:val="24"/>
                <w:szCs w:val="24"/>
                <w:highlight w:val="none"/>
              </w:rPr>
            </w:pPr>
          </w:p>
        </w:tc>
      </w:tr>
      <w:tr w14:paraId="4D08B130">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378A71E5">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法定代表人</w:t>
            </w:r>
          </w:p>
        </w:tc>
        <w:tc>
          <w:tcPr>
            <w:tcW w:w="1152" w:type="dxa"/>
            <w:vAlign w:val="center"/>
          </w:tcPr>
          <w:p w14:paraId="50D74F44">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420" w:type="dxa"/>
            <w:vAlign w:val="center"/>
          </w:tcPr>
          <w:p w14:paraId="2699E9DC">
            <w:pPr>
              <w:snapToGrid w:val="0"/>
              <w:spacing w:line="440" w:lineRule="exact"/>
              <w:ind w:firstLine="480" w:firstLineChars="200"/>
              <w:jc w:val="center"/>
              <w:rPr>
                <w:rFonts w:ascii="宋体" w:hAnsi="宋体"/>
                <w:color w:val="auto"/>
                <w:sz w:val="24"/>
                <w:szCs w:val="24"/>
                <w:highlight w:val="none"/>
              </w:rPr>
            </w:pPr>
          </w:p>
        </w:tc>
        <w:tc>
          <w:tcPr>
            <w:tcW w:w="1516" w:type="dxa"/>
            <w:gridSpan w:val="2"/>
            <w:vAlign w:val="center"/>
          </w:tcPr>
          <w:p w14:paraId="7347B2C3">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技术职称</w:t>
            </w:r>
          </w:p>
        </w:tc>
        <w:tc>
          <w:tcPr>
            <w:tcW w:w="841" w:type="dxa"/>
            <w:vAlign w:val="center"/>
          </w:tcPr>
          <w:p w14:paraId="534CF5E0">
            <w:pPr>
              <w:snapToGrid w:val="0"/>
              <w:spacing w:line="440" w:lineRule="exact"/>
              <w:ind w:firstLine="480" w:firstLineChars="200"/>
              <w:jc w:val="center"/>
              <w:rPr>
                <w:rFonts w:ascii="宋体" w:hAnsi="宋体"/>
                <w:color w:val="auto"/>
                <w:sz w:val="24"/>
                <w:szCs w:val="24"/>
                <w:highlight w:val="none"/>
              </w:rPr>
            </w:pPr>
          </w:p>
        </w:tc>
        <w:tc>
          <w:tcPr>
            <w:tcW w:w="806" w:type="dxa"/>
            <w:vAlign w:val="center"/>
          </w:tcPr>
          <w:p w14:paraId="4446196F">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电话</w:t>
            </w:r>
          </w:p>
        </w:tc>
        <w:tc>
          <w:tcPr>
            <w:tcW w:w="1355" w:type="dxa"/>
            <w:vAlign w:val="center"/>
          </w:tcPr>
          <w:p w14:paraId="3FF5A38D">
            <w:pPr>
              <w:snapToGrid w:val="0"/>
              <w:spacing w:line="440" w:lineRule="exact"/>
              <w:ind w:firstLine="480" w:firstLineChars="200"/>
              <w:jc w:val="center"/>
              <w:rPr>
                <w:rFonts w:ascii="宋体" w:hAnsi="宋体"/>
                <w:color w:val="auto"/>
                <w:sz w:val="24"/>
                <w:szCs w:val="24"/>
                <w:highlight w:val="none"/>
              </w:rPr>
            </w:pPr>
          </w:p>
        </w:tc>
      </w:tr>
      <w:tr w14:paraId="1F657500">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1D134108">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1152" w:type="dxa"/>
            <w:vAlign w:val="center"/>
          </w:tcPr>
          <w:p w14:paraId="741D13B3">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420" w:type="dxa"/>
            <w:vAlign w:val="center"/>
          </w:tcPr>
          <w:p w14:paraId="2CF79EA7">
            <w:pPr>
              <w:snapToGrid w:val="0"/>
              <w:spacing w:line="440" w:lineRule="exact"/>
              <w:ind w:firstLine="480" w:firstLineChars="200"/>
              <w:jc w:val="center"/>
              <w:rPr>
                <w:rFonts w:ascii="宋体" w:hAnsi="宋体"/>
                <w:color w:val="auto"/>
                <w:sz w:val="24"/>
                <w:szCs w:val="24"/>
                <w:highlight w:val="none"/>
              </w:rPr>
            </w:pPr>
          </w:p>
        </w:tc>
        <w:tc>
          <w:tcPr>
            <w:tcW w:w="1516" w:type="dxa"/>
            <w:gridSpan w:val="2"/>
            <w:vAlign w:val="center"/>
          </w:tcPr>
          <w:p w14:paraId="666CBD8B">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技术职称</w:t>
            </w:r>
          </w:p>
        </w:tc>
        <w:tc>
          <w:tcPr>
            <w:tcW w:w="841" w:type="dxa"/>
            <w:vAlign w:val="center"/>
          </w:tcPr>
          <w:p w14:paraId="080BEBA4">
            <w:pPr>
              <w:snapToGrid w:val="0"/>
              <w:spacing w:line="440" w:lineRule="exact"/>
              <w:ind w:firstLine="480" w:firstLineChars="200"/>
              <w:jc w:val="center"/>
              <w:rPr>
                <w:rFonts w:ascii="宋体" w:hAnsi="宋体"/>
                <w:color w:val="auto"/>
                <w:sz w:val="24"/>
                <w:szCs w:val="24"/>
                <w:highlight w:val="none"/>
              </w:rPr>
            </w:pPr>
          </w:p>
        </w:tc>
        <w:tc>
          <w:tcPr>
            <w:tcW w:w="806" w:type="dxa"/>
            <w:vAlign w:val="center"/>
          </w:tcPr>
          <w:p w14:paraId="7A02D938">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电话</w:t>
            </w:r>
          </w:p>
        </w:tc>
        <w:tc>
          <w:tcPr>
            <w:tcW w:w="1355" w:type="dxa"/>
            <w:vAlign w:val="center"/>
          </w:tcPr>
          <w:p w14:paraId="1DAFF880">
            <w:pPr>
              <w:snapToGrid w:val="0"/>
              <w:spacing w:line="440" w:lineRule="exact"/>
              <w:ind w:firstLine="480" w:firstLineChars="200"/>
              <w:jc w:val="center"/>
              <w:rPr>
                <w:rFonts w:ascii="宋体" w:hAnsi="宋体"/>
                <w:color w:val="auto"/>
                <w:sz w:val="24"/>
                <w:szCs w:val="24"/>
                <w:highlight w:val="none"/>
              </w:rPr>
            </w:pPr>
          </w:p>
        </w:tc>
      </w:tr>
      <w:tr w14:paraId="11F1E868">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5F3F0C01">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成立时间</w:t>
            </w:r>
          </w:p>
        </w:tc>
        <w:tc>
          <w:tcPr>
            <w:tcW w:w="2572" w:type="dxa"/>
            <w:gridSpan w:val="2"/>
            <w:vAlign w:val="center"/>
          </w:tcPr>
          <w:p w14:paraId="038CCC6A">
            <w:pPr>
              <w:snapToGrid w:val="0"/>
              <w:spacing w:line="440" w:lineRule="exact"/>
              <w:ind w:firstLine="480" w:firstLineChars="200"/>
              <w:jc w:val="center"/>
              <w:rPr>
                <w:rFonts w:ascii="宋体" w:hAnsi="宋体"/>
                <w:color w:val="auto"/>
                <w:sz w:val="24"/>
                <w:szCs w:val="24"/>
                <w:highlight w:val="none"/>
              </w:rPr>
            </w:pPr>
          </w:p>
        </w:tc>
        <w:tc>
          <w:tcPr>
            <w:tcW w:w="4518" w:type="dxa"/>
            <w:gridSpan w:val="5"/>
            <w:vAlign w:val="center"/>
          </w:tcPr>
          <w:p w14:paraId="30C9B3E8">
            <w:pPr>
              <w:snapToGrid w:val="0"/>
              <w:spacing w:line="440" w:lineRule="exact"/>
              <w:ind w:firstLine="480" w:firstLineChars="200"/>
              <w:jc w:val="center"/>
              <w:rPr>
                <w:rFonts w:ascii="宋体" w:hAnsi="宋体"/>
                <w:color w:val="auto"/>
                <w:sz w:val="24"/>
                <w:szCs w:val="24"/>
                <w:highlight w:val="none"/>
              </w:rPr>
            </w:pPr>
            <w:r>
              <w:rPr>
                <w:rFonts w:hint="eastAsia" w:ascii="宋体" w:hAnsi="宋体"/>
                <w:color w:val="auto"/>
                <w:sz w:val="24"/>
                <w:szCs w:val="24"/>
                <w:highlight w:val="none"/>
              </w:rPr>
              <w:t>员工总人数：</w:t>
            </w:r>
          </w:p>
        </w:tc>
      </w:tr>
      <w:tr w14:paraId="1BE17B0D">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4EC91EF7">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企业资质等级</w:t>
            </w:r>
          </w:p>
        </w:tc>
        <w:tc>
          <w:tcPr>
            <w:tcW w:w="2572" w:type="dxa"/>
            <w:gridSpan w:val="2"/>
            <w:vAlign w:val="center"/>
          </w:tcPr>
          <w:p w14:paraId="53B8FE4D">
            <w:pPr>
              <w:snapToGrid w:val="0"/>
              <w:spacing w:line="440" w:lineRule="exact"/>
              <w:ind w:firstLine="480" w:firstLineChars="200"/>
              <w:jc w:val="center"/>
              <w:rPr>
                <w:rFonts w:ascii="宋体" w:hAnsi="宋体"/>
                <w:color w:val="auto"/>
                <w:sz w:val="24"/>
                <w:szCs w:val="24"/>
                <w:highlight w:val="none"/>
              </w:rPr>
            </w:pPr>
          </w:p>
        </w:tc>
        <w:tc>
          <w:tcPr>
            <w:tcW w:w="810" w:type="dxa"/>
            <w:vMerge w:val="restart"/>
            <w:vAlign w:val="center"/>
          </w:tcPr>
          <w:p w14:paraId="7AAB077E">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其中</w:t>
            </w:r>
          </w:p>
        </w:tc>
        <w:tc>
          <w:tcPr>
            <w:tcW w:w="2353" w:type="dxa"/>
            <w:gridSpan w:val="3"/>
            <w:vAlign w:val="center"/>
          </w:tcPr>
          <w:p w14:paraId="6E198784">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项目经理</w:t>
            </w:r>
          </w:p>
        </w:tc>
        <w:tc>
          <w:tcPr>
            <w:tcW w:w="1355" w:type="dxa"/>
            <w:vAlign w:val="center"/>
          </w:tcPr>
          <w:p w14:paraId="2FF88B6D">
            <w:pPr>
              <w:snapToGrid w:val="0"/>
              <w:spacing w:line="440" w:lineRule="exact"/>
              <w:ind w:firstLine="480" w:firstLineChars="200"/>
              <w:jc w:val="center"/>
              <w:rPr>
                <w:rFonts w:ascii="宋体" w:hAnsi="宋体"/>
                <w:color w:val="auto"/>
                <w:sz w:val="24"/>
                <w:szCs w:val="24"/>
                <w:highlight w:val="none"/>
              </w:rPr>
            </w:pPr>
          </w:p>
        </w:tc>
      </w:tr>
      <w:tr w14:paraId="63627ABF">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1335C6DA">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营业执照号</w:t>
            </w:r>
          </w:p>
        </w:tc>
        <w:tc>
          <w:tcPr>
            <w:tcW w:w="2572" w:type="dxa"/>
            <w:gridSpan w:val="2"/>
            <w:vAlign w:val="center"/>
          </w:tcPr>
          <w:p w14:paraId="6CC773E9">
            <w:pPr>
              <w:snapToGrid w:val="0"/>
              <w:spacing w:line="440" w:lineRule="exact"/>
              <w:ind w:firstLine="480" w:firstLineChars="200"/>
              <w:jc w:val="center"/>
              <w:rPr>
                <w:rFonts w:ascii="宋体" w:hAnsi="宋体"/>
                <w:color w:val="auto"/>
                <w:sz w:val="24"/>
                <w:szCs w:val="24"/>
                <w:highlight w:val="none"/>
              </w:rPr>
            </w:pPr>
          </w:p>
        </w:tc>
        <w:tc>
          <w:tcPr>
            <w:tcW w:w="810" w:type="dxa"/>
            <w:vMerge w:val="continue"/>
            <w:vAlign w:val="center"/>
          </w:tcPr>
          <w:p w14:paraId="118A74AC">
            <w:pPr>
              <w:snapToGrid w:val="0"/>
              <w:spacing w:line="440" w:lineRule="exact"/>
              <w:ind w:firstLine="480" w:firstLineChars="200"/>
              <w:jc w:val="center"/>
              <w:rPr>
                <w:rFonts w:ascii="宋体" w:hAnsi="宋体"/>
                <w:color w:val="auto"/>
                <w:sz w:val="24"/>
                <w:szCs w:val="24"/>
                <w:highlight w:val="none"/>
              </w:rPr>
            </w:pPr>
          </w:p>
        </w:tc>
        <w:tc>
          <w:tcPr>
            <w:tcW w:w="2353" w:type="dxa"/>
            <w:gridSpan w:val="3"/>
            <w:vAlign w:val="center"/>
          </w:tcPr>
          <w:p w14:paraId="2E57508E">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高级职称人员</w:t>
            </w:r>
          </w:p>
        </w:tc>
        <w:tc>
          <w:tcPr>
            <w:tcW w:w="1355" w:type="dxa"/>
            <w:vAlign w:val="center"/>
          </w:tcPr>
          <w:p w14:paraId="3037967C">
            <w:pPr>
              <w:snapToGrid w:val="0"/>
              <w:spacing w:line="440" w:lineRule="exact"/>
              <w:ind w:firstLine="480" w:firstLineChars="200"/>
              <w:jc w:val="center"/>
              <w:rPr>
                <w:rFonts w:ascii="宋体" w:hAnsi="宋体"/>
                <w:color w:val="auto"/>
                <w:sz w:val="24"/>
                <w:szCs w:val="24"/>
                <w:highlight w:val="none"/>
              </w:rPr>
            </w:pPr>
          </w:p>
        </w:tc>
      </w:tr>
      <w:tr w14:paraId="63EA4DCE">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362118A2">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注册资金</w:t>
            </w:r>
          </w:p>
        </w:tc>
        <w:tc>
          <w:tcPr>
            <w:tcW w:w="2572" w:type="dxa"/>
            <w:gridSpan w:val="2"/>
            <w:vAlign w:val="center"/>
          </w:tcPr>
          <w:p w14:paraId="62CFB11A">
            <w:pPr>
              <w:snapToGrid w:val="0"/>
              <w:spacing w:line="440" w:lineRule="exact"/>
              <w:ind w:firstLine="480" w:firstLineChars="200"/>
              <w:jc w:val="center"/>
              <w:rPr>
                <w:rFonts w:ascii="宋体" w:hAnsi="宋体"/>
                <w:color w:val="auto"/>
                <w:sz w:val="24"/>
                <w:szCs w:val="24"/>
                <w:highlight w:val="none"/>
              </w:rPr>
            </w:pPr>
          </w:p>
        </w:tc>
        <w:tc>
          <w:tcPr>
            <w:tcW w:w="810" w:type="dxa"/>
            <w:vMerge w:val="continue"/>
            <w:vAlign w:val="center"/>
          </w:tcPr>
          <w:p w14:paraId="050B08F1">
            <w:pPr>
              <w:snapToGrid w:val="0"/>
              <w:spacing w:line="440" w:lineRule="exact"/>
              <w:ind w:firstLine="480" w:firstLineChars="200"/>
              <w:jc w:val="center"/>
              <w:rPr>
                <w:rFonts w:ascii="宋体" w:hAnsi="宋体"/>
                <w:color w:val="auto"/>
                <w:sz w:val="24"/>
                <w:szCs w:val="24"/>
                <w:highlight w:val="none"/>
              </w:rPr>
            </w:pPr>
          </w:p>
        </w:tc>
        <w:tc>
          <w:tcPr>
            <w:tcW w:w="2353" w:type="dxa"/>
            <w:gridSpan w:val="3"/>
            <w:vAlign w:val="center"/>
          </w:tcPr>
          <w:p w14:paraId="263CB599">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中级职称人员</w:t>
            </w:r>
          </w:p>
        </w:tc>
        <w:tc>
          <w:tcPr>
            <w:tcW w:w="1355" w:type="dxa"/>
            <w:vAlign w:val="center"/>
          </w:tcPr>
          <w:p w14:paraId="1B9B8F3B">
            <w:pPr>
              <w:snapToGrid w:val="0"/>
              <w:spacing w:line="440" w:lineRule="exact"/>
              <w:ind w:firstLine="480" w:firstLineChars="200"/>
              <w:jc w:val="center"/>
              <w:rPr>
                <w:rFonts w:ascii="宋体" w:hAnsi="宋体"/>
                <w:color w:val="auto"/>
                <w:sz w:val="24"/>
                <w:szCs w:val="24"/>
                <w:highlight w:val="none"/>
              </w:rPr>
            </w:pPr>
          </w:p>
        </w:tc>
      </w:tr>
      <w:tr w14:paraId="74784A8E">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1B5A4862">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开户银行</w:t>
            </w:r>
          </w:p>
        </w:tc>
        <w:tc>
          <w:tcPr>
            <w:tcW w:w="2572" w:type="dxa"/>
            <w:gridSpan w:val="2"/>
            <w:vAlign w:val="center"/>
          </w:tcPr>
          <w:p w14:paraId="2640FA88">
            <w:pPr>
              <w:snapToGrid w:val="0"/>
              <w:spacing w:line="440" w:lineRule="exact"/>
              <w:ind w:firstLine="480" w:firstLineChars="200"/>
              <w:jc w:val="center"/>
              <w:rPr>
                <w:rFonts w:ascii="宋体" w:hAnsi="宋体"/>
                <w:color w:val="auto"/>
                <w:sz w:val="24"/>
                <w:szCs w:val="24"/>
                <w:highlight w:val="none"/>
              </w:rPr>
            </w:pPr>
          </w:p>
        </w:tc>
        <w:tc>
          <w:tcPr>
            <w:tcW w:w="810" w:type="dxa"/>
            <w:vMerge w:val="continue"/>
            <w:vAlign w:val="center"/>
          </w:tcPr>
          <w:p w14:paraId="0CC8B804">
            <w:pPr>
              <w:snapToGrid w:val="0"/>
              <w:spacing w:line="440" w:lineRule="exact"/>
              <w:ind w:firstLine="480" w:firstLineChars="200"/>
              <w:jc w:val="center"/>
              <w:rPr>
                <w:rFonts w:ascii="宋体" w:hAnsi="宋体"/>
                <w:color w:val="auto"/>
                <w:sz w:val="24"/>
                <w:szCs w:val="24"/>
                <w:highlight w:val="none"/>
              </w:rPr>
            </w:pPr>
          </w:p>
        </w:tc>
        <w:tc>
          <w:tcPr>
            <w:tcW w:w="2353" w:type="dxa"/>
            <w:gridSpan w:val="3"/>
            <w:vAlign w:val="center"/>
          </w:tcPr>
          <w:p w14:paraId="54211C2A">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初级职称人员</w:t>
            </w:r>
          </w:p>
        </w:tc>
        <w:tc>
          <w:tcPr>
            <w:tcW w:w="1355" w:type="dxa"/>
            <w:vAlign w:val="center"/>
          </w:tcPr>
          <w:p w14:paraId="1DC76D1A">
            <w:pPr>
              <w:snapToGrid w:val="0"/>
              <w:spacing w:line="440" w:lineRule="exact"/>
              <w:ind w:firstLine="480" w:firstLineChars="200"/>
              <w:jc w:val="center"/>
              <w:rPr>
                <w:rFonts w:ascii="宋体" w:hAnsi="宋体"/>
                <w:color w:val="auto"/>
                <w:sz w:val="24"/>
                <w:szCs w:val="24"/>
                <w:highlight w:val="none"/>
              </w:rPr>
            </w:pPr>
          </w:p>
        </w:tc>
      </w:tr>
      <w:tr w14:paraId="2816A001">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4D2156C1">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账号</w:t>
            </w:r>
          </w:p>
        </w:tc>
        <w:tc>
          <w:tcPr>
            <w:tcW w:w="2572" w:type="dxa"/>
            <w:gridSpan w:val="2"/>
            <w:vAlign w:val="center"/>
          </w:tcPr>
          <w:p w14:paraId="34C1AF2E">
            <w:pPr>
              <w:snapToGrid w:val="0"/>
              <w:spacing w:line="440" w:lineRule="exact"/>
              <w:ind w:firstLine="480" w:firstLineChars="200"/>
              <w:jc w:val="center"/>
              <w:rPr>
                <w:rFonts w:ascii="宋体" w:hAnsi="宋体"/>
                <w:color w:val="auto"/>
                <w:sz w:val="24"/>
                <w:szCs w:val="24"/>
                <w:highlight w:val="none"/>
              </w:rPr>
            </w:pPr>
          </w:p>
        </w:tc>
        <w:tc>
          <w:tcPr>
            <w:tcW w:w="810" w:type="dxa"/>
            <w:vMerge w:val="continue"/>
            <w:vAlign w:val="center"/>
          </w:tcPr>
          <w:p w14:paraId="2B50852C">
            <w:pPr>
              <w:snapToGrid w:val="0"/>
              <w:spacing w:line="440" w:lineRule="exact"/>
              <w:ind w:firstLine="480" w:firstLineChars="200"/>
              <w:jc w:val="center"/>
              <w:rPr>
                <w:rFonts w:ascii="宋体" w:hAnsi="宋体"/>
                <w:color w:val="auto"/>
                <w:sz w:val="24"/>
                <w:szCs w:val="24"/>
                <w:highlight w:val="none"/>
              </w:rPr>
            </w:pPr>
          </w:p>
        </w:tc>
        <w:tc>
          <w:tcPr>
            <w:tcW w:w="2353" w:type="dxa"/>
            <w:gridSpan w:val="3"/>
            <w:vAlign w:val="center"/>
          </w:tcPr>
          <w:p w14:paraId="31C26CCC">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技工</w:t>
            </w:r>
          </w:p>
        </w:tc>
        <w:tc>
          <w:tcPr>
            <w:tcW w:w="1355" w:type="dxa"/>
            <w:vAlign w:val="center"/>
          </w:tcPr>
          <w:p w14:paraId="38144735">
            <w:pPr>
              <w:snapToGrid w:val="0"/>
              <w:spacing w:line="440" w:lineRule="exact"/>
              <w:ind w:firstLine="480" w:firstLineChars="200"/>
              <w:jc w:val="center"/>
              <w:rPr>
                <w:rFonts w:ascii="宋体" w:hAnsi="宋体"/>
                <w:color w:val="auto"/>
                <w:sz w:val="24"/>
                <w:szCs w:val="24"/>
                <w:highlight w:val="none"/>
              </w:rPr>
            </w:pPr>
          </w:p>
        </w:tc>
      </w:tr>
      <w:tr w14:paraId="1FFD7A77">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1283" w:hRule="exact"/>
          <w:jc w:val="center"/>
        </w:trPr>
        <w:tc>
          <w:tcPr>
            <w:tcW w:w="1980" w:type="dxa"/>
            <w:vAlign w:val="center"/>
          </w:tcPr>
          <w:p w14:paraId="35F85B48">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经营范围</w:t>
            </w:r>
          </w:p>
        </w:tc>
        <w:tc>
          <w:tcPr>
            <w:tcW w:w="7090" w:type="dxa"/>
            <w:gridSpan w:val="7"/>
            <w:vAlign w:val="center"/>
          </w:tcPr>
          <w:p w14:paraId="38FA9528">
            <w:pPr>
              <w:snapToGrid w:val="0"/>
              <w:spacing w:line="440" w:lineRule="exact"/>
              <w:ind w:firstLine="480" w:firstLineChars="200"/>
              <w:jc w:val="center"/>
              <w:rPr>
                <w:rFonts w:ascii="宋体" w:hAnsi="宋体"/>
                <w:color w:val="auto"/>
                <w:sz w:val="24"/>
                <w:szCs w:val="24"/>
                <w:highlight w:val="none"/>
              </w:rPr>
            </w:pPr>
          </w:p>
          <w:p w14:paraId="5B33517E">
            <w:pPr>
              <w:snapToGrid w:val="0"/>
              <w:spacing w:line="440" w:lineRule="exact"/>
              <w:ind w:firstLine="480" w:firstLineChars="200"/>
              <w:jc w:val="center"/>
              <w:rPr>
                <w:rFonts w:ascii="宋体" w:hAnsi="宋体"/>
                <w:color w:val="auto"/>
                <w:sz w:val="24"/>
                <w:szCs w:val="24"/>
                <w:highlight w:val="none"/>
              </w:rPr>
            </w:pPr>
          </w:p>
          <w:p w14:paraId="1C144118">
            <w:pPr>
              <w:snapToGrid w:val="0"/>
              <w:spacing w:line="440" w:lineRule="exact"/>
              <w:ind w:firstLine="480" w:firstLineChars="200"/>
              <w:jc w:val="center"/>
              <w:rPr>
                <w:rFonts w:ascii="宋体" w:hAnsi="宋体"/>
                <w:color w:val="auto"/>
                <w:sz w:val="24"/>
                <w:szCs w:val="24"/>
                <w:highlight w:val="none"/>
              </w:rPr>
            </w:pPr>
          </w:p>
          <w:p w14:paraId="0A8581A2">
            <w:pPr>
              <w:snapToGrid w:val="0"/>
              <w:spacing w:line="440" w:lineRule="exact"/>
              <w:ind w:firstLine="480" w:firstLineChars="200"/>
              <w:jc w:val="center"/>
              <w:rPr>
                <w:rFonts w:ascii="宋体" w:hAnsi="宋体"/>
                <w:color w:val="auto"/>
                <w:sz w:val="24"/>
                <w:szCs w:val="24"/>
                <w:highlight w:val="none"/>
              </w:rPr>
            </w:pPr>
          </w:p>
          <w:p w14:paraId="3B39F266">
            <w:pPr>
              <w:snapToGrid w:val="0"/>
              <w:spacing w:line="440" w:lineRule="exact"/>
              <w:ind w:firstLine="480" w:firstLineChars="200"/>
              <w:jc w:val="center"/>
              <w:rPr>
                <w:rFonts w:ascii="宋体" w:hAnsi="宋体"/>
                <w:color w:val="auto"/>
                <w:sz w:val="24"/>
                <w:szCs w:val="24"/>
                <w:highlight w:val="none"/>
              </w:rPr>
            </w:pPr>
          </w:p>
        </w:tc>
      </w:tr>
      <w:tr w14:paraId="4884D83B">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947" w:hRule="exact"/>
          <w:jc w:val="center"/>
        </w:trPr>
        <w:tc>
          <w:tcPr>
            <w:tcW w:w="1980" w:type="dxa"/>
            <w:tcBorders>
              <w:bottom w:val="thinThickSmallGap" w:color="auto" w:sz="12" w:space="0"/>
            </w:tcBorders>
            <w:vAlign w:val="center"/>
          </w:tcPr>
          <w:p w14:paraId="08C7A679">
            <w:pPr>
              <w:snapToGrid w:val="0"/>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7090" w:type="dxa"/>
            <w:gridSpan w:val="7"/>
            <w:tcBorders>
              <w:bottom w:val="thinThickSmallGap" w:color="auto" w:sz="12" w:space="0"/>
            </w:tcBorders>
            <w:vAlign w:val="center"/>
          </w:tcPr>
          <w:p w14:paraId="24BE959D">
            <w:pPr>
              <w:snapToGrid w:val="0"/>
              <w:spacing w:line="440" w:lineRule="exact"/>
              <w:ind w:firstLine="480" w:firstLineChars="200"/>
              <w:jc w:val="center"/>
              <w:rPr>
                <w:rFonts w:ascii="宋体" w:hAnsi="宋体"/>
                <w:color w:val="auto"/>
                <w:sz w:val="24"/>
                <w:szCs w:val="24"/>
                <w:highlight w:val="none"/>
              </w:rPr>
            </w:pPr>
          </w:p>
        </w:tc>
      </w:tr>
    </w:tbl>
    <w:p w14:paraId="74A58877">
      <w:pPr>
        <w:snapToGrid w:val="0"/>
        <w:spacing w:line="440" w:lineRule="exact"/>
        <w:ind w:firstLine="562" w:firstLineChars="200"/>
        <w:rPr>
          <w:rFonts w:ascii="宋体" w:hAnsi="宋体"/>
          <w:b/>
          <w:color w:val="auto"/>
          <w:highlight w:val="none"/>
        </w:rPr>
      </w:pPr>
    </w:p>
    <w:p w14:paraId="17382BEE">
      <w:pPr>
        <w:snapToGrid w:val="0"/>
        <w:spacing w:line="440" w:lineRule="exact"/>
        <w:ind w:firstLine="562" w:firstLineChars="200"/>
        <w:rPr>
          <w:rFonts w:ascii="宋体" w:hAnsi="宋体"/>
          <w:b/>
          <w:color w:val="auto"/>
          <w:highlight w:val="none"/>
        </w:rPr>
      </w:pPr>
    </w:p>
    <w:p w14:paraId="06E9A3FB">
      <w:pPr>
        <w:snapToGrid w:val="0"/>
        <w:spacing w:line="440" w:lineRule="exact"/>
        <w:ind w:firstLine="562" w:firstLineChars="200"/>
        <w:rPr>
          <w:rFonts w:ascii="宋体" w:hAnsi="宋体"/>
          <w:b/>
          <w:color w:val="auto"/>
          <w:highlight w:val="none"/>
        </w:rPr>
      </w:pPr>
    </w:p>
    <w:p w14:paraId="023693F4">
      <w:pPr>
        <w:snapToGrid w:val="0"/>
        <w:spacing w:line="440" w:lineRule="exact"/>
        <w:ind w:firstLine="562" w:firstLineChars="200"/>
        <w:rPr>
          <w:rFonts w:ascii="宋体" w:hAnsi="宋体"/>
          <w:b/>
          <w:color w:val="auto"/>
          <w:highlight w:val="none"/>
        </w:rPr>
      </w:pPr>
    </w:p>
    <w:p w14:paraId="0C1E14D4">
      <w:pPr>
        <w:snapToGrid w:val="0"/>
        <w:spacing w:line="440" w:lineRule="exact"/>
        <w:ind w:firstLine="562" w:firstLineChars="200"/>
        <w:rPr>
          <w:rFonts w:ascii="宋体" w:hAnsi="宋体"/>
          <w:b/>
          <w:color w:val="auto"/>
          <w:highlight w:val="none"/>
        </w:rPr>
      </w:pPr>
    </w:p>
    <w:p w14:paraId="7F70B4E2">
      <w:pPr>
        <w:snapToGrid w:val="0"/>
        <w:spacing w:line="440" w:lineRule="exact"/>
        <w:ind w:firstLine="562" w:firstLineChars="200"/>
        <w:rPr>
          <w:rFonts w:ascii="宋体" w:hAnsi="宋体"/>
          <w:b/>
          <w:color w:val="auto"/>
          <w:highlight w:val="none"/>
        </w:rPr>
      </w:pPr>
    </w:p>
    <w:p w14:paraId="0D6A476F">
      <w:pPr>
        <w:snapToGrid w:val="0"/>
        <w:spacing w:line="440" w:lineRule="exact"/>
        <w:ind w:firstLine="562" w:firstLineChars="200"/>
        <w:rPr>
          <w:rFonts w:ascii="宋体" w:hAnsi="宋体"/>
          <w:b/>
          <w:color w:val="auto"/>
          <w:highlight w:val="none"/>
        </w:rPr>
      </w:pPr>
    </w:p>
    <w:p w14:paraId="576F24A1">
      <w:pPr>
        <w:spacing w:before="159" w:after="8"/>
        <w:ind w:left="2728"/>
        <w:outlineLvl w:val="1"/>
        <w:rPr>
          <w:rFonts w:ascii="仿宋" w:hAnsi="仿宋" w:eastAsia="仿宋" w:cs="仿宋"/>
          <w:b/>
          <w:color w:val="auto"/>
          <w:highlight w:val="none"/>
        </w:rPr>
      </w:pPr>
      <w:bookmarkStart w:id="236" w:name="_Toc25925"/>
      <w:bookmarkStart w:id="237" w:name="_Toc24946"/>
      <w:bookmarkStart w:id="238" w:name="_Toc6246"/>
      <w:bookmarkStart w:id="239" w:name="_Toc11718"/>
      <w:r>
        <w:rPr>
          <w:rFonts w:hint="eastAsia" w:ascii="仿宋" w:hAnsi="仿宋" w:eastAsia="仿宋" w:cs="仿宋"/>
          <w:b/>
          <w:color w:val="auto"/>
          <w:highlight w:val="none"/>
        </w:rPr>
        <w:t>2.项目全部人员组成表（格式）</w:t>
      </w:r>
      <w:bookmarkEnd w:id="236"/>
      <w:bookmarkEnd w:id="237"/>
      <w:bookmarkEnd w:id="238"/>
      <w:bookmarkEnd w:id="239"/>
    </w:p>
    <w:p w14:paraId="44C06973">
      <w:pPr>
        <w:spacing w:before="61"/>
        <w:ind w:left="494"/>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采购项目分包名称：</w:t>
      </w:r>
    </w:p>
    <w:tbl>
      <w:tblPr>
        <w:tblStyle w:val="59"/>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678"/>
        <w:gridCol w:w="485"/>
        <w:gridCol w:w="726"/>
        <w:gridCol w:w="686"/>
        <w:gridCol w:w="992"/>
        <w:gridCol w:w="1057"/>
        <w:gridCol w:w="582"/>
        <w:gridCol w:w="1133"/>
        <w:gridCol w:w="756"/>
        <w:gridCol w:w="754"/>
        <w:gridCol w:w="704"/>
      </w:tblGrid>
      <w:tr w14:paraId="3D57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487" w:type="dxa"/>
            <w:vAlign w:val="center"/>
          </w:tcPr>
          <w:p w14:paraId="72F257F6">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678" w:type="dxa"/>
            <w:vAlign w:val="center"/>
          </w:tcPr>
          <w:p w14:paraId="24A23A7C">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485" w:type="dxa"/>
            <w:vAlign w:val="center"/>
          </w:tcPr>
          <w:p w14:paraId="688B3230">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性别</w:t>
            </w:r>
          </w:p>
        </w:tc>
        <w:tc>
          <w:tcPr>
            <w:tcW w:w="726" w:type="dxa"/>
            <w:vAlign w:val="center"/>
          </w:tcPr>
          <w:p w14:paraId="5B42CA29">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年龄</w:t>
            </w:r>
          </w:p>
        </w:tc>
        <w:tc>
          <w:tcPr>
            <w:tcW w:w="686" w:type="dxa"/>
            <w:vAlign w:val="center"/>
          </w:tcPr>
          <w:p w14:paraId="259CEF18">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学历</w:t>
            </w:r>
          </w:p>
        </w:tc>
        <w:tc>
          <w:tcPr>
            <w:tcW w:w="992" w:type="dxa"/>
            <w:vAlign w:val="center"/>
          </w:tcPr>
          <w:p w14:paraId="0B804AEB">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从业年限</w:t>
            </w:r>
          </w:p>
        </w:tc>
        <w:tc>
          <w:tcPr>
            <w:tcW w:w="1057" w:type="dxa"/>
            <w:vAlign w:val="center"/>
          </w:tcPr>
          <w:p w14:paraId="58CD282C">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拟派本项目的职务</w:t>
            </w:r>
          </w:p>
        </w:tc>
        <w:tc>
          <w:tcPr>
            <w:tcW w:w="582" w:type="dxa"/>
            <w:vAlign w:val="center"/>
          </w:tcPr>
          <w:p w14:paraId="172C9D28">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133" w:type="dxa"/>
            <w:vAlign w:val="center"/>
          </w:tcPr>
          <w:p w14:paraId="59CBF0C1">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证书名称</w:t>
            </w:r>
          </w:p>
        </w:tc>
        <w:tc>
          <w:tcPr>
            <w:tcW w:w="756" w:type="dxa"/>
            <w:vAlign w:val="center"/>
          </w:tcPr>
          <w:p w14:paraId="29CF1E94">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证号</w:t>
            </w:r>
          </w:p>
        </w:tc>
        <w:tc>
          <w:tcPr>
            <w:tcW w:w="754" w:type="dxa"/>
            <w:vAlign w:val="center"/>
          </w:tcPr>
          <w:p w14:paraId="11A55389">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专业</w:t>
            </w:r>
          </w:p>
        </w:tc>
        <w:tc>
          <w:tcPr>
            <w:tcW w:w="704" w:type="dxa"/>
            <w:vAlign w:val="center"/>
          </w:tcPr>
          <w:p w14:paraId="21BCDB30">
            <w:pPr>
              <w:pStyle w:val="244"/>
              <w:spacing w:before="6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0612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587CE820">
            <w:pPr>
              <w:pStyle w:val="244"/>
              <w:rPr>
                <w:rFonts w:ascii="仿宋" w:hAnsi="仿宋" w:eastAsia="仿宋" w:cs="仿宋"/>
                <w:color w:val="auto"/>
                <w:sz w:val="21"/>
                <w:szCs w:val="21"/>
                <w:highlight w:val="none"/>
              </w:rPr>
            </w:pPr>
          </w:p>
        </w:tc>
        <w:tc>
          <w:tcPr>
            <w:tcW w:w="678" w:type="dxa"/>
          </w:tcPr>
          <w:p w14:paraId="44B1F2BD">
            <w:pPr>
              <w:pStyle w:val="244"/>
              <w:rPr>
                <w:rFonts w:ascii="仿宋" w:hAnsi="仿宋" w:eastAsia="仿宋" w:cs="仿宋"/>
                <w:color w:val="auto"/>
                <w:sz w:val="21"/>
                <w:szCs w:val="21"/>
                <w:highlight w:val="none"/>
              </w:rPr>
            </w:pPr>
          </w:p>
        </w:tc>
        <w:tc>
          <w:tcPr>
            <w:tcW w:w="485" w:type="dxa"/>
          </w:tcPr>
          <w:p w14:paraId="5C512DDC">
            <w:pPr>
              <w:pStyle w:val="244"/>
              <w:rPr>
                <w:rFonts w:ascii="仿宋" w:hAnsi="仿宋" w:eastAsia="仿宋" w:cs="仿宋"/>
                <w:color w:val="auto"/>
                <w:sz w:val="21"/>
                <w:szCs w:val="21"/>
                <w:highlight w:val="none"/>
              </w:rPr>
            </w:pPr>
          </w:p>
        </w:tc>
        <w:tc>
          <w:tcPr>
            <w:tcW w:w="726" w:type="dxa"/>
          </w:tcPr>
          <w:p w14:paraId="62986D6B">
            <w:pPr>
              <w:pStyle w:val="244"/>
              <w:rPr>
                <w:rFonts w:ascii="仿宋" w:hAnsi="仿宋" w:eastAsia="仿宋" w:cs="仿宋"/>
                <w:color w:val="auto"/>
                <w:sz w:val="21"/>
                <w:szCs w:val="21"/>
                <w:highlight w:val="none"/>
              </w:rPr>
            </w:pPr>
          </w:p>
        </w:tc>
        <w:tc>
          <w:tcPr>
            <w:tcW w:w="686" w:type="dxa"/>
          </w:tcPr>
          <w:p w14:paraId="706E7B1D">
            <w:pPr>
              <w:pStyle w:val="244"/>
              <w:rPr>
                <w:rFonts w:ascii="仿宋" w:hAnsi="仿宋" w:eastAsia="仿宋" w:cs="仿宋"/>
                <w:color w:val="auto"/>
                <w:sz w:val="21"/>
                <w:szCs w:val="21"/>
                <w:highlight w:val="none"/>
              </w:rPr>
            </w:pPr>
          </w:p>
        </w:tc>
        <w:tc>
          <w:tcPr>
            <w:tcW w:w="992" w:type="dxa"/>
          </w:tcPr>
          <w:p w14:paraId="53B4EA44">
            <w:pPr>
              <w:pStyle w:val="244"/>
              <w:rPr>
                <w:rFonts w:ascii="仿宋" w:hAnsi="仿宋" w:eastAsia="仿宋" w:cs="仿宋"/>
                <w:color w:val="auto"/>
                <w:sz w:val="21"/>
                <w:szCs w:val="21"/>
                <w:highlight w:val="none"/>
              </w:rPr>
            </w:pPr>
          </w:p>
        </w:tc>
        <w:tc>
          <w:tcPr>
            <w:tcW w:w="1057" w:type="dxa"/>
          </w:tcPr>
          <w:p w14:paraId="5C6F2C6F">
            <w:pPr>
              <w:pStyle w:val="244"/>
              <w:rPr>
                <w:rFonts w:ascii="仿宋" w:hAnsi="仿宋" w:eastAsia="仿宋" w:cs="仿宋"/>
                <w:color w:val="auto"/>
                <w:sz w:val="21"/>
                <w:szCs w:val="21"/>
                <w:highlight w:val="none"/>
              </w:rPr>
            </w:pPr>
          </w:p>
        </w:tc>
        <w:tc>
          <w:tcPr>
            <w:tcW w:w="582" w:type="dxa"/>
          </w:tcPr>
          <w:p w14:paraId="60904E51">
            <w:pPr>
              <w:pStyle w:val="244"/>
              <w:rPr>
                <w:rFonts w:ascii="仿宋" w:hAnsi="仿宋" w:eastAsia="仿宋" w:cs="仿宋"/>
                <w:color w:val="auto"/>
                <w:sz w:val="21"/>
                <w:szCs w:val="21"/>
                <w:highlight w:val="none"/>
              </w:rPr>
            </w:pPr>
          </w:p>
        </w:tc>
        <w:tc>
          <w:tcPr>
            <w:tcW w:w="1133" w:type="dxa"/>
          </w:tcPr>
          <w:p w14:paraId="50CC6612">
            <w:pPr>
              <w:pStyle w:val="244"/>
              <w:rPr>
                <w:rFonts w:ascii="仿宋" w:hAnsi="仿宋" w:eastAsia="仿宋" w:cs="仿宋"/>
                <w:color w:val="auto"/>
                <w:sz w:val="21"/>
                <w:szCs w:val="21"/>
                <w:highlight w:val="none"/>
              </w:rPr>
            </w:pPr>
          </w:p>
        </w:tc>
        <w:tc>
          <w:tcPr>
            <w:tcW w:w="756" w:type="dxa"/>
          </w:tcPr>
          <w:p w14:paraId="39EFF9A5">
            <w:pPr>
              <w:pStyle w:val="244"/>
              <w:rPr>
                <w:rFonts w:ascii="仿宋" w:hAnsi="仿宋" w:eastAsia="仿宋" w:cs="仿宋"/>
                <w:color w:val="auto"/>
                <w:sz w:val="21"/>
                <w:szCs w:val="21"/>
                <w:highlight w:val="none"/>
              </w:rPr>
            </w:pPr>
          </w:p>
        </w:tc>
        <w:tc>
          <w:tcPr>
            <w:tcW w:w="754" w:type="dxa"/>
          </w:tcPr>
          <w:p w14:paraId="16C4FFE6">
            <w:pPr>
              <w:pStyle w:val="244"/>
              <w:rPr>
                <w:rFonts w:ascii="仿宋" w:hAnsi="仿宋" w:eastAsia="仿宋" w:cs="仿宋"/>
                <w:color w:val="auto"/>
                <w:sz w:val="21"/>
                <w:szCs w:val="21"/>
                <w:highlight w:val="none"/>
              </w:rPr>
            </w:pPr>
          </w:p>
        </w:tc>
        <w:tc>
          <w:tcPr>
            <w:tcW w:w="704" w:type="dxa"/>
          </w:tcPr>
          <w:p w14:paraId="6A3339F9">
            <w:pPr>
              <w:pStyle w:val="244"/>
              <w:rPr>
                <w:rFonts w:ascii="仿宋" w:hAnsi="仿宋" w:eastAsia="仿宋" w:cs="仿宋"/>
                <w:color w:val="auto"/>
                <w:sz w:val="21"/>
                <w:szCs w:val="21"/>
                <w:highlight w:val="none"/>
              </w:rPr>
            </w:pPr>
          </w:p>
        </w:tc>
      </w:tr>
      <w:tr w14:paraId="6FA4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487" w:type="dxa"/>
          </w:tcPr>
          <w:p w14:paraId="4972C760">
            <w:pPr>
              <w:pStyle w:val="244"/>
              <w:rPr>
                <w:rFonts w:ascii="仿宋" w:hAnsi="仿宋" w:eastAsia="仿宋" w:cs="仿宋"/>
                <w:color w:val="auto"/>
                <w:sz w:val="21"/>
                <w:szCs w:val="21"/>
                <w:highlight w:val="none"/>
              </w:rPr>
            </w:pPr>
          </w:p>
        </w:tc>
        <w:tc>
          <w:tcPr>
            <w:tcW w:w="678" w:type="dxa"/>
          </w:tcPr>
          <w:p w14:paraId="1837F6B0">
            <w:pPr>
              <w:pStyle w:val="244"/>
              <w:rPr>
                <w:rFonts w:ascii="仿宋" w:hAnsi="仿宋" w:eastAsia="仿宋" w:cs="仿宋"/>
                <w:color w:val="auto"/>
                <w:sz w:val="21"/>
                <w:szCs w:val="21"/>
                <w:highlight w:val="none"/>
              </w:rPr>
            </w:pPr>
          </w:p>
        </w:tc>
        <w:tc>
          <w:tcPr>
            <w:tcW w:w="485" w:type="dxa"/>
          </w:tcPr>
          <w:p w14:paraId="624E96DB">
            <w:pPr>
              <w:pStyle w:val="244"/>
              <w:rPr>
                <w:rFonts w:ascii="仿宋" w:hAnsi="仿宋" w:eastAsia="仿宋" w:cs="仿宋"/>
                <w:color w:val="auto"/>
                <w:sz w:val="21"/>
                <w:szCs w:val="21"/>
                <w:highlight w:val="none"/>
              </w:rPr>
            </w:pPr>
          </w:p>
        </w:tc>
        <w:tc>
          <w:tcPr>
            <w:tcW w:w="726" w:type="dxa"/>
          </w:tcPr>
          <w:p w14:paraId="7D70F172">
            <w:pPr>
              <w:pStyle w:val="244"/>
              <w:rPr>
                <w:rFonts w:ascii="仿宋" w:hAnsi="仿宋" w:eastAsia="仿宋" w:cs="仿宋"/>
                <w:color w:val="auto"/>
                <w:sz w:val="21"/>
                <w:szCs w:val="21"/>
                <w:highlight w:val="none"/>
              </w:rPr>
            </w:pPr>
          </w:p>
        </w:tc>
        <w:tc>
          <w:tcPr>
            <w:tcW w:w="686" w:type="dxa"/>
          </w:tcPr>
          <w:p w14:paraId="551CCA7B">
            <w:pPr>
              <w:pStyle w:val="244"/>
              <w:rPr>
                <w:rFonts w:ascii="仿宋" w:hAnsi="仿宋" w:eastAsia="仿宋" w:cs="仿宋"/>
                <w:color w:val="auto"/>
                <w:sz w:val="21"/>
                <w:szCs w:val="21"/>
                <w:highlight w:val="none"/>
              </w:rPr>
            </w:pPr>
          </w:p>
        </w:tc>
        <w:tc>
          <w:tcPr>
            <w:tcW w:w="992" w:type="dxa"/>
          </w:tcPr>
          <w:p w14:paraId="1C7AE889">
            <w:pPr>
              <w:pStyle w:val="244"/>
              <w:rPr>
                <w:rFonts w:ascii="仿宋" w:hAnsi="仿宋" w:eastAsia="仿宋" w:cs="仿宋"/>
                <w:color w:val="auto"/>
                <w:sz w:val="21"/>
                <w:szCs w:val="21"/>
                <w:highlight w:val="none"/>
              </w:rPr>
            </w:pPr>
          </w:p>
        </w:tc>
        <w:tc>
          <w:tcPr>
            <w:tcW w:w="1057" w:type="dxa"/>
          </w:tcPr>
          <w:p w14:paraId="34BBC194">
            <w:pPr>
              <w:pStyle w:val="244"/>
              <w:rPr>
                <w:rFonts w:ascii="仿宋" w:hAnsi="仿宋" w:eastAsia="仿宋" w:cs="仿宋"/>
                <w:color w:val="auto"/>
                <w:sz w:val="21"/>
                <w:szCs w:val="21"/>
                <w:highlight w:val="none"/>
              </w:rPr>
            </w:pPr>
          </w:p>
        </w:tc>
        <w:tc>
          <w:tcPr>
            <w:tcW w:w="582" w:type="dxa"/>
          </w:tcPr>
          <w:p w14:paraId="7A7DD422">
            <w:pPr>
              <w:pStyle w:val="244"/>
              <w:rPr>
                <w:rFonts w:ascii="仿宋" w:hAnsi="仿宋" w:eastAsia="仿宋" w:cs="仿宋"/>
                <w:color w:val="auto"/>
                <w:sz w:val="21"/>
                <w:szCs w:val="21"/>
                <w:highlight w:val="none"/>
              </w:rPr>
            </w:pPr>
          </w:p>
        </w:tc>
        <w:tc>
          <w:tcPr>
            <w:tcW w:w="1133" w:type="dxa"/>
          </w:tcPr>
          <w:p w14:paraId="0F74CCFE">
            <w:pPr>
              <w:pStyle w:val="244"/>
              <w:rPr>
                <w:rFonts w:ascii="仿宋" w:hAnsi="仿宋" w:eastAsia="仿宋" w:cs="仿宋"/>
                <w:color w:val="auto"/>
                <w:sz w:val="21"/>
                <w:szCs w:val="21"/>
                <w:highlight w:val="none"/>
              </w:rPr>
            </w:pPr>
          </w:p>
        </w:tc>
        <w:tc>
          <w:tcPr>
            <w:tcW w:w="756" w:type="dxa"/>
          </w:tcPr>
          <w:p w14:paraId="1BA07232">
            <w:pPr>
              <w:pStyle w:val="244"/>
              <w:rPr>
                <w:rFonts w:ascii="仿宋" w:hAnsi="仿宋" w:eastAsia="仿宋" w:cs="仿宋"/>
                <w:color w:val="auto"/>
                <w:sz w:val="21"/>
                <w:szCs w:val="21"/>
                <w:highlight w:val="none"/>
              </w:rPr>
            </w:pPr>
          </w:p>
        </w:tc>
        <w:tc>
          <w:tcPr>
            <w:tcW w:w="754" w:type="dxa"/>
          </w:tcPr>
          <w:p w14:paraId="62119D88">
            <w:pPr>
              <w:pStyle w:val="244"/>
              <w:rPr>
                <w:rFonts w:ascii="仿宋" w:hAnsi="仿宋" w:eastAsia="仿宋" w:cs="仿宋"/>
                <w:color w:val="auto"/>
                <w:sz w:val="21"/>
                <w:szCs w:val="21"/>
                <w:highlight w:val="none"/>
              </w:rPr>
            </w:pPr>
          </w:p>
        </w:tc>
        <w:tc>
          <w:tcPr>
            <w:tcW w:w="704" w:type="dxa"/>
          </w:tcPr>
          <w:p w14:paraId="2BE313D3">
            <w:pPr>
              <w:pStyle w:val="244"/>
              <w:rPr>
                <w:rFonts w:ascii="仿宋" w:hAnsi="仿宋" w:eastAsia="仿宋" w:cs="仿宋"/>
                <w:color w:val="auto"/>
                <w:sz w:val="21"/>
                <w:szCs w:val="21"/>
                <w:highlight w:val="none"/>
              </w:rPr>
            </w:pPr>
          </w:p>
        </w:tc>
      </w:tr>
      <w:tr w14:paraId="5755B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78AE136F">
            <w:pPr>
              <w:pStyle w:val="244"/>
              <w:rPr>
                <w:rFonts w:ascii="仿宋" w:hAnsi="仿宋" w:eastAsia="仿宋" w:cs="仿宋"/>
                <w:color w:val="auto"/>
                <w:sz w:val="21"/>
                <w:szCs w:val="21"/>
                <w:highlight w:val="none"/>
              </w:rPr>
            </w:pPr>
          </w:p>
        </w:tc>
        <w:tc>
          <w:tcPr>
            <w:tcW w:w="678" w:type="dxa"/>
          </w:tcPr>
          <w:p w14:paraId="564CBFA1">
            <w:pPr>
              <w:pStyle w:val="244"/>
              <w:rPr>
                <w:rFonts w:ascii="仿宋" w:hAnsi="仿宋" w:eastAsia="仿宋" w:cs="仿宋"/>
                <w:color w:val="auto"/>
                <w:sz w:val="21"/>
                <w:szCs w:val="21"/>
                <w:highlight w:val="none"/>
              </w:rPr>
            </w:pPr>
          </w:p>
        </w:tc>
        <w:tc>
          <w:tcPr>
            <w:tcW w:w="485" w:type="dxa"/>
          </w:tcPr>
          <w:p w14:paraId="653EBFB3">
            <w:pPr>
              <w:pStyle w:val="244"/>
              <w:rPr>
                <w:rFonts w:ascii="仿宋" w:hAnsi="仿宋" w:eastAsia="仿宋" w:cs="仿宋"/>
                <w:color w:val="auto"/>
                <w:sz w:val="21"/>
                <w:szCs w:val="21"/>
                <w:highlight w:val="none"/>
              </w:rPr>
            </w:pPr>
          </w:p>
        </w:tc>
        <w:tc>
          <w:tcPr>
            <w:tcW w:w="726" w:type="dxa"/>
          </w:tcPr>
          <w:p w14:paraId="0814DD3D">
            <w:pPr>
              <w:pStyle w:val="244"/>
              <w:rPr>
                <w:rFonts w:ascii="仿宋" w:hAnsi="仿宋" w:eastAsia="仿宋" w:cs="仿宋"/>
                <w:color w:val="auto"/>
                <w:sz w:val="21"/>
                <w:szCs w:val="21"/>
                <w:highlight w:val="none"/>
              </w:rPr>
            </w:pPr>
          </w:p>
        </w:tc>
        <w:tc>
          <w:tcPr>
            <w:tcW w:w="686" w:type="dxa"/>
          </w:tcPr>
          <w:p w14:paraId="48287B57">
            <w:pPr>
              <w:pStyle w:val="244"/>
              <w:rPr>
                <w:rFonts w:ascii="仿宋" w:hAnsi="仿宋" w:eastAsia="仿宋" w:cs="仿宋"/>
                <w:color w:val="auto"/>
                <w:sz w:val="21"/>
                <w:szCs w:val="21"/>
                <w:highlight w:val="none"/>
              </w:rPr>
            </w:pPr>
          </w:p>
        </w:tc>
        <w:tc>
          <w:tcPr>
            <w:tcW w:w="992" w:type="dxa"/>
          </w:tcPr>
          <w:p w14:paraId="1A2BDE67">
            <w:pPr>
              <w:pStyle w:val="244"/>
              <w:rPr>
                <w:rFonts w:ascii="仿宋" w:hAnsi="仿宋" w:eastAsia="仿宋" w:cs="仿宋"/>
                <w:color w:val="auto"/>
                <w:sz w:val="21"/>
                <w:szCs w:val="21"/>
                <w:highlight w:val="none"/>
              </w:rPr>
            </w:pPr>
          </w:p>
        </w:tc>
        <w:tc>
          <w:tcPr>
            <w:tcW w:w="1057" w:type="dxa"/>
          </w:tcPr>
          <w:p w14:paraId="75A33047">
            <w:pPr>
              <w:pStyle w:val="244"/>
              <w:rPr>
                <w:rFonts w:ascii="仿宋" w:hAnsi="仿宋" w:eastAsia="仿宋" w:cs="仿宋"/>
                <w:color w:val="auto"/>
                <w:sz w:val="21"/>
                <w:szCs w:val="21"/>
                <w:highlight w:val="none"/>
              </w:rPr>
            </w:pPr>
          </w:p>
        </w:tc>
        <w:tc>
          <w:tcPr>
            <w:tcW w:w="582" w:type="dxa"/>
          </w:tcPr>
          <w:p w14:paraId="55D36982">
            <w:pPr>
              <w:pStyle w:val="244"/>
              <w:rPr>
                <w:rFonts w:ascii="仿宋" w:hAnsi="仿宋" w:eastAsia="仿宋" w:cs="仿宋"/>
                <w:color w:val="auto"/>
                <w:sz w:val="21"/>
                <w:szCs w:val="21"/>
                <w:highlight w:val="none"/>
              </w:rPr>
            </w:pPr>
          </w:p>
        </w:tc>
        <w:tc>
          <w:tcPr>
            <w:tcW w:w="1133" w:type="dxa"/>
          </w:tcPr>
          <w:p w14:paraId="4576107B">
            <w:pPr>
              <w:pStyle w:val="244"/>
              <w:rPr>
                <w:rFonts w:ascii="仿宋" w:hAnsi="仿宋" w:eastAsia="仿宋" w:cs="仿宋"/>
                <w:color w:val="auto"/>
                <w:sz w:val="21"/>
                <w:szCs w:val="21"/>
                <w:highlight w:val="none"/>
              </w:rPr>
            </w:pPr>
          </w:p>
        </w:tc>
        <w:tc>
          <w:tcPr>
            <w:tcW w:w="756" w:type="dxa"/>
          </w:tcPr>
          <w:p w14:paraId="2448715D">
            <w:pPr>
              <w:pStyle w:val="244"/>
              <w:rPr>
                <w:rFonts w:ascii="仿宋" w:hAnsi="仿宋" w:eastAsia="仿宋" w:cs="仿宋"/>
                <w:color w:val="auto"/>
                <w:sz w:val="21"/>
                <w:szCs w:val="21"/>
                <w:highlight w:val="none"/>
              </w:rPr>
            </w:pPr>
          </w:p>
        </w:tc>
        <w:tc>
          <w:tcPr>
            <w:tcW w:w="754" w:type="dxa"/>
          </w:tcPr>
          <w:p w14:paraId="431E3B1C">
            <w:pPr>
              <w:pStyle w:val="244"/>
              <w:rPr>
                <w:rFonts w:ascii="仿宋" w:hAnsi="仿宋" w:eastAsia="仿宋" w:cs="仿宋"/>
                <w:color w:val="auto"/>
                <w:sz w:val="21"/>
                <w:szCs w:val="21"/>
                <w:highlight w:val="none"/>
              </w:rPr>
            </w:pPr>
          </w:p>
        </w:tc>
        <w:tc>
          <w:tcPr>
            <w:tcW w:w="704" w:type="dxa"/>
          </w:tcPr>
          <w:p w14:paraId="24C5DA3F">
            <w:pPr>
              <w:pStyle w:val="244"/>
              <w:rPr>
                <w:rFonts w:ascii="仿宋" w:hAnsi="仿宋" w:eastAsia="仿宋" w:cs="仿宋"/>
                <w:color w:val="auto"/>
                <w:sz w:val="21"/>
                <w:szCs w:val="21"/>
                <w:highlight w:val="none"/>
              </w:rPr>
            </w:pPr>
          </w:p>
        </w:tc>
      </w:tr>
      <w:tr w14:paraId="092F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380C4EBB">
            <w:pPr>
              <w:pStyle w:val="244"/>
              <w:rPr>
                <w:rFonts w:ascii="仿宋" w:hAnsi="仿宋" w:eastAsia="仿宋" w:cs="仿宋"/>
                <w:color w:val="auto"/>
                <w:sz w:val="21"/>
                <w:szCs w:val="21"/>
                <w:highlight w:val="none"/>
              </w:rPr>
            </w:pPr>
          </w:p>
        </w:tc>
        <w:tc>
          <w:tcPr>
            <w:tcW w:w="678" w:type="dxa"/>
          </w:tcPr>
          <w:p w14:paraId="0D7E7DD6">
            <w:pPr>
              <w:pStyle w:val="244"/>
              <w:rPr>
                <w:rFonts w:ascii="仿宋" w:hAnsi="仿宋" w:eastAsia="仿宋" w:cs="仿宋"/>
                <w:color w:val="auto"/>
                <w:sz w:val="21"/>
                <w:szCs w:val="21"/>
                <w:highlight w:val="none"/>
              </w:rPr>
            </w:pPr>
          </w:p>
        </w:tc>
        <w:tc>
          <w:tcPr>
            <w:tcW w:w="485" w:type="dxa"/>
          </w:tcPr>
          <w:p w14:paraId="15CB113E">
            <w:pPr>
              <w:pStyle w:val="244"/>
              <w:rPr>
                <w:rFonts w:ascii="仿宋" w:hAnsi="仿宋" w:eastAsia="仿宋" w:cs="仿宋"/>
                <w:color w:val="auto"/>
                <w:sz w:val="21"/>
                <w:szCs w:val="21"/>
                <w:highlight w:val="none"/>
              </w:rPr>
            </w:pPr>
          </w:p>
        </w:tc>
        <w:tc>
          <w:tcPr>
            <w:tcW w:w="726" w:type="dxa"/>
          </w:tcPr>
          <w:p w14:paraId="60DBB233">
            <w:pPr>
              <w:pStyle w:val="244"/>
              <w:rPr>
                <w:rFonts w:ascii="仿宋" w:hAnsi="仿宋" w:eastAsia="仿宋" w:cs="仿宋"/>
                <w:color w:val="auto"/>
                <w:sz w:val="21"/>
                <w:szCs w:val="21"/>
                <w:highlight w:val="none"/>
              </w:rPr>
            </w:pPr>
          </w:p>
        </w:tc>
        <w:tc>
          <w:tcPr>
            <w:tcW w:w="686" w:type="dxa"/>
          </w:tcPr>
          <w:p w14:paraId="6887B0B0">
            <w:pPr>
              <w:pStyle w:val="244"/>
              <w:rPr>
                <w:rFonts w:ascii="仿宋" w:hAnsi="仿宋" w:eastAsia="仿宋" w:cs="仿宋"/>
                <w:color w:val="auto"/>
                <w:sz w:val="21"/>
                <w:szCs w:val="21"/>
                <w:highlight w:val="none"/>
              </w:rPr>
            </w:pPr>
          </w:p>
        </w:tc>
        <w:tc>
          <w:tcPr>
            <w:tcW w:w="992" w:type="dxa"/>
          </w:tcPr>
          <w:p w14:paraId="25D7BF8A">
            <w:pPr>
              <w:pStyle w:val="244"/>
              <w:rPr>
                <w:rFonts w:ascii="仿宋" w:hAnsi="仿宋" w:eastAsia="仿宋" w:cs="仿宋"/>
                <w:color w:val="auto"/>
                <w:sz w:val="21"/>
                <w:szCs w:val="21"/>
                <w:highlight w:val="none"/>
              </w:rPr>
            </w:pPr>
          </w:p>
        </w:tc>
        <w:tc>
          <w:tcPr>
            <w:tcW w:w="1057" w:type="dxa"/>
          </w:tcPr>
          <w:p w14:paraId="19A81F95">
            <w:pPr>
              <w:pStyle w:val="244"/>
              <w:rPr>
                <w:rFonts w:ascii="仿宋" w:hAnsi="仿宋" w:eastAsia="仿宋" w:cs="仿宋"/>
                <w:color w:val="auto"/>
                <w:sz w:val="21"/>
                <w:szCs w:val="21"/>
                <w:highlight w:val="none"/>
              </w:rPr>
            </w:pPr>
          </w:p>
        </w:tc>
        <w:tc>
          <w:tcPr>
            <w:tcW w:w="582" w:type="dxa"/>
          </w:tcPr>
          <w:p w14:paraId="1E0BE354">
            <w:pPr>
              <w:pStyle w:val="244"/>
              <w:rPr>
                <w:rFonts w:ascii="仿宋" w:hAnsi="仿宋" w:eastAsia="仿宋" w:cs="仿宋"/>
                <w:color w:val="auto"/>
                <w:sz w:val="21"/>
                <w:szCs w:val="21"/>
                <w:highlight w:val="none"/>
              </w:rPr>
            </w:pPr>
          </w:p>
        </w:tc>
        <w:tc>
          <w:tcPr>
            <w:tcW w:w="1133" w:type="dxa"/>
          </w:tcPr>
          <w:p w14:paraId="04017B0B">
            <w:pPr>
              <w:pStyle w:val="244"/>
              <w:rPr>
                <w:rFonts w:ascii="仿宋" w:hAnsi="仿宋" w:eastAsia="仿宋" w:cs="仿宋"/>
                <w:color w:val="auto"/>
                <w:sz w:val="21"/>
                <w:szCs w:val="21"/>
                <w:highlight w:val="none"/>
              </w:rPr>
            </w:pPr>
          </w:p>
        </w:tc>
        <w:tc>
          <w:tcPr>
            <w:tcW w:w="756" w:type="dxa"/>
          </w:tcPr>
          <w:p w14:paraId="11DF4CD9">
            <w:pPr>
              <w:pStyle w:val="244"/>
              <w:rPr>
                <w:rFonts w:ascii="仿宋" w:hAnsi="仿宋" w:eastAsia="仿宋" w:cs="仿宋"/>
                <w:color w:val="auto"/>
                <w:sz w:val="21"/>
                <w:szCs w:val="21"/>
                <w:highlight w:val="none"/>
              </w:rPr>
            </w:pPr>
          </w:p>
        </w:tc>
        <w:tc>
          <w:tcPr>
            <w:tcW w:w="754" w:type="dxa"/>
          </w:tcPr>
          <w:p w14:paraId="1492B51D">
            <w:pPr>
              <w:pStyle w:val="244"/>
              <w:rPr>
                <w:rFonts w:ascii="仿宋" w:hAnsi="仿宋" w:eastAsia="仿宋" w:cs="仿宋"/>
                <w:color w:val="auto"/>
                <w:sz w:val="21"/>
                <w:szCs w:val="21"/>
                <w:highlight w:val="none"/>
              </w:rPr>
            </w:pPr>
          </w:p>
        </w:tc>
        <w:tc>
          <w:tcPr>
            <w:tcW w:w="704" w:type="dxa"/>
          </w:tcPr>
          <w:p w14:paraId="07858FE1">
            <w:pPr>
              <w:pStyle w:val="244"/>
              <w:rPr>
                <w:rFonts w:ascii="仿宋" w:hAnsi="仿宋" w:eastAsia="仿宋" w:cs="仿宋"/>
                <w:color w:val="auto"/>
                <w:sz w:val="21"/>
                <w:szCs w:val="21"/>
                <w:highlight w:val="none"/>
              </w:rPr>
            </w:pPr>
          </w:p>
        </w:tc>
      </w:tr>
      <w:tr w14:paraId="47F7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7800019E">
            <w:pPr>
              <w:pStyle w:val="244"/>
              <w:rPr>
                <w:rFonts w:ascii="仿宋" w:hAnsi="仿宋" w:eastAsia="仿宋" w:cs="仿宋"/>
                <w:color w:val="auto"/>
                <w:sz w:val="21"/>
                <w:szCs w:val="21"/>
                <w:highlight w:val="none"/>
              </w:rPr>
            </w:pPr>
          </w:p>
        </w:tc>
        <w:tc>
          <w:tcPr>
            <w:tcW w:w="678" w:type="dxa"/>
          </w:tcPr>
          <w:p w14:paraId="6C854706">
            <w:pPr>
              <w:pStyle w:val="244"/>
              <w:rPr>
                <w:rFonts w:ascii="仿宋" w:hAnsi="仿宋" w:eastAsia="仿宋" w:cs="仿宋"/>
                <w:color w:val="auto"/>
                <w:sz w:val="21"/>
                <w:szCs w:val="21"/>
                <w:highlight w:val="none"/>
              </w:rPr>
            </w:pPr>
          </w:p>
        </w:tc>
        <w:tc>
          <w:tcPr>
            <w:tcW w:w="485" w:type="dxa"/>
          </w:tcPr>
          <w:p w14:paraId="1FD5C2FC">
            <w:pPr>
              <w:pStyle w:val="244"/>
              <w:rPr>
                <w:rFonts w:ascii="仿宋" w:hAnsi="仿宋" w:eastAsia="仿宋" w:cs="仿宋"/>
                <w:color w:val="auto"/>
                <w:sz w:val="21"/>
                <w:szCs w:val="21"/>
                <w:highlight w:val="none"/>
              </w:rPr>
            </w:pPr>
          </w:p>
        </w:tc>
        <w:tc>
          <w:tcPr>
            <w:tcW w:w="726" w:type="dxa"/>
          </w:tcPr>
          <w:p w14:paraId="1912C5AE">
            <w:pPr>
              <w:pStyle w:val="244"/>
              <w:rPr>
                <w:rFonts w:ascii="仿宋" w:hAnsi="仿宋" w:eastAsia="仿宋" w:cs="仿宋"/>
                <w:color w:val="auto"/>
                <w:sz w:val="21"/>
                <w:szCs w:val="21"/>
                <w:highlight w:val="none"/>
              </w:rPr>
            </w:pPr>
          </w:p>
        </w:tc>
        <w:tc>
          <w:tcPr>
            <w:tcW w:w="686" w:type="dxa"/>
          </w:tcPr>
          <w:p w14:paraId="3CB0A2CA">
            <w:pPr>
              <w:pStyle w:val="244"/>
              <w:rPr>
                <w:rFonts w:ascii="仿宋" w:hAnsi="仿宋" w:eastAsia="仿宋" w:cs="仿宋"/>
                <w:color w:val="auto"/>
                <w:sz w:val="21"/>
                <w:szCs w:val="21"/>
                <w:highlight w:val="none"/>
              </w:rPr>
            </w:pPr>
          </w:p>
        </w:tc>
        <w:tc>
          <w:tcPr>
            <w:tcW w:w="992" w:type="dxa"/>
          </w:tcPr>
          <w:p w14:paraId="56FDB8EC">
            <w:pPr>
              <w:pStyle w:val="244"/>
              <w:rPr>
                <w:rFonts w:ascii="仿宋" w:hAnsi="仿宋" w:eastAsia="仿宋" w:cs="仿宋"/>
                <w:color w:val="auto"/>
                <w:sz w:val="21"/>
                <w:szCs w:val="21"/>
                <w:highlight w:val="none"/>
              </w:rPr>
            </w:pPr>
          </w:p>
        </w:tc>
        <w:tc>
          <w:tcPr>
            <w:tcW w:w="1057" w:type="dxa"/>
          </w:tcPr>
          <w:p w14:paraId="12E51B2A">
            <w:pPr>
              <w:pStyle w:val="244"/>
              <w:rPr>
                <w:rFonts w:ascii="仿宋" w:hAnsi="仿宋" w:eastAsia="仿宋" w:cs="仿宋"/>
                <w:color w:val="auto"/>
                <w:sz w:val="21"/>
                <w:szCs w:val="21"/>
                <w:highlight w:val="none"/>
              </w:rPr>
            </w:pPr>
          </w:p>
        </w:tc>
        <w:tc>
          <w:tcPr>
            <w:tcW w:w="582" w:type="dxa"/>
          </w:tcPr>
          <w:p w14:paraId="5CAE5F97">
            <w:pPr>
              <w:pStyle w:val="244"/>
              <w:rPr>
                <w:rFonts w:ascii="仿宋" w:hAnsi="仿宋" w:eastAsia="仿宋" w:cs="仿宋"/>
                <w:color w:val="auto"/>
                <w:sz w:val="21"/>
                <w:szCs w:val="21"/>
                <w:highlight w:val="none"/>
              </w:rPr>
            </w:pPr>
          </w:p>
        </w:tc>
        <w:tc>
          <w:tcPr>
            <w:tcW w:w="1133" w:type="dxa"/>
          </w:tcPr>
          <w:p w14:paraId="0A6B19D8">
            <w:pPr>
              <w:pStyle w:val="244"/>
              <w:rPr>
                <w:rFonts w:ascii="仿宋" w:hAnsi="仿宋" w:eastAsia="仿宋" w:cs="仿宋"/>
                <w:color w:val="auto"/>
                <w:sz w:val="21"/>
                <w:szCs w:val="21"/>
                <w:highlight w:val="none"/>
              </w:rPr>
            </w:pPr>
          </w:p>
        </w:tc>
        <w:tc>
          <w:tcPr>
            <w:tcW w:w="756" w:type="dxa"/>
          </w:tcPr>
          <w:p w14:paraId="19779B6D">
            <w:pPr>
              <w:pStyle w:val="244"/>
              <w:rPr>
                <w:rFonts w:ascii="仿宋" w:hAnsi="仿宋" w:eastAsia="仿宋" w:cs="仿宋"/>
                <w:color w:val="auto"/>
                <w:sz w:val="21"/>
                <w:szCs w:val="21"/>
                <w:highlight w:val="none"/>
              </w:rPr>
            </w:pPr>
          </w:p>
        </w:tc>
        <w:tc>
          <w:tcPr>
            <w:tcW w:w="754" w:type="dxa"/>
          </w:tcPr>
          <w:p w14:paraId="620B14A1">
            <w:pPr>
              <w:pStyle w:val="244"/>
              <w:rPr>
                <w:rFonts w:ascii="仿宋" w:hAnsi="仿宋" w:eastAsia="仿宋" w:cs="仿宋"/>
                <w:color w:val="auto"/>
                <w:sz w:val="21"/>
                <w:szCs w:val="21"/>
                <w:highlight w:val="none"/>
              </w:rPr>
            </w:pPr>
          </w:p>
        </w:tc>
        <w:tc>
          <w:tcPr>
            <w:tcW w:w="704" w:type="dxa"/>
          </w:tcPr>
          <w:p w14:paraId="41D4F578">
            <w:pPr>
              <w:pStyle w:val="244"/>
              <w:rPr>
                <w:rFonts w:ascii="仿宋" w:hAnsi="仿宋" w:eastAsia="仿宋" w:cs="仿宋"/>
                <w:color w:val="auto"/>
                <w:sz w:val="21"/>
                <w:szCs w:val="21"/>
                <w:highlight w:val="none"/>
              </w:rPr>
            </w:pPr>
          </w:p>
        </w:tc>
      </w:tr>
      <w:tr w14:paraId="2A187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03B028CB">
            <w:pPr>
              <w:pStyle w:val="244"/>
              <w:rPr>
                <w:rFonts w:ascii="仿宋" w:hAnsi="仿宋" w:eastAsia="仿宋" w:cs="仿宋"/>
                <w:color w:val="auto"/>
                <w:sz w:val="21"/>
                <w:szCs w:val="21"/>
                <w:highlight w:val="none"/>
              </w:rPr>
            </w:pPr>
          </w:p>
        </w:tc>
        <w:tc>
          <w:tcPr>
            <w:tcW w:w="678" w:type="dxa"/>
          </w:tcPr>
          <w:p w14:paraId="108EF68B">
            <w:pPr>
              <w:pStyle w:val="244"/>
              <w:rPr>
                <w:rFonts w:ascii="仿宋" w:hAnsi="仿宋" w:eastAsia="仿宋" w:cs="仿宋"/>
                <w:color w:val="auto"/>
                <w:sz w:val="21"/>
                <w:szCs w:val="21"/>
                <w:highlight w:val="none"/>
              </w:rPr>
            </w:pPr>
          </w:p>
        </w:tc>
        <w:tc>
          <w:tcPr>
            <w:tcW w:w="485" w:type="dxa"/>
          </w:tcPr>
          <w:p w14:paraId="322B4827">
            <w:pPr>
              <w:pStyle w:val="244"/>
              <w:rPr>
                <w:rFonts w:ascii="仿宋" w:hAnsi="仿宋" w:eastAsia="仿宋" w:cs="仿宋"/>
                <w:color w:val="auto"/>
                <w:sz w:val="21"/>
                <w:szCs w:val="21"/>
                <w:highlight w:val="none"/>
              </w:rPr>
            </w:pPr>
          </w:p>
        </w:tc>
        <w:tc>
          <w:tcPr>
            <w:tcW w:w="726" w:type="dxa"/>
          </w:tcPr>
          <w:p w14:paraId="235F6170">
            <w:pPr>
              <w:pStyle w:val="244"/>
              <w:rPr>
                <w:rFonts w:ascii="仿宋" w:hAnsi="仿宋" w:eastAsia="仿宋" w:cs="仿宋"/>
                <w:color w:val="auto"/>
                <w:sz w:val="21"/>
                <w:szCs w:val="21"/>
                <w:highlight w:val="none"/>
              </w:rPr>
            </w:pPr>
          </w:p>
        </w:tc>
        <w:tc>
          <w:tcPr>
            <w:tcW w:w="686" w:type="dxa"/>
          </w:tcPr>
          <w:p w14:paraId="49E16F74">
            <w:pPr>
              <w:pStyle w:val="244"/>
              <w:rPr>
                <w:rFonts w:ascii="仿宋" w:hAnsi="仿宋" w:eastAsia="仿宋" w:cs="仿宋"/>
                <w:color w:val="auto"/>
                <w:sz w:val="21"/>
                <w:szCs w:val="21"/>
                <w:highlight w:val="none"/>
              </w:rPr>
            </w:pPr>
          </w:p>
        </w:tc>
        <w:tc>
          <w:tcPr>
            <w:tcW w:w="992" w:type="dxa"/>
          </w:tcPr>
          <w:p w14:paraId="4F8A066C">
            <w:pPr>
              <w:pStyle w:val="244"/>
              <w:rPr>
                <w:rFonts w:ascii="仿宋" w:hAnsi="仿宋" w:eastAsia="仿宋" w:cs="仿宋"/>
                <w:color w:val="auto"/>
                <w:sz w:val="21"/>
                <w:szCs w:val="21"/>
                <w:highlight w:val="none"/>
              </w:rPr>
            </w:pPr>
          </w:p>
        </w:tc>
        <w:tc>
          <w:tcPr>
            <w:tcW w:w="1057" w:type="dxa"/>
          </w:tcPr>
          <w:p w14:paraId="48CF3900">
            <w:pPr>
              <w:pStyle w:val="244"/>
              <w:rPr>
                <w:rFonts w:ascii="仿宋" w:hAnsi="仿宋" w:eastAsia="仿宋" w:cs="仿宋"/>
                <w:color w:val="auto"/>
                <w:sz w:val="21"/>
                <w:szCs w:val="21"/>
                <w:highlight w:val="none"/>
              </w:rPr>
            </w:pPr>
          </w:p>
        </w:tc>
        <w:tc>
          <w:tcPr>
            <w:tcW w:w="582" w:type="dxa"/>
          </w:tcPr>
          <w:p w14:paraId="4FD39DA4">
            <w:pPr>
              <w:pStyle w:val="244"/>
              <w:rPr>
                <w:rFonts w:ascii="仿宋" w:hAnsi="仿宋" w:eastAsia="仿宋" w:cs="仿宋"/>
                <w:color w:val="auto"/>
                <w:sz w:val="21"/>
                <w:szCs w:val="21"/>
                <w:highlight w:val="none"/>
              </w:rPr>
            </w:pPr>
          </w:p>
        </w:tc>
        <w:tc>
          <w:tcPr>
            <w:tcW w:w="1133" w:type="dxa"/>
          </w:tcPr>
          <w:p w14:paraId="358EE5C9">
            <w:pPr>
              <w:pStyle w:val="244"/>
              <w:rPr>
                <w:rFonts w:ascii="仿宋" w:hAnsi="仿宋" w:eastAsia="仿宋" w:cs="仿宋"/>
                <w:color w:val="auto"/>
                <w:sz w:val="21"/>
                <w:szCs w:val="21"/>
                <w:highlight w:val="none"/>
              </w:rPr>
            </w:pPr>
          </w:p>
        </w:tc>
        <w:tc>
          <w:tcPr>
            <w:tcW w:w="756" w:type="dxa"/>
          </w:tcPr>
          <w:p w14:paraId="318ECC29">
            <w:pPr>
              <w:pStyle w:val="244"/>
              <w:rPr>
                <w:rFonts w:ascii="仿宋" w:hAnsi="仿宋" w:eastAsia="仿宋" w:cs="仿宋"/>
                <w:color w:val="auto"/>
                <w:sz w:val="21"/>
                <w:szCs w:val="21"/>
                <w:highlight w:val="none"/>
              </w:rPr>
            </w:pPr>
          </w:p>
        </w:tc>
        <w:tc>
          <w:tcPr>
            <w:tcW w:w="754" w:type="dxa"/>
          </w:tcPr>
          <w:p w14:paraId="00DB2CA5">
            <w:pPr>
              <w:pStyle w:val="244"/>
              <w:rPr>
                <w:rFonts w:ascii="仿宋" w:hAnsi="仿宋" w:eastAsia="仿宋" w:cs="仿宋"/>
                <w:color w:val="auto"/>
                <w:sz w:val="21"/>
                <w:szCs w:val="21"/>
                <w:highlight w:val="none"/>
              </w:rPr>
            </w:pPr>
          </w:p>
        </w:tc>
        <w:tc>
          <w:tcPr>
            <w:tcW w:w="704" w:type="dxa"/>
          </w:tcPr>
          <w:p w14:paraId="2A100ED3">
            <w:pPr>
              <w:pStyle w:val="244"/>
              <w:rPr>
                <w:rFonts w:ascii="仿宋" w:hAnsi="仿宋" w:eastAsia="仿宋" w:cs="仿宋"/>
                <w:color w:val="auto"/>
                <w:sz w:val="21"/>
                <w:szCs w:val="21"/>
                <w:highlight w:val="none"/>
              </w:rPr>
            </w:pPr>
          </w:p>
        </w:tc>
      </w:tr>
      <w:tr w14:paraId="320E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6B44D818">
            <w:pPr>
              <w:pStyle w:val="244"/>
              <w:rPr>
                <w:rFonts w:ascii="仿宋" w:hAnsi="仿宋" w:eastAsia="仿宋" w:cs="仿宋"/>
                <w:color w:val="auto"/>
                <w:sz w:val="21"/>
                <w:szCs w:val="21"/>
                <w:highlight w:val="none"/>
              </w:rPr>
            </w:pPr>
          </w:p>
        </w:tc>
        <w:tc>
          <w:tcPr>
            <w:tcW w:w="678" w:type="dxa"/>
          </w:tcPr>
          <w:p w14:paraId="7AE25E41">
            <w:pPr>
              <w:pStyle w:val="244"/>
              <w:rPr>
                <w:rFonts w:ascii="仿宋" w:hAnsi="仿宋" w:eastAsia="仿宋" w:cs="仿宋"/>
                <w:color w:val="auto"/>
                <w:sz w:val="21"/>
                <w:szCs w:val="21"/>
                <w:highlight w:val="none"/>
              </w:rPr>
            </w:pPr>
          </w:p>
        </w:tc>
        <w:tc>
          <w:tcPr>
            <w:tcW w:w="485" w:type="dxa"/>
          </w:tcPr>
          <w:p w14:paraId="35B06E32">
            <w:pPr>
              <w:pStyle w:val="244"/>
              <w:rPr>
                <w:rFonts w:ascii="仿宋" w:hAnsi="仿宋" w:eastAsia="仿宋" w:cs="仿宋"/>
                <w:color w:val="auto"/>
                <w:sz w:val="21"/>
                <w:szCs w:val="21"/>
                <w:highlight w:val="none"/>
              </w:rPr>
            </w:pPr>
          </w:p>
        </w:tc>
        <w:tc>
          <w:tcPr>
            <w:tcW w:w="726" w:type="dxa"/>
          </w:tcPr>
          <w:p w14:paraId="5C23D62D">
            <w:pPr>
              <w:pStyle w:val="244"/>
              <w:rPr>
                <w:rFonts w:ascii="仿宋" w:hAnsi="仿宋" w:eastAsia="仿宋" w:cs="仿宋"/>
                <w:color w:val="auto"/>
                <w:sz w:val="21"/>
                <w:szCs w:val="21"/>
                <w:highlight w:val="none"/>
              </w:rPr>
            </w:pPr>
          </w:p>
        </w:tc>
        <w:tc>
          <w:tcPr>
            <w:tcW w:w="686" w:type="dxa"/>
          </w:tcPr>
          <w:p w14:paraId="63DDE545">
            <w:pPr>
              <w:pStyle w:val="244"/>
              <w:rPr>
                <w:rFonts w:ascii="仿宋" w:hAnsi="仿宋" w:eastAsia="仿宋" w:cs="仿宋"/>
                <w:color w:val="auto"/>
                <w:sz w:val="21"/>
                <w:szCs w:val="21"/>
                <w:highlight w:val="none"/>
              </w:rPr>
            </w:pPr>
          </w:p>
        </w:tc>
        <w:tc>
          <w:tcPr>
            <w:tcW w:w="992" w:type="dxa"/>
          </w:tcPr>
          <w:p w14:paraId="1A705903">
            <w:pPr>
              <w:pStyle w:val="244"/>
              <w:rPr>
                <w:rFonts w:ascii="仿宋" w:hAnsi="仿宋" w:eastAsia="仿宋" w:cs="仿宋"/>
                <w:color w:val="auto"/>
                <w:sz w:val="21"/>
                <w:szCs w:val="21"/>
                <w:highlight w:val="none"/>
              </w:rPr>
            </w:pPr>
          </w:p>
        </w:tc>
        <w:tc>
          <w:tcPr>
            <w:tcW w:w="1057" w:type="dxa"/>
          </w:tcPr>
          <w:p w14:paraId="1623F603">
            <w:pPr>
              <w:pStyle w:val="244"/>
              <w:rPr>
                <w:rFonts w:ascii="仿宋" w:hAnsi="仿宋" w:eastAsia="仿宋" w:cs="仿宋"/>
                <w:color w:val="auto"/>
                <w:sz w:val="21"/>
                <w:szCs w:val="21"/>
                <w:highlight w:val="none"/>
              </w:rPr>
            </w:pPr>
          </w:p>
        </w:tc>
        <w:tc>
          <w:tcPr>
            <w:tcW w:w="582" w:type="dxa"/>
          </w:tcPr>
          <w:p w14:paraId="60C63C6D">
            <w:pPr>
              <w:pStyle w:val="244"/>
              <w:rPr>
                <w:rFonts w:ascii="仿宋" w:hAnsi="仿宋" w:eastAsia="仿宋" w:cs="仿宋"/>
                <w:color w:val="auto"/>
                <w:sz w:val="21"/>
                <w:szCs w:val="21"/>
                <w:highlight w:val="none"/>
              </w:rPr>
            </w:pPr>
          </w:p>
        </w:tc>
        <w:tc>
          <w:tcPr>
            <w:tcW w:w="1133" w:type="dxa"/>
          </w:tcPr>
          <w:p w14:paraId="387A6497">
            <w:pPr>
              <w:pStyle w:val="244"/>
              <w:rPr>
                <w:rFonts w:ascii="仿宋" w:hAnsi="仿宋" w:eastAsia="仿宋" w:cs="仿宋"/>
                <w:color w:val="auto"/>
                <w:sz w:val="21"/>
                <w:szCs w:val="21"/>
                <w:highlight w:val="none"/>
              </w:rPr>
            </w:pPr>
          </w:p>
        </w:tc>
        <w:tc>
          <w:tcPr>
            <w:tcW w:w="756" w:type="dxa"/>
          </w:tcPr>
          <w:p w14:paraId="31EB42D1">
            <w:pPr>
              <w:pStyle w:val="244"/>
              <w:rPr>
                <w:rFonts w:ascii="仿宋" w:hAnsi="仿宋" w:eastAsia="仿宋" w:cs="仿宋"/>
                <w:color w:val="auto"/>
                <w:sz w:val="21"/>
                <w:szCs w:val="21"/>
                <w:highlight w:val="none"/>
              </w:rPr>
            </w:pPr>
          </w:p>
        </w:tc>
        <w:tc>
          <w:tcPr>
            <w:tcW w:w="754" w:type="dxa"/>
          </w:tcPr>
          <w:p w14:paraId="4C670C4E">
            <w:pPr>
              <w:pStyle w:val="244"/>
              <w:rPr>
                <w:rFonts w:ascii="仿宋" w:hAnsi="仿宋" w:eastAsia="仿宋" w:cs="仿宋"/>
                <w:color w:val="auto"/>
                <w:sz w:val="21"/>
                <w:szCs w:val="21"/>
                <w:highlight w:val="none"/>
              </w:rPr>
            </w:pPr>
          </w:p>
        </w:tc>
        <w:tc>
          <w:tcPr>
            <w:tcW w:w="704" w:type="dxa"/>
          </w:tcPr>
          <w:p w14:paraId="5E59C2D9">
            <w:pPr>
              <w:pStyle w:val="244"/>
              <w:rPr>
                <w:rFonts w:ascii="仿宋" w:hAnsi="仿宋" w:eastAsia="仿宋" w:cs="仿宋"/>
                <w:color w:val="auto"/>
                <w:sz w:val="21"/>
                <w:szCs w:val="21"/>
                <w:highlight w:val="none"/>
              </w:rPr>
            </w:pPr>
          </w:p>
        </w:tc>
      </w:tr>
      <w:tr w14:paraId="1E92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87" w:type="dxa"/>
          </w:tcPr>
          <w:p w14:paraId="72306FE8">
            <w:pPr>
              <w:pStyle w:val="244"/>
              <w:rPr>
                <w:rFonts w:ascii="仿宋" w:hAnsi="仿宋" w:eastAsia="仿宋" w:cs="仿宋"/>
                <w:color w:val="auto"/>
                <w:sz w:val="21"/>
                <w:szCs w:val="21"/>
                <w:highlight w:val="none"/>
              </w:rPr>
            </w:pPr>
          </w:p>
        </w:tc>
        <w:tc>
          <w:tcPr>
            <w:tcW w:w="678" w:type="dxa"/>
          </w:tcPr>
          <w:p w14:paraId="592230D0">
            <w:pPr>
              <w:pStyle w:val="244"/>
              <w:rPr>
                <w:rFonts w:ascii="仿宋" w:hAnsi="仿宋" w:eastAsia="仿宋" w:cs="仿宋"/>
                <w:color w:val="auto"/>
                <w:sz w:val="21"/>
                <w:szCs w:val="21"/>
                <w:highlight w:val="none"/>
              </w:rPr>
            </w:pPr>
          </w:p>
        </w:tc>
        <w:tc>
          <w:tcPr>
            <w:tcW w:w="485" w:type="dxa"/>
          </w:tcPr>
          <w:p w14:paraId="3584E49A">
            <w:pPr>
              <w:pStyle w:val="244"/>
              <w:rPr>
                <w:rFonts w:ascii="仿宋" w:hAnsi="仿宋" w:eastAsia="仿宋" w:cs="仿宋"/>
                <w:color w:val="auto"/>
                <w:sz w:val="21"/>
                <w:szCs w:val="21"/>
                <w:highlight w:val="none"/>
              </w:rPr>
            </w:pPr>
          </w:p>
        </w:tc>
        <w:tc>
          <w:tcPr>
            <w:tcW w:w="726" w:type="dxa"/>
          </w:tcPr>
          <w:p w14:paraId="35ACD525">
            <w:pPr>
              <w:pStyle w:val="244"/>
              <w:rPr>
                <w:rFonts w:ascii="仿宋" w:hAnsi="仿宋" w:eastAsia="仿宋" w:cs="仿宋"/>
                <w:color w:val="auto"/>
                <w:sz w:val="21"/>
                <w:szCs w:val="21"/>
                <w:highlight w:val="none"/>
              </w:rPr>
            </w:pPr>
          </w:p>
        </w:tc>
        <w:tc>
          <w:tcPr>
            <w:tcW w:w="686" w:type="dxa"/>
          </w:tcPr>
          <w:p w14:paraId="681AC153">
            <w:pPr>
              <w:pStyle w:val="244"/>
              <w:rPr>
                <w:rFonts w:ascii="仿宋" w:hAnsi="仿宋" w:eastAsia="仿宋" w:cs="仿宋"/>
                <w:color w:val="auto"/>
                <w:sz w:val="21"/>
                <w:szCs w:val="21"/>
                <w:highlight w:val="none"/>
              </w:rPr>
            </w:pPr>
          </w:p>
        </w:tc>
        <w:tc>
          <w:tcPr>
            <w:tcW w:w="992" w:type="dxa"/>
          </w:tcPr>
          <w:p w14:paraId="7C87E068">
            <w:pPr>
              <w:pStyle w:val="244"/>
              <w:rPr>
                <w:rFonts w:ascii="仿宋" w:hAnsi="仿宋" w:eastAsia="仿宋" w:cs="仿宋"/>
                <w:color w:val="auto"/>
                <w:sz w:val="21"/>
                <w:szCs w:val="21"/>
                <w:highlight w:val="none"/>
              </w:rPr>
            </w:pPr>
          </w:p>
        </w:tc>
        <w:tc>
          <w:tcPr>
            <w:tcW w:w="1057" w:type="dxa"/>
          </w:tcPr>
          <w:p w14:paraId="26CDBDDD">
            <w:pPr>
              <w:pStyle w:val="244"/>
              <w:rPr>
                <w:rFonts w:ascii="仿宋" w:hAnsi="仿宋" w:eastAsia="仿宋" w:cs="仿宋"/>
                <w:color w:val="auto"/>
                <w:sz w:val="21"/>
                <w:szCs w:val="21"/>
                <w:highlight w:val="none"/>
              </w:rPr>
            </w:pPr>
          </w:p>
        </w:tc>
        <w:tc>
          <w:tcPr>
            <w:tcW w:w="582" w:type="dxa"/>
          </w:tcPr>
          <w:p w14:paraId="3E1E8DA0">
            <w:pPr>
              <w:pStyle w:val="244"/>
              <w:rPr>
                <w:rFonts w:ascii="仿宋" w:hAnsi="仿宋" w:eastAsia="仿宋" w:cs="仿宋"/>
                <w:color w:val="auto"/>
                <w:sz w:val="21"/>
                <w:szCs w:val="21"/>
                <w:highlight w:val="none"/>
              </w:rPr>
            </w:pPr>
          </w:p>
        </w:tc>
        <w:tc>
          <w:tcPr>
            <w:tcW w:w="1133" w:type="dxa"/>
          </w:tcPr>
          <w:p w14:paraId="6B1DAC73">
            <w:pPr>
              <w:pStyle w:val="244"/>
              <w:rPr>
                <w:rFonts w:ascii="仿宋" w:hAnsi="仿宋" w:eastAsia="仿宋" w:cs="仿宋"/>
                <w:color w:val="auto"/>
                <w:sz w:val="21"/>
                <w:szCs w:val="21"/>
                <w:highlight w:val="none"/>
              </w:rPr>
            </w:pPr>
          </w:p>
        </w:tc>
        <w:tc>
          <w:tcPr>
            <w:tcW w:w="756" w:type="dxa"/>
          </w:tcPr>
          <w:p w14:paraId="785543BE">
            <w:pPr>
              <w:pStyle w:val="244"/>
              <w:rPr>
                <w:rFonts w:ascii="仿宋" w:hAnsi="仿宋" w:eastAsia="仿宋" w:cs="仿宋"/>
                <w:color w:val="auto"/>
                <w:sz w:val="21"/>
                <w:szCs w:val="21"/>
                <w:highlight w:val="none"/>
              </w:rPr>
            </w:pPr>
          </w:p>
        </w:tc>
        <w:tc>
          <w:tcPr>
            <w:tcW w:w="754" w:type="dxa"/>
          </w:tcPr>
          <w:p w14:paraId="201C11F9">
            <w:pPr>
              <w:pStyle w:val="244"/>
              <w:rPr>
                <w:rFonts w:ascii="仿宋" w:hAnsi="仿宋" w:eastAsia="仿宋" w:cs="仿宋"/>
                <w:color w:val="auto"/>
                <w:sz w:val="21"/>
                <w:szCs w:val="21"/>
                <w:highlight w:val="none"/>
              </w:rPr>
            </w:pPr>
          </w:p>
        </w:tc>
        <w:tc>
          <w:tcPr>
            <w:tcW w:w="704" w:type="dxa"/>
          </w:tcPr>
          <w:p w14:paraId="2E927419">
            <w:pPr>
              <w:pStyle w:val="244"/>
              <w:rPr>
                <w:rFonts w:ascii="仿宋" w:hAnsi="仿宋" w:eastAsia="仿宋" w:cs="仿宋"/>
                <w:color w:val="auto"/>
                <w:sz w:val="21"/>
                <w:szCs w:val="21"/>
                <w:highlight w:val="none"/>
              </w:rPr>
            </w:pPr>
          </w:p>
        </w:tc>
      </w:tr>
      <w:tr w14:paraId="1982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1FB793A3">
            <w:pPr>
              <w:pStyle w:val="244"/>
              <w:rPr>
                <w:rFonts w:ascii="仿宋" w:hAnsi="仿宋" w:eastAsia="仿宋" w:cs="仿宋"/>
                <w:color w:val="auto"/>
                <w:sz w:val="21"/>
                <w:szCs w:val="21"/>
                <w:highlight w:val="none"/>
              </w:rPr>
            </w:pPr>
          </w:p>
        </w:tc>
        <w:tc>
          <w:tcPr>
            <w:tcW w:w="678" w:type="dxa"/>
          </w:tcPr>
          <w:p w14:paraId="735A486F">
            <w:pPr>
              <w:pStyle w:val="244"/>
              <w:rPr>
                <w:rFonts w:ascii="仿宋" w:hAnsi="仿宋" w:eastAsia="仿宋" w:cs="仿宋"/>
                <w:color w:val="auto"/>
                <w:sz w:val="21"/>
                <w:szCs w:val="21"/>
                <w:highlight w:val="none"/>
              </w:rPr>
            </w:pPr>
          </w:p>
        </w:tc>
        <w:tc>
          <w:tcPr>
            <w:tcW w:w="485" w:type="dxa"/>
          </w:tcPr>
          <w:p w14:paraId="46896889">
            <w:pPr>
              <w:pStyle w:val="244"/>
              <w:rPr>
                <w:rFonts w:ascii="仿宋" w:hAnsi="仿宋" w:eastAsia="仿宋" w:cs="仿宋"/>
                <w:color w:val="auto"/>
                <w:sz w:val="21"/>
                <w:szCs w:val="21"/>
                <w:highlight w:val="none"/>
              </w:rPr>
            </w:pPr>
          </w:p>
        </w:tc>
        <w:tc>
          <w:tcPr>
            <w:tcW w:w="726" w:type="dxa"/>
          </w:tcPr>
          <w:p w14:paraId="4E52C927">
            <w:pPr>
              <w:pStyle w:val="244"/>
              <w:rPr>
                <w:rFonts w:ascii="仿宋" w:hAnsi="仿宋" w:eastAsia="仿宋" w:cs="仿宋"/>
                <w:color w:val="auto"/>
                <w:sz w:val="21"/>
                <w:szCs w:val="21"/>
                <w:highlight w:val="none"/>
              </w:rPr>
            </w:pPr>
          </w:p>
        </w:tc>
        <w:tc>
          <w:tcPr>
            <w:tcW w:w="686" w:type="dxa"/>
          </w:tcPr>
          <w:p w14:paraId="7F9B8DE7">
            <w:pPr>
              <w:pStyle w:val="244"/>
              <w:rPr>
                <w:rFonts w:ascii="仿宋" w:hAnsi="仿宋" w:eastAsia="仿宋" w:cs="仿宋"/>
                <w:color w:val="auto"/>
                <w:sz w:val="21"/>
                <w:szCs w:val="21"/>
                <w:highlight w:val="none"/>
              </w:rPr>
            </w:pPr>
          </w:p>
        </w:tc>
        <w:tc>
          <w:tcPr>
            <w:tcW w:w="992" w:type="dxa"/>
          </w:tcPr>
          <w:p w14:paraId="22395F1D">
            <w:pPr>
              <w:pStyle w:val="244"/>
              <w:rPr>
                <w:rFonts w:ascii="仿宋" w:hAnsi="仿宋" w:eastAsia="仿宋" w:cs="仿宋"/>
                <w:color w:val="auto"/>
                <w:sz w:val="21"/>
                <w:szCs w:val="21"/>
                <w:highlight w:val="none"/>
              </w:rPr>
            </w:pPr>
          </w:p>
        </w:tc>
        <w:tc>
          <w:tcPr>
            <w:tcW w:w="1057" w:type="dxa"/>
          </w:tcPr>
          <w:p w14:paraId="3E176A2C">
            <w:pPr>
              <w:pStyle w:val="244"/>
              <w:rPr>
                <w:rFonts w:ascii="仿宋" w:hAnsi="仿宋" w:eastAsia="仿宋" w:cs="仿宋"/>
                <w:color w:val="auto"/>
                <w:sz w:val="21"/>
                <w:szCs w:val="21"/>
                <w:highlight w:val="none"/>
              </w:rPr>
            </w:pPr>
          </w:p>
        </w:tc>
        <w:tc>
          <w:tcPr>
            <w:tcW w:w="582" w:type="dxa"/>
          </w:tcPr>
          <w:p w14:paraId="7ED396B4">
            <w:pPr>
              <w:pStyle w:val="244"/>
              <w:rPr>
                <w:rFonts w:ascii="仿宋" w:hAnsi="仿宋" w:eastAsia="仿宋" w:cs="仿宋"/>
                <w:color w:val="auto"/>
                <w:sz w:val="21"/>
                <w:szCs w:val="21"/>
                <w:highlight w:val="none"/>
              </w:rPr>
            </w:pPr>
          </w:p>
        </w:tc>
        <w:tc>
          <w:tcPr>
            <w:tcW w:w="1133" w:type="dxa"/>
          </w:tcPr>
          <w:p w14:paraId="1250A480">
            <w:pPr>
              <w:pStyle w:val="244"/>
              <w:rPr>
                <w:rFonts w:ascii="仿宋" w:hAnsi="仿宋" w:eastAsia="仿宋" w:cs="仿宋"/>
                <w:color w:val="auto"/>
                <w:sz w:val="21"/>
                <w:szCs w:val="21"/>
                <w:highlight w:val="none"/>
              </w:rPr>
            </w:pPr>
          </w:p>
        </w:tc>
        <w:tc>
          <w:tcPr>
            <w:tcW w:w="756" w:type="dxa"/>
          </w:tcPr>
          <w:p w14:paraId="693CABEC">
            <w:pPr>
              <w:pStyle w:val="244"/>
              <w:rPr>
                <w:rFonts w:ascii="仿宋" w:hAnsi="仿宋" w:eastAsia="仿宋" w:cs="仿宋"/>
                <w:color w:val="auto"/>
                <w:sz w:val="21"/>
                <w:szCs w:val="21"/>
                <w:highlight w:val="none"/>
              </w:rPr>
            </w:pPr>
          </w:p>
        </w:tc>
        <w:tc>
          <w:tcPr>
            <w:tcW w:w="754" w:type="dxa"/>
          </w:tcPr>
          <w:p w14:paraId="5EE72A3E">
            <w:pPr>
              <w:pStyle w:val="244"/>
              <w:rPr>
                <w:rFonts w:ascii="仿宋" w:hAnsi="仿宋" w:eastAsia="仿宋" w:cs="仿宋"/>
                <w:color w:val="auto"/>
                <w:sz w:val="21"/>
                <w:szCs w:val="21"/>
                <w:highlight w:val="none"/>
              </w:rPr>
            </w:pPr>
          </w:p>
        </w:tc>
        <w:tc>
          <w:tcPr>
            <w:tcW w:w="704" w:type="dxa"/>
          </w:tcPr>
          <w:p w14:paraId="3E0483B0">
            <w:pPr>
              <w:pStyle w:val="244"/>
              <w:rPr>
                <w:rFonts w:ascii="仿宋" w:hAnsi="仿宋" w:eastAsia="仿宋" w:cs="仿宋"/>
                <w:color w:val="auto"/>
                <w:sz w:val="21"/>
                <w:szCs w:val="21"/>
                <w:highlight w:val="none"/>
              </w:rPr>
            </w:pPr>
          </w:p>
        </w:tc>
      </w:tr>
      <w:tr w14:paraId="2B94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3846E390">
            <w:pPr>
              <w:pStyle w:val="244"/>
              <w:rPr>
                <w:rFonts w:ascii="仿宋" w:hAnsi="仿宋" w:eastAsia="仿宋" w:cs="仿宋"/>
                <w:color w:val="auto"/>
                <w:sz w:val="21"/>
                <w:szCs w:val="21"/>
                <w:highlight w:val="none"/>
              </w:rPr>
            </w:pPr>
          </w:p>
        </w:tc>
        <w:tc>
          <w:tcPr>
            <w:tcW w:w="678" w:type="dxa"/>
          </w:tcPr>
          <w:p w14:paraId="7C751951">
            <w:pPr>
              <w:pStyle w:val="244"/>
              <w:rPr>
                <w:rFonts w:ascii="仿宋" w:hAnsi="仿宋" w:eastAsia="仿宋" w:cs="仿宋"/>
                <w:color w:val="auto"/>
                <w:sz w:val="21"/>
                <w:szCs w:val="21"/>
                <w:highlight w:val="none"/>
              </w:rPr>
            </w:pPr>
          </w:p>
        </w:tc>
        <w:tc>
          <w:tcPr>
            <w:tcW w:w="485" w:type="dxa"/>
          </w:tcPr>
          <w:p w14:paraId="29D779B8">
            <w:pPr>
              <w:pStyle w:val="244"/>
              <w:rPr>
                <w:rFonts w:ascii="仿宋" w:hAnsi="仿宋" w:eastAsia="仿宋" w:cs="仿宋"/>
                <w:color w:val="auto"/>
                <w:sz w:val="21"/>
                <w:szCs w:val="21"/>
                <w:highlight w:val="none"/>
              </w:rPr>
            </w:pPr>
          </w:p>
        </w:tc>
        <w:tc>
          <w:tcPr>
            <w:tcW w:w="726" w:type="dxa"/>
          </w:tcPr>
          <w:p w14:paraId="196E9F89">
            <w:pPr>
              <w:pStyle w:val="244"/>
              <w:rPr>
                <w:rFonts w:ascii="仿宋" w:hAnsi="仿宋" w:eastAsia="仿宋" w:cs="仿宋"/>
                <w:color w:val="auto"/>
                <w:sz w:val="21"/>
                <w:szCs w:val="21"/>
                <w:highlight w:val="none"/>
              </w:rPr>
            </w:pPr>
          </w:p>
        </w:tc>
        <w:tc>
          <w:tcPr>
            <w:tcW w:w="686" w:type="dxa"/>
          </w:tcPr>
          <w:p w14:paraId="2312BA9D">
            <w:pPr>
              <w:pStyle w:val="244"/>
              <w:rPr>
                <w:rFonts w:ascii="仿宋" w:hAnsi="仿宋" w:eastAsia="仿宋" w:cs="仿宋"/>
                <w:color w:val="auto"/>
                <w:sz w:val="21"/>
                <w:szCs w:val="21"/>
                <w:highlight w:val="none"/>
              </w:rPr>
            </w:pPr>
          </w:p>
        </w:tc>
        <w:tc>
          <w:tcPr>
            <w:tcW w:w="992" w:type="dxa"/>
          </w:tcPr>
          <w:p w14:paraId="67C1F47F">
            <w:pPr>
              <w:pStyle w:val="244"/>
              <w:rPr>
                <w:rFonts w:ascii="仿宋" w:hAnsi="仿宋" w:eastAsia="仿宋" w:cs="仿宋"/>
                <w:color w:val="auto"/>
                <w:sz w:val="21"/>
                <w:szCs w:val="21"/>
                <w:highlight w:val="none"/>
              </w:rPr>
            </w:pPr>
          </w:p>
        </w:tc>
        <w:tc>
          <w:tcPr>
            <w:tcW w:w="1057" w:type="dxa"/>
          </w:tcPr>
          <w:p w14:paraId="37A309E2">
            <w:pPr>
              <w:pStyle w:val="244"/>
              <w:rPr>
                <w:rFonts w:ascii="仿宋" w:hAnsi="仿宋" w:eastAsia="仿宋" w:cs="仿宋"/>
                <w:color w:val="auto"/>
                <w:sz w:val="21"/>
                <w:szCs w:val="21"/>
                <w:highlight w:val="none"/>
              </w:rPr>
            </w:pPr>
          </w:p>
        </w:tc>
        <w:tc>
          <w:tcPr>
            <w:tcW w:w="582" w:type="dxa"/>
          </w:tcPr>
          <w:p w14:paraId="4502D19E">
            <w:pPr>
              <w:pStyle w:val="244"/>
              <w:rPr>
                <w:rFonts w:ascii="仿宋" w:hAnsi="仿宋" w:eastAsia="仿宋" w:cs="仿宋"/>
                <w:color w:val="auto"/>
                <w:sz w:val="21"/>
                <w:szCs w:val="21"/>
                <w:highlight w:val="none"/>
              </w:rPr>
            </w:pPr>
          </w:p>
        </w:tc>
        <w:tc>
          <w:tcPr>
            <w:tcW w:w="1133" w:type="dxa"/>
          </w:tcPr>
          <w:p w14:paraId="5B470392">
            <w:pPr>
              <w:pStyle w:val="244"/>
              <w:rPr>
                <w:rFonts w:ascii="仿宋" w:hAnsi="仿宋" w:eastAsia="仿宋" w:cs="仿宋"/>
                <w:color w:val="auto"/>
                <w:sz w:val="21"/>
                <w:szCs w:val="21"/>
                <w:highlight w:val="none"/>
              </w:rPr>
            </w:pPr>
          </w:p>
        </w:tc>
        <w:tc>
          <w:tcPr>
            <w:tcW w:w="756" w:type="dxa"/>
          </w:tcPr>
          <w:p w14:paraId="11FF99AE">
            <w:pPr>
              <w:pStyle w:val="244"/>
              <w:rPr>
                <w:rFonts w:ascii="仿宋" w:hAnsi="仿宋" w:eastAsia="仿宋" w:cs="仿宋"/>
                <w:color w:val="auto"/>
                <w:sz w:val="21"/>
                <w:szCs w:val="21"/>
                <w:highlight w:val="none"/>
              </w:rPr>
            </w:pPr>
          </w:p>
        </w:tc>
        <w:tc>
          <w:tcPr>
            <w:tcW w:w="754" w:type="dxa"/>
          </w:tcPr>
          <w:p w14:paraId="1B7A348A">
            <w:pPr>
              <w:pStyle w:val="244"/>
              <w:rPr>
                <w:rFonts w:ascii="仿宋" w:hAnsi="仿宋" w:eastAsia="仿宋" w:cs="仿宋"/>
                <w:color w:val="auto"/>
                <w:sz w:val="21"/>
                <w:szCs w:val="21"/>
                <w:highlight w:val="none"/>
              </w:rPr>
            </w:pPr>
          </w:p>
        </w:tc>
        <w:tc>
          <w:tcPr>
            <w:tcW w:w="704" w:type="dxa"/>
          </w:tcPr>
          <w:p w14:paraId="68FBF27A">
            <w:pPr>
              <w:pStyle w:val="244"/>
              <w:rPr>
                <w:rFonts w:ascii="仿宋" w:hAnsi="仿宋" w:eastAsia="仿宋" w:cs="仿宋"/>
                <w:color w:val="auto"/>
                <w:sz w:val="21"/>
                <w:szCs w:val="21"/>
                <w:highlight w:val="none"/>
              </w:rPr>
            </w:pPr>
          </w:p>
        </w:tc>
      </w:tr>
      <w:tr w14:paraId="2E9F9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4F02CAA0">
            <w:pPr>
              <w:pStyle w:val="244"/>
              <w:rPr>
                <w:rFonts w:ascii="仿宋" w:hAnsi="仿宋" w:eastAsia="仿宋" w:cs="仿宋"/>
                <w:color w:val="auto"/>
                <w:sz w:val="21"/>
                <w:szCs w:val="21"/>
                <w:highlight w:val="none"/>
              </w:rPr>
            </w:pPr>
          </w:p>
        </w:tc>
        <w:tc>
          <w:tcPr>
            <w:tcW w:w="678" w:type="dxa"/>
          </w:tcPr>
          <w:p w14:paraId="0E51EF30">
            <w:pPr>
              <w:pStyle w:val="244"/>
              <w:rPr>
                <w:rFonts w:ascii="仿宋" w:hAnsi="仿宋" w:eastAsia="仿宋" w:cs="仿宋"/>
                <w:color w:val="auto"/>
                <w:sz w:val="21"/>
                <w:szCs w:val="21"/>
                <w:highlight w:val="none"/>
              </w:rPr>
            </w:pPr>
          </w:p>
        </w:tc>
        <w:tc>
          <w:tcPr>
            <w:tcW w:w="485" w:type="dxa"/>
          </w:tcPr>
          <w:p w14:paraId="538E4778">
            <w:pPr>
              <w:pStyle w:val="244"/>
              <w:rPr>
                <w:rFonts w:ascii="仿宋" w:hAnsi="仿宋" w:eastAsia="仿宋" w:cs="仿宋"/>
                <w:color w:val="auto"/>
                <w:sz w:val="21"/>
                <w:szCs w:val="21"/>
                <w:highlight w:val="none"/>
              </w:rPr>
            </w:pPr>
          </w:p>
        </w:tc>
        <w:tc>
          <w:tcPr>
            <w:tcW w:w="726" w:type="dxa"/>
          </w:tcPr>
          <w:p w14:paraId="49727627">
            <w:pPr>
              <w:pStyle w:val="244"/>
              <w:rPr>
                <w:rFonts w:ascii="仿宋" w:hAnsi="仿宋" w:eastAsia="仿宋" w:cs="仿宋"/>
                <w:color w:val="auto"/>
                <w:sz w:val="21"/>
                <w:szCs w:val="21"/>
                <w:highlight w:val="none"/>
              </w:rPr>
            </w:pPr>
          </w:p>
        </w:tc>
        <w:tc>
          <w:tcPr>
            <w:tcW w:w="686" w:type="dxa"/>
          </w:tcPr>
          <w:p w14:paraId="0E1C80DA">
            <w:pPr>
              <w:pStyle w:val="244"/>
              <w:rPr>
                <w:rFonts w:ascii="仿宋" w:hAnsi="仿宋" w:eastAsia="仿宋" w:cs="仿宋"/>
                <w:color w:val="auto"/>
                <w:sz w:val="21"/>
                <w:szCs w:val="21"/>
                <w:highlight w:val="none"/>
              </w:rPr>
            </w:pPr>
          </w:p>
        </w:tc>
        <w:tc>
          <w:tcPr>
            <w:tcW w:w="992" w:type="dxa"/>
          </w:tcPr>
          <w:p w14:paraId="3F8D75E6">
            <w:pPr>
              <w:pStyle w:val="244"/>
              <w:rPr>
                <w:rFonts w:ascii="仿宋" w:hAnsi="仿宋" w:eastAsia="仿宋" w:cs="仿宋"/>
                <w:color w:val="auto"/>
                <w:sz w:val="21"/>
                <w:szCs w:val="21"/>
                <w:highlight w:val="none"/>
              </w:rPr>
            </w:pPr>
          </w:p>
        </w:tc>
        <w:tc>
          <w:tcPr>
            <w:tcW w:w="1057" w:type="dxa"/>
          </w:tcPr>
          <w:p w14:paraId="6511AAEA">
            <w:pPr>
              <w:pStyle w:val="244"/>
              <w:rPr>
                <w:rFonts w:ascii="仿宋" w:hAnsi="仿宋" w:eastAsia="仿宋" w:cs="仿宋"/>
                <w:color w:val="auto"/>
                <w:sz w:val="21"/>
                <w:szCs w:val="21"/>
                <w:highlight w:val="none"/>
              </w:rPr>
            </w:pPr>
          </w:p>
        </w:tc>
        <w:tc>
          <w:tcPr>
            <w:tcW w:w="582" w:type="dxa"/>
          </w:tcPr>
          <w:p w14:paraId="45D550C5">
            <w:pPr>
              <w:pStyle w:val="244"/>
              <w:rPr>
                <w:rFonts w:ascii="仿宋" w:hAnsi="仿宋" w:eastAsia="仿宋" w:cs="仿宋"/>
                <w:color w:val="auto"/>
                <w:sz w:val="21"/>
                <w:szCs w:val="21"/>
                <w:highlight w:val="none"/>
              </w:rPr>
            </w:pPr>
          </w:p>
        </w:tc>
        <w:tc>
          <w:tcPr>
            <w:tcW w:w="1133" w:type="dxa"/>
          </w:tcPr>
          <w:p w14:paraId="3140B5CE">
            <w:pPr>
              <w:pStyle w:val="244"/>
              <w:rPr>
                <w:rFonts w:ascii="仿宋" w:hAnsi="仿宋" w:eastAsia="仿宋" w:cs="仿宋"/>
                <w:color w:val="auto"/>
                <w:sz w:val="21"/>
                <w:szCs w:val="21"/>
                <w:highlight w:val="none"/>
              </w:rPr>
            </w:pPr>
          </w:p>
        </w:tc>
        <w:tc>
          <w:tcPr>
            <w:tcW w:w="756" w:type="dxa"/>
          </w:tcPr>
          <w:p w14:paraId="6F3A607E">
            <w:pPr>
              <w:pStyle w:val="244"/>
              <w:rPr>
                <w:rFonts w:ascii="仿宋" w:hAnsi="仿宋" w:eastAsia="仿宋" w:cs="仿宋"/>
                <w:color w:val="auto"/>
                <w:sz w:val="21"/>
                <w:szCs w:val="21"/>
                <w:highlight w:val="none"/>
              </w:rPr>
            </w:pPr>
          </w:p>
        </w:tc>
        <w:tc>
          <w:tcPr>
            <w:tcW w:w="754" w:type="dxa"/>
          </w:tcPr>
          <w:p w14:paraId="65125455">
            <w:pPr>
              <w:pStyle w:val="244"/>
              <w:rPr>
                <w:rFonts w:ascii="仿宋" w:hAnsi="仿宋" w:eastAsia="仿宋" w:cs="仿宋"/>
                <w:color w:val="auto"/>
                <w:sz w:val="21"/>
                <w:szCs w:val="21"/>
                <w:highlight w:val="none"/>
              </w:rPr>
            </w:pPr>
          </w:p>
        </w:tc>
        <w:tc>
          <w:tcPr>
            <w:tcW w:w="704" w:type="dxa"/>
          </w:tcPr>
          <w:p w14:paraId="12DEF3F4">
            <w:pPr>
              <w:pStyle w:val="244"/>
              <w:rPr>
                <w:rFonts w:ascii="仿宋" w:hAnsi="仿宋" w:eastAsia="仿宋" w:cs="仿宋"/>
                <w:color w:val="auto"/>
                <w:sz w:val="21"/>
                <w:szCs w:val="21"/>
                <w:highlight w:val="none"/>
              </w:rPr>
            </w:pPr>
          </w:p>
        </w:tc>
      </w:tr>
      <w:tr w14:paraId="1695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4F152CB9">
            <w:pPr>
              <w:pStyle w:val="244"/>
              <w:rPr>
                <w:rFonts w:ascii="仿宋" w:hAnsi="仿宋" w:eastAsia="仿宋" w:cs="仿宋"/>
                <w:color w:val="auto"/>
                <w:sz w:val="21"/>
                <w:szCs w:val="21"/>
                <w:highlight w:val="none"/>
              </w:rPr>
            </w:pPr>
          </w:p>
        </w:tc>
        <w:tc>
          <w:tcPr>
            <w:tcW w:w="678" w:type="dxa"/>
          </w:tcPr>
          <w:p w14:paraId="2958C45B">
            <w:pPr>
              <w:pStyle w:val="244"/>
              <w:rPr>
                <w:rFonts w:ascii="仿宋" w:hAnsi="仿宋" w:eastAsia="仿宋" w:cs="仿宋"/>
                <w:color w:val="auto"/>
                <w:sz w:val="21"/>
                <w:szCs w:val="21"/>
                <w:highlight w:val="none"/>
              </w:rPr>
            </w:pPr>
          </w:p>
        </w:tc>
        <w:tc>
          <w:tcPr>
            <w:tcW w:w="485" w:type="dxa"/>
          </w:tcPr>
          <w:p w14:paraId="7D61C1ED">
            <w:pPr>
              <w:pStyle w:val="244"/>
              <w:rPr>
                <w:rFonts w:ascii="仿宋" w:hAnsi="仿宋" w:eastAsia="仿宋" w:cs="仿宋"/>
                <w:color w:val="auto"/>
                <w:sz w:val="21"/>
                <w:szCs w:val="21"/>
                <w:highlight w:val="none"/>
              </w:rPr>
            </w:pPr>
          </w:p>
        </w:tc>
        <w:tc>
          <w:tcPr>
            <w:tcW w:w="726" w:type="dxa"/>
          </w:tcPr>
          <w:p w14:paraId="23F0ED9B">
            <w:pPr>
              <w:pStyle w:val="244"/>
              <w:rPr>
                <w:rFonts w:ascii="仿宋" w:hAnsi="仿宋" w:eastAsia="仿宋" w:cs="仿宋"/>
                <w:color w:val="auto"/>
                <w:sz w:val="21"/>
                <w:szCs w:val="21"/>
                <w:highlight w:val="none"/>
              </w:rPr>
            </w:pPr>
          </w:p>
        </w:tc>
        <w:tc>
          <w:tcPr>
            <w:tcW w:w="686" w:type="dxa"/>
          </w:tcPr>
          <w:p w14:paraId="41E0A99D">
            <w:pPr>
              <w:pStyle w:val="244"/>
              <w:rPr>
                <w:rFonts w:ascii="仿宋" w:hAnsi="仿宋" w:eastAsia="仿宋" w:cs="仿宋"/>
                <w:color w:val="auto"/>
                <w:sz w:val="21"/>
                <w:szCs w:val="21"/>
                <w:highlight w:val="none"/>
              </w:rPr>
            </w:pPr>
          </w:p>
        </w:tc>
        <w:tc>
          <w:tcPr>
            <w:tcW w:w="992" w:type="dxa"/>
          </w:tcPr>
          <w:p w14:paraId="7ACB4441">
            <w:pPr>
              <w:pStyle w:val="244"/>
              <w:rPr>
                <w:rFonts w:ascii="仿宋" w:hAnsi="仿宋" w:eastAsia="仿宋" w:cs="仿宋"/>
                <w:color w:val="auto"/>
                <w:sz w:val="21"/>
                <w:szCs w:val="21"/>
                <w:highlight w:val="none"/>
              </w:rPr>
            </w:pPr>
          </w:p>
        </w:tc>
        <w:tc>
          <w:tcPr>
            <w:tcW w:w="1057" w:type="dxa"/>
          </w:tcPr>
          <w:p w14:paraId="4FA40EDF">
            <w:pPr>
              <w:pStyle w:val="244"/>
              <w:rPr>
                <w:rFonts w:ascii="仿宋" w:hAnsi="仿宋" w:eastAsia="仿宋" w:cs="仿宋"/>
                <w:color w:val="auto"/>
                <w:sz w:val="21"/>
                <w:szCs w:val="21"/>
                <w:highlight w:val="none"/>
              </w:rPr>
            </w:pPr>
          </w:p>
        </w:tc>
        <w:tc>
          <w:tcPr>
            <w:tcW w:w="582" w:type="dxa"/>
          </w:tcPr>
          <w:p w14:paraId="7A5099E5">
            <w:pPr>
              <w:pStyle w:val="244"/>
              <w:rPr>
                <w:rFonts w:ascii="仿宋" w:hAnsi="仿宋" w:eastAsia="仿宋" w:cs="仿宋"/>
                <w:color w:val="auto"/>
                <w:sz w:val="21"/>
                <w:szCs w:val="21"/>
                <w:highlight w:val="none"/>
              </w:rPr>
            </w:pPr>
          </w:p>
        </w:tc>
        <w:tc>
          <w:tcPr>
            <w:tcW w:w="1133" w:type="dxa"/>
          </w:tcPr>
          <w:p w14:paraId="4315BDFC">
            <w:pPr>
              <w:pStyle w:val="244"/>
              <w:rPr>
                <w:rFonts w:ascii="仿宋" w:hAnsi="仿宋" w:eastAsia="仿宋" w:cs="仿宋"/>
                <w:color w:val="auto"/>
                <w:sz w:val="21"/>
                <w:szCs w:val="21"/>
                <w:highlight w:val="none"/>
              </w:rPr>
            </w:pPr>
          </w:p>
        </w:tc>
        <w:tc>
          <w:tcPr>
            <w:tcW w:w="756" w:type="dxa"/>
          </w:tcPr>
          <w:p w14:paraId="496602A8">
            <w:pPr>
              <w:pStyle w:val="244"/>
              <w:rPr>
                <w:rFonts w:ascii="仿宋" w:hAnsi="仿宋" w:eastAsia="仿宋" w:cs="仿宋"/>
                <w:color w:val="auto"/>
                <w:sz w:val="21"/>
                <w:szCs w:val="21"/>
                <w:highlight w:val="none"/>
              </w:rPr>
            </w:pPr>
          </w:p>
        </w:tc>
        <w:tc>
          <w:tcPr>
            <w:tcW w:w="754" w:type="dxa"/>
          </w:tcPr>
          <w:p w14:paraId="570BA919">
            <w:pPr>
              <w:pStyle w:val="244"/>
              <w:rPr>
                <w:rFonts w:ascii="仿宋" w:hAnsi="仿宋" w:eastAsia="仿宋" w:cs="仿宋"/>
                <w:color w:val="auto"/>
                <w:sz w:val="21"/>
                <w:szCs w:val="21"/>
                <w:highlight w:val="none"/>
              </w:rPr>
            </w:pPr>
          </w:p>
        </w:tc>
        <w:tc>
          <w:tcPr>
            <w:tcW w:w="704" w:type="dxa"/>
          </w:tcPr>
          <w:p w14:paraId="2394A374">
            <w:pPr>
              <w:pStyle w:val="244"/>
              <w:rPr>
                <w:rFonts w:ascii="仿宋" w:hAnsi="仿宋" w:eastAsia="仿宋" w:cs="仿宋"/>
                <w:color w:val="auto"/>
                <w:sz w:val="21"/>
                <w:szCs w:val="21"/>
                <w:highlight w:val="none"/>
              </w:rPr>
            </w:pPr>
          </w:p>
        </w:tc>
      </w:tr>
      <w:tr w14:paraId="73CD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7D984962">
            <w:pPr>
              <w:pStyle w:val="244"/>
              <w:rPr>
                <w:rFonts w:ascii="仿宋" w:hAnsi="仿宋" w:eastAsia="仿宋" w:cs="仿宋"/>
                <w:color w:val="auto"/>
                <w:sz w:val="21"/>
                <w:szCs w:val="21"/>
                <w:highlight w:val="none"/>
              </w:rPr>
            </w:pPr>
          </w:p>
        </w:tc>
        <w:tc>
          <w:tcPr>
            <w:tcW w:w="678" w:type="dxa"/>
          </w:tcPr>
          <w:p w14:paraId="38BA3E6F">
            <w:pPr>
              <w:pStyle w:val="244"/>
              <w:rPr>
                <w:rFonts w:ascii="仿宋" w:hAnsi="仿宋" w:eastAsia="仿宋" w:cs="仿宋"/>
                <w:color w:val="auto"/>
                <w:sz w:val="21"/>
                <w:szCs w:val="21"/>
                <w:highlight w:val="none"/>
              </w:rPr>
            </w:pPr>
          </w:p>
        </w:tc>
        <w:tc>
          <w:tcPr>
            <w:tcW w:w="485" w:type="dxa"/>
          </w:tcPr>
          <w:p w14:paraId="2B68CDD0">
            <w:pPr>
              <w:pStyle w:val="244"/>
              <w:rPr>
                <w:rFonts w:ascii="仿宋" w:hAnsi="仿宋" w:eastAsia="仿宋" w:cs="仿宋"/>
                <w:color w:val="auto"/>
                <w:sz w:val="21"/>
                <w:szCs w:val="21"/>
                <w:highlight w:val="none"/>
              </w:rPr>
            </w:pPr>
          </w:p>
        </w:tc>
        <w:tc>
          <w:tcPr>
            <w:tcW w:w="726" w:type="dxa"/>
          </w:tcPr>
          <w:p w14:paraId="264257CA">
            <w:pPr>
              <w:pStyle w:val="244"/>
              <w:rPr>
                <w:rFonts w:ascii="仿宋" w:hAnsi="仿宋" w:eastAsia="仿宋" w:cs="仿宋"/>
                <w:color w:val="auto"/>
                <w:sz w:val="21"/>
                <w:szCs w:val="21"/>
                <w:highlight w:val="none"/>
              </w:rPr>
            </w:pPr>
          </w:p>
        </w:tc>
        <w:tc>
          <w:tcPr>
            <w:tcW w:w="686" w:type="dxa"/>
          </w:tcPr>
          <w:p w14:paraId="043AD2A1">
            <w:pPr>
              <w:pStyle w:val="244"/>
              <w:rPr>
                <w:rFonts w:ascii="仿宋" w:hAnsi="仿宋" w:eastAsia="仿宋" w:cs="仿宋"/>
                <w:color w:val="auto"/>
                <w:sz w:val="21"/>
                <w:szCs w:val="21"/>
                <w:highlight w:val="none"/>
              </w:rPr>
            </w:pPr>
          </w:p>
        </w:tc>
        <w:tc>
          <w:tcPr>
            <w:tcW w:w="992" w:type="dxa"/>
          </w:tcPr>
          <w:p w14:paraId="68383298">
            <w:pPr>
              <w:pStyle w:val="244"/>
              <w:rPr>
                <w:rFonts w:ascii="仿宋" w:hAnsi="仿宋" w:eastAsia="仿宋" w:cs="仿宋"/>
                <w:color w:val="auto"/>
                <w:sz w:val="21"/>
                <w:szCs w:val="21"/>
                <w:highlight w:val="none"/>
              </w:rPr>
            </w:pPr>
          </w:p>
        </w:tc>
        <w:tc>
          <w:tcPr>
            <w:tcW w:w="1057" w:type="dxa"/>
          </w:tcPr>
          <w:p w14:paraId="524F00F0">
            <w:pPr>
              <w:pStyle w:val="244"/>
              <w:rPr>
                <w:rFonts w:ascii="仿宋" w:hAnsi="仿宋" w:eastAsia="仿宋" w:cs="仿宋"/>
                <w:color w:val="auto"/>
                <w:sz w:val="21"/>
                <w:szCs w:val="21"/>
                <w:highlight w:val="none"/>
              </w:rPr>
            </w:pPr>
          </w:p>
        </w:tc>
        <w:tc>
          <w:tcPr>
            <w:tcW w:w="582" w:type="dxa"/>
          </w:tcPr>
          <w:p w14:paraId="41CB38D9">
            <w:pPr>
              <w:pStyle w:val="244"/>
              <w:rPr>
                <w:rFonts w:ascii="仿宋" w:hAnsi="仿宋" w:eastAsia="仿宋" w:cs="仿宋"/>
                <w:color w:val="auto"/>
                <w:sz w:val="21"/>
                <w:szCs w:val="21"/>
                <w:highlight w:val="none"/>
              </w:rPr>
            </w:pPr>
          </w:p>
        </w:tc>
        <w:tc>
          <w:tcPr>
            <w:tcW w:w="1133" w:type="dxa"/>
          </w:tcPr>
          <w:p w14:paraId="46F66957">
            <w:pPr>
              <w:pStyle w:val="244"/>
              <w:rPr>
                <w:rFonts w:ascii="仿宋" w:hAnsi="仿宋" w:eastAsia="仿宋" w:cs="仿宋"/>
                <w:color w:val="auto"/>
                <w:sz w:val="21"/>
                <w:szCs w:val="21"/>
                <w:highlight w:val="none"/>
              </w:rPr>
            </w:pPr>
          </w:p>
        </w:tc>
        <w:tc>
          <w:tcPr>
            <w:tcW w:w="756" w:type="dxa"/>
          </w:tcPr>
          <w:p w14:paraId="42C0C7E4">
            <w:pPr>
              <w:pStyle w:val="244"/>
              <w:rPr>
                <w:rFonts w:ascii="仿宋" w:hAnsi="仿宋" w:eastAsia="仿宋" w:cs="仿宋"/>
                <w:color w:val="auto"/>
                <w:sz w:val="21"/>
                <w:szCs w:val="21"/>
                <w:highlight w:val="none"/>
              </w:rPr>
            </w:pPr>
          </w:p>
        </w:tc>
        <w:tc>
          <w:tcPr>
            <w:tcW w:w="754" w:type="dxa"/>
          </w:tcPr>
          <w:p w14:paraId="07CFE8BD">
            <w:pPr>
              <w:pStyle w:val="244"/>
              <w:rPr>
                <w:rFonts w:ascii="仿宋" w:hAnsi="仿宋" w:eastAsia="仿宋" w:cs="仿宋"/>
                <w:color w:val="auto"/>
                <w:sz w:val="21"/>
                <w:szCs w:val="21"/>
                <w:highlight w:val="none"/>
              </w:rPr>
            </w:pPr>
          </w:p>
        </w:tc>
        <w:tc>
          <w:tcPr>
            <w:tcW w:w="704" w:type="dxa"/>
          </w:tcPr>
          <w:p w14:paraId="67E559CE">
            <w:pPr>
              <w:pStyle w:val="244"/>
              <w:rPr>
                <w:rFonts w:ascii="仿宋" w:hAnsi="仿宋" w:eastAsia="仿宋" w:cs="仿宋"/>
                <w:color w:val="auto"/>
                <w:sz w:val="21"/>
                <w:szCs w:val="21"/>
                <w:highlight w:val="none"/>
              </w:rPr>
            </w:pPr>
          </w:p>
        </w:tc>
      </w:tr>
      <w:tr w14:paraId="60A3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11273F0F">
            <w:pPr>
              <w:pStyle w:val="244"/>
              <w:rPr>
                <w:rFonts w:ascii="仿宋" w:hAnsi="仿宋" w:eastAsia="仿宋" w:cs="仿宋"/>
                <w:color w:val="auto"/>
                <w:sz w:val="21"/>
                <w:szCs w:val="21"/>
                <w:highlight w:val="none"/>
              </w:rPr>
            </w:pPr>
          </w:p>
        </w:tc>
        <w:tc>
          <w:tcPr>
            <w:tcW w:w="678" w:type="dxa"/>
          </w:tcPr>
          <w:p w14:paraId="58AF0633">
            <w:pPr>
              <w:pStyle w:val="244"/>
              <w:rPr>
                <w:rFonts w:ascii="仿宋" w:hAnsi="仿宋" w:eastAsia="仿宋" w:cs="仿宋"/>
                <w:color w:val="auto"/>
                <w:sz w:val="21"/>
                <w:szCs w:val="21"/>
                <w:highlight w:val="none"/>
              </w:rPr>
            </w:pPr>
          </w:p>
        </w:tc>
        <w:tc>
          <w:tcPr>
            <w:tcW w:w="485" w:type="dxa"/>
          </w:tcPr>
          <w:p w14:paraId="2436292E">
            <w:pPr>
              <w:pStyle w:val="244"/>
              <w:rPr>
                <w:rFonts w:ascii="仿宋" w:hAnsi="仿宋" w:eastAsia="仿宋" w:cs="仿宋"/>
                <w:color w:val="auto"/>
                <w:sz w:val="21"/>
                <w:szCs w:val="21"/>
                <w:highlight w:val="none"/>
              </w:rPr>
            </w:pPr>
          </w:p>
        </w:tc>
        <w:tc>
          <w:tcPr>
            <w:tcW w:w="726" w:type="dxa"/>
          </w:tcPr>
          <w:p w14:paraId="22146F34">
            <w:pPr>
              <w:pStyle w:val="244"/>
              <w:rPr>
                <w:rFonts w:ascii="仿宋" w:hAnsi="仿宋" w:eastAsia="仿宋" w:cs="仿宋"/>
                <w:color w:val="auto"/>
                <w:sz w:val="21"/>
                <w:szCs w:val="21"/>
                <w:highlight w:val="none"/>
              </w:rPr>
            </w:pPr>
          </w:p>
        </w:tc>
        <w:tc>
          <w:tcPr>
            <w:tcW w:w="686" w:type="dxa"/>
          </w:tcPr>
          <w:p w14:paraId="763C9695">
            <w:pPr>
              <w:pStyle w:val="244"/>
              <w:rPr>
                <w:rFonts w:ascii="仿宋" w:hAnsi="仿宋" w:eastAsia="仿宋" w:cs="仿宋"/>
                <w:color w:val="auto"/>
                <w:sz w:val="21"/>
                <w:szCs w:val="21"/>
                <w:highlight w:val="none"/>
              </w:rPr>
            </w:pPr>
          </w:p>
        </w:tc>
        <w:tc>
          <w:tcPr>
            <w:tcW w:w="992" w:type="dxa"/>
          </w:tcPr>
          <w:p w14:paraId="01C96701">
            <w:pPr>
              <w:pStyle w:val="244"/>
              <w:rPr>
                <w:rFonts w:ascii="仿宋" w:hAnsi="仿宋" w:eastAsia="仿宋" w:cs="仿宋"/>
                <w:color w:val="auto"/>
                <w:sz w:val="21"/>
                <w:szCs w:val="21"/>
                <w:highlight w:val="none"/>
              </w:rPr>
            </w:pPr>
          </w:p>
        </w:tc>
        <w:tc>
          <w:tcPr>
            <w:tcW w:w="1057" w:type="dxa"/>
          </w:tcPr>
          <w:p w14:paraId="1A989DDC">
            <w:pPr>
              <w:pStyle w:val="244"/>
              <w:rPr>
                <w:rFonts w:ascii="仿宋" w:hAnsi="仿宋" w:eastAsia="仿宋" w:cs="仿宋"/>
                <w:color w:val="auto"/>
                <w:sz w:val="21"/>
                <w:szCs w:val="21"/>
                <w:highlight w:val="none"/>
              </w:rPr>
            </w:pPr>
          </w:p>
        </w:tc>
        <w:tc>
          <w:tcPr>
            <w:tcW w:w="582" w:type="dxa"/>
          </w:tcPr>
          <w:p w14:paraId="3ECD1417">
            <w:pPr>
              <w:pStyle w:val="244"/>
              <w:rPr>
                <w:rFonts w:ascii="仿宋" w:hAnsi="仿宋" w:eastAsia="仿宋" w:cs="仿宋"/>
                <w:color w:val="auto"/>
                <w:sz w:val="21"/>
                <w:szCs w:val="21"/>
                <w:highlight w:val="none"/>
              </w:rPr>
            </w:pPr>
          </w:p>
        </w:tc>
        <w:tc>
          <w:tcPr>
            <w:tcW w:w="1133" w:type="dxa"/>
          </w:tcPr>
          <w:p w14:paraId="543C45E2">
            <w:pPr>
              <w:pStyle w:val="244"/>
              <w:rPr>
                <w:rFonts w:ascii="仿宋" w:hAnsi="仿宋" w:eastAsia="仿宋" w:cs="仿宋"/>
                <w:color w:val="auto"/>
                <w:sz w:val="21"/>
                <w:szCs w:val="21"/>
                <w:highlight w:val="none"/>
              </w:rPr>
            </w:pPr>
          </w:p>
        </w:tc>
        <w:tc>
          <w:tcPr>
            <w:tcW w:w="756" w:type="dxa"/>
          </w:tcPr>
          <w:p w14:paraId="011BF821">
            <w:pPr>
              <w:pStyle w:val="244"/>
              <w:rPr>
                <w:rFonts w:ascii="仿宋" w:hAnsi="仿宋" w:eastAsia="仿宋" w:cs="仿宋"/>
                <w:color w:val="auto"/>
                <w:sz w:val="21"/>
                <w:szCs w:val="21"/>
                <w:highlight w:val="none"/>
              </w:rPr>
            </w:pPr>
          </w:p>
        </w:tc>
        <w:tc>
          <w:tcPr>
            <w:tcW w:w="754" w:type="dxa"/>
          </w:tcPr>
          <w:p w14:paraId="24DA3924">
            <w:pPr>
              <w:pStyle w:val="244"/>
              <w:rPr>
                <w:rFonts w:ascii="仿宋" w:hAnsi="仿宋" w:eastAsia="仿宋" w:cs="仿宋"/>
                <w:color w:val="auto"/>
                <w:sz w:val="21"/>
                <w:szCs w:val="21"/>
                <w:highlight w:val="none"/>
              </w:rPr>
            </w:pPr>
          </w:p>
        </w:tc>
        <w:tc>
          <w:tcPr>
            <w:tcW w:w="704" w:type="dxa"/>
          </w:tcPr>
          <w:p w14:paraId="110A772D">
            <w:pPr>
              <w:pStyle w:val="244"/>
              <w:rPr>
                <w:rFonts w:ascii="仿宋" w:hAnsi="仿宋" w:eastAsia="仿宋" w:cs="仿宋"/>
                <w:color w:val="auto"/>
                <w:sz w:val="21"/>
                <w:szCs w:val="21"/>
                <w:highlight w:val="none"/>
              </w:rPr>
            </w:pPr>
          </w:p>
        </w:tc>
      </w:tr>
      <w:tr w14:paraId="50E0A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87" w:type="dxa"/>
          </w:tcPr>
          <w:p w14:paraId="4DC44D79">
            <w:pPr>
              <w:pStyle w:val="244"/>
              <w:rPr>
                <w:rFonts w:ascii="仿宋" w:hAnsi="仿宋" w:eastAsia="仿宋" w:cs="仿宋"/>
                <w:color w:val="auto"/>
                <w:sz w:val="21"/>
                <w:szCs w:val="21"/>
                <w:highlight w:val="none"/>
              </w:rPr>
            </w:pPr>
          </w:p>
        </w:tc>
        <w:tc>
          <w:tcPr>
            <w:tcW w:w="678" w:type="dxa"/>
          </w:tcPr>
          <w:p w14:paraId="5F229597">
            <w:pPr>
              <w:pStyle w:val="244"/>
              <w:rPr>
                <w:rFonts w:ascii="仿宋" w:hAnsi="仿宋" w:eastAsia="仿宋" w:cs="仿宋"/>
                <w:color w:val="auto"/>
                <w:sz w:val="21"/>
                <w:szCs w:val="21"/>
                <w:highlight w:val="none"/>
              </w:rPr>
            </w:pPr>
          </w:p>
        </w:tc>
        <w:tc>
          <w:tcPr>
            <w:tcW w:w="485" w:type="dxa"/>
          </w:tcPr>
          <w:p w14:paraId="1DAFB349">
            <w:pPr>
              <w:pStyle w:val="244"/>
              <w:rPr>
                <w:rFonts w:ascii="仿宋" w:hAnsi="仿宋" w:eastAsia="仿宋" w:cs="仿宋"/>
                <w:color w:val="auto"/>
                <w:sz w:val="21"/>
                <w:szCs w:val="21"/>
                <w:highlight w:val="none"/>
              </w:rPr>
            </w:pPr>
          </w:p>
        </w:tc>
        <w:tc>
          <w:tcPr>
            <w:tcW w:w="726" w:type="dxa"/>
          </w:tcPr>
          <w:p w14:paraId="1C1C9E25">
            <w:pPr>
              <w:pStyle w:val="244"/>
              <w:rPr>
                <w:rFonts w:ascii="仿宋" w:hAnsi="仿宋" w:eastAsia="仿宋" w:cs="仿宋"/>
                <w:color w:val="auto"/>
                <w:sz w:val="21"/>
                <w:szCs w:val="21"/>
                <w:highlight w:val="none"/>
              </w:rPr>
            </w:pPr>
          </w:p>
        </w:tc>
        <w:tc>
          <w:tcPr>
            <w:tcW w:w="686" w:type="dxa"/>
          </w:tcPr>
          <w:p w14:paraId="5FB382F7">
            <w:pPr>
              <w:pStyle w:val="244"/>
              <w:rPr>
                <w:rFonts w:ascii="仿宋" w:hAnsi="仿宋" w:eastAsia="仿宋" w:cs="仿宋"/>
                <w:color w:val="auto"/>
                <w:sz w:val="21"/>
                <w:szCs w:val="21"/>
                <w:highlight w:val="none"/>
              </w:rPr>
            </w:pPr>
          </w:p>
        </w:tc>
        <w:tc>
          <w:tcPr>
            <w:tcW w:w="992" w:type="dxa"/>
          </w:tcPr>
          <w:p w14:paraId="6BCB8CBC">
            <w:pPr>
              <w:pStyle w:val="244"/>
              <w:rPr>
                <w:rFonts w:ascii="仿宋" w:hAnsi="仿宋" w:eastAsia="仿宋" w:cs="仿宋"/>
                <w:color w:val="auto"/>
                <w:sz w:val="21"/>
                <w:szCs w:val="21"/>
                <w:highlight w:val="none"/>
              </w:rPr>
            </w:pPr>
          </w:p>
        </w:tc>
        <w:tc>
          <w:tcPr>
            <w:tcW w:w="1057" w:type="dxa"/>
          </w:tcPr>
          <w:p w14:paraId="3B5B4058">
            <w:pPr>
              <w:pStyle w:val="244"/>
              <w:rPr>
                <w:rFonts w:ascii="仿宋" w:hAnsi="仿宋" w:eastAsia="仿宋" w:cs="仿宋"/>
                <w:color w:val="auto"/>
                <w:sz w:val="21"/>
                <w:szCs w:val="21"/>
                <w:highlight w:val="none"/>
              </w:rPr>
            </w:pPr>
          </w:p>
        </w:tc>
        <w:tc>
          <w:tcPr>
            <w:tcW w:w="582" w:type="dxa"/>
          </w:tcPr>
          <w:p w14:paraId="3C389A82">
            <w:pPr>
              <w:pStyle w:val="244"/>
              <w:rPr>
                <w:rFonts w:ascii="仿宋" w:hAnsi="仿宋" w:eastAsia="仿宋" w:cs="仿宋"/>
                <w:color w:val="auto"/>
                <w:sz w:val="21"/>
                <w:szCs w:val="21"/>
                <w:highlight w:val="none"/>
              </w:rPr>
            </w:pPr>
          </w:p>
        </w:tc>
        <w:tc>
          <w:tcPr>
            <w:tcW w:w="1133" w:type="dxa"/>
          </w:tcPr>
          <w:p w14:paraId="4B9DB703">
            <w:pPr>
              <w:pStyle w:val="244"/>
              <w:rPr>
                <w:rFonts w:ascii="仿宋" w:hAnsi="仿宋" w:eastAsia="仿宋" w:cs="仿宋"/>
                <w:color w:val="auto"/>
                <w:sz w:val="21"/>
                <w:szCs w:val="21"/>
                <w:highlight w:val="none"/>
              </w:rPr>
            </w:pPr>
          </w:p>
        </w:tc>
        <w:tc>
          <w:tcPr>
            <w:tcW w:w="756" w:type="dxa"/>
          </w:tcPr>
          <w:p w14:paraId="44083689">
            <w:pPr>
              <w:pStyle w:val="244"/>
              <w:rPr>
                <w:rFonts w:ascii="仿宋" w:hAnsi="仿宋" w:eastAsia="仿宋" w:cs="仿宋"/>
                <w:color w:val="auto"/>
                <w:sz w:val="21"/>
                <w:szCs w:val="21"/>
                <w:highlight w:val="none"/>
              </w:rPr>
            </w:pPr>
          </w:p>
        </w:tc>
        <w:tc>
          <w:tcPr>
            <w:tcW w:w="754" w:type="dxa"/>
          </w:tcPr>
          <w:p w14:paraId="019D499F">
            <w:pPr>
              <w:pStyle w:val="244"/>
              <w:rPr>
                <w:rFonts w:ascii="仿宋" w:hAnsi="仿宋" w:eastAsia="仿宋" w:cs="仿宋"/>
                <w:color w:val="auto"/>
                <w:sz w:val="21"/>
                <w:szCs w:val="21"/>
                <w:highlight w:val="none"/>
              </w:rPr>
            </w:pPr>
          </w:p>
        </w:tc>
        <w:tc>
          <w:tcPr>
            <w:tcW w:w="704" w:type="dxa"/>
          </w:tcPr>
          <w:p w14:paraId="6A496906">
            <w:pPr>
              <w:pStyle w:val="244"/>
              <w:rPr>
                <w:rFonts w:ascii="仿宋" w:hAnsi="仿宋" w:eastAsia="仿宋" w:cs="仿宋"/>
                <w:color w:val="auto"/>
                <w:sz w:val="21"/>
                <w:szCs w:val="21"/>
                <w:highlight w:val="none"/>
              </w:rPr>
            </w:pPr>
          </w:p>
        </w:tc>
      </w:tr>
    </w:tbl>
    <w:p w14:paraId="2066B905">
      <w:pPr>
        <w:spacing w:before="62"/>
        <w:ind w:left="998"/>
        <w:rPr>
          <w:rFonts w:ascii="仿宋" w:hAnsi="仿宋" w:eastAsia="仿宋" w:cs="仿宋"/>
          <w:color w:val="auto"/>
          <w:sz w:val="24"/>
          <w:szCs w:val="24"/>
          <w:highlight w:val="none"/>
        </w:rPr>
      </w:pPr>
    </w:p>
    <w:p w14:paraId="0FE0F959">
      <w:pPr>
        <w:spacing w:before="203"/>
        <w:ind w:left="99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法定代表人（单位负责人）或委托代理人（签字或盖章）：</w:t>
      </w:r>
    </w:p>
    <w:p w14:paraId="07E0EC2D">
      <w:pPr>
        <w:tabs>
          <w:tab w:val="left" w:pos="6545"/>
          <w:tab w:val="left" w:pos="7428"/>
          <w:tab w:val="left" w:pos="8312"/>
        </w:tabs>
        <w:spacing w:before="71"/>
        <w:ind w:left="503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27"/>
          <w:sz w:val="24"/>
          <w:szCs w:val="24"/>
          <w:highlight w:val="none"/>
        </w:rPr>
        <w:t>年</w:t>
      </w:r>
      <w:r>
        <w:rPr>
          <w:rFonts w:hint="eastAsia" w:ascii="仿宋" w:hAnsi="仿宋" w:eastAsia="仿宋" w:cs="仿宋"/>
          <w:color w:val="auto"/>
          <w:spacing w:val="-27"/>
          <w:sz w:val="24"/>
          <w:szCs w:val="24"/>
          <w:highlight w:val="none"/>
          <w:u w:val="single"/>
        </w:rPr>
        <w:tab/>
      </w:r>
      <w:r>
        <w:rPr>
          <w:rFonts w:hint="eastAsia" w:ascii="仿宋" w:hAnsi="仿宋" w:eastAsia="仿宋" w:cs="仿宋"/>
          <w:color w:val="auto"/>
          <w:spacing w:val="-29"/>
          <w:sz w:val="24"/>
          <w:szCs w:val="24"/>
          <w:highlight w:val="none"/>
        </w:rPr>
        <w:t>月</w:t>
      </w:r>
      <w:r>
        <w:rPr>
          <w:rFonts w:hint="eastAsia" w:ascii="仿宋" w:hAnsi="仿宋" w:eastAsia="仿宋" w:cs="仿宋"/>
          <w:color w:val="auto"/>
          <w:spacing w:val="-29"/>
          <w:sz w:val="24"/>
          <w:szCs w:val="24"/>
          <w:highlight w:val="none"/>
          <w:u w:val="single"/>
        </w:rPr>
        <w:tab/>
      </w:r>
      <w:r>
        <w:rPr>
          <w:rFonts w:hint="eastAsia" w:ascii="仿宋" w:hAnsi="仿宋" w:eastAsia="仿宋" w:cs="仿宋"/>
          <w:color w:val="auto"/>
          <w:sz w:val="24"/>
          <w:szCs w:val="24"/>
          <w:highlight w:val="none"/>
        </w:rPr>
        <w:t>日</w:t>
      </w:r>
    </w:p>
    <w:p w14:paraId="7A6B390A">
      <w:pPr>
        <w:rPr>
          <w:rFonts w:ascii="宋体" w:hAnsi="宋体" w:cs="宋体"/>
          <w:bCs/>
          <w:color w:val="auto"/>
          <w:sz w:val="24"/>
          <w:szCs w:val="24"/>
          <w:highlight w:val="none"/>
        </w:rPr>
      </w:pPr>
    </w:p>
    <w:p w14:paraId="5E8F2F80">
      <w:pPr>
        <w:rPr>
          <w:rFonts w:ascii="宋体" w:hAnsi="宋体" w:cs="宋体"/>
          <w:bCs/>
          <w:color w:val="auto"/>
          <w:sz w:val="24"/>
          <w:szCs w:val="24"/>
          <w:highlight w:val="none"/>
        </w:rPr>
      </w:pPr>
      <w:r>
        <w:rPr>
          <w:rFonts w:hint="eastAsia" w:ascii="宋体" w:hAnsi="宋体" w:cs="宋体"/>
          <w:bCs/>
          <w:color w:val="auto"/>
          <w:sz w:val="24"/>
          <w:szCs w:val="24"/>
          <w:highlight w:val="none"/>
        </w:rPr>
        <w:t>说明：</w:t>
      </w:r>
    </w:p>
    <w:p w14:paraId="19FE3DCE">
      <w:pPr>
        <w:rPr>
          <w:rFonts w:ascii="宋体" w:hAnsi="宋体" w:cs="宋体"/>
          <w:bCs/>
          <w:color w:val="auto"/>
          <w:sz w:val="24"/>
          <w:szCs w:val="24"/>
          <w:highlight w:val="none"/>
        </w:rPr>
      </w:pPr>
      <w:r>
        <w:rPr>
          <w:rFonts w:hint="eastAsia" w:ascii="宋体" w:hAnsi="宋体" w:cs="宋体"/>
          <w:bCs/>
          <w:color w:val="auto"/>
          <w:sz w:val="24"/>
          <w:szCs w:val="24"/>
          <w:highlight w:val="none"/>
        </w:rPr>
        <w:t>1.中标人达到开业条件后，须完整填报上表，并报采购人书面备案。上表人员包含但不限于项目</w:t>
      </w:r>
      <w:r>
        <w:rPr>
          <w:rFonts w:hint="eastAsia" w:ascii="宋体" w:hAnsi="宋体" w:cs="仿宋"/>
          <w:color w:val="auto"/>
          <w:sz w:val="24"/>
          <w:szCs w:val="24"/>
          <w:highlight w:val="none"/>
        </w:rPr>
        <w:t>负责人、厨师、厨工、管理人员、其他人员等在内的为本项目服务的所有档口工作人员及管理人员。</w:t>
      </w:r>
      <w:r>
        <w:rPr>
          <w:rFonts w:hint="eastAsia" w:ascii="宋体" w:hAnsi="宋体" w:cs="宋体"/>
          <w:bCs/>
          <w:color w:val="auto"/>
          <w:sz w:val="24"/>
          <w:szCs w:val="24"/>
          <w:highlight w:val="none"/>
        </w:rPr>
        <w:t>采购人定期或不定期对所有档口工作人员的聘用合同、缴纳社保的材料、上岗情况及工资流水进行查验。此表将作为查验的基础数据和依据。</w:t>
      </w:r>
    </w:p>
    <w:p w14:paraId="5B233DDD">
      <w:pPr>
        <w:snapToGrid w:val="0"/>
        <w:spacing w:line="440" w:lineRule="exact"/>
        <w:ind w:firstLine="480" w:firstLineChars="200"/>
        <w:rPr>
          <w:rFonts w:ascii="宋体" w:hAnsi="宋体"/>
          <w:b/>
          <w:color w:val="auto"/>
          <w:highlight w:val="none"/>
        </w:rPr>
      </w:pPr>
      <w:r>
        <w:rPr>
          <w:rFonts w:hint="eastAsia" w:ascii="宋体" w:hAnsi="宋体" w:cs="仿宋"/>
          <w:color w:val="auto"/>
          <w:sz w:val="24"/>
          <w:szCs w:val="24"/>
          <w:highlight w:val="none"/>
        </w:rPr>
        <w:t>2.中标人须依法用工，工资待遇和社会保险按国家规定执行；中标人不得拖欠员工工资和第三方货物等经营款项，自行负责妥善处理各类纠纷（含用工纠纷）和投诉，并自行承担由此造成的一切经济、安全责任和法律责任；中标人自行承担员工和经营范围内发生的人身财产安全、食品卫生、消防安全等事故造成的一切经济、行政和法律责任。</w:t>
      </w:r>
    </w:p>
    <w:p w14:paraId="727A0D9A">
      <w:p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3</w:t>
      </w:r>
      <w:r>
        <w:rPr>
          <w:rFonts w:ascii="宋体" w:hAnsi="宋体"/>
          <w:b/>
          <w:color w:val="auto"/>
          <w:highlight w:val="none"/>
        </w:rPr>
        <w:t>.</w:t>
      </w:r>
      <w:r>
        <w:rPr>
          <w:rFonts w:hint="eastAsia" w:ascii="宋体" w:hAnsi="宋体"/>
          <w:b/>
          <w:color w:val="auto"/>
          <w:highlight w:val="none"/>
        </w:rPr>
        <w:t>商务承诺</w:t>
      </w:r>
    </w:p>
    <w:p w14:paraId="1BB1F794">
      <w:pPr>
        <w:snapToGrid w:val="0"/>
        <w:spacing w:line="440" w:lineRule="exact"/>
        <w:ind w:firstLine="560" w:firstLineChars="200"/>
        <w:rPr>
          <w:rFonts w:ascii="宋体" w:hAnsi="宋体"/>
          <w:color w:val="auto"/>
          <w:highlight w:val="none"/>
        </w:rPr>
      </w:pPr>
    </w:p>
    <w:p w14:paraId="00BC0736">
      <w:pPr>
        <w:snapToGrid w:val="0"/>
        <w:spacing w:line="440" w:lineRule="exact"/>
        <w:ind w:firstLine="560" w:firstLineChars="200"/>
        <w:rPr>
          <w:rFonts w:ascii="宋体" w:hAnsi="宋体"/>
          <w:color w:val="auto"/>
          <w:highlight w:val="none"/>
        </w:rPr>
      </w:pPr>
    </w:p>
    <w:p w14:paraId="6678588E">
      <w:pPr>
        <w:snapToGrid w:val="0"/>
        <w:spacing w:line="440" w:lineRule="exact"/>
        <w:ind w:firstLine="560" w:firstLineChars="200"/>
        <w:rPr>
          <w:rFonts w:ascii="宋体" w:hAnsi="宋体"/>
          <w:color w:val="auto"/>
          <w:highlight w:val="none"/>
        </w:rPr>
      </w:pPr>
    </w:p>
    <w:p w14:paraId="58D3189B">
      <w:pPr>
        <w:snapToGrid w:val="0"/>
        <w:spacing w:line="440" w:lineRule="exact"/>
        <w:ind w:firstLine="560" w:firstLineChars="200"/>
        <w:rPr>
          <w:rFonts w:ascii="宋体" w:hAnsi="宋体"/>
          <w:color w:val="auto"/>
          <w:highlight w:val="none"/>
        </w:rPr>
      </w:pPr>
    </w:p>
    <w:p w14:paraId="2D210151">
      <w:pPr>
        <w:snapToGrid w:val="0"/>
        <w:spacing w:line="440" w:lineRule="exact"/>
        <w:ind w:firstLine="560" w:firstLineChars="200"/>
        <w:rPr>
          <w:rFonts w:ascii="宋体" w:hAnsi="宋体"/>
          <w:color w:val="auto"/>
          <w:highlight w:val="none"/>
        </w:rPr>
      </w:pPr>
    </w:p>
    <w:p w14:paraId="20B8C3E9">
      <w:pPr>
        <w:snapToGrid w:val="0"/>
        <w:spacing w:line="440" w:lineRule="exact"/>
        <w:ind w:firstLine="560" w:firstLineChars="200"/>
        <w:rPr>
          <w:rFonts w:ascii="宋体" w:hAnsi="宋体"/>
          <w:color w:val="auto"/>
          <w:highlight w:val="none"/>
        </w:rPr>
      </w:pPr>
    </w:p>
    <w:p w14:paraId="009AAAD9">
      <w:pPr>
        <w:snapToGrid w:val="0"/>
        <w:spacing w:line="440" w:lineRule="exact"/>
        <w:ind w:firstLine="560" w:firstLineChars="200"/>
        <w:rPr>
          <w:rFonts w:ascii="宋体" w:hAnsi="宋体"/>
          <w:color w:val="auto"/>
          <w:highlight w:val="none"/>
        </w:rPr>
      </w:pPr>
    </w:p>
    <w:p w14:paraId="3B85742D">
      <w:pPr>
        <w:snapToGrid w:val="0"/>
        <w:spacing w:line="440" w:lineRule="exact"/>
        <w:ind w:firstLine="560" w:firstLineChars="200"/>
        <w:rPr>
          <w:rFonts w:ascii="宋体" w:hAnsi="宋体"/>
          <w:color w:val="auto"/>
          <w:highlight w:val="none"/>
        </w:rPr>
      </w:pPr>
    </w:p>
    <w:p w14:paraId="1A262B93">
      <w:pPr>
        <w:snapToGrid w:val="0"/>
        <w:spacing w:line="440" w:lineRule="exact"/>
        <w:ind w:firstLine="560" w:firstLineChars="200"/>
        <w:rPr>
          <w:rFonts w:ascii="宋体" w:hAnsi="宋体"/>
          <w:color w:val="auto"/>
          <w:highlight w:val="none"/>
        </w:rPr>
      </w:pPr>
    </w:p>
    <w:p w14:paraId="25EA4C19">
      <w:pPr>
        <w:snapToGrid w:val="0"/>
        <w:spacing w:line="440" w:lineRule="exact"/>
        <w:ind w:firstLine="560" w:firstLineChars="200"/>
        <w:rPr>
          <w:rFonts w:ascii="宋体" w:hAnsi="宋体"/>
          <w:color w:val="auto"/>
          <w:highlight w:val="none"/>
        </w:rPr>
      </w:pPr>
    </w:p>
    <w:p w14:paraId="777A2467">
      <w:pPr>
        <w:snapToGrid w:val="0"/>
        <w:spacing w:line="440" w:lineRule="exact"/>
        <w:ind w:firstLine="560" w:firstLineChars="200"/>
        <w:rPr>
          <w:rFonts w:ascii="宋体" w:hAnsi="宋体"/>
          <w:color w:val="auto"/>
          <w:highlight w:val="none"/>
        </w:rPr>
      </w:pPr>
    </w:p>
    <w:p w14:paraId="11B0D9D2">
      <w:pPr>
        <w:snapToGrid w:val="0"/>
        <w:spacing w:line="440" w:lineRule="exact"/>
        <w:ind w:firstLine="560" w:firstLineChars="200"/>
        <w:rPr>
          <w:rFonts w:ascii="宋体" w:hAnsi="宋体"/>
          <w:color w:val="auto"/>
          <w:highlight w:val="none"/>
        </w:rPr>
      </w:pPr>
    </w:p>
    <w:p w14:paraId="0C6D1F4A">
      <w:pPr>
        <w:snapToGrid w:val="0"/>
        <w:spacing w:line="440" w:lineRule="exact"/>
        <w:ind w:firstLine="560" w:firstLineChars="200"/>
        <w:rPr>
          <w:rFonts w:ascii="宋体" w:hAnsi="宋体"/>
          <w:color w:val="auto"/>
          <w:highlight w:val="none"/>
        </w:rPr>
      </w:pPr>
    </w:p>
    <w:p w14:paraId="40830432">
      <w:pPr>
        <w:snapToGrid w:val="0"/>
        <w:spacing w:line="440" w:lineRule="exact"/>
        <w:ind w:firstLine="560" w:firstLineChars="200"/>
        <w:rPr>
          <w:rFonts w:ascii="宋体" w:hAnsi="宋体"/>
          <w:color w:val="auto"/>
          <w:highlight w:val="none"/>
        </w:rPr>
      </w:pPr>
    </w:p>
    <w:p w14:paraId="0CE15DBD">
      <w:pPr>
        <w:snapToGrid w:val="0"/>
        <w:spacing w:line="440" w:lineRule="exact"/>
        <w:ind w:firstLine="560" w:firstLineChars="200"/>
        <w:rPr>
          <w:rFonts w:ascii="宋体" w:hAnsi="宋体"/>
          <w:color w:val="auto"/>
          <w:highlight w:val="none"/>
        </w:rPr>
      </w:pPr>
    </w:p>
    <w:p w14:paraId="45CF8A51">
      <w:pPr>
        <w:snapToGrid w:val="0"/>
        <w:spacing w:line="440" w:lineRule="exact"/>
        <w:ind w:firstLine="560" w:firstLineChars="200"/>
        <w:rPr>
          <w:rFonts w:ascii="宋体" w:hAnsi="宋体"/>
          <w:color w:val="auto"/>
          <w:highlight w:val="none"/>
        </w:rPr>
      </w:pPr>
    </w:p>
    <w:p w14:paraId="1FF064C3">
      <w:pPr>
        <w:snapToGrid w:val="0"/>
        <w:spacing w:line="440" w:lineRule="exact"/>
        <w:ind w:firstLine="560" w:firstLineChars="200"/>
        <w:rPr>
          <w:rFonts w:ascii="宋体" w:hAnsi="宋体"/>
          <w:color w:val="auto"/>
          <w:highlight w:val="none"/>
        </w:rPr>
      </w:pPr>
    </w:p>
    <w:p w14:paraId="14479E16">
      <w:pPr>
        <w:snapToGrid w:val="0"/>
        <w:spacing w:line="440" w:lineRule="exact"/>
        <w:ind w:firstLine="560" w:firstLineChars="200"/>
        <w:rPr>
          <w:rFonts w:ascii="宋体" w:hAnsi="宋体"/>
          <w:color w:val="auto"/>
          <w:highlight w:val="none"/>
        </w:rPr>
      </w:pPr>
    </w:p>
    <w:p w14:paraId="17A43DD7">
      <w:pPr>
        <w:snapToGrid w:val="0"/>
        <w:spacing w:line="440" w:lineRule="exact"/>
        <w:ind w:firstLine="560" w:firstLineChars="200"/>
        <w:rPr>
          <w:rFonts w:ascii="宋体" w:hAnsi="宋体"/>
          <w:color w:val="auto"/>
          <w:highlight w:val="none"/>
        </w:rPr>
      </w:pPr>
    </w:p>
    <w:p w14:paraId="16D5D3B3">
      <w:pPr>
        <w:snapToGrid w:val="0"/>
        <w:spacing w:line="440" w:lineRule="exact"/>
        <w:ind w:firstLine="560" w:firstLineChars="200"/>
        <w:rPr>
          <w:rFonts w:ascii="宋体" w:hAnsi="宋体"/>
          <w:color w:val="auto"/>
          <w:highlight w:val="none"/>
        </w:rPr>
      </w:pPr>
    </w:p>
    <w:p w14:paraId="1A9B33E7">
      <w:pPr>
        <w:snapToGrid w:val="0"/>
        <w:spacing w:line="440" w:lineRule="exact"/>
        <w:ind w:firstLine="560" w:firstLineChars="200"/>
        <w:rPr>
          <w:rFonts w:ascii="宋体" w:hAnsi="宋体"/>
          <w:color w:val="auto"/>
          <w:highlight w:val="none"/>
        </w:rPr>
      </w:pPr>
    </w:p>
    <w:p w14:paraId="7776438C">
      <w:pPr>
        <w:snapToGrid w:val="0"/>
        <w:spacing w:line="440" w:lineRule="exact"/>
        <w:ind w:firstLine="560" w:firstLineChars="200"/>
        <w:rPr>
          <w:rFonts w:ascii="宋体" w:hAnsi="宋体"/>
          <w:color w:val="auto"/>
          <w:highlight w:val="none"/>
        </w:rPr>
      </w:pPr>
    </w:p>
    <w:p w14:paraId="7EDC9E1A">
      <w:pPr>
        <w:snapToGrid w:val="0"/>
        <w:spacing w:line="440" w:lineRule="exact"/>
        <w:ind w:firstLine="560" w:firstLineChars="200"/>
        <w:rPr>
          <w:rFonts w:ascii="宋体" w:hAnsi="宋体"/>
          <w:color w:val="auto"/>
          <w:highlight w:val="none"/>
        </w:rPr>
      </w:pPr>
    </w:p>
    <w:p w14:paraId="0F0BC8AF">
      <w:pPr>
        <w:snapToGrid w:val="0"/>
        <w:spacing w:line="440" w:lineRule="exact"/>
        <w:ind w:firstLine="560" w:firstLineChars="200"/>
        <w:rPr>
          <w:rFonts w:ascii="宋体" w:hAnsi="宋体"/>
          <w:color w:val="auto"/>
          <w:highlight w:val="none"/>
        </w:rPr>
      </w:pPr>
    </w:p>
    <w:p w14:paraId="76A034EB">
      <w:pPr>
        <w:snapToGrid w:val="0"/>
        <w:spacing w:line="440" w:lineRule="exact"/>
        <w:ind w:firstLine="560" w:firstLineChars="200"/>
        <w:rPr>
          <w:rFonts w:ascii="宋体" w:hAnsi="宋体"/>
          <w:color w:val="auto"/>
          <w:highlight w:val="none"/>
        </w:rPr>
      </w:pPr>
    </w:p>
    <w:p w14:paraId="142C90F1">
      <w:pPr>
        <w:snapToGrid w:val="0"/>
        <w:spacing w:line="440" w:lineRule="exact"/>
        <w:ind w:firstLine="560" w:firstLineChars="200"/>
        <w:rPr>
          <w:rFonts w:ascii="宋体" w:hAnsi="宋体"/>
          <w:color w:val="auto"/>
          <w:highlight w:val="none"/>
        </w:rPr>
      </w:pPr>
    </w:p>
    <w:p w14:paraId="17BECE0E">
      <w:pPr>
        <w:snapToGrid w:val="0"/>
        <w:spacing w:line="440" w:lineRule="exact"/>
        <w:ind w:firstLine="560" w:firstLineChars="200"/>
        <w:rPr>
          <w:rFonts w:ascii="宋体" w:hAnsi="宋体"/>
          <w:color w:val="auto"/>
          <w:highlight w:val="none"/>
        </w:rPr>
      </w:pPr>
    </w:p>
    <w:p w14:paraId="181BCE73">
      <w:pPr>
        <w:snapToGrid w:val="0"/>
        <w:spacing w:line="440" w:lineRule="exact"/>
        <w:ind w:firstLine="560" w:firstLineChars="200"/>
        <w:rPr>
          <w:rFonts w:ascii="宋体" w:hAnsi="宋体"/>
          <w:color w:val="auto"/>
          <w:highlight w:val="none"/>
        </w:rPr>
      </w:pPr>
    </w:p>
    <w:p w14:paraId="78A1E618">
      <w:pPr>
        <w:snapToGrid w:val="0"/>
        <w:spacing w:line="440" w:lineRule="exact"/>
        <w:ind w:firstLine="560" w:firstLineChars="200"/>
        <w:rPr>
          <w:rFonts w:ascii="宋体" w:hAnsi="宋体"/>
          <w:color w:val="auto"/>
          <w:highlight w:val="none"/>
        </w:rPr>
      </w:pPr>
    </w:p>
    <w:p w14:paraId="46596F2D">
      <w:pPr>
        <w:snapToGrid w:val="0"/>
        <w:spacing w:line="440" w:lineRule="exact"/>
        <w:ind w:firstLine="560" w:firstLineChars="200"/>
        <w:rPr>
          <w:rFonts w:ascii="宋体" w:hAnsi="宋体"/>
          <w:color w:val="auto"/>
          <w:highlight w:val="none"/>
        </w:rPr>
      </w:pPr>
    </w:p>
    <w:p w14:paraId="4C79EE70">
      <w:pPr>
        <w:snapToGrid w:val="0"/>
        <w:spacing w:line="440" w:lineRule="exact"/>
        <w:ind w:firstLine="562" w:firstLineChars="200"/>
        <w:rPr>
          <w:rFonts w:ascii="宋体" w:hAnsi="宋体"/>
          <w:b/>
          <w:color w:val="auto"/>
          <w:highlight w:val="none"/>
        </w:rPr>
      </w:pPr>
    </w:p>
    <w:p w14:paraId="6C942357">
      <w:pPr>
        <w:snapToGrid w:val="0"/>
        <w:spacing w:line="440" w:lineRule="exact"/>
        <w:ind w:firstLine="562" w:firstLineChars="200"/>
        <w:rPr>
          <w:rFonts w:ascii="宋体" w:hAnsi="宋体"/>
          <w:b/>
          <w:color w:val="auto"/>
          <w:highlight w:val="none"/>
        </w:rPr>
      </w:pPr>
      <w:r>
        <w:rPr>
          <w:rFonts w:hint="eastAsia" w:ascii="宋体" w:hAnsi="宋体"/>
          <w:b/>
          <w:color w:val="auto"/>
          <w:highlight w:val="none"/>
          <w:lang w:val="en-US" w:eastAsia="zh-CN"/>
        </w:rPr>
        <w:t>4.</w:t>
      </w:r>
      <w:r>
        <w:rPr>
          <w:rFonts w:hint="eastAsia" w:ascii="宋体" w:hAnsi="宋体"/>
          <w:b/>
          <w:color w:val="auto"/>
          <w:highlight w:val="none"/>
        </w:rPr>
        <w:t>商务部分</w:t>
      </w:r>
    </w:p>
    <w:p w14:paraId="3546F9AC">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按第三篇商务要求内容撰写，格式自定义。</w:t>
      </w:r>
    </w:p>
    <w:p w14:paraId="46DDD350">
      <w:pPr>
        <w:snapToGrid w:val="0"/>
        <w:spacing w:line="440" w:lineRule="exact"/>
        <w:ind w:firstLine="560" w:firstLineChars="200"/>
        <w:rPr>
          <w:rFonts w:ascii="宋体" w:hAnsi="宋体"/>
          <w:color w:val="auto"/>
          <w:highlight w:val="none"/>
        </w:rPr>
      </w:pPr>
    </w:p>
    <w:p w14:paraId="5A4BCA17">
      <w:pPr>
        <w:snapToGrid w:val="0"/>
        <w:spacing w:line="440" w:lineRule="exact"/>
        <w:ind w:firstLine="560" w:firstLineChars="200"/>
        <w:rPr>
          <w:rFonts w:ascii="宋体" w:hAnsi="宋体"/>
          <w:color w:val="auto"/>
          <w:highlight w:val="none"/>
        </w:rPr>
      </w:pPr>
    </w:p>
    <w:p w14:paraId="4A1A5D3A">
      <w:pPr>
        <w:snapToGrid w:val="0"/>
        <w:spacing w:line="440" w:lineRule="exact"/>
        <w:ind w:firstLine="560" w:firstLineChars="200"/>
        <w:rPr>
          <w:rFonts w:ascii="宋体" w:hAnsi="宋体"/>
          <w:color w:val="auto"/>
          <w:highlight w:val="none"/>
        </w:rPr>
      </w:pPr>
    </w:p>
    <w:p w14:paraId="23EF423B">
      <w:pPr>
        <w:snapToGrid w:val="0"/>
        <w:spacing w:line="440" w:lineRule="exact"/>
        <w:ind w:firstLine="560" w:firstLineChars="200"/>
        <w:rPr>
          <w:rFonts w:ascii="宋体" w:hAnsi="宋体"/>
          <w:color w:val="auto"/>
          <w:highlight w:val="none"/>
        </w:rPr>
      </w:pPr>
    </w:p>
    <w:p w14:paraId="072BC7FE">
      <w:pPr>
        <w:snapToGrid w:val="0"/>
        <w:spacing w:line="440" w:lineRule="exact"/>
        <w:ind w:firstLine="560" w:firstLineChars="200"/>
        <w:rPr>
          <w:rFonts w:ascii="宋体" w:hAnsi="宋体"/>
          <w:color w:val="auto"/>
          <w:highlight w:val="none"/>
        </w:rPr>
      </w:pPr>
    </w:p>
    <w:p w14:paraId="253651A0">
      <w:pPr>
        <w:snapToGrid w:val="0"/>
        <w:spacing w:line="440" w:lineRule="exact"/>
        <w:ind w:firstLine="560" w:firstLineChars="200"/>
        <w:rPr>
          <w:rFonts w:ascii="宋体" w:hAnsi="宋体"/>
          <w:color w:val="auto"/>
          <w:highlight w:val="none"/>
        </w:rPr>
      </w:pPr>
    </w:p>
    <w:p w14:paraId="2F5AE59D">
      <w:pPr>
        <w:snapToGrid w:val="0"/>
        <w:spacing w:line="440" w:lineRule="exact"/>
        <w:ind w:firstLine="560" w:firstLineChars="200"/>
        <w:rPr>
          <w:rFonts w:ascii="宋体" w:hAnsi="宋体"/>
          <w:color w:val="auto"/>
          <w:highlight w:val="none"/>
        </w:rPr>
      </w:pPr>
    </w:p>
    <w:p w14:paraId="69E1B409">
      <w:pPr>
        <w:snapToGrid w:val="0"/>
        <w:spacing w:line="440" w:lineRule="exact"/>
        <w:ind w:firstLine="560" w:firstLineChars="200"/>
        <w:rPr>
          <w:rFonts w:ascii="宋体" w:hAnsi="宋体"/>
          <w:color w:val="auto"/>
          <w:highlight w:val="none"/>
        </w:rPr>
      </w:pPr>
    </w:p>
    <w:p w14:paraId="58BF713E">
      <w:pPr>
        <w:snapToGrid w:val="0"/>
        <w:spacing w:line="440" w:lineRule="exact"/>
        <w:ind w:firstLine="560" w:firstLineChars="200"/>
        <w:rPr>
          <w:rFonts w:ascii="宋体" w:hAnsi="宋体"/>
          <w:color w:val="auto"/>
          <w:highlight w:val="none"/>
        </w:rPr>
      </w:pPr>
    </w:p>
    <w:p w14:paraId="76D5D282">
      <w:pPr>
        <w:snapToGrid w:val="0"/>
        <w:spacing w:line="440" w:lineRule="exact"/>
        <w:ind w:firstLine="560" w:firstLineChars="200"/>
        <w:rPr>
          <w:rFonts w:ascii="宋体" w:hAnsi="宋体"/>
          <w:color w:val="auto"/>
          <w:highlight w:val="none"/>
        </w:rPr>
      </w:pPr>
    </w:p>
    <w:p w14:paraId="3AB4E18D">
      <w:pPr>
        <w:snapToGrid w:val="0"/>
        <w:spacing w:line="440" w:lineRule="exact"/>
        <w:ind w:firstLine="560" w:firstLineChars="200"/>
        <w:rPr>
          <w:rFonts w:ascii="宋体" w:hAnsi="宋体"/>
          <w:color w:val="auto"/>
          <w:highlight w:val="none"/>
        </w:rPr>
      </w:pPr>
    </w:p>
    <w:p w14:paraId="3DD73F51">
      <w:pPr>
        <w:snapToGrid w:val="0"/>
        <w:spacing w:line="440" w:lineRule="exact"/>
        <w:ind w:firstLine="560" w:firstLineChars="200"/>
        <w:rPr>
          <w:rFonts w:ascii="宋体" w:hAnsi="宋体"/>
          <w:color w:val="auto"/>
          <w:highlight w:val="none"/>
        </w:rPr>
      </w:pPr>
    </w:p>
    <w:p w14:paraId="45FE984C">
      <w:pPr>
        <w:snapToGrid w:val="0"/>
        <w:spacing w:line="440" w:lineRule="exact"/>
        <w:ind w:firstLine="560" w:firstLineChars="200"/>
        <w:rPr>
          <w:rFonts w:ascii="宋体" w:hAnsi="宋体"/>
          <w:color w:val="auto"/>
          <w:highlight w:val="none"/>
        </w:rPr>
      </w:pPr>
    </w:p>
    <w:p w14:paraId="60D73736">
      <w:pPr>
        <w:snapToGrid w:val="0"/>
        <w:spacing w:line="440" w:lineRule="exact"/>
        <w:ind w:firstLine="560" w:firstLineChars="200"/>
        <w:rPr>
          <w:rFonts w:ascii="宋体" w:hAnsi="宋体"/>
          <w:color w:val="auto"/>
          <w:highlight w:val="none"/>
        </w:rPr>
      </w:pPr>
    </w:p>
    <w:p w14:paraId="40DCA352">
      <w:pPr>
        <w:snapToGrid w:val="0"/>
        <w:spacing w:line="440" w:lineRule="exact"/>
        <w:ind w:firstLine="560" w:firstLineChars="200"/>
        <w:rPr>
          <w:rFonts w:ascii="宋体" w:hAnsi="宋体"/>
          <w:color w:val="auto"/>
          <w:highlight w:val="none"/>
        </w:rPr>
      </w:pPr>
    </w:p>
    <w:p w14:paraId="6A6D6A35">
      <w:pPr>
        <w:snapToGrid w:val="0"/>
        <w:spacing w:line="440" w:lineRule="exact"/>
        <w:ind w:firstLine="560" w:firstLineChars="200"/>
        <w:rPr>
          <w:rFonts w:ascii="宋体" w:hAnsi="宋体"/>
          <w:color w:val="auto"/>
          <w:highlight w:val="none"/>
        </w:rPr>
      </w:pPr>
    </w:p>
    <w:p w14:paraId="667F05BB">
      <w:pPr>
        <w:snapToGrid w:val="0"/>
        <w:spacing w:line="440" w:lineRule="exact"/>
        <w:ind w:firstLine="560" w:firstLineChars="200"/>
        <w:rPr>
          <w:rFonts w:ascii="宋体" w:hAnsi="宋体"/>
          <w:color w:val="auto"/>
          <w:highlight w:val="none"/>
        </w:rPr>
      </w:pPr>
    </w:p>
    <w:p w14:paraId="2CDA292F">
      <w:pPr>
        <w:snapToGrid w:val="0"/>
        <w:spacing w:line="440" w:lineRule="exact"/>
        <w:ind w:firstLine="560" w:firstLineChars="200"/>
        <w:rPr>
          <w:rFonts w:ascii="宋体" w:hAnsi="宋体"/>
          <w:color w:val="auto"/>
          <w:highlight w:val="none"/>
        </w:rPr>
      </w:pPr>
    </w:p>
    <w:p w14:paraId="2EC4B1E9">
      <w:pPr>
        <w:snapToGrid w:val="0"/>
        <w:spacing w:line="440" w:lineRule="exact"/>
        <w:ind w:firstLine="560" w:firstLineChars="200"/>
        <w:rPr>
          <w:rFonts w:ascii="宋体" w:hAnsi="宋体"/>
          <w:color w:val="auto"/>
          <w:highlight w:val="none"/>
        </w:rPr>
      </w:pPr>
    </w:p>
    <w:p w14:paraId="31C975B9">
      <w:pPr>
        <w:snapToGrid w:val="0"/>
        <w:spacing w:line="440" w:lineRule="exact"/>
        <w:ind w:firstLine="560" w:firstLineChars="200"/>
        <w:rPr>
          <w:rFonts w:ascii="宋体" w:hAnsi="宋体"/>
          <w:color w:val="auto"/>
          <w:highlight w:val="none"/>
        </w:rPr>
      </w:pPr>
    </w:p>
    <w:p w14:paraId="036F39C1">
      <w:pPr>
        <w:snapToGrid w:val="0"/>
        <w:spacing w:line="440" w:lineRule="exact"/>
        <w:ind w:firstLine="560" w:firstLineChars="200"/>
        <w:rPr>
          <w:rFonts w:ascii="宋体" w:hAnsi="宋体"/>
          <w:color w:val="auto"/>
          <w:highlight w:val="none"/>
        </w:rPr>
      </w:pPr>
    </w:p>
    <w:p w14:paraId="1D7624A1">
      <w:pPr>
        <w:snapToGrid w:val="0"/>
        <w:spacing w:line="440" w:lineRule="exact"/>
        <w:ind w:firstLine="560" w:firstLineChars="200"/>
        <w:rPr>
          <w:rFonts w:ascii="宋体" w:hAnsi="宋体"/>
          <w:color w:val="auto"/>
          <w:highlight w:val="none"/>
        </w:rPr>
      </w:pPr>
    </w:p>
    <w:p w14:paraId="4B54AEE0">
      <w:pPr>
        <w:snapToGrid w:val="0"/>
        <w:spacing w:line="440" w:lineRule="exact"/>
        <w:ind w:firstLine="560" w:firstLineChars="200"/>
        <w:rPr>
          <w:rFonts w:ascii="宋体" w:hAnsi="宋体"/>
          <w:color w:val="auto"/>
          <w:highlight w:val="none"/>
        </w:rPr>
      </w:pPr>
    </w:p>
    <w:p w14:paraId="598522AB">
      <w:pPr>
        <w:snapToGrid w:val="0"/>
        <w:spacing w:line="440" w:lineRule="exact"/>
        <w:ind w:firstLine="560" w:firstLineChars="200"/>
        <w:rPr>
          <w:rFonts w:ascii="宋体" w:hAnsi="宋体"/>
          <w:color w:val="auto"/>
          <w:highlight w:val="none"/>
        </w:rPr>
      </w:pPr>
    </w:p>
    <w:p w14:paraId="34D7E3ED">
      <w:pPr>
        <w:snapToGrid w:val="0"/>
        <w:spacing w:line="440" w:lineRule="exact"/>
        <w:ind w:firstLine="560" w:firstLineChars="200"/>
        <w:rPr>
          <w:rFonts w:ascii="宋体" w:hAnsi="宋体"/>
          <w:color w:val="auto"/>
          <w:highlight w:val="none"/>
        </w:rPr>
      </w:pPr>
    </w:p>
    <w:p w14:paraId="35E1A423">
      <w:pPr>
        <w:snapToGrid w:val="0"/>
        <w:spacing w:line="440" w:lineRule="exact"/>
        <w:ind w:firstLine="560" w:firstLineChars="200"/>
        <w:rPr>
          <w:rFonts w:ascii="宋体" w:hAnsi="宋体"/>
          <w:color w:val="auto"/>
          <w:highlight w:val="none"/>
        </w:rPr>
      </w:pPr>
    </w:p>
    <w:p w14:paraId="42C5EBF3">
      <w:pPr>
        <w:snapToGrid w:val="0"/>
        <w:spacing w:line="440" w:lineRule="exact"/>
        <w:ind w:firstLine="560" w:firstLineChars="200"/>
        <w:rPr>
          <w:rFonts w:ascii="宋体" w:hAnsi="宋体"/>
          <w:color w:val="auto"/>
          <w:highlight w:val="none"/>
        </w:rPr>
      </w:pPr>
    </w:p>
    <w:p w14:paraId="0E99CD92">
      <w:pPr>
        <w:snapToGrid w:val="0"/>
        <w:spacing w:line="440" w:lineRule="exact"/>
        <w:ind w:firstLine="560" w:firstLineChars="200"/>
        <w:rPr>
          <w:rFonts w:ascii="宋体" w:hAnsi="宋体"/>
          <w:color w:val="auto"/>
          <w:highlight w:val="none"/>
        </w:rPr>
      </w:pPr>
    </w:p>
    <w:p w14:paraId="10FD71B6">
      <w:pPr>
        <w:snapToGrid w:val="0"/>
        <w:spacing w:line="440" w:lineRule="exact"/>
        <w:ind w:firstLine="560" w:firstLineChars="200"/>
        <w:rPr>
          <w:rFonts w:ascii="宋体" w:hAnsi="宋体"/>
          <w:color w:val="auto"/>
          <w:highlight w:val="none"/>
        </w:rPr>
      </w:pPr>
    </w:p>
    <w:p w14:paraId="7F006E13">
      <w:pPr>
        <w:snapToGrid w:val="0"/>
        <w:spacing w:line="440" w:lineRule="exact"/>
        <w:ind w:firstLine="560" w:firstLineChars="200"/>
        <w:rPr>
          <w:rFonts w:ascii="宋体" w:hAnsi="宋体"/>
          <w:color w:val="auto"/>
          <w:highlight w:val="none"/>
        </w:rPr>
      </w:pPr>
    </w:p>
    <w:p w14:paraId="4F04A2F7">
      <w:p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三</w:t>
      </w:r>
      <w:r>
        <w:rPr>
          <w:rFonts w:hint="eastAsia" w:ascii="宋体" w:hAnsi="宋体"/>
          <w:b/>
          <w:color w:val="auto"/>
          <w:highlight w:val="none"/>
        </w:rPr>
        <w:t>）商务条款差异表（参考）</w:t>
      </w:r>
    </w:p>
    <w:p w14:paraId="0CF37A1C">
      <w:pPr>
        <w:snapToGrid w:val="0"/>
        <w:spacing w:line="440" w:lineRule="exact"/>
        <w:ind w:firstLine="480" w:firstLineChars="200"/>
        <w:rPr>
          <w:rFonts w:ascii="宋体" w:hAnsi="宋体"/>
          <w:color w:val="auto"/>
          <w:sz w:val="24"/>
          <w:szCs w:val="24"/>
          <w:highlight w:val="none"/>
        </w:rPr>
      </w:pPr>
      <w:bookmarkStart w:id="240" w:name="_Toc186919436"/>
      <w:r>
        <w:rPr>
          <w:rFonts w:hint="eastAsia" w:ascii="宋体" w:hAnsi="宋体"/>
          <w:color w:val="auto"/>
          <w:sz w:val="24"/>
          <w:szCs w:val="24"/>
          <w:highlight w:val="none"/>
        </w:rPr>
        <w:t>项目名称：</w:t>
      </w:r>
      <w:bookmarkEnd w:id="240"/>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871"/>
        <w:gridCol w:w="2520"/>
        <w:gridCol w:w="1888"/>
      </w:tblGrid>
      <w:tr w14:paraId="0800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54" w:type="dxa"/>
            <w:vAlign w:val="center"/>
          </w:tcPr>
          <w:p w14:paraId="6391998A">
            <w:pPr>
              <w:snapToGrid w:val="0"/>
              <w:spacing w:line="440" w:lineRule="exact"/>
              <w:jc w:val="center"/>
              <w:rPr>
                <w:rFonts w:ascii="宋体" w:hAnsi="宋体"/>
                <w:color w:val="auto"/>
                <w:sz w:val="24"/>
                <w:szCs w:val="24"/>
                <w:highlight w:val="none"/>
              </w:rPr>
            </w:pPr>
            <w:bookmarkStart w:id="241" w:name="_Toc186919437"/>
            <w:r>
              <w:rPr>
                <w:rFonts w:hint="eastAsia" w:ascii="宋体" w:hAnsi="宋体"/>
                <w:color w:val="auto"/>
                <w:sz w:val="24"/>
                <w:szCs w:val="24"/>
                <w:highlight w:val="none"/>
              </w:rPr>
              <w:t>序号</w:t>
            </w:r>
            <w:bookmarkEnd w:id="241"/>
          </w:p>
        </w:tc>
        <w:tc>
          <w:tcPr>
            <w:tcW w:w="2871" w:type="dxa"/>
            <w:vAlign w:val="center"/>
          </w:tcPr>
          <w:p w14:paraId="6A3F0F88">
            <w:pPr>
              <w:snapToGrid w:val="0"/>
              <w:spacing w:line="440" w:lineRule="exact"/>
              <w:jc w:val="center"/>
              <w:rPr>
                <w:rFonts w:ascii="宋体" w:hAnsi="宋体"/>
                <w:color w:val="auto"/>
                <w:sz w:val="24"/>
                <w:szCs w:val="24"/>
                <w:highlight w:val="none"/>
              </w:rPr>
            </w:pPr>
            <w:bookmarkStart w:id="242" w:name="_Toc186919438"/>
            <w:r>
              <w:rPr>
                <w:rFonts w:hint="eastAsia" w:ascii="宋体" w:hAnsi="宋体"/>
                <w:color w:val="auto"/>
                <w:sz w:val="24"/>
                <w:szCs w:val="24"/>
                <w:highlight w:val="none"/>
              </w:rPr>
              <w:t>招标商务要求</w:t>
            </w:r>
            <w:bookmarkEnd w:id="242"/>
          </w:p>
        </w:tc>
        <w:tc>
          <w:tcPr>
            <w:tcW w:w="2520" w:type="dxa"/>
            <w:vAlign w:val="center"/>
          </w:tcPr>
          <w:p w14:paraId="5462DF35">
            <w:pPr>
              <w:snapToGrid w:val="0"/>
              <w:spacing w:line="440" w:lineRule="exact"/>
              <w:jc w:val="center"/>
              <w:rPr>
                <w:rFonts w:ascii="宋体" w:hAnsi="宋体"/>
                <w:color w:val="auto"/>
                <w:sz w:val="24"/>
                <w:szCs w:val="24"/>
                <w:highlight w:val="none"/>
              </w:rPr>
            </w:pPr>
            <w:bookmarkStart w:id="243" w:name="_Toc186919439"/>
            <w:r>
              <w:rPr>
                <w:rFonts w:hint="eastAsia" w:ascii="宋体" w:hAnsi="宋体"/>
                <w:color w:val="auto"/>
                <w:sz w:val="24"/>
                <w:szCs w:val="24"/>
                <w:highlight w:val="none"/>
              </w:rPr>
              <w:t>投标商务应答</w:t>
            </w:r>
            <w:bookmarkEnd w:id="243"/>
          </w:p>
        </w:tc>
        <w:tc>
          <w:tcPr>
            <w:tcW w:w="1888" w:type="dxa"/>
            <w:vAlign w:val="center"/>
          </w:tcPr>
          <w:p w14:paraId="38522037">
            <w:pPr>
              <w:snapToGrid w:val="0"/>
              <w:spacing w:line="440" w:lineRule="exact"/>
              <w:jc w:val="center"/>
              <w:rPr>
                <w:rFonts w:ascii="宋体" w:hAnsi="宋体"/>
                <w:color w:val="auto"/>
                <w:sz w:val="24"/>
                <w:szCs w:val="24"/>
                <w:highlight w:val="none"/>
              </w:rPr>
            </w:pPr>
            <w:bookmarkStart w:id="244" w:name="_Toc186919440"/>
            <w:r>
              <w:rPr>
                <w:rFonts w:hint="eastAsia" w:ascii="宋体" w:hAnsi="宋体"/>
                <w:color w:val="auto"/>
                <w:sz w:val="24"/>
                <w:szCs w:val="24"/>
                <w:highlight w:val="none"/>
              </w:rPr>
              <w:t>差异说明</w:t>
            </w:r>
            <w:bookmarkEnd w:id="244"/>
          </w:p>
        </w:tc>
      </w:tr>
      <w:tr w14:paraId="58A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DF5EF2C">
            <w:pPr>
              <w:snapToGrid w:val="0"/>
              <w:spacing w:line="440" w:lineRule="exact"/>
              <w:ind w:firstLine="480" w:firstLineChars="200"/>
              <w:rPr>
                <w:rFonts w:ascii="宋体" w:hAnsi="宋体"/>
                <w:color w:val="auto"/>
                <w:sz w:val="24"/>
                <w:szCs w:val="24"/>
                <w:highlight w:val="none"/>
              </w:rPr>
            </w:pPr>
          </w:p>
        </w:tc>
        <w:tc>
          <w:tcPr>
            <w:tcW w:w="2871" w:type="dxa"/>
            <w:vAlign w:val="center"/>
          </w:tcPr>
          <w:p w14:paraId="5C79D0E1">
            <w:pPr>
              <w:snapToGrid w:val="0"/>
              <w:spacing w:line="440" w:lineRule="exact"/>
              <w:ind w:firstLine="4" w:firstLineChars="2"/>
              <w:rPr>
                <w:rFonts w:ascii="宋体" w:hAnsi="宋体"/>
                <w:color w:val="auto"/>
                <w:sz w:val="24"/>
                <w:szCs w:val="24"/>
                <w:highlight w:val="none"/>
              </w:rPr>
            </w:pPr>
          </w:p>
        </w:tc>
        <w:tc>
          <w:tcPr>
            <w:tcW w:w="2520" w:type="dxa"/>
            <w:vAlign w:val="center"/>
          </w:tcPr>
          <w:p w14:paraId="013654D2">
            <w:pPr>
              <w:snapToGrid w:val="0"/>
              <w:spacing w:line="440" w:lineRule="exact"/>
              <w:ind w:firstLine="480" w:firstLineChars="200"/>
              <w:rPr>
                <w:rFonts w:ascii="宋体" w:hAnsi="宋体"/>
                <w:color w:val="auto"/>
                <w:sz w:val="24"/>
                <w:szCs w:val="24"/>
                <w:highlight w:val="none"/>
              </w:rPr>
            </w:pPr>
          </w:p>
        </w:tc>
        <w:tc>
          <w:tcPr>
            <w:tcW w:w="1888" w:type="dxa"/>
            <w:vAlign w:val="center"/>
          </w:tcPr>
          <w:p w14:paraId="3E910771">
            <w:pPr>
              <w:snapToGrid w:val="0"/>
              <w:spacing w:line="440" w:lineRule="exact"/>
              <w:ind w:firstLine="480" w:firstLineChars="200"/>
              <w:rPr>
                <w:rFonts w:ascii="宋体" w:hAnsi="宋体"/>
                <w:color w:val="auto"/>
                <w:sz w:val="24"/>
                <w:szCs w:val="24"/>
                <w:highlight w:val="none"/>
              </w:rPr>
            </w:pPr>
          </w:p>
        </w:tc>
      </w:tr>
      <w:tr w14:paraId="087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11FF6842">
            <w:pPr>
              <w:snapToGrid w:val="0"/>
              <w:spacing w:line="440" w:lineRule="exact"/>
              <w:ind w:firstLine="480" w:firstLineChars="200"/>
              <w:rPr>
                <w:rFonts w:ascii="宋体" w:hAnsi="宋体"/>
                <w:color w:val="auto"/>
                <w:sz w:val="24"/>
                <w:szCs w:val="24"/>
                <w:highlight w:val="none"/>
              </w:rPr>
            </w:pPr>
          </w:p>
        </w:tc>
        <w:tc>
          <w:tcPr>
            <w:tcW w:w="2871" w:type="dxa"/>
            <w:vAlign w:val="center"/>
          </w:tcPr>
          <w:p w14:paraId="7D57B6E5">
            <w:pPr>
              <w:snapToGrid w:val="0"/>
              <w:spacing w:line="440" w:lineRule="exact"/>
              <w:ind w:firstLine="480" w:firstLineChars="200"/>
              <w:rPr>
                <w:rFonts w:ascii="宋体" w:hAnsi="宋体"/>
                <w:color w:val="auto"/>
                <w:sz w:val="24"/>
                <w:szCs w:val="24"/>
                <w:highlight w:val="none"/>
              </w:rPr>
            </w:pPr>
          </w:p>
        </w:tc>
        <w:tc>
          <w:tcPr>
            <w:tcW w:w="2520" w:type="dxa"/>
            <w:vAlign w:val="center"/>
          </w:tcPr>
          <w:p w14:paraId="4EF47B64">
            <w:pPr>
              <w:snapToGrid w:val="0"/>
              <w:spacing w:line="440" w:lineRule="exact"/>
              <w:ind w:firstLine="480" w:firstLineChars="200"/>
              <w:rPr>
                <w:rFonts w:ascii="宋体" w:hAnsi="宋体"/>
                <w:color w:val="auto"/>
                <w:sz w:val="24"/>
                <w:szCs w:val="24"/>
                <w:highlight w:val="none"/>
              </w:rPr>
            </w:pPr>
          </w:p>
        </w:tc>
        <w:tc>
          <w:tcPr>
            <w:tcW w:w="1888" w:type="dxa"/>
            <w:vAlign w:val="center"/>
          </w:tcPr>
          <w:p w14:paraId="1DC46A5D">
            <w:pPr>
              <w:snapToGrid w:val="0"/>
              <w:spacing w:line="440" w:lineRule="exact"/>
              <w:ind w:firstLine="480" w:firstLineChars="200"/>
              <w:rPr>
                <w:rFonts w:ascii="宋体" w:hAnsi="宋体"/>
                <w:color w:val="auto"/>
                <w:sz w:val="24"/>
                <w:szCs w:val="24"/>
                <w:highlight w:val="none"/>
              </w:rPr>
            </w:pPr>
          </w:p>
        </w:tc>
      </w:tr>
      <w:tr w14:paraId="2092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0CEE056A">
            <w:pPr>
              <w:snapToGrid w:val="0"/>
              <w:spacing w:line="440" w:lineRule="exact"/>
              <w:ind w:firstLine="480" w:firstLineChars="200"/>
              <w:rPr>
                <w:rFonts w:ascii="宋体" w:hAnsi="宋体"/>
                <w:color w:val="auto"/>
                <w:sz w:val="24"/>
                <w:szCs w:val="24"/>
                <w:highlight w:val="none"/>
              </w:rPr>
            </w:pPr>
          </w:p>
        </w:tc>
        <w:tc>
          <w:tcPr>
            <w:tcW w:w="2871" w:type="dxa"/>
            <w:vAlign w:val="center"/>
          </w:tcPr>
          <w:p w14:paraId="4CB66F51">
            <w:pPr>
              <w:snapToGrid w:val="0"/>
              <w:spacing w:line="440" w:lineRule="exact"/>
              <w:ind w:firstLine="480" w:firstLineChars="200"/>
              <w:rPr>
                <w:rFonts w:ascii="宋体" w:hAnsi="宋体"/>
                <w:color w:val="auto"/>
                <w:sz w:val="24"/>
                <w:szCs w:val="24"/>
                <w:highlight w:val="none"/>
              </w:rPr>
            </w:pPr>
          </w:p>
        </w:tc>
        <w:tc>
          <w:tcPr>
            <w:tcW w:w="2520" w:type="dxa"/>
            <w:vAlign w:val="center"/>
          </w:tcPr>
          <w:p w14:paraId="1618EE01">
            <w:pPr>
              <w:snapToGrid w:val="0"/>
              <w:spacing w:line="440" w:lineRule="exact"/>
              <w:ind w:firstLine="480" w:firstLineChars="200"/>
              <w:rPr>
                <w:rFonts w:ascii="宋体" w:hAnsi="宋体"/>
                <w:color w:val="auto"/>
                <w:sz w:val="24"/>
                <w:szCs w:val="24"/>
                <w:highlight w:val="none"/>
              </w:rPr>
            </w:pPr>
          </w:p>
        </w:tc>
        <w:tc>
          <w:tcPr>
            <w:tcW w:w="1888" w:type="dxa"/>
            <w:vAlign w:val="center"/>
          </w:tcPr>
          <w:p w14:paraId="6886238F">
            <w:pPr>
              <w:snapToGrid w:val="0"/>
              <w:spacing w:line="440" w:lineRule="exact"/>
              <w:ind w:firstLine="480" w:firstLineChars="200"/>
              <w:rPr>
                <w:rFonts w:ascii="宋体" w:hAnsi="宋体"/>
                <w:color w:val="auto"/>
                <w:sz w:val="24"/>
                <w:szCs w:val="24"/>
                <w:highlight w:val="none"/>
              </w:rPr>
            </w:pPr>
          </w:p>
        </w:tc>
      </w:tr>
      <w:tr w14:paraId="2277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58B1EDAC">
            <w:pPr>
              <w:snapToGrid w:val="0"/>
              <w:spacing w:line="440" w:lineRule="exact"/>
              <w:ind w:firstLine="480" w:firstLineChars="200"/>
              <w:rPr>
                <w:rFonts w:ascii="宋体" w:hAnsi="宋体"/>
                <w:color w:val="auto"/>
                <w:sz w:val="24"/>
                <w:szCs w:val="24"/>
                <w:highlight w:val="none"/>
              </w:rPr>
            </w:pPr>
          </w:p>
        </w:tc>
        <w:tc>
          <w:tcPr>
            <w:tcW w:w="2871" w:type="dxa"/>
            <w:vAlign w:val="center"/>
          </w:tcPr>
          <w:p w14:paraId="0824A157">
            <w:pPr>
              <w:snapToGrid w:val="0"/>
              <w:spacing w:line="440" w:lineRule="exact"/>
              <w:ind w:firstLine="480" w:firstLineChars="200"/>
              <w:rPr>
                <w:rFonts w:ascii="宋体" w:hAnsi="宋体"/>
                <w:color w:val="auto"/>
                <w:sz w:val="24"/>
                <w:szCs w:val="24"/>
                <w:highlight w:val="none"/>
              </w:rPr>
            </w:pPr>
          </w:p>
        </w:tc>
        <w:tc>
          <w:tcPr>
            <w:tcW w:w="2520" w:type="dxa"/>
            <w:vAlign w:val="center"/>
          </w:tcPr>
          <w:p w14:paraId="3DABCD2E">
            <w:pPr>
              <w:snapToGrid w:val="0"/>
              <w:spacing w:line="440" w:lineRule="exact"/>
              <w:ind w:firstLine="480" w:firstLineChars="200"/>
              <w:rPr>
                <w:rFonts w:ascii="宋体" w:hAnsi="宋体"/>
                <w:color w:val="auto"/>
                <w:sz w:val="24"/>
                <w:szCs w:val="24"/>
                <w:highlight w:val="none"/>
              </w:rPr>
            </w:pPr>
          </w:p>
        </w:tc>
        <w:tc>
          <w:tcPr>
            <w:tcW w:w="1888" w:type="dxa"/>
            <w:vAlign w:val="center"/>
          </w:tcPr>
          <w:p w14:paraId="1F59C2FA">
            <w:pPr>
              <w:snapToGrid w:val="0"/>
              <w:spacing w:line="440" w:lineRule="exact"/>
              <w:ind w:firstLine="480" w:firstLineChars="200"/>
              <w:rPr>
                <w:rFonts w:ascii="宋体" w:hAnsi="宋体"/>
                <w:color w:val="auto"/>
                <w:sz w:val="24"/>
                <w:szCs w:val="24"/>
                <w:highlight w:val="none"/>
              </w:rPr>
            </w:pPr>
          </w:p>
        </w:tc>
      </w:tr>
      <w:tr w14:paraId="200F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667BC912">
            <w:pPr>
              <w:snapToGrid w:val="0"/>
              <w:spacing w:line="440" w:lineRule="exact"/>
              <w:ind w:firstLine="480" w:firstLineChars="200"/>
              <w:rPr>
                <w:rFonts w:ascii="宋体" w:hAnsi="宋体"/>
                <w:color w:val="auto"/>
                <w:sz w:val="24"/>
                <w:szCs w:val="24"/>
                <w:highlight w:val="none"/>
              </w:rPr>
            </w:pPr>
          </w:p>
        </w:tc>
        <w:tc>
          <w:tcPr>
            <w:tcW w:w="2871" w:type="dxa"/>
            <w:vAlign w:val="center"/>
          </w:tcPr>
          <w:p w14:paraId="1AA5A84E">
            <w:pPr>
              <w:snapToGrid w:val="0"/>
              <w:spacing w:line="440" w:lineRule="exact"/>
              <w:ind w:firstLine="480" w:firstLineChars="200"/>
              <w:rPr>
                <w:rFonts w:ascii="宋体" w:hAnsi="宋体"/>
                <w:color w:val="auto"/>
                <w:sz w:val="24"/>
                <w:szCs w:val="24"/>
                <w:highlight w:val="none"/>
              </w:rPr>
            </w:pPr>
          </w:p>
        </w:tc>
        <w:tc>
          <w:tcPr>
            <w:tcW w:w="2520" w:type="dxa"/>
            <w:vAlign w:val="center"/>
          </w:tcPr>
          <w:p w14:paraId="1677C673">
            <w:pPr>
              <w:snapToGrid w:val="0"/>
              <w:spacing w:line="440" w:lineRule="exact"/>
              <w:ind w:firstLine="480" w:firstLineChars="200"/>
              <w:rPr>
                <w:rFonts w:ascii="宋体" w:hAnsi="宋体"/>
                <w:color w:val="auto"/>
                <w:sz w:val="24"/>
                <w:szCs w:val="24"/>
                <w:highlight w:val="none"/>
              </w:rPr>
            </w:pPr>
          </w:p>
        </w:tc>
        <w:tc>
          <w:tcPr>
            <w:tcW w:w="1888" w:type="dxa"/>
            <w:vAlign w:val="center"/>
          </w:tcPr>
          <w:p w14:paraId="3524E245">
            <w:pPr>
              <w:snapToGrid w:val="0"/>
              <w:spacing w:line="440" w:lineRule="exact"/>
              <w:ind w:firstLine="480" w:firstLineChars="200"/>
              <w:rPr>
                <w:rFonts w:ascii="宋体" w:hAnsi="宋体"/>
                <w:color w:val="auto"/>
                <w:sz w:val="24"/>
                <w:szCs w:val="24"/>
                <w:highlight w:val="none"/>
              </w:rPr>
            </w:pPr>
          </w:p>
        </w:tc>
      </w:tr>
      <w:tr w14:paraId="57C3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1BC0EFAC">
            <w:pPr>
              <w:snapToGrid w:val="0"/>
              <w:spacing w:line="440" w:lineRule="exact"/>
              <w:ind w:firstLine="480" w:firstLineChars="200"/>
              <w:rPr>
                <w:rFonts w:ascii="宋体" w:hAnsi="宋体"/>
                <w:color w:val="auto"/>
                <w:sz w:val="24"/>
                <w:szCs w:val="24"/>
                <w:highlight w:val="none"/>
              </w:rPr>
            </w:pPr>
          </w:p>
        </w:tc>
        <w:tc>
          <w:tcPr>
            <w:tcW w:w="2871" w:type="dxa"/>
            <w:vAlign w:val="center"/>
          </w:tcPr>
          <w:p w14:paraId="6C898463">
            <w:pPr>
              <w:snapToGrid w:val="0"/>
              <w:spacing w:line="440" w:lineRule="exact"/>
              <w:ind w:firstLine="480" w:firstLineChars="200"/>
              <w:rPr>
                <w:rFonts w:ascii="宋体" w:hAnsi="宋体"/>
                <w:color w:val="auto"/>
                <w:sz w:val="24"/>
                <w:szCs w:val="24"/>
                <w:highlight w:val="none"/>
              </w:rPr>
            </w:pPr>
          </w:p>
        </w:tc>
        <w:tc>
          <w:tcPr>
            <w:tcW w:w="2520" w:type="dxa"/>
            <w:vAlign w:val="center"/>
          </w:tcPr>
          <w:p w14:paraId="51FA2E1D">
            <w:pPr>
              <w:snapToGrid w:val="0"/>
              <w:spacing w:line="440" w:lineRule="exact"/>
              <w:ind w:firstLine="480" w:firstLineChars="200"/>
              <w:rPr>
                <w:rFonts w:ascii="宋体" w:hAnsi="宋体"/>
                <w:color w:val="auto"/>
                <w:sz w:val="24"/>
                <w:szCs w:val="24"/>
                <w:highlight w:val="none"/>
              </w:rPr>
            </w:pPr>
          </w:p>
        </w:tc>
        <w:tc>
          <w:tcPr>
            <w:tcW w:w="1888" w:type="dxa"/>
            <w:vAlign w:val="center"/>
          </w:tcPr>
          <w:p w14:paraId="72B7FC8C">
            <w:pPr>
              <w:snapToGrid w:val="0"/>
              <w:spacing w:line="440" w:lineRule="exact"/>
              <w:ind w:firstLine="480" w:firstLineChars="200"/>
              <w:rPr>
                <w:rFonts w:ascii="宋体" w:hAnsi="宋体"/>
                <w:color w:val="auto"/>
                <w:sz w:val="24"/>
                <w:szCs w:val="24"/>
                <w:highlight w:val="none"/>
              </w:rPr>
            </w:pPr>
          </w:p>
        </w:tc>
      </w:tr>
      <w:tr w14:paraId="165E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7CEE18F0">
            <w:pPr>
              <w:snapToGrid w:val="0"/>
              <w:spacing w:line="440" w:lineRule="exact"/>
              <w:ind w:firstLine="480" w:firstLineChars="200"/>
              <w:rPr>
                <w:rFonts w:ascii="宋体" w:hAnsi="宋体"/>
                <w:color w:val="auto"/>
                <w:sz w:val="24"/>
                <w:szCs w:val="24"/>
                <w:highlight w:val="none"/>
              </w:rPr>
            </w:pPr>
          </w:p>
        </w:tc>
        <w:tc>
          <w:tcPr>
            <w:tcW w:w="2871" w:type="dxa"/>
            <w:vAlign w:val="center"/>
          </w:tcPr>
          <w:p w14:paraId="79F46C10">
            <w:pPr>
              <w:snapToGrid w:val="0"/>
              <w:spacing w:line="440" w:lineRule="exact"/>
              <w:ind w:firstLine="480" w:firstLineChars="200"/>
              <w:rPr>
                <w:rFonts w:ascii="宋体" w:hAnsi="宋体"/>
                <w:color w:val="auto"/>
                <w:sz w:val="24"/>
                <w:szCs w:val="24"/>
                <w:highlight w:val="none"/>
              </w:rPr>
            </w:pPr>
          </w:p>
        </w:tc>
        <w:tc>
          <w:tcPr>
            <w:tcW w:w="2520" w:type="dxa"/>
            <w:vAlign w:val="center"/>
          </w:tcPr>
          <w:p w14:paraId="1D096656">
            <w:pPr>
              <w:snapToGrid w:val="0"/>
              <w:spacing w:line="440" w:lineRule="exact"/>
              <w:ind w:firstLine="480" w:firstLineChars="200"/>
              <w:rPr>
                <w:rFonts w:ascii="宋体" w:hAnsi="宋体"/>
                <w:color w:val="auto"/>
                <w:sz w:val="24"/>
                <w:szCs w:val="24"/>
                <w:highlight w:val="none"/>
              </w:rPr>
            </w:pPr>
          </w:p>
        </w:tc>
        <w:tc>
          <w:tcPr>
            <w:tcW w:w="1888" w:type="dxa"/>
            <w:vAlign w:val="center"/>
          </w:tcPr>
          <w:p w14:paraId="45CBDDFA">
            <w:pPr>
              <w:snapToGrid w:val="0"/>
              <w:spacing w:line="440" w:lineRule="exact"/>
              <w:ind w:firstLine="480" w:firstLineChars="200"/>
              <w:rPr>
                <w:rFonts w:ascii="宋体" w:hAnsi="宋体"/>
                <w:color w:val="auto"/>
                <w:sz w:val="24"/>
                <w:szCs w:val="24"/>
                <w:highlight w:val="none"/>
              </w:rPr>
            </w:pPr>
          </w:p>
        </w:tc>
      </w:tr>
      <w:tr w14:paraId="4675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EBEB8D">
            <w:pPr>
              <w:snapToGrid w:val="0"/>
              <w:spacing w:line="440" w:lineRule="exact"/>
              <w:ind w:firstLine="480" w:firstLineChars="200"/>
              <w:rPr>
                <w:rFonts w:ascii="宋体" w:hAnsi="宋体"/>
                <w:color w:val="auto"/>
                <w:sz w:val="24"/>
                <w:szCs w:val="24"/>
                <w:highlight w:val="none"/>
              </w:rPr>
            </w:pPr>
          </w:p>
        </w:tc>
        <w:tc>
          <w:tcPr>
            <w:tcW w:w="2871" w:type="dxa"/>
            <w:vAlign w:val="center"/>
          </w:tcPr>
          <w:p w14:paraId="27670343">
            <w:pPr>
              <w:snapToGrid w:val="0"/>
              <w:spacing w:line="440" w:lineRule="exact"/>
              <w:ind w:firstLine="480" w:firstLineChars="200"/>
              <w:rPr>
                <w:rFonts w:ascii="宋体" w:hAnsi="宋体"/>
                <w:color w:val="auto"/>
                <w:sz w:val="24"/>
                <w:szCs w:val="24"/>
                <w:highlight w:val="none"/>
              </w:rPr>
            </w:pPr>
          </w:p>
        </w:tc>
        <w:tc>
          <w:tcPr>
            <w:tcW w:w="2520" w:type="dxa"/>
            <w:vAlign w:val="center"/>
          </w:tcPr>
          <w:p w14:paraId="2B519B3A">
            <w:pPr>
              <w:snapToGrid w:val="0"/>
              <w:spacing w:line="440" w:lineRule="exact"/>
              <w:ind w:firstLine="480" w:firstLineChars="200"/>
              <w:rPr>
                <w:rFonts w:ascii="宋体" w:hAnsi="宋体"/>
                <w:color w:val="auto"/>
                <w:sz w:val="24"/>
                <w:szCs w:val="24"/>
                <w:highlight w:val="none"/>
              </w:rPr>
            </w:pPr>
          </w:p>
        </w:tc>
        <w:tc>
          <w:tcPr>
            <w:tcW w:w="1888" w:type="dxa"/>
            <w:vAlign w:val="center"/>
          </w:tcPr>
          <w:p w14:paraId="32ED226C">
            <w:pPr>
              <w:snapToGrid w:val="0"/>
              <w:spacing w:line="440" w:lineRule="exact"/>
              <w:ind w:firstLine="480" w:firstLineChars="200"/>
              <w:rPr>
                <w:rFonts w:ascii="宋体" w:hAnsi="宋体"/>
                <w:color w:val="auto"/>
                <w:sz w:val="24"/>
                <w:szCs w:val="24"/>
                <w:highlight w:val="none"/>
              </w:rPr>
            </w:pPr>
          </w:p>
        </w:tc>
      </w:tr>
      <w:tr w14:paraId="1C25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3C8B5660">
            <w:pPr>
              <w:snapToGrid w:val="0"/>
              <w:spacing w:line="440" w:lineRule="exact"/>
              <w:ind w:firstLine="480" w:firstLineChars="200"/>
              <w:rPr>
                <w:rFonts w:ascii="宋体" w:hAnsi="宋体"/>
                <w:color w:val="auto"/>
                <w:sz w:val="24"/>
                <w:szCs w:val="24"/>
                <w:highlight w:val="none"/>
              </w:rPr>
            </w:pPr>
          </w:p>
        </w:tc>
        <w:tc>
          <w:tcPr>
            <w:tcW w:w="2871" w:type="dxa"/>
            <w:vAlign w:val="center"/>
          </w:tcPr>
          <w:p w14:paraId="0A078CEA">
            <w:pPr>
              <w:snapToGrid w:val="0"/>
              <w:spacing w:line="440" w:lineRule="exact"/>
              <w:ind w:firstLine="480" w:firstLineChars="200"/>
              <w:rPr>
                <w:rFonts w:ascii="宋体" w:hAnsi="宋体"/>
                <w:color w:val="auto"/>
                <w:sz w:val="24"/>
                <w:szCs w:val="24"/>
                <w:highlight w:val="none"/>
              </w:rPr>
            </w:pPr>
          </w:p>
        </w:tc>
        <w:tc>
          <w:tcPr>
            <w:tcW w:w="2520" w:type="dxa"/>
            <w:vAlign w:val="center"/>
          </w:tcPr>
          <w:p w14:paraId="5711B7BD">
            <w:pPr>
              <w:snapToGrid w:val="0"/>
              <w:spacing w:line="440" w:lineRule="exact"/>
              <w:ind w:firstLine="480" w:firstLineChars="200"/>
              <w:rPr>
                <w:rFonts w:ascii="宋体" w:hAnsi="宋体"/>
                <w:color w:val="auto"/>
                <w:sz w:val="24"/>
                <w:szCs w:val="24"/>
                <w:highlight w:val="none"/>
              </w:rPr>
            </w:pPr>
          </w:p>
        </w:tc>
        <w:tc>
          <w:tcPr>
            <w:tcW w:w="1888" w:type="dxa"/>
            <w:vAlign w:val="center"/>
          </w:tcPr>
          <w:p w14:paraId="1C751BCB">
            <w:pPr>
              <w:snapToGrid w:val="0"/>
              <w:spacing w:line="440" w:lineRule="exact"/>
              <w:ind w:firstLine="480" w:firstLineChars="200"/>
              <w:rPr>
                <w:rFonts w:ascii="宋体" w:hAnsi="宋体"/>
                <w:color w:val="auto"/>
                <w:sz w:val="24"/>
                <w:szCs w:val="24"/>
                <w:highlight w:val="none"/>
              </w:rPr>
            </w:pPr>
          </w:p>
        </w:tc>
      </w:tr>
      <w:tr w14:paraId="34C4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391D5569">
            <w:pPr>
              <w:snapToGrid w:val="0"/>
              <w:spacing w:line="440" w:lineRule="exact"/>
              <w:ind w:firstLine="480" w:firstLineChars="200"/>
              <w:rPr>
                <w:rFonts w:ascii="宋体" w:hAnsi="宋体"/>
                <w:color w:val="auto"/>
                <w:sz w:val="24"/>
                <w:szCs w:val="24"/>
                <w:highlight w:val="none"/>
              </w:rPr>
            </w:pPr>
          </w:p>
        </w:tc>
        <w:tc>
          <w:tcPr>
            <w:tcW w:w="2871" w:type="dxa"/>
            <w:vAlign w:val="center"/>
          </w:tcPr>
          <w:p w14:paraId="08369129">
            <w:pPr>
              <w:snapToGrid w:val="0"/>
              <w:spacing w:line="440" w:lineRule="exact"/>
              <w:ind w:firstLine="480" w:firstLineChars="200"/>
              <w:rPr>
                <w:rFonts w:ascii="宋体" w:hAnsi="宋体"/>
                <w:color w:val="auto"/>
                <w:sz w:val="24"/>
                <w:szCs w:val="24"/>
                <w:highlight w:val="none"/>
              </w:rPr>
            </w:pPr>
          </w:p>
        </w:tc>
        <w:tc>
          <w:tcPr>
            <w:tcW w:w="2520" w:type="dxa"/>
            <w:vAlign w:val="center"/>
          </w:tcPr>
          <w:p w14:paraId="1985C314">
            <w:pPr>
              <w:snapToGrid w:val="0"/>
              <w:spacing w:line="440" w:lineRule="exact"/>
              <w:ind w:firstLine="480" w:firstLineChars="200"/>
              <w:rPr>
                <w:rFonts w:ascii="宋体" w:hAnsi="宋体"/>
                <w:color w:val="auto"/>
                <w:sz w:val="24"/>
                <w:szCs w:val="24"/>
                <w:highlight w:val="none"/>
              </w:rPr>
            </w:pPr>
          </w:p>
        </w:tc>
        <w:tc>
          <w:tcPr>
            <w:tcW w:w="1888" w:type="dxa"/>
            <w:vAlign w:val="center"/>
          </w:tcPr>
          <w:p w14:paraId="07C5C513">
            <w:pPr>
              <w:snapToGrid w:val="0"/>
              <w:spacing w:line="440" w:lineRule="exact"/>
              <w:ind w:firstLine="480" w:firstLineChars="200"/>
              <w:rPr>
                <w:rFonts w:ascii="宋体" w:hAnsi="宋体"/>
                <w:color w:val="auto"/>
                <w:sz w:val="24"/>
                <w:szCs w:val="24"/>
                <w:highlight w:val="none"/>
              </w:rPr>
            </w:pPr>
          </w:p>
        </w:tc>
      </w:tr>
      <w:tr w14:paraId="463F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0E2ABBC5">
            <w:pPr>
              <w:snapToGrid w:val="0"/>
              <w:spacing w:line="440" w:lineRule="exact"/>
              <w:ind w:firstLine="480" w:firstLineChars="200"/>
              <w:rPr>
                <w:rFonts w:ascii="宋体" w:hAnsi="宋体"/>
                <w:color w:val="auto"/>
                <w:sz w:val="24"/>
                <w:szCs w:val="24"/>
                <w:highlight w:val="none"/>
              </w:rPr>
            </w:pPr>
          </w:p>
        </w:tc>
        <w:tc>
          <w:tcPr>
            <w:tcW w:w="2871" w:type="dxa"/>
            <w:vAlign w:val="center"/>
          </w:tcPr>
          <w:p w14:paraId="7650396E">
            <w:pPr>
              <w:snapToGrid w:val="0"/>
              <w:spacing w:line="440" w:lineRule="exact"/>
              <w:ind w:firstLine="480" w:firstLineChars="200"/>
              <w:rPr>
                <w:rFonts w:ascii="宋体" w:hAnsi="宋体"/>
                <w:color w:val="auto"/>
                <w:sz w:val="24"/>
                <w:szCs w:val="24"/>
                <w:highlight w:val="none"/>
              </w:rPr>
            </w:pPr>
          </w:p>
        </w:tc>
        <w:tc>
          <w:tcPr>
            <w:tcW w:w="2520" w:type="dxa"/>
            <w:vAlign w:val="center"/>
          </w:tcPr>
          <w:p w14:paraId="46F5265C">
            <w:pPr>
              <w:snapToGrid w:val="0"/>
              <w:spacing w:line="440" w:lineRule="exact"/>
              <w:ind w:firstLine="480" w:firstLineChars="200"/>
              <w:rPr>
                <w:rFonts w:ascii="宋体" w:hAnsi="宋体"/>
                <w:color w:val="auto"/>
                <w:sz w:val="24"/>
                <w:szCs w:val="24"/>
                <w:highlight w:val="none"/>
              </w:rPr>
            </w:pPr>
          </w:p>
        </w:tc>
        <w:tc>
          <w:tcPr>
            <w:tcW w:w="1888" w:type="dxa"/>
            <w:vAlign w:val="center"/>
          </w:tcPr>
          <w:p w14:paraId="74FBDE8D">
            <w:pPr>
              <w:snapToGrid w:val="0"/>
              <w:spacing w:line="440" w:lineRule="exact"/>
              <w:ind w:firstLine="480" w:firstLineChars="200"/>
              <w:rPr>
                <w:rFonts w:ascii="宋体" w:hAnsi="宋体"/>
                <w:color w:val="auto"/>
                <w:sz w:val="24"/>
                <w:szCs w:val="24"/>
                <w:highlight w:val="none"/>
              </w:rPr>
            </w:pPr>
          </w:p>
        </w:tc>
      </w:tr>
      <w:tr w14:paraId="3FBA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633D752">
            <w:pPr>
              <w:snapToGrid w:val="0"/>
              <w:spacing w:line="440" w:lineRule="exact"/>
              <w:ind w:firstLine="480" w:firstLineChars="200"/>
              <w:rPr>
                <w:rFonts w:ascii="宋体" w:hAnsi="宋体"/>
                <w:color w:val="auto"/>
                <w:sz w:val="24"/>
                <w:szCs w:val="24"/>
                <w:highlight w:val="none"/>
              </w:rPr>
            </w:pPr>
          </w:p>
        </w:tc>
        <w:tc>
          <w:tcPr>
            <w:tcW w:w="2871" w:type="dxa"/>
            <w:vAlign w:val="center"/>
          </w:tcPr>
          <w:p w14:paraId="77344A3F">
            <w:pPr>
              <w:snapToGrid w:val="0"/>
              <w:spacing w:line="440" w:lineRule="exact"/>
              <w:ind w:firstLine="480" w:firstLineChars="200"/>
              <w:rPr>
                <w:rFonts w:ascii="宋体" w:hAnsi="宋体"/>
                <w:color w:val="auto"/>
                <w:sz w:val="24"/>
                <w:szCs w:val="24"/>
                <w:highlight w:val="none"/>
              </w:rPr>
            </w:pPr>
          </w:p>
        </w:tc>
        <w:tc>
          <w:tcPr>
            <w:tcW w:w="2520" w:type="dxa"/>
            <w:vAlign w:val="center"/>
          </w:tcPr>
          <w:p w14:paraId="090B62A0">
            <w:pPr>
              <w:snapToGrid w:val="0"/>
              <w:spacing w:line="440" w:lineRule="exact"/>
              <w:ind w:firstLine="480" w:firstLineChars="200"/>
              <w:rPr>
                <w:rFonts w:ascii="宋体" w:hAnsi="宋体"/>
                <w:color w:val="auto"/>
                <w:sz w:val="24"/>
                <w:szCs w:val="24"/>
                <w:highlight w:val="none"/>
              </w:rPr>
            </w:pPr>
          </w:p>
        </w:tc>
        <w:tc>
          <w:tcPr>
            <w:tcW w:w="1888" w:type="dxa"/>
            <w:vAlign w:val="center"/>
          </w:tcPr>
          <w:p w14:paraId="2E005055">
            <w:pPr>
              <w:snapToGrid w:val="0"/>
              <w:spacing w:line="440" w:lineRule="exact"/>
              <w:ind w:firstLine="480" w:firstLineChars="200"/>
              <w:rPr>
                <w:rFonts w:ascii="宋体" w:hAnsi="宋体"/>
                <w:color w:val="auto"/>
                <w:sz w:val="24"/>
                <w:szCs w:val="24"/>
                <w:highlight w:val="none"/>
              </w:rPr>
            </w:pPr>
          </w:p>
        </w:tc>
      </w:tr>
    </w:tbl>
    <w:p w14:paraId="5311A987">
      <w:pPr>
        <w:snapToGrid w:val="0"/>
        <w:spacing w:line="440" w:lineRule="exact"/>
        <w:ind w:firstLine="480" w:firstLineChars="200"/>
        <w:rPr>
          <w:rFonts w:ascii="宋体" w:hAnsi="宋体"/>
          <w:color w:val="auto"/>
          <w:sz w:val="24"/>
          <w:szCs w:val="24"/>
          <w:highlight w:val="none"/>
        </w:rPr>
      </w:pPr>
    </w:p>
    <w:p w14:paraId="692DA2BD">
      <w:pPr>
        <w:snapToGrid w:val="0"/>
        <w:spacing w:line="440" w:lineRule="exact"/>
        <w:ind w:firstLine="480" w:firstLineChars="200"/>
        <w:rPr>
          <w:rFonts w:ascii="宋体" w:hAnsi="宋体"/>
          <w:color w:val="auto"/>
          <w:sz w:val="24"/>
          <w:szCs w:val="24"/>
          <w:highlight w:val="none"/>
        </w:rPr>
      </w:pPr>
    </w:p>
    <w:p w14:paraId="54CD7C2D">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             　　　　　       法定代表人授权代表：</w:t>
      </w:r>
    </w:p>
    <w:p w14:paraId="26366253">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（投标人公章）　　　　                  （签字）</w:t>
      </w:r>
    </w:p>
    <w:p w14:paraId="22699610">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年  月  日                            年 月  日</w:t>
      </w:r>
    </w:p>
    <w:p w14:paraId="47F87092">
      <w:pPr>
        <w:snapToGrid w:val="0"/>
        <w:spacing w:line="440" w:lineRule="exact"/>
        <w:ind w:firstLine="480" w:firstLineChars="200"/>
        <w:rPr>
          <w:rFonts w:ascii="宋体" w:hAnsi="宋体"/>
          <w:color w:val="auto"/>
          <w:sz w:val="24"/>
          <w:szCs w:val="24"/>
          <w:highlight w:val="none"/>
        </w:rPr>
      </w:pPr>
    </w:p>
    <w:p w14:paraId="0E407799">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w:t>
      </w:r>
    </w:p>
    <w:p w14:paraId="704C32B4">
      <w:pPr>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本表即为对本项目“第三篇项目商务要求”中所列商务条款进行比较和响应；</w:t>
      </w:r>
    </w:p>
    <w:p w14:paraId="597FF52E">
      <w:pPr>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该表必须按照招标文件要求逐条如实填写，根据投标情况在“差异说明”项填写正偏离或负偏离及原因，完全符合的填写“无差异”。</w:t>
      </w:r>
    </w:p>
    <w:p w14:paraId="69CB8B92">
      <w:pPr>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该表可扩展。</w:t>
      </w:r>
    </w:p>
    <w:p w14:paraId="60BEF7A5">
      <w:pPr>
        <w:snapToGrid w:val="0"/>
        <w:spacing w:line="440" w:lineRule="exact"/>
        <w:ind w:firstLine="480" w:firstLineChars="200"/>
        <w:rPr>
          <w:rFonts w:ascii="宋体" w:hAnsi="宋体"/>
          <w:color w:val="auto"/>
          <w:sz w:val="24"/>
          <w:szCs w:val="24"/>
          <w:highlight w:val="none"/>
        </w:rPr>
      </w:pPr>
    </w:p>
    <w:p w14:paraId="7D57040E">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）委托经营服务承诺（格式自定）</w:t>
      </w:r>
    </w:p>
    <w:p w14:paraId="0199A24F">
      <w:pPr>
        <w:snapToGrid w:val="0"/>
        <w:spacing w:line="440" w:lineRule="exact"/>
        <w:ind w:firstLine="560" w:firstLineChars="200"/>
        <w:rPr>
          <w:rFonts w:ascii="宋体" w:hAnsi="宋体"/>
          <w:color w:val="auto"/>
          <w:highlight w:val="none"/>
        </w:rPr>
      </w:pPr>
    </w:p>
    <w:p w14:paraId="6F0F6B0D">
      <w:pPr>
        <w:snapToGrid w:val="0"/>
        <w:spacing w:line="440" w:lineRule="exact"/>
        <w:ind w:firstLine="560" w:firstLineChars="200"/>
        <w:rPr>
          <w:rFonts w:ascii="宋体" w:hAnsi="宋体"/>
          <w:color w:val="auto"/>
          <w:highlight w:val="none"/>
        </w:rPr>
      </w:pPr>
    </w:p>
    <w:p w14:paraId="14DBB7D9">
      <w:pPr>
        <w:snapToGrid w:val="0"/>
        <w:spacing w:line="440" w:lineRule="exact"/>
        <w:ind w:firstLine="560" w:firstLineChars="200"/>
        <w:rPr>
          <w:rFonts w:ascii="宋体" w:hAnsi="宋体"/>
          <w:color w:val="auto"/>
          <w:highlight w:val="none"/>
        </w:rPr>
      </w:pPr>
    </w:p>
    <w:p w14:paraId="1584A1CF">
      <w:pPr>
        <w:snapToGrid w:val="0"/>
        <w:spacing w:line="440" w:lineRule="exact"/>
        <w:ind w:firstLine="560" w:firstLineChars="200"/>
        <w:rPr>
          <w:rFonts w:ascii="宋体" w:hAnsi="宋体"/>
          <w:color w:val="auto"/>
          <w:highlight w:val="none"/>
        </w:rPr>
      </w:pPr>
    </w:p>
    <w:p w14:paraId="23555B8A">
      <w:pPr>
        <w:snapToGrid w:val="0"/>
        <w:spacing w:line="440" w:lineRule="exact"/>
        <w:ind w:firstLine="560" w:firstLineChars="200"/>
        <w:rPr>
          <w:rFonts w:ascii="宋体" w:hAnsi="宋体"/>
          <w:color w:val="auto"/>
          <w:highlight w:val="none"/>
        </w:rPr>
      </w:pPr>
    </w:p>
    <w:p w14:paraId="23FA03B7">
      <w:pPr>
        <w:snapToGrid w:val="0"/>
        <w:spacing w:line="440" w:lineRule="exact"/>
        <w:ind w:firstLine="560" w:firstLineChars="200"/>
        <w:rPr>
          <w:rFonts w:ascii="宋体" w:hAnsi="宋体"/>
          <w:color w:val="auto"/>
          <w:highlight w:val="none"/>
        </w:rPr>
      </w:pPr>
    </w:p>
    <w:p w14:paraId="5E8F84AF">
      <w:pPr>
        <w:snapToGrid w:val="0"/>
        <w:spacing w:line="440" w:lineRule="exact"/>
        <w:ind w:firstLine="560" w:firstLineChars="200"/>
        <w:rPr>
          <w:rFonts w:ascii="宋体" w:hAnsi="宋体"/>
          <w:color w:val="auto"/>
          <w:highlight w:val="none"/>
        </w:rPr>
      </w:pPr>
    </w:p>
    <w:p w14:paraId="34DF4981">
      <w:pPr>
        <w:snapToGrid w:val="0"/>
        <w:spacing w:line="440" w:lineRule="exact"/>
        <w:ind w:firstLine="560" w:firstLineChars="200"/>
        <w:rPr>
          <w:rFonts w:ascii="宋体" w:hAnsi="宋体"/>
          <w:color w:val="auto"/>
          <w:highlight w:val="none"/>
        </w:rPr>
      </w:pPr>
    </w:p>
    <w:p w14:paraId="2F041E0E">
      <w:pPr>
        <w:snapToGrid w:val="0"/>
        <w:spacing w:line="440" w:lineRule="exact"/>
        <w:ind w:firstLine="560" w:firstLineChars="200"/>
        <w:rPr>
          <w:rFonts w:ascii="宋体" w:hAnsi="宋体"/>
          <w:color w:val="auto"/>
          <w:highlight w:val="none"/>
        </w:rPr>
      </w:pPr>
    </w:p>
    <w:p w14:paraId="3B3B4357">
      <w:pPr>
        <w:snapToGrid w:val="0"/>
        <w:spacing w:line="440" w:lineRule="exact"/>
        <w:ind w:firstLine="560" w:firstLineChars="200"/>
        <w:rPr>
          <w:rFonts w:ascii="宋体" w:hAnsi="宋体"/>
          <w:color w:val="auto"/>
          <w:highlight w:val="none"/>
        </w:rPr>
      </w:pPr>
    </w:p>
    <w:p w14:paraId="0EF45BA1">
      <w:pPr>
        <w:snapToGrid w:val="0"/>
        <w:spacing w:line="440" w:lineRule="exact"/>
        <w:ind w:firstLine="560" w:firstLineChars="200"/>
        <w:rPr>
          <w:rFonts w:ascii="宋体" w:hAnsi="宋体"/>
          <w:color w:val="auto"/>
          <w:highlight w:val="none"/>
        </w:rPr>
      </w:pPr>
    </w:p>
    <w:p w14:paraId="0680335B">
      <w:pPr>
        <w:snapToGrid w:val="0"/>
        <w:spacing w:line="440" w:lineRule="exact"/>
        <w:ind w:firstLine="560" w:firstLineChars="200"/>
        <w:rPr>
          <w:rFonts w:ascii="宋体" w:hAnsi="宋体"/>
          <w:color w:val="auto"/>
          <w:highlight w:val="none"/>
        </w:rPr>
      </w:pPr>
    </w:p>
    <w:p w14:paraId="13F88848">
      <w:pPr>
        <w:snapToGrid w:val="0"/>
        <w:spacing w:line="440" w:lineRule="exact"/>
        <w:ind w:firstLine="560" w:firstLineChars="200"/>
        <w:rPr>
          <w:rFonts w:ascii="宋体" w:hAnsi="宋体"/>
          <w:color w:val="auto"/>
          <w:highlight w:val="none"/>
        </w:rPr>
      </w:pPr>
    </w:p>
    <w:p w14:paraId="0E47B761">
      <w:pPr>
        <w:snapToGrid w:val="0"/>
        <w:spacing w:line="440" w:lineRule="exact"/>
        <w:ind w:firstLine="560" w:firstLineChars="200"/>
        <w:rPr>
          <w:rFonts w:ascii="宋体" w:hAnsi="宋体"/>
          <w:color w:val="auto"/>
          <w:highlight w:val="none"/>
        </w:rPr>
      </w:pPr>
    </w:p>
    <w:p w14:paraId="5E6B3533">
      <w:pPr>
        <w:snapToGrid w:val="0"/>
        <w:spacing w:line="440" w:lineRule="exact"/>
        <w:ind w:firstLine="560" w:firstLineChars="200"/>
        <w:rPr>
          <w:rFonts w:ascii="宋体" w:hAnsi="宋体"/>
          <w:color w:val="auto"/>
          <w:highlight w:val="none"/>
        </w:rPr>
      </w:pPr>
    </w:p>
    <w:p w14:paraId="4F39FA9C">
      <w:pPr>
        <w:snapToGrid w:val="0"/>
        <w:spacing w:line="440" w:lineRule="exact"/>
        <w:ind w:firstLine="560" w:firstLineChars="200"/>
        <w:rPr>
          <w:rFonts w:ascii="宋体" w:hAnsi="宋体"/>
          <w:color w:val="auto"/>
          <w:highlight w:val="none"/>
        </w:rPr>
      </w:pPr>
    </w:p>
    <w:p w14:paraId="27DD00C7">
      <w:pPr>
        <w:snapToGrid w:val="0"/>
        <w:spacing w:line="440" w:lineRule="exact"/>
        <w:ind w:firstLine="560" w:firstLineChars="200"/>
        <w:rPr>
          <w:rFonts w:ascii="宋体" w:hAnsi="宋体"/>
          <w:color w:val="auto"/>
          <w:highlight w:val="none"/>
        </w:rPr>
      </w:pPr>
    </w:p>
    <w:p w14:paraId="15678101">
      <w:pPr>
        <w:snapToGrid w:val="0"/>
        <w:spacing w:line="440" w:lineRule="exact"/>
        <w:ind w:firstLine="560" w:firstLineChars="200"/>
        <w:rPr>
          <w:rFonts w:ascii="宋体" w:hAnsi="宋体"/>
          <w:color w:val="auto"/>
          <w:highlight w:val="none"/>
        </w:rPr>
      </w:pPr>
    </w:p>
    <w:p w14:paraId="2662ACD0">
      <w:pPr>
        <w:snapToGrid w:val="0"/>
        <w:spacing w:line="440" w:lineRule="exact"/>
        <w:ind w:firstLine="560" w:firstLineChars="200"/>
        <w:rPr>
          <w:rFonts w:ascii="宋体" w:hAnsi="宋体"/>
          <w:color w:val="auto"/>
          <w:highlight w:val="none"/>
        </w:rPr>
      </w:pPr>
    </w:p>
    <w:p w14:paraId="06763D56">
      <w:pPr>
        <w:snapToGrid w:val="0"/>
        <w:spacing w:line="440" w:lineRule="exact"/>
        <w:ind w:firstLine="560" w:firstLineChars="200"/>
        <w:rPr>
          <w:rFonts w:ascii="宋体" w:hAnsi="宋体"/>
          <w:color w:val="auto"/>
          <w:highlight w:val="none"/>
        </w:rPr>
      </w:pPr>
    </w:p>
    <w:p w14:paraId="472291C9">
      <w:pPr>
        <w:snapToGrid w:val="0"/>
        <w:spacing w:line="440" w:lineRule="exact"/>
        <w:ind w:firstLine="560" w:firstLineChars="200"/>
        <w:rPr>
          <w:rFonts w:ascii="宋体" w:hAnsi="宋体"/>
          <w:color w:val="auto"/>
          <w:highlight w:val="none"/>
        </w:rPr>
      </w:pPr>
    </w:p>
    <w:p w14:paraId="377B000A">
      <w:pPr>
        <w:snapToGrid w:val="0"/>
        <w:spacing w:line="440" w:lineRule="exact"/>
        <w:ind w:firstLine="560" w:firstLineChars="200"/>
        <w:rPr>
          <w:rFonts w:ascii="宋体" w:hAnsi="宋体"/>
          <w:color w:val="auto"/>
          <w:highlight w:val="none"/>
        </w:rPr>
      </w:pPr>
    </w:p>
    <w:p w14:paraId="00F18F0F">
      <w:pPr>
        <w:snapToGrid w:val="0"/>
        <w:spacing w:line="440" w:lineRule="exact"/>
        <w:ind w:firstLine="560" w:firstLineChars="200"/>
        <w:rPr>
          <w:rFonts w:ascii="宋体" w:hAnsi="宋体"/>
          <w:color w:val="auto"/>
          <w:highlight w:val="none"/>
        </w:rPr>
      </w:pPr>
    </w:p>
    <w:p w14:paraId="288C3A7D">
      <w:pPr>
        <w:snapToGrid w:val="0"/>
        <w:spacing w:line="440" w:lineRule="exact"/>
        <w:ind w:firstLine="560" w:firstLineChars="200"/>
        <w:rPr>
          <w:rFonts w:ascii="宋体" w:hAnsi="宋体"/>
          <w:color w:val="auto"/>
          <w:highlight w:val="none"/>
        </w:rPr>
      </w:pPr>
    </w:p>
    <w:p w14:paraId="7BA04205">
      <w:pPr>
        <w:snapToGrid w:val="0"/>
        <w:spacing w:line="440" w:lineRule="exact"/>
        <w:ind w:firstLine="560" w:firstLineChars="200"/>
        <w:rPr>
          <w:rFonts w:ascii="宋体" w:hAnsi="宋体"/>
          <w:color w:val="auto"/>
          <w:highlight w:val="none"/>
        </w:rPr>
      </w:pPr>
    </w:p>
    <w:p w14:paraId="51031ED4">
      <w:pPr>
        <w:snapToGrid w:val="0"/>
        <w:spacing w:line="440" w:lineRule="exact"/>
        <w:ind w:firstLine="560" w:firstLineChars="200"/>
        <w:rPr>
          <w:rFonts w:ascii="宋体" w:hAnsi="宋体"/>
          <w:color w:val="auto"/>
          <w:highlight w:val="none"/>
        </w:rPr>
      </w:pPr>
    </w:p>
    <w:p w14:paraId="0E02FCEE">
      <w:pPr>
        <w:snapToGrid w:val="0"/>
        <w:spacing w:line="440" w:lineRule="exact"/>
        <w:ind w:firstLine="560" w:firstLineChars="200"/>
        <w:rPr>
          <w:rFonts w:ascii="宋体" w:hAnsi="宋体"/>
          <w:color w:val="auto"/>
          <w:highlight w:val="none"/>
        </w:rPr>
      </w:pPr>
    </w:p>
    <w:p w14:paraId="56D8C522">
      <w:pPr>
        <w:snapToGrid w:val="0"/>
        <w:spacing w:line="440" w:lineRule="exact"/>
        <w:ind w:firstLine="560" w:firstLineChars="200"/>
        <w:rPr>
          <w:rFonts w:ascii="宋体" w:hAnsi="宋体"/>
          <w:color w:val="auto"/>
          <w:highlight w:val="none"/>
        </w:rPr>
      </w:pPr>
    </w:p>
    <w:p w14:paraId="39545484">
      <w:pPr>
        <w:snapToGrid w:val="0"/>
        <w:spacing w:line="440" w:lineRule="exact"/>
        <w:ind w:firstLine="560" w:firstLineChars="200"/>
        <w:rPr>
          <w:rFonts w:ascii="宋体" w:hAnsi="宋体"/>
          <w:color w:val="auto"/>
          <w:highlight w:val="none"/>
        </w:rPr>
      </w:pPr>
    </w:p>
    <w:p w14:paraId="0959DFFB">
      <w:pPr>
        <w:snapToGrid w:val="0"/>
        <w:spacing w:line="440" w:lineRule="exact"/>
        <w:ind w:firstLine="560" w:firstLineChars="200"/>
        <w:rPr>
          <w:rFonts w:ascii="宋体" w:hAnsi="宋体"/>
          <w:color w:val="auto"/>
          <w:highlight w:val="none"/>
        </w:rPr>
      </w:pPr>
    </w:p>
    <w:p w14:paraId="6CA8717F">
      <w:pPr>
        <w:snapToGrid w:val="0"/>
        <w:spacing w:line="440" w:lineRule="exact"/>
        <w:ind w:firstLine="560" w:firstLineChars="200"/>
        <w:rPr>
          <w:rFonts w:ascii="宋体" w:hAnsi="宋体"/>
          <w:color w:val="auto"/>
          <w:highlight w:val="none"/>
        </w:rPr>
      </w:pPr>
    </w:p>
    <w:p w14:paraId="694BBA7D">
      <w:pPr>
        <w:snapToGrid w:val="0"/>
        <w:spacing w:line="440" w:lineRule="exact"/>
        <w:ind w:firstLine="562" w:firstLineChars="200"/>
        <w:rPr>
          <w:rFonts w:ascii="宋体" w:hAnsi="宋体"/>
          <w:b/>
          <w:bCs/>
          <w:color w:val="auto"/>
          <w:highlight w:val="none"/>
        </w:rPr>
      </w:pPr>
      <w:bookmarkStart w:id="245" w:name="_Toc186919441"/>
      <w:r>
        <w:rPr>
          <w:rFonts w:hint="eastAsia" w:ascii="宋体" w:hAnsi="宋体"/>
          <w:b/>
          <w:bCs/>
          <w:color w:val="auto"/>
          <w:highlight w:val="none"/>
        </w:rPr>
        <w:t>四、技术文件</w:t>
      </w:r>
      <w:bookmarkEnd w:id="245"/>
    </w:p>
    <w:p w14:paraId="55B4C993">
      <w:pPr>
        <w:numPr>
          <w:ilvl w:val="-1"/>
          <w:numId w:val="0"/>
        </w:numPr>
        <w:snapToGrid w:val="0"/>
        <w:spacing w:line="440" w:lineRule="exact"/>
        <w:ind w:firstLine="562" w:firstLineChars="200"/>
        <w:rPr>
          <w:rFonts w:hint="eastAsia" w:ascii="宋体" w:hAnsi="宋体"/>
          <w:b/>
          <w:color w:val="auto"/>
          <w:highlight w:val="none"/>
          <w:lang w:eastAsia="zh-CN"/>
        </w:rPr>
      </w:pPr>
      <w:r>
        <w:rPr>
          <w:rFonts w:hint="eastAsia" w:ascii="宋体" w:hAnsi="宋体"/>
          <w:b/>
          <w:color w:val="auto"/>
          <w:highlight w:val="none"/>
          <w:lang w:eastAsia="zh-CN"/>
        </w:rPr>
        <w:t>（</w:t>
      </w:r>
      <w:r>
        <w:rPr>
          <w:rFonts w:hint="eastAsia" w:ascii="宋体" w:hAnsi="宋体"/>
          <w:b/>
          <w:color w:val="auto"/>
          <w:highlight w:val="none"/>
          <w:lang w:val="en-US" w:eastAsia="zh-CN"/>
        </w:rPr>
        <w:t>一</w:t>
      </w:r>
      <w:r>
        <w:rPr>
          <w:rFonts w:hint="eastAsia" w:ascii="宋体" w:hAnsi="宋体"/>
          <w:b/>
          <w:color w:val="auto"/>
          <w:highlight w:val="none"/>
          <w:lang w:eastAsia="zh-CN"/>
        </w:rPr>
        <w:t>）首期投资食堂装修和餐厨设施设备等费用</w:t>
      </w:r>
    </w:p>
    <w:p w14:paraId="6FC7FB0E">
      <w:pPr>
        <w:numPr>
          <w:ilvl w:val="0"/>
          <w:numId w:val="0"/>
        </w:numPr>
        <w:snapToGrid w:val="0"/>
        <w:spacing w:line="44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格式自拟。</w:t>
      </w:r>
    </w:p>
    <w:p w14:paraId="18FB6854">
      <w:pPr>
        <w:numPr>
          <w:ilvl w:val="-1"/>
          <w:numId w:val="0"/>
        </w:numPr>
        <w:snapToGrid w:val="0"/>
        <w:spacing w:line="440" w:lineRule="exact"/>
        <w:ind w:firstLine="562" w:firstLineChars="200"/>
        <w:rPr>
          <w:rFonts w:hint="eastAsia" w:ascii="宋体" w:hAnsi="宋体"/>
          <w:b/>
          <w:color w:val="auto"/>
          <w:highlight w:val="none"/>
        </w:rPr>
      </w:pPr>
    </w:p>
    <w:p w14:paraId="3D6F1397">
      <w:pPr>
        <w:numPr>
          <w:ilvl w:val="-1"/>
          <w:numId w:val="0"/>
        </w:numPr>
        <w:snapToGrid/>
        <w:spacing w:line="240" w:lineRule="auto"/>
        <w:ind w:firstLine="0" w:firstLineChars="0"/>
        <w:rPr>
          <w:rFonts w:hint="eastAsia" w:ascii="宋体" w:hAnsi="宋体"/>
          <w:b/>
          <w:color w:val="auto"/>
          <w:highlight w:val="none"/>
        </w:rPr>
      </w:pPr>
      <w:r>
        <w:rPr>
          <w:rFonts w:hint="eastAsia" w:ascii="宋体" w:hAnsi="宋体"/>
          <w:b/>
          <w:color w:val="auto"/>
          <w:highlight w:val="none"/>
        </w:rPr>
        <w:br w:type="page"/>
      </w:r>
    </w:p>
    <w:p w14:paraId="4C9867DC">
      <w:pPr>
        <w:numPr>
          <w:ilvl w:val="-1"/>
          <w:numId w:val="0"/>
        </w:numPr>
        <w:snapToGrid w:val="0"/>
        <w:spacing w:line="440" w:lineRule="exact"/>
        <w:ind w:firstLine="562" w:firstLineChars="200"/>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二</w:t>
      </w:r>
      <w:r>
        <w:rPr>
          <w:rFonts w:hint="eastAsia" w:ascii="宋体" w:hAnsi="宋体"/>
          <w:b/>
          <w:color w:val="auto"/>
          <w:highlight w:val="none"/>
        </w:rPr>
        <w:t>）经济与技术条款差异表（参考）</w:t>
      </w:r>
    </w:p>
    <w:p w14:paraId="101A4DA0">
      <w:pPr>
        <w:snapToGrid w:val="0"/>
        <w:spacing w:line="440" w:lineRule="exact"/>
        <w:ind w:firstLine="480" w:firstLineChars="200"/>
        <w:rPr>
          <w:rFonts w:ascii="宋体" w:hAnsi="宋体"/>
          <w:color w:val="auto"/>
          <w:sz w:val="24"/>
          <w:szCs w:val="24"/>
          <w:highlight w:val="none"/>
        </w:rPr>
      </w:pPr>
      <w:bookmarkStart w:id="246" w:name="_Toc186919442"/>
      <w:r>
        <w:rPr>
          <w:rFonts w:hint="eastAsia" w:ascii="宋体" w:hAnsi="宋体"/>
          <w:color w:val="auto"/>
          <w:sz w:val="24"/>
          <w:szCs w:val="24"/>
          <w:highlight w:val="none"/>
        </w:rPr>
        <w:t>项目名称：</w:t>
      </w:r>
      <w:bookmarkEnd w:id="246"/>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702"/>
        <w:gridCol w:w="2520"/>
        <w:gridCol w:w="1888"/>
      </w:tblGrid>
      <w:tr w14:paraId="2A3F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0" w:type="dxa"/>
            <w:vAlign w:val="center"/>
          </w:tcPr>
          <w:p w14:paraId="7AAC945D">
            <w:pPr>
              <w:snapToGrid w:val="0"/>
              <w:spacing w:line="440" w:lineRule="exact"/>
              <w:jc w:val="center"/>
              <w:rPr>
                <w:rFonts w:ascii="宋体" w:hAnsi="宋体"/>
                <w:color w:val="auto"/>
                <w:sz w:val="24"/>
                <w:szCs w:val="24"/>
                <w:highlight w:val="none"/>
              </w:rPr>
            </w:pPr>
            <w:bookmarkStart w:id="247" w:name="_Toc186919443"/>
            <w:r>
              <w:rPr>
                <w:rFonts w:hint="eastAsia" w:ascii="宋体" w:hAnsi="宋体"/>
                <w:color w:val="auto"/>
                <w:sz w:val="24"/>
                <w:szCs w:val="24"/>
                <w:highlight w:val="none"/>
              </w:rPr>
              <w:t>序号</w:t>
            </w:r>
            <w:bookmarkEnd w:id="247"/>
          </w:p>
        </w:tc>
        <w:tc>
          <w:tcPr>
            <w:tcW w:w="2702" w:type="dxa"/>
            <w:vAlign w:val="center"/>
          </w:tcPr>
          <w:p w14:paraId="0F480C0B">
            <w:pPr>
              <w:snapToGrid w:val="0"/>
              <w:spacing w:line="440" w:lineRule="exact"/>
              <w:jc w:val="center"/>
              <w:rPr>
                <w:rFonts w:ascii="宋体" w:hAnsi="宋体"/>
                <w:color w:val="auto"/>
                <w:sz w:val="24"/>
                <w:szCs w:val="24"/>
                <w:highlight w:val="none"/>
              </w:rPr>
            </w:pPr>
            <w:bookmarkStart w:id="248" w:name="_Toc186919444"/>
            <w:r>
              <w:rPr>
                <w:rFonts w:hint="eastAsia" w:ascii="宋体" w:hAnsi="宋体"/>
                <w:color w:val="auto"/>
                <w:sz w:val="24"/>
                <w:szCs w:val="24"/>
                <w:highlight w:val="none"/>
              </w:rPr>
              <w:t>招标要求</w:t>
            </w:r>
            <w:bookmarkEnd w:id="248"/>
          </w:p>
        </w:tc>
        <w:tc>
          <w:tcPr>
            <w:tcW w:w="2520" w:type="dxa"/>
            <w:vAlign w:val="center"/>
          </w:tcPr>
          <w:p w14:paraId="2CF1A4B5">
            <w:pPr>
              <w:snapToGrid w:val="0"/>
              <w:spacing w:line="440" w:lineRule="exact"/>
              <w:jc w:val="center"/>
              <w:rPr>
                <w:rFonts w:ascii="宋体" w:hAnsi="宋体"/>
                <w:color w:val="auto"/>
                <w:sz w:val="24"/>
                <w:szCs w:val="24"/>
                <w:highlight w:val="none"/>
              </w:rPr>
            </w:pPr>
            <w:bookmarkStart w:id="249" w:name="_Toc186919445"/>
            <w:r>
              <w:rPr>
                <w:rFonts w:hint="eastAsia" w:ascii="宋体" w:hAnsi="宋体"/>
                <w:color w:val="auto"/>
                <w:sz w:val="24"/>
                <w:szCs w:val="24"/>
                <w:highlight w:val="none"/>
              </w:rPr>
              <w:t>投标应答</w:t>
            </w:r>
            <w:bookmarkEnd w:id="249"/>
          </w:p>
        </w:tc>
        <w:tc>
          <w:tcPr>
            <w:tcW w:w="1888" w:type="dxa"/>
            <w:vAlign w:val="center"/>
          </w:tcPr>
          <w:p w14:paraId="40EF7A7C">
            <w:pPr>
              <w:snapToGrid w:val="0"/>
              <w:spacing w:line="440" w:lineRule="exact"/>
              <w:jc w:val="center"/>
              <w:rPr>
                <w:rFonts w:ascii="宋体" w:hAnsi="宋体"/>
                <w:color w:val="auto"/>
                <w:sz w:val="24"/>
                <w:szCs w:val="24"/>
                <w:highlight w:val="none"/>
              </w:rPr>
            </w:pPr>
            <w:bookmarkStart w:id="250" w:name="_Toc186919446"/>
            <w:r>
              <w:rPr>
                <w:rFonts w:hint="eastAsia" w:ascii="宋体" w:hAnsi="宋体"/>
                <w:color w:val="auto"/>
                <w:sz w:val="24"/>
                <w:szCs w:val="24"/>
                <w:highlight w:val="none"/>
              </w:rPr>
              <w:t>差异说明</w:t>
            </w:r>
            <w:bookmarkEnd w:id="250"/>
          </w:p>
        </w:tc>
      </w:tr>
      <w:tr w14:paraId="522B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64674F32">
            <w:pPr>
              <w:snapToGrid w:val="0"/>
              <w:spacing w:line="440" w:lineRule="exact"/>
              <w:ind w:left="2" w:leftChars="-8" w:hanging="24" w:hangingChars="10"/>
              <w:rPr>
                <w:rFonts w:ascii="宋体" w:hAnsi="宋体"/>
                <w:color w:val="auto"/>
                <w:sz w:val="24"/>
                <w:szCs w:val="24"/>
                <w:highlight w:val="none"/>
              </w:rPr>
            </w:pPr>
          </w:p>
        </w:tc>
        <w:tc>
          <w:tcPr>
            <w:tcW w:w="2702" w:type="dxa"/>
            <w:vAlign w:val="center"/>
          </w:tcPr>
          <w:p w14:paraId="6FC6A1D7">
            <w:pPr>
              <w:snapToGrid w:val="0"/>
              <w:spacing w:line="440" w:lineRule="exact"/>
              <w:ind w:firstLine="480" w:firstLineChars="200"/>
              <w:rPr>
                <w:rFonts w:ascii="宋体" w:hAnsi="宋体"/>
                <w:color w:val="auto"/>
                <w:sz w:val="24"/>
                <w:szCs w:val="24"/>
                <w:highlight w:val="none"/>
              </w:rPr>
            </w:pPr>
          </w:p>
        </w:tc>
        <w:tc>
          <w:tcPr>
            <w:tcW w:w="2520" w:type="dxa"/>
            <w:vAlign w:val="center"/>
          </w:tcPr>
          <w:p w14:paraId="4D40C850">
            <w:pPr>
              <w:snapToGrid w:val="0"/>
              <w:spacing w:line="440" w:lineRule="exact"/>
              <w:ind w:firstLine="480" w:firstLineChars="200"/>
              <w:rPr>
                <w:rFonts w:ascii="宋体" w:hAnsi="宋体"/>
                <w:color w:val="auto"/>
                <w:sz w:val="24"/>
                <w:szCs w:val="24"/>
                <w:highlight w:val="none"/>
              </w:rPr>
            </w:pPr>
          </w:p>
        </w:tc>
        <w:tc>
          <w:tcPr>
            <w:tcW w:w="1888" w:type="dxa"/>
            <w:vAlign w:val="center"/>
          </w:tcPr>
          <w:p w14:paraId="3793466D">
            <w:pPr>
              <w:snapToGrid w:val="0"/>
              <w:spacing w:line="440" w:lineRule="exact"/>
              <w:ind w:firstLine="480" w:firstLineChars="200"/>
              <w:rPr>
                <w:rFonts w:ascii="宋体" w:hAnsi="宋体"/>
                <w:color w:val="auto"/>
                <w:sz w:val="24"/>
                <w:szCs w:val="24"/>
                <w:highlight w:val="none"/>
              </w:rPr>
            </w:pPr>
          </w:p>
        </w:tc>
      </w:tr>
      <w:tr w14:paraId="775E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1B719A9D">
            <w:pPr>
              <w:snapToGrid w:val="0"/>
              <w:spacing w:line="440" w:lineRule="exact"/>
              <w:ind w:firstLine="480" w:firstLineChars="200"/>
              <w:rPr>
                <w:rFonts w:ascii="宋体" w:hAnsi="宋体"/>
                <w:color w:val="auto"/>
                <w:sz w:val="24"/>
                <w:szCs w:val="24"/>
                <w:highlight w:val="none"/>
              </w:rPr>
            </w:pPr>
          </w:p>
        </w:tc>
        <w:tc>
          <w:tcPr>
            <w:tcW w:w="2702" w:type="dxa"/>
            <w:vAlign w:val="center"/>
          </w:tcPr>
          <w:p w14:paraId="76014781">
            <w:pPr>
              <w:snapToGrid w:val="0"/>
              <w:spacing w:line="440" w:lineRule="exact"/>
              <w:ind w:firstLine="480" w:firstLineChars="200"/>
              <w:rPr>
                <w:rFonts w:ascii="宋体" w:hAnsi="宋体"/>
                <w:color w:val="auto"/>
                <w:sz w:val="24"/>
                <w:szCs w:val="24"/>
                <w:highlight w:val="none"/>
              </w:rPr>
            </w:pPr>
          </w:p>
        </w:tc>
        <w:tc>
          <w:tcPr>
            <w:tcW w:w="2520" w:type="dxa"/>
            <w:vAlign w:val="center"/>
          </w:tcPr>
          <w:p w14:paraId="37D2CA1B">
            <w:pPr>
              <w:snapToGrid w:val="0"/>
              <w:spacing w:line="440" w:lineRule="exact"/>
              <w:ind w:firstLine="480" w:firstLineChars="200"/>
              <w:rPr>
                <w:rFonts w:ascii="宋体" w:hAnsi="宋体"/>
                <w:color w:val="auto"/>
                <w:sz w:val="24"/>
                <w:szCs w:val="24"/>
                <w:highlight w:val="none"/>
              </w:rPr>
            </w:pPr>
          </w:p>
        </w:tc>
        <w:tc>
          <w:tcPr>
            <w:tcW w:w="1888" w:type="dxa"/>
            <w:vAlign w:val="center"/>
          </w:tcPr>
          <w:p w14:paraId="4240A4CA">
            <w:pPr>
              <w:snapToGrid w:val="0"/>
              <w:spacing w:line="440" w:lineRule="exact"/>
              <w:ind w:firstLine="480" w:firstLineChars="200"/>
              <w:rPr>
                <w:rFonts w:ascii="宋体" w:hAnsi="宋体"/>
                <w:color w:val="auto"/>
                <w:sz w:val="24"/>
                <w:szCs w:val="24"/>
                <w:highlight w:val="none"/>
              </w:rPr>
            </w:pPr>
          </w:p>
        </w:tc>
      </w:tr>
      <w:tr w14:paraId="3344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47E8221C">
            <w:pPr>
              <w:snapToGrid w:val="0"/>
              <w:spacing w:line="440" w:lineRule="exact"/>
              <w:ind w:firstLine="480" w:firstLineChars="200"/>
              <w:rPr>
                <w:rFonts w:ascii="宋体" w:hAnsi="宋体"/>
                <w:color w:val="auto"/>
                <w:sz w:val="24"/>
                <w:szCs w:val="24"/>
                <w:highlight w:val="none"/>
              </w:rPr>
            </w:pPr>
          </w:p>
        </w:tc>
        <w:tc>
          <w:tcPr>
            <w:tcW w:w="2702" w:type="dxa"/>
            <w:vAlign w:val="center"/>
          </w:tcPr>
          <w:p w14:paraId="34FAC9BE">
            <w:pPr>
              <w:snapToGrid w:val="0"/>
              <w:spacing w:line="440" w:lineRule="exact"/>
              <w:ind w:firstLine="480" w:firstLineChars="200"/>
              <w:rPr>
                <w:rFonts w:ascii="宋体" w:hAnsi="宋体"/>
                <w:color w:val="auto"/>
                <w:sz w:val="24"/>
                <w:szCs w:val="24"/>
                <w:highlight w:val="none"/>
              </w:rPr>
            </w:pPr>
          </w:p>
        </w:tc>
        <w:tc>
          <w:tcPr>
            <w:tcW w:w="2520" w:type="dxa"/>
            <w:vAlign w:val="center"/>
          </w:tcPr>
          <w:p w14:paraId="249238EE">
            <w:pPr>
              <w:snapToGrid w:val="0"/>
              <w:spacing w:line="440" w:lineRule="exact"/>
              <w:ind w:firstLine="480" w:firstLineChars="200"/>
              <w:rPr>
                <w:rFonts w:ascii="宋体" w:hAnsi="宋体"/>
                <w:color w:val="auto"/>
                <w:sz w:val="24"/>
                <w:szCs w:val="24"/>
                <w:highlight w:val="none"/>
              </w:rPr>
            </w:pPr>
          </w:p>
        </w:tc>
        <w:tc>
          <w:tcPr>
            <w:tcW w:w="1888" w:type="dxa"/>
            <w:vAlign w:val="center"/>
          </w:tcPr>
          <w:p w14:paraId="3801FDBB">
            <w:pPr>
              <w:snapToGrid w:val="0"/>
              <w:spacing w:line="440" w:lineRule="exact"/>
              <w:ind w:firstLine="480" w:firstLineChars="200"/>
              <w:rPr>
                <w:rFonts w:ascii="宋体" w:hAnsi="宋体"/>
                <w:color w:val="auto"/>
                <w:sz w:val="24"/>
                <w:szCs w:val="24"/>
                <w:highlight w:val="none"/>
              </w:rPr>
            </w:pPr>
          </w:p>
        </w:tc>
      </w:tr>
      <w:tr w14:paraId="6E06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785691D2">
            <w:pPr>
              <w:snapToGrid w:val="0"/>
              <w:spacing w:line="440" w:lineRule="exact"/>
              <w:ind w:firstLine="480" w:firstLineChars="200"/>
              <w:rPr>
                <w:rFonts w:ascii="宋体" w:hAnsi="宋体"/>
                <w:color w:val="auto"/>
                <w:sz w:val="24"/>
                <w:szCs w:val="24"/>
                <w:highlight w:val="none"/>
              </w:rPr>
            </w:pPr>
          </w:p>
        </w:tc>
        <w:tc>
          <w:tcPr>
            <w:tcW w:w="2702" w:type="dxa"/>
            <w:vAlign w:val="center"/>
          </w:tcPr>
          <w:p w14:paraId="63B31215">
            <w:pPr>
              <w:snapToGrid w:val="0"/>
              <w:spacing w:line="440" w:lineRule="exact"/>
              <w:ind w:firstLine="480" w:firstLineChars="200"/>
              <w:rPr>
                <w:rFonts w:ascii="宋体" w:hAnsi="宋体"/>
                <w:color w:val="auto"/>
                <w:sz w:val="24"/>
                <w:szCs w:val="24"/>
                <w:highlight w:val="none"/>
              </w:rPr>
            </w:pPr>
          </w:p>
        </w:tc>
        <w:tc>
          <w:tcPr>
            <w:tcW w:w="2520" w:type="dxa"/>
            <w:vAlign w:val="center"/>
          </w:tcPr>
          <w:p w14:paraId="74E81D29">
            <w:pPr>
              <w:snapToGrid w:val="0"/>
              <w:spacing w:line="440" w:lineRule="exact"/>
              <w:ind w:firstLine="480" w:firstLineChars="200"/>
              <w:rPr>
                <w:rFonts w:ascii="宋体" w:hAnsi="宋体"/>
                <w:color w:val="auto"/>
                <w:sz w:val="24"/>
                <w:szCs w:val="24"/>
                <w:highlight w:val="none"/>
              </w:rPr>
            </w:pPr>
          </w:p>
        </w:tc>
        <w:tc>
          <w:tcPr>
            <w:tcW w:w="1888" w:type="dxa"/>
            <w:vAlign w:val="center"/>
          </w:tcPr>
          <w:p w14:paraId="722013A8">
            <w:pPr>
              <w:snapToGrid w:val="0"/>
              <w:spacing w:line="440" w:lineRule="exact"/>
              <w:ind w:firstLine="480" w:firstLineChars="200"/>
              <w:rPr>
                <w:rFonts w:ascii="宋体" w:hAnsi="宋体"/>
                <w:color w:val="auto"/>
                <w:sz w:val="24"/>
                <w:szCs w:val="24"/>
                <w:highlight w:val="none"/>
              </w:rPr>
            </w:pPr>
          </w:p>
        </w:tc>
      </w:tr>
      <w:tr w14:paraId="51F0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515EB4EA">
            <w:pPr>
              <w:snapToGrid w:val="0"/>
              <w:spacing w:line="440" w:lineRule="exact"/>
              <w:ind w:firstLine="480" w:firstLineChars="200"/>
              <w:rPr>
                <w:rFonts w:ascii="宋体" w:hAnsi="宋体"/>
                <w:color w:val="auto"/>
                <w:sz w:val="24"/>
                <w:szCs w:val="24"/>
                <w:highlight w:val="none"/>
              </w:rPr>
            </w:pPr>
          </w:p>
        </w:tc>
        <w:tc>
          <w:tcPr>
            <w:tcW w:w="2702" w:type="dxa"/>
            <w:vAlign w:val="center"/>
          </w:tcPr>
          <w:p w14:paraId="1B1CD2A1">
            <w:pPr>
              <w:snapToGrid w:val="0"/>
              <w:spacing w:line="440" w:lineRule="exact"/>
              <w:ind w:firstLine="480" w:firstLineChars="200"/>
              <w:rPr>
                <w:rFonts w:ascii="宋体" w:hAnsi="宋体"/>
                <w:color w:val="auto"/>
                <w:sz w:val="24"/>
                <w:szCs w:val="24"/>
                <w:highlight w:val="none"/>
              </w:rPr>
            </w:pPr>
          </w:p>
        </w:tc>
        <w:tc>
          <w:tcPr>
            <w:tcW w:w="2520" w:type="dxa"/>
            <w:vAlign w:val="center"/>
          </w:tcPr>
          <w:p w14:paraId="40B638DD">
            <w:pPr>
              <w:snapToGrid w:val="0"/>
              <w:spacing w:line="440" w:lineRule="exact"/>
              <w:ind w:firstLine="480" w:firstLineChars="200"/>
              <w:rPr>
                <w:rFonts w:ascii="宋体" w:hAnsi="宋体"/>
                <w:color w:val="auto"/>
                <w:sz w:val="24"/>
                <w:szCs w:val="24"/>
                <w:highlight w:val="none"/>
              </w:rPr>
            </w:pPr>
          </w:p>
        </w:tc>
        <w:tc>
          <w:tcPr>
            <w:tcW w:w="1888" w:type="dxa"/>
            <w:vAlign w:val="center"/>
          </w:tcPr>
          <w:p w14:paraId="117C4362">
            <w:pPr>
              <w:snapToGrid w:val="0"/>
              <w:spacing w:line="440" w:lineRule="exact"/>
              <w:ind w:firstLine="480" w:firstLineChars="200"/>
              <w:rPr>
                <w:rFonts w:ascii="宋体" w:hAnsi="宋体"/>
                <w:color w:val="auto"/>
                <w:sz w:val="24"/>
                <w:szCs w:val="24"/>
                <w:highlight w:val="none"/>
              </w:rPr>
            </w:pPr>
          </w:p>
        </w:tc>
      </w:tr>
      <w:tr w14:paraId="0843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7BA21FD2">
            <w:pPr>
              <w:snapToGrid w:val="0"/>
              <w:spacing w:line="440" w:lineRule="exact"/>
              <w:ind w:firstLine="480" w:firstLineChars="200"/>
              <w:rPr>
                <w:rFonts w:ascii="宋体" w:hAnsi="宋体"/>
                <w:color w:val="auto"/>
                <w:sz w:val="24"/>
                <w:szCs w:val="24"/>
                <w:highlight w:val="none"/>
              </w:rPr>
            </w:pPr>
          </w:p>
        </w:tc>
        <w:tc>
          <w:tcPr>
            <w:tcW w:w="2702" w:type="dxa"/>
            <w:vAlign w:val="center"/>
          </w:tcPr>
          <w:p w14:paraId="56AE0B50">
            <w:pPr>
              <w:snapToGrid w:val="0"/>
              <w:spacing w:line="440" w:lineRule="exact"/>
              <w:ind w:firstLine="480" w:firstLineChars="200"/>
              <w:rPr>
                <w:rFonts w:ascii="宋体" w:hAnsi="宋体"/>
                <w:color w:val="auto"/>
                <w:sz w:val="24"/>
                <w:szCs w:val="24"/>
                <w:highlight w:val="none"/>
              </w:rPr>
            </w:pPr>
          </w:p>
        </w:tc>
        <w:tc>
          <w:tcPr>
            <w:tcW w:w="2520" w:type="dxa"/>
            <w:vAlign w:val="center"/>
          </w:tcPr>
          <w:p w14:paraId="1C1A8707">
            <w:pPr>
              <w:snapToGrid w:val="0"/>
              <w:spacing w:line="440" w:lineRule="exact"/>
              <w:ind w:firstLine="480" w:firstLineChars="200"/>
              <w:rPr>
                <w:rFonts w:ascii="宋体" w:hAnsi="宋体"/>
                <w:color w:val="auto"/>
                <w:sz w:val="24"/>
                <w:szCs w:val="24"/>
                <w:highlight w:val="none"/>
              </w:rPr>
            </w:pPr>
          </w:p>
        </w:tc>
        <w:tc>
          <w:tcPr>
            <w:tcW w:w="1888" w:type="dxa"/>
            <w:vAlign w:val="center"/>
          </w:tcPr>
          <w:p w14:paraId="751E6B39">
            <w:pPr>
              <w:snapToGrid w:val="0"/>
              <w:spacing w:line="440" w:lineRule="exact"/>
              <w:ind w:firstLine="480" w:firstLineChars="200"/>
              <w:rPr>
                <w:rFonts w:ascii="宋体" w:hAnsi="宋体"/>
                <w:color w:val="auto"/>
                <w:sz w:val="24"/>
                <w:szCs w:val="24"/>
                <w:highlight w:val="none"/>
              </w:rPr>
            </w:pPr>
          </w:p>
        </w:tc>
      </w:tr>
      <w:tr w14:paraId="4C21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7909BBE1">
            <w:pPr>
              <w:snapToGrid w:val="0"/>
              <w:spacing w:line="440" w:lineRule="exact"/>
              <w:ind w:firstLine="480" w:firstLineChars="200"/>
              <w:rPr>
                <w:rFonts w:ascii="宋体" w:hAnsi="宋体"/>
                <w:color w:val="auto"/>
                <w:sz w:val="24"/>
                <w:szCs w:val="24"/>
                <w:highlight w:val="none"/>
              </w:rPr>
            </w:pPr>
          </w:p>
        </w:tc>
        <w:tc>
          <w:tcPr>
            <w:tcW w:w="2702" w:type="dxa"/>
            <w:vAlign w:val="center"/>
          </w:tcPr>
          <w:p w14:paraId="2892E72C">
            <w:pPr>
              <w:snapToGrid w:val="0"/>
              <w:spacing w:line="440" w:lineRule="exact"/>
              <w:ind w:firstLine="480" w:firstLineChars="200"/>
              <w:rPr>
                <w:rFonts w:ascii="宋体" w:hAnsi="宋体"/>
                <w:color w:val="auto"/>
                <w:sz w:val="24"/>
                <w:szCs w:val="24"/>
                <w:highlight w:val="none"/>
              </w:rPr>
            </w:pPr>
          </w:p>
        </w:tc>
        <w:tc>
          <w:tcPr>
            <w:tcW w:w="2520" w:type="dxa"/>
            <w:vAlign w:val="center"/>
          </w:tcPr>
          <w:p w14:paraId="1BFA575A">
            <w:pPr>
              <w:snapToGrid w:val="0"/>
              <w:spacing w:line="440" w:lineRule="exact"/>
              <w:ind w:firstLine="480" w:firstLineChars="200"/>
              <w:rPr>
                <w:rFonts w:ascii="宋体" w:hAnsi="宋体"/>
                <w:color w:val="auto"/>
                <w:sz w:val="24"/>
                <w:szCs w:val="24"/>
                <w:highlight w:val="none"/>
              </w:rPr>
            </w:pPr>
          </w:p>
        </w:tc>
        <w:tc>
          <w:tcPr>
            <w:tcW w:w="1888" w:type="dxa"/>
            <w:vAlign w:val="center"/>
          </w:tcPr>
          <w:p w14:paraId="13D779F1">
            <w:pPr>
              <w:snapToGrid w:val="0"/>
              <w:spacing w:line="440" w:lineRule="exact"/>
              <w:ind w:firstLine="480" w:firstLineChars="200"/>
              <w:rPr>
                <w:rFonts w:ascii="宋体" w:hAnsi="宋体"/>
                <w:color w:val="auto"/>
                <w:sz w:val="24"/>
                <w:szCs w:val="24"/>
                <w:highlight w:val="none"/>
              </w:rPr>
            </w:pPr>
          </w:p>
        </w:tc>
      </w:tr>
      <w:tr w14:paraId="30AA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5DBBAB34">
            <w:pPr>
              <w:snapToGrid w:val="0"/>
              <w:spacing w:line="440" w:lineRule="exact"/>
              <w:ind w:firstLine="480" w:firstLineChars="200"/>
              <w:rPr>
                <w:rFonts w:ascii="宋体" w:hAnsi="宋体"/>
                <w:color w:val="auto"/>
                <w:sz w:val="24"/>
                <w:szCs w:val="24"/>
                <w:highlight w:val="none"/>
              </w:rPr>
            </w:pPr>
          </w:p>
        </w:tc>
        <w:tc>
          <w:tcPr>
            <w:tcW w:w="2702" w:type="dxa"/>
            <w:vAlign w:val="center"/>
          </w:tcPr>
          <w:p w14:paraId="0DEC551A">
            <w:pPr>
              <w:snapToGrid w:val="0"/>
              <w:spacing w:line="440" w:lineRule="exact"/>
              <w:ind w:firstLine="480" w:firstLineChars="200"/>
              <w:rPr>
                <w:rFonts w:ascii="宋体" w:hAnsi="宋体"/>
                <w:color w:val="auto"/>
                <w:sz w:val="24"/>
                <w:szCs w:val="24"/>
                <w:highlight w:val="none"/>
              </w:rPr>
            </w:pPr>
          </w:p>
        </w:tc>
        <w:tc>
          <w:tcPr>
            <w:tcW w:w="2520" w:type="dxa"/>
            <w:vAlign w:val="center"/>
          </w:tcPr>
          <w:p w14:paraId="1DF69865">
            <w:pPr>
              <w:snapToGrid w:val="0"/>
              <w:spacing w:line="440" w:lineRule="exact"/>
              <w:ind w:firstLine="480" w:firstLineChars="200"/>
              <w:rPr>
                <w:rFonts w:ascii="宋体" w:hAnsi="宋体"/>
                <w:color w:val="auto"/>
                <w:sz w:val="24"/>
                <w:szCs w:val="24"/>
                <w:highlight w:val="none"/>
              </w:rPr>
            </w:pPr>
          </w:p>
        </w:tc>
        <w:tc>
          <w:tcPr>
            <w:tcW w:w="1888" w:type="dxa"/>
            <w:vAlign w:val="center"/>
          </w:tcPr>
          <w:p w14:paraId="6B504284">
            <w:pPr>
              <w:snapToGrid w:val="0"/>
              <w:spacing w:line="440" w:lineRule="exact"/>
              <w:ind w:firstLine="480" w:firstLineChars="200"/>
              <w:rPr>
                <w:rFonts w:ascii="宋体" w:hAnsi="宋体"/>
                <w:color w:val="auto"/>
                <w:sz w:val="24"/>
                <w:szCs w:val="24"/>
                <w:highlight w:val="none"/>
              </w:rPr>
            </w:pPr>
          </w:p>
        </w:tc>
      </w:tr>
    </w:tbl>
    <w:p w14:paraId="7126A793">
      <w:pPr>
        <w:snapToGrid w:val="0"/>
        <w:spacing w:line="440" w:lineRule="exact"/>
        <w:ind w:firstLine="480" w:firstLineChars="200"/>
        <w:rPr>
          <w:rFonts w:ascii="宋体" w:hAnsi="宋体"/>
          <w:color w:val="auto"/>
          <w:sz w:val="24"/>
          <w:szCs w:val="24"/>
          <w:highlight w:val="none"/>
        </w:rPr>
      </w:pPr>
    </w:p>
    <w:p w14:paraId="218CEBAF">
      <w:pPr>
        <w:snapToGrid w:val="0"/>
        <w:spacing w:line="440" w:lineRule="exact"/>
        <w:ind w:firstLine="480" w:firstLineChars="200"/>
        <w:rPr>
          <w:rFonts w:ascii="宋体" w:hAnsi="宋体"/>
          <w:color w:val="auto"/>
          <w:sz w:val="24"/>
          <w:szCs w:val="24"/>
          <w:highlight w:val="none"/>
        </w:rPr>
      </w:pPr>
    </w:p>
    <w:p w14:paraId="1FD962E9">
      <w:pPr>
        <w:snapToGrid w:val="0"/>
        <w:spacing w:line="440" w:lineRule="exact"/>
        <w:ind w:firstLine="480" w:firstLineChars="200"/>
        <w:rPr>
          <w:rFonts w:ascii="宋体" w:hAnsi="宋体"/>
          <w:color w:val="auto"/>
          <w:sz w:val="24"/>
          <w:szCs w:val="24"/>
          <w:highlight w:val="none"/>
        </w:rPr>
      </w:pPr>
    </w:p>
    <w:p w14:paraId="1C724608">
      <w:pPr>
        <w:snapToGrid w:val="0"/>
        <w:spacing w:line="440" w:lineRule="exact"/>
        <w:ind w:firstLine="480" w:firstLineChars="200"/>
        <w:rPr>
          <w:rFonts w:ascii="宋体" w:hAnsi="宋体"/>
          <w:color w:val="auto"/>
          <w:sz w:val="24"/>
          <w:szCs w:val="24"/>
          <w:highlight w:val="none"/>
        </w:rPr>
      </w:pPr>
    </w:p>
    <w:p w14:paraId="63C13965">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　　　　                 　法定代表人授权代表：</w:t>
      </w:r>
    </w:p>
    <w:p w14:paraId="759A10CF">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（投标人公章）　　　　                 （签字）</w:t>
      </w:r>
    </w:p>
    <w:p w14:paraId="359476E9">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年  月  日                           年  月  日</w:t>
      </w:r>
    </w:p>
    <w:p w14:paraId="57AE9824">
      <w:pPr>
        <w:snapToGrid w:val="0"/>
        <w:spacing w:line="440" w:lineRule="exact"/>
        <w:ind w:firstLine="560" w:firstLineChars="200"/>
        <w:rPr>
          <w:rFonts w:ascii="宋体" w:hAnsi="宋体"/>
          <w:color w:val="auto"/>
          <w:highlight w:val="none"/>
        </w:rPr>
      </w:pPr>
    </w:p>
    <w:p w14:paraId="0643FF23">
      <w:pPr>
        <w:snapToGrid w:val="0"/>
        <w:spacing w:line="440" w:lineRule="exact"/>
        <w:ind w:firstLine="560" w:firstLineChars="200"/>
        <w:rPr>
          <w:rFonts w:ascii="宋体" w:hAnsi="宋体"/>
          <w:color w:val="auto"/>
          <w:highlight w:val="none"/>
        </w:rPr>
      </w:pPr>
    </w:p>
    <w:p w14:paraId="1242C6A8">
      <w:pPr>
        <w:snapToGrid w:val="0"/>
        <w:spacing w:line="440" w:lineRule="exact"/>
        <w:ind w:firstLine="560" w:firstLineChars="200"/>
        <w:rPr>
          <w:rFonts w:ascii="宋体" w:hAnsi="宋体"/>
          <w:color w:val="auto"/>
          <w:highlight w:val="none"/>
        </w:rPr>
      </w:pPr>
    </w:p>
    <w:p w14:paraId="126E50B2">
      <w:pPr>
        <w:snapToGrid w:val="0"/>
        <w:spacing w:line="440" w:lineRule="exact"/>
        <w:ind w:firstLine="560" w:firstLineChars="200"/>
        <w:rPr>
          <w:rFonts w:ascii="宋体" w:hAnsi="宋体"/>
          <w:color w:val="auto"/>
          <w:highlight w:val="none"/>
        </w:rPr>
      </w:pPr>
      <w:r>
        <w:rPr>
          <w:rFonts w:hint="eastAsia" w:ascii="宋体" w:hAnsi="宋体"/>
          <w:color w:val="auto"/>
          <w:highlight w:val="none"/>
        </w:rPr>
        <w:t>注：</w:t>
      </w:r>
    </w:p>
    <w:p w14:paraId="6BC65835">
      <w:pPr>
        <w:snapToGrid w:val="0"/>
        <w:spacing w:line="440" w:lineRule="exact"/>
        <w:ind w:firstLine="56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本表即为对本项目第二篇要求进行比较和响应；</w:t>
      </w:r>
    </w:p>
    <w:p w14:paraId="21D569E2">
      <w:pPr>
        <w:snapToGrid w:val="0"/>
        <w:spacing w:line="440" w:lineRule="exact"/>
        <w:ind w:firstLine="56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该表必须按照招标文件要求逐条如实填写，根据投标情况在“差异说明”项填写正偏离或负偏离及原因，完全符合的填写“无差异”；</w:t>
      </w:r>
    </w:p>
    <w:p w14:paraId="4A7F822C">
      <w:pPr>
        <w:snapToGrid w:val="0"/>
        <w:spacing w:line="440" w:lineRule="exact"/>
        <w:ind w:firstLine="56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该表可扩展；</w:t>
      </w:r>
    </w:p>
    <w:p w14:paraId="47A98F0C">
      <w:pPr>
        <w:snapToGrid w:val="0"/>
        <w:spacing w:line="440" w:lineRule="exact"/>
        <w:ind w:firstLine="56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可附相关技术支撑材料（格式自定）。</w:t>
      </w:r>
    </w:p>
    <w:p w14:paraId="6ECEB113">
      <w:pPr>
        <w:snapToGrid w:val="0"/>
        <w:spacing w:line="440" w:lineRule="exact"/>
        <w:ind w:firstLine="562" w:firstLineChars="200"/>
        <w:rPr>
          <w:rFonts w:ascii="宋体" w:hAnsi="宋体"/>
          <w:b/>
          <w:bCs/>
          <w:color w:val="auto"/>
          <w:highlight w:val="none"/>
        </w:rPr>
      </w:pPr>
    </w:p>
    <w:p w14:paraId="26E78713">
      <w:pPr>
        <w:snapToGrid w:val="0"/>
        <w:spacing w:line="440" w:lineRule="exact"/>
        <w:rPr>
          <w:rFonts w:ascii="宋体" w:hAnsi="宋体"/>
          <w:color w:val="auto"/>
          <w:highlight w:val="none"/>
        </w:rPr>
      </w:pPr>
    </w:p>
    <w:p w14:paraId="2423030D">
      <w:pPr>
        <w:pStyle w:val="4"/>
        <w:spacing w:before="0" w:after="0" w:line="360" w:lineRule="auto"/>
        <w:rPr>
          <w:rFonts w:ascii="方正仿宋_GBK" w:hAnsi="宋体" w:eastAsia="方正仿宋_GBK"/>
          <w:color w:val="auto"/>
          <w:sz w:val="24"/>
          <w:szCs w:val="24"/>
          <w:highlight w:val="none"/>
        </w:rPr>
      </w:pPr>
      <w:bookmarkStart w:id="251" w:name="_Toc7493"/>
      <w:bookmarkStart w:id="252" w:name="_Toc4591"/>
      <w:bookmarkStart w:id="253" w:name="_Toc24045"/>
      <w:bookmarkStart w:id="254" w:name="_Toc32564"/>
      <w:bookmarkStart w:id="255" w:name="_Toc42790110"/>
      <w:bookmarkStart w:id="256" w:name="_Toc31251"/>
      <w:bookmarkStart w:id="257" w:name="_Toc29735"/>
      <w:r>
        <w:rPr>
          <w:rFonts w:hint="eastAsia" w:ascii="方正仿宋_GBK" w:hAnsi="宋体" w:eastAsia="方正仿宋_GBK"/>
          <w:color w:val="auto"/>
          <w:sz w:val="24"/>
          <w:szCs w:val="24"/>
          <w:highlight w:val="none"/>
        </w:rPr>
        <w:t>五、</w:t>
      </w:r>
      <w:r>
        <w:rPr>
          <w:rFonts w:hint="eastAsia" w:ascii="方正仿宋_GBK" w:eastAsia="方正仿宋_GBK"/>
          <w:color w:val="auto"/>
          <w:sz w:val="24"/>
          <w:szCs w:val="24"/>
          <w:highlight w:val="none"/>
        </w:rPr>
        <w:t>其他</w:t>
      </w:r>
      <w:bookmarkEnd w:id="251"/>
      <w:bookmarkEnd w:id="252"/>
      <w:bookmarkEnd w:id="253"/>
      <w:bookmarkEnd w:id="254"/>
      <w:bookmarkEnd w:id="255"/>
      <w:bookmarkEnd w:id="256"/>
      <w:bookmarkEnd w:id="257"/>
    </w:p>
    <w:p w14:paraId="04DA5ACC">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rPr>
        <w:t>）其他与项目有关的资料</w:t>
      </w:r>
    </w:p>
    <w:p w14:paraId="3A1C0094">
      <w:pPr>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4309F936">
      <w:pPr>
        <w:spacing w:line="240" w:lineRule="auto"/>
        <w:ind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p>
    <w:p w14:paraId="4C15C80F">
      <w:pPr>
        <w:spacing w:line="360" w:lineRule="auto"/>
        <w:ind w:firstLine="480" w:firstLineChars="200"/>
        <w:rPr>
          <w:rFonts w:hint="eastAsia" w:ascii="方正仿宋_GBK" w:hAnsi="宋体" w:eastAsia="方正仿宋_GBK"/>
          <w:color w:val="auto"/>
          <w:sz w:val="24"/>
          <w:szCs w:val="24"/>
          <w:highlight w:val="none"/>
        </w:rPr>
      </w:pPr>
      <w:r>
        <w:rPr>
          <w:rFonts w:hint="eastAsia" w:ascii="仿宋" w:hAnsi="仿宋" w:eastAsia="仿宋" w:cs="仿宋"/>
          <w:b w:val="0"/>
          <w:bCs w:val="0"/>
          <w:color w:val="auto"/>
          <w:sz w:val="24"/>
          <w:szCs w:val="24"/>
          <w:highlight w:val="none"/>
        </w:rPr>
        <w:t>（二）同一供应商投标2个包的，须提供书面承诺函（承诺如果不止一个包成为排名第一的中标人，我方将按照包</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包</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的先后顺序保留一个包），且各包书面承诺函必须一致。供应商投标1个包的无须提供此书面承诺函。</w:t>
      </w:r>
    </w:p>
    <w:p w14:paraId="22557B8F">
      <w:pPr>
        <w:spacing w:line="360" w:lineRule="auto"/>
        <w:ind w:firstLine="480" w:firstLineChars="200"/>
        <w:rPr>
          <w:rFonts w:ascii="方正仿宋_GBK" w:hAnsi="宋体" w:eastAsia="方正仿宋_GBK"/>
          <w:color w:val="auto"/>
          <w:sz w:val="24"/>
          <w:szCs w:val="24"/>
          <w:highlight w:val="none"/>
        </w:rPr>
      </w:pPr>
    </w:p>
    <w:p w14:paraId="7EBB38CD">
      <w:pPr>
        <w:spacing w:line="360" w:lineRule="auto"/>
        <w:ind w:firstLine="480" w:firstLineChars="200"/>
        <w:jc w:val="center"/>
        <w:rPr>
          <w:rFonts w:ascii="方正仿宋_GBK" w:hAnsi="宋体" w:eastAsia="方正仿宋_GBK"/>
          <w:color w:val="auto"/>
          <w:sz w:val="24"/>
          <w:szCs w:val="24"/>
          <w:highlight w:val="none"/>
        </w:rPr>
      </w:pPr>
    </w:p>
    <w:p w14:paraId="7E2C962F">
      <w:pPr>
        <w:spacing w:line="360" w:lineRule="auto"/>
        <w:ind w:firstLine="480" w:firstLineChars="200"/>
        <w:jc w:val="center"/>
        <w:rPr>
          <w:rFonts w:ascii="方正仿宋_GBK" w:hAnsi="宋体" w:eastAsia="方正仿宋_GBK"/>
          <w:color w:val="auto"/>
          <w:sz w:val="24"/>
          <w:szCs w:val="24"/>
          <w:highlight w:val="none"/>
        </w:rPr>
      </w:pPr>
    </w:p>
    <w:p w14:paraId="6209A9C5">
      <w:pPr>
        <w:spacing w:line="360" w:lineRule="auto"/>
        <w:ind w:firstLine="480" w:firstLineChars="200"/>
        <w:jc w:val="center"/>
        <w:rPr>
          <w:rFonts w:ascii="方正仿宋_GBK" w:hAnsi="宋体" w:eastAsia="方正仿宋_GBK"/>
          <w:color w:val="auto"/>
          <w:sz w:val="24"/>
          <w:szCs w:val="24"/>
          <w:highlight w:val="none"/>
        </w:rPr>
      </w:pPr>
    </w:p>
    <w:p w14:paraId="5140D07F">
      <w:pPr>
        <w:spacing w:line="360" w:lineRule="auto"/>
        <w:ind w:firstLine="480" w:firstLineChars="200"/>
        <w:jc w:val="center"/>
        <w:rPr>
          <w:rFonts w:ascii="方正仿宋_GBK" w:hAnsi="宋体" w:eastAsia="方正仿宋_GBK"/>
          <w:color w:val="auto"/>
          <w:sz w:val="24"/>
          <w:szCs w:val="24"/>
          <w:highlight w:val="none"/>
        </w:rPr>
      </w:pPr>
    </w:p>
    <w:p w14:paraId="63679E7A">
      <w:pPr>
        <w:spacing w:line="360" w:lineRule="auto"/>
        <w:ind w:firstLine="480" w:firstLineChars="200"/>
        <w:jc w:val="center"/>
        <w:rPr>
          <w:rFonts w:ascii="方正仿宋_GBK" w:hAnsi="宋体" w:eastAsia="方正仿宋_GBK"/>
          <w:color w:val="auto"/>
          <w:sz w:val="24"/>
          <w:szCs w:val="24"/>
          <w:highlight w:val="none"/>
        </w:rPr>
      </w:pPr>
    </w:p>
    <w:p w14:paraId="4689DDE6">
      <w:pPr>
        <w:spacing w:line="360" w:lineRule="auto"/>
        <w:ind w:firstLine="480" w:firstLineChars="200"/>
        <w:jc w:val="center"/>
        <w:rPr>
          <w:rFonts w:ascii="方正仿宋_GBK" w:hAnsi="宋体" w:eastAsia="方正仿宋_GBK"/>
          <w:color w:val="auto"/>
          <w:sz w:val="24"/>
          <w:szCs w:val="24"/>
          <w:highlight w:val="none"/>
        </w:rPr>
      </w:pPr>
    </w:p>
    <w:p w14:paraId="1999710C">
      <w:pPr>
        <w:spacing w:line="360" w:lineRule="auto"/>
        <w:ind w:firstLine="480" w:firstLineChars="200"/>
        <w:jc w:val="center"/>
        <w:rPr>
          <w:rFonts w:ascii="方正仿宋_GBK" w:hAnsi="宋体" w:eastAsia="方正仿宋_GBK"/>
          <w:color w:val="auto"/>
          <w:sz w:val="24"/>
          <w:szCs w:val="24"/>
          <w:highlight w:val="none"/>
        </w:rPr>
      </w:pPr>
    </w:p>
    <w:p w14:paraId="3B7A7D3C">
      <w:pPr>
        <w:spacing w:line="360" w:lineRule="auto"/>
        <w:ind w:firstLine="480" w:firstLineChars="200"/>
        <w:jc w:val="center"/>
        <w:rPr>
          <w:rFonts w:ascii="方正仿宋_GBK" w:hAnsi="宋体" w:eastAsia="方正仿宋_GBK"/>
          <w:color w:val="auto"/>
          <w:sz w:val="24"/>
          <w:szCs w:val="24"/>
          <w:highlight w:val="none"/>
        </w:rPr>
      </w:pPr>
    </w:p>
    <w:p w14:paraId="3FFA9DB3">
      <w:pPr>
        <w:spacing w:line="360" w:lineRule="auto"/>
        <w:ind w:firstLine="480" w:firstLineChars="200"/>
        <w:jc w:val="center"/>
        <w:rPr>
          <w:rFonts w:ascii="方正仿宋_GBK" w:hAnsi="宋体" w:eastAsia="方正仿宋_GBK"/>
          <w:color w:val="auto"/>
          <w:sz w:val="24"/>
          <w:szCs w:val="24"/>
          <w:highlight w:val="none"/>
        </w:rPr>
      </w:pPr>
    </w:p>
    <w:p w14:paraId="36F276D4">
      <w:pPr>
        <w:spacing w:line="360" w:lineRule="auto"/>
        <w:ind w:firstLine="480" w:firstLineChars="200"/>
        <w:jc w:val="center"/>
        <w:rPr>
          <w:rFonts w:ascii="方正仿宋_GBK" w:hAnsi="宋体" w:eastAsia="方正仿宋_GBK"/>
          <w:color w:val="auto"/>
          <w:sz w:val="24"/>
          <w:szCs w:val="24"/>
          <w:highlight w:val="none"/>
        </w:rPr>
      </w:pPr>
    </w:p>
    <w:p w14:paraId="5B2184A8">
      <w:pPr>
        <w:spacing w:line="360" w:lineRule="auto"/>
        <w:ind w:firstLine="480" w:firstLineChars="200"/>
        <w:jc w:val="center"/>
        <w:rPr>
          <w:rFonts w:ascii="方正仿宋_GBK" w:hAnsi="宋体" w:eastAsia="方正仿宋_GBK"/>
          <w:color w:val="auto"/>
          <w:sz w:val="24"/>
          <w:szCs w:val="24"/>
          <w:highlight w:val="none"/>
        </w:rPr>
      </w:pPr>
    </w:p>
    <w:p w14:paraId="3ED250FA">
      <w:pPr>
        <w:spacing w:line="360" w:lineRule="auto"/>
        <w:ind w:firstLine="480" w:firstLineChars="200"/>
        <w:jc w:val="center"/>
        <w:rPr>
          <w:rFonts w:ascii="方正仿宋_GBK" w:hAnsi="宋体" w:eastAsia="方正仿宋_GBK"/>
          <w:color w:val="auto"/>
          <w:sz w:val="24"/>
          <w:szCs w:val="24"/>
          <w:highlight w:val="none"/>
        </w:rPr>
      </w:pPr>
    </w:p>
    <w:p w14:paraId="0C5489D6">
      <w:pPr>
        <w:spacing w:line="360" w:lineRule="auto"/>
        <w:ind w:firstLine="480" w:firstLineChars="200"/>
        <w:jc w:val="center"/>
        <w:rPr>
          <w:rFonts w:ascii="方正仿宋_GBK" w:hAnsi="宋体" w:eastAsia="方正仿宋_GBK"/>
          <w:color w:val="auto"/>
          <w:sz w:val="24"/>
          <w:szCs w:val="24"/>
          <w:highlight w:val="none"/>
        </w:rPr>
      </w:pPr>
    </w:p>
    <w:p w14:paraId="50BA1F94">
      <w:pPr>
        <w:spacing w:line="360" w:lineRule="auto"/>
        <w:ind w:firstLine="480" w:firstLineChars="200"/>
        <w:jc w:val="center"/>
        <w:rPr>
          <w:rFonts w:ascii="方正仿宋_GBK" w:hAnsi="宋体" w:eastAsia="方正仿宋_GBK"/>
          <w:color w:val="auto"/>
          <w:sz w:val="24"/>
          <w:szCs w:val="24"/>
          <w:highlight w:val="none"/>
        </w:rPr>
      </w:pPr>
    </w:p>
    <w:p w14:paraId="30A9499C">
      <w:pPr>
        <w:spacing w:line="360" w:lineRule="auto"/>
        <w:ind w:firstLine="480" w:firstLineChars="200"/>
        <w:jc w:val="center"/>
        <w:rPr>
          <w:rFonts w:ascii="方正仿宋_GBK" w:hAnsi="宋体" w:eastAsia="方正仿宋_GBK"/>
          <w:color w:val="auto"/>
          <w:sz w:val="24"/>
          <w:szCs w:val="24"/>
          <w:highlight w:val="none"/>
        </w:rPr>
      </w:pPr>
    </w:p>
    <w:p w14:paraId="61D84262">
      <w:pPr>
        <w:spacing w:line="360" w:lineRule="auto"/>
        <w:ind w:firstLine="480" w:firstLineChars="200"/>
        <w:jc w:val="center"/>
        <w:rPr>
          <w:rFonts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p w14:paraId="34BF5D04">
      <w:pPr>
        <w:pStyle w:val="3"/>
        <w:adjustRightInd w:val="0"/>
        <w:snapToGrid w:val="0"/>
        <w:spacing w:before="0" w:after="0" w:line="400" w:lineRule="exact"/>
        <w:ind w:firstLine="482" w:firstLineChars="200"/>
        <w:rPr>
          <w:rFonts w:ascii="宋体" w:hAnsi="宋体" w:eastAsia="宋体" w:cs="宋体"/>
          <w:color w:val="auto"/>
          <w:sz w:val="24"/>
          <w:highlight w:val="none"/>
        </w:rPr>
      </w:pPr>
    </w:p>
    <w:p w14:paraId="5A480B66">
      <w:pPr>
        <w:rPr>
          <w:rFonts w:ascii="宋体" w:hAnsi="宋体" w:cs="宋体"/>
          <w:color w:val="auto"/>
          <w:sz w:val="24"/>
          <w:highlight w:val="none"/>
        </w:rPr>
      </w:pPr>
    </w:p>
    <w:p w14:paraId="5ED75236">
      <w:pPr>
        <w:rPr>
          <w:rFonts w:ascii="宋体" w:hAnsi="宋体" w:cs="宋体"/>
          <w:color w:val="auto"/>
          <w:sz w:val="24"/>
          <w:highlight w:val="none"/>
        </w:rPr>
      </w:pPr>
    </w:p>
    <w:p w14:paraId="45B0FF4E">
      <w:pPr>
        <w:rPr>
          <w:rFonts w:ascii="宋体" w:hAnsi="宋体" w:cs="宋体"/>
          <w:color w:val="auto"/>
          <w:sz w:val="24"/>
          <w:highlight w:val="none"/>
        </w:rPr>
      </w:pPr>
    </w:p>
    <w:p w14:paraId="40E718DA">
      <w:pPr>
        <w:rPr>
          <w:rFonts w:ascii="宋体" w:hAnsi="宋体" w:cs="宋体"/>
          <w:color w:val="auto"/>
          <w:sz w:val="24"/>
          <w:highlight w:val="none"/>
        </w:rPr>
      </w:pPr>
    </w:p>
    <w:p w14:paraId="15AED4E0">
      <w:pPr>
        <w:rPr>
          <w:rFonts w:ascii="宋体" w:hAnsi="宋体" w:cs="宋体"/>
          <w:color w:val="auto"/>
          <w:sz w:val="24"/>
          <w:highlight w:val="none"/>
        </w:rPr>
      </w:pPr>
    </w:p>
    <w:p w14:paraId="20DB48EC">
      <w:pPr>
        <w:rPr>
          <w:rFonts w:ascii="宋体" w:hAnsi="宋体" w:cs="宋体"/>
          <w:color w:val="auto"/>
          <w:sz w:val="24"/>
          <w:highlight w:val="none"/>
        </w:rPr>
      </w:pPr>
    </w:p>
    <w:p w14:paraId="1B166C18">
      <w:pPr>
        <w:rPr>
          <w:rFonts w:ascii="宋体" w:hAnsi="宋体" w:cs="宋体"/>
          <w:color w:val="auto"/>
          <w:sz w:val="24"/>
          <w:highlight w:val="none"/>
        </w:rPr>
      </w:pPr>
    </w:p>
    <w:p w14:paraId="109D4051">
      <w:pPr>
        <w:rPr>
          <w:rFonts w:ascii="宋体" w:hAnsi="宋体" w:cs="宋体"/>
          <w:color w:val="auto"/>
          <w:sz w:val="24"/>
          <w:highlight w:val="none"/>
        </w:rPr>
      </w:pPr>
    </w:p>
    <w:p w14:paraId="17D5208E">
      <w:pPr>
        <w:rPr>
          <w:rFonts w:ascii="宋体" w:hAnsi="宋体" w:cs="宋体"/>
          <w:color w:val="auto"/>
          <w:sz w:val="24"/>
          <w:highlight w:val="none"/>
        </w:rPr>
      </w:pPr>
    </w:p>
    <w:bookmarkEnd w:id="230"/>
    <w:bookmarkEnd w:id="231"/>
    <w:p w14:paraId="3EC99A30">
      <w:pPr>
        <w:rPr>
          <w:rFonts w:ascii="宋体" w:hAnsi="宋体" w:cs="宋体"/>
          <w:color w:val="auto"/>
          <w:sz w:val="24"/>
          <w:highlight w:val="none"/>
        </w:rPr>
      </w:pPr>
    </w:p>
    <w:p w14:paraId="5334BE37">
      <w:pPr>
        <w:rPr>
          <w:rFonts w:ascii="宋体" w:hAnsi="宋体" w:cs="宋体"/>
          <w:color w:val="auto"/>
          <w:sz w:val="24"/>
          <w:highlight w:val="none"/>
        </w:rPr>
      </w:pPr>
    </w:p>
    <w:sectPr>
      <w:headerReference r:id="rId13" w:type="default"/>
      <w:footerReference r:id="rId14"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embedRegular r:id="rId1" w:fontKey="{1D02F606-36DA-4608-AF8F-C3AA4D51EF0C}"/>
  </w:font>
  <w:font w:name="仿宋">
    <w:panose1 w:val="02010609060101010101"/>
    <w:charset w:val="86"/>
    <w:family w:val="modern"/>
    <w:pitch w:val="default"/>
    <w:sig w:usb0="800002BF" w:usb1="38CF7CFA" w:usb2="00000016" w:usb3="00000000" w:csb0="00040001" w:csb1="00000000"/>
    <w:embedRegular r:id="rId2" w:fontKey="{8E60DECC-CAA6-440E-B6A9-D8074F017C67}"/>
  </w:font>
  <w:font w:name="Consolas">
    <w:panose1 w:val="020B0609020204030204"/>
    <w:charset w:val="00"/>
    <w:family w:val="auto"/>
    <w:pitch w:val="default"/>
    <w:sig w:usb0="E00006FF" w:usb1="0000FCFF" w:usb2="00000001" w:usb3="00000000" w:csb0="6000019F" w:csb1="DFD7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3" w:fontKey="{D4F8D5F6-73DB-45AC-909A-766799AC6DE8}"/>
  </w:font>
  <w:font w:name="方正仿宋_GBK">
    <w:panose1 w:val="02000000000000000000"/>
    <w:charset w:val="86"/>
    <w:family w:val="script"/>
    <w:pitch w:val="default"/>
    <w:sig w:usb0="A00002BF" w:usb1="38CF7CFA" w:usb2="00082016" w:usb3="00000000" w:csb0="00040001" w:csb1="00000000"/>
    <w:embedRegular r:id="rId4" w:fontKey="{7065368B-E1DF-408D-9B53-CB249EFD3761}"/>
  </w:font>
  <w:font w:name="方正公文小标宋">
    <w:panose1 w:val="02000500000000000000"/>
    <w:charset w:val="86"/>
    <w:family w:val="auto"/>
    <w:pitch w:val="default"/>
    <w:sig w:usb0="A00002BF" w:usb1="38CF7CFA" w:usb2="00000016" w:usb3="00000000" w:csb0="00040001" w:csb1="00000000"/>
    <w:embedRegular r:id="rId5" w:fontKey="{8D4294C8-FB5B-4385-AA69-F68238EDFF02}"/>
  </w:font>
  <w:font w:name="华文仿宋">
    <w:panose1 w:val="02010600040101010101"/>
    <w:charset w:val="86"/>
    <w:family w:val="auto"/>
    <w:pitch w:val="default"/>
    <w:sig w:usb0="00000287" w:usb1="080F0000" w:usb2="00000000" w:usb3="00000000" w:csb0="0004009F" w:csb1="DFD70000"/>
    <w:embedRegular r:id="rId6" w:fontKey="{8F149734-19C2-4C3E-B765-8F635D0902BC}"/>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3E5F">
    <w:pPr>
      <w:pStyle w:val="35"/>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1EC695F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6BB0">
    <w:pPr>
      <w:pStyle w:val="35"/>
      <w:framePr w:wrap="around" w:vAnchor="text" w:hAnchor="margin" w:xAlign="center" w:y="1"/>
      <w:rPr>
        <w:rStyle w:val="63"/>
      </w:rPr>
    </w:pPr>
    <w:r>
      <w:fldChar w:fldCharType="begin"/>
    </w:r>
    <w:r>
      <w:rPr>
        <w:rStyle w:val="63"/>
      </w:rPr>
      <w:instrText xml:space="preserve">PAGE  </w:instrText>
    </w:r>
    <w:r>
      <w:fldChar w:fldCharType="end"/>
    </w:r>
  </w:p>
  <w:p w14:paraId="376F383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70E6B">
    <w:pPr>
      <w:pStyle w:val="35"/>
      <w:framePr w:wrap="around" w:vAnchor="text" w:hAnchor="margin" w:xAlign="center" w:y="1"/>
      <w:rPr>
        <w:rStyle w:val="63"/>
      </w:rPr>
    </w:pPr>
  </w:p>
  <w:p w14:paraId="1BAFBFCC">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C9731">
    <w:pPr>
      <w:pStyle w:val="35"/>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- 7 -</w:t>
    </w:r>
    <w:r>
      <w:rPr>
        <w:rFonts w:ascii="宋体"/>
        <w:sz w:val="21"/>
        <w:szCs w:val="21"/>
      </w:rPr>
      <w:fldChar w:fldCharType="end"/>
    </w:r>
  </w:p>
  <w:p w14:paraId="322B8300">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613F">
    <w:pPr>
      <w:pStyle w:val="35"/>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- 81 -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0C66">
    <w:pPr>
      <w:pStyle w:val="35"/>
      <w:framePr w:wrap="around" w:vAnchor="text" w:hAnchor="margin" w:xAlign="center" w:y="1"/>
      <w:rPr>
        <w:rStyle w:val="63"/>
      </w:rPr>
    </w:pPr>
    <w:r>
      <w:fldChar w:fldCharType="begin"/>
    </w:r>
    <w:r>
      <w:rPr>
        <w:rStyle w:val="63"/>
      </w:rPr>
      <w:instrText xml:space="preserve">PAGE  </w:instrText>
    </w:r>
    <w:r>
      <w:fldChar w:fldCharType="end"/>
    </w:r>
  </w:p>
  <w:p w14:paraId="5A9D4096">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6284">
    <w:pPr>
      <w:pStyle w:val="35"/>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- 99 -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57582">
    <w:pPr>
      <w:pStyle w:val="3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133C">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4C70">
    <w:pPr>
      <w:pStyle w:val="3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EEA7">
    <w:pPr>
      <w:pStyle w:val="38"/>
      <w:jc w:val="both"/>
    </w:pPr>
    <w:r>
      <w:rPr>
        <w:rFonts w:hint="eastAsia" w:ascii="方正仿宋_GBK" w:eastAsia="方正仿宋_GBK"/>
        <w:sz w:val="21"/>
        <w:szCs w:val="21"/>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453">
    <w:pPr>
      <w:pStyle w:val="38"/>
      <w:ind w:firstLine="2100" w:firstLineChars="1000"/>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EA49"/>
    <w:multiLevelType w:val="singleLevel"/>
    <w:tmpl w:val="82A0EA49"/>
    <w:lvl w:ilvl="0" w:tentative="0">
      <w:start w:val="1"/>
      <w:numFmt w:val="decimalEnclosedCircleChinese"/>
      <w:suff w:val="nothing"/>
      <w:lvlText w:val="%1　"/>
      <w:lvlJc w:val="left"/>
      <w:pPr>
        <w:ind w:left="0" w:firstLine="400"/>
      </w:pPr>
      <w:rPr>
        <w:rFonts w:hint="eastAsia"/>
      </w:rPr>
    </w:lvl>
  </w:abstractNum>
  <w:abstractNum w:abstractNumId="1">
    <w:nsid w:val="8533ADED"/>
    <w:multiLevelType w:val="singleLevel"/>
    <w:tmpl w:val="8533ADED"/>
    <w:lvl w:ilvl="0" w:tentative="0">
      <w:start w:val="1"/>
      <w:numFmt w:val="decimal"/>
      <w:suff w:val="nothing"/>
      <w:lvlText w:val="(%1)"/>
      <w:lvlJc w:val="left"/>
      <w:pPr>
        <w:ind w:left="425" w:hanging="425"/>
      </w:pPr>
      <w:rPr>
        <w:rFonts w:hint="default"/>
      </w:rPr>
    </w:lvl>
  </w:abstractNum>
  <w:abstractNum w:abstractNumId="2">
    <w:nsid w:val="870C5D80"/>
    <w:multiLevelType w:val="singleLevel"/>
    <w:tmpl w:val="870C5D80"/>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
    <w:nsid w:val="87523113"/>
    <w:multiLevelType w:val="singleLevel"/>
    <w:tmpl w:val="87523113"/>
    <w:lvl w:ilvl="0" w:tentative="0">
      <w:start w:val="1"/>
      <w:numFmt w:val="decimal"/>
      <w:suff w:val="nothing"/>
      <w:lvlText w:val="(%1)"/>
      <w:lvlJc w:val="left"/>
      <w:pPr>
        <w:ind w:left="425" w:hanging="425"/>
      </w:pPr>
      <w:rPr>
        <w:rFonts w:hint="default"/>
      </w:rPr>
    </w:lvl>
  </w:abstractNum>
  <w:abstractNum w:abstractNumId="4">
    <w:nsid w:val="87ACF760"/>
    <w:multiLevelType w:val="singleLevel"/>
    <w:tmpl w:val="87ACF760"/>
    <w:lvl w:ilvl="0" w:tentative="0">
      <w:start w:val="1"/>
      <w:numFmt w:val="decimalEnclosedCircleChinese"/>
      <w:suff w:val="nothing"/>
      <w:lvlText w:val="%1　"/>
      <w:lvlJc w:val="left"/>
      <w:pPr>
        <w:ind w:left="0" w:firstLine="400"/>
      </w:pPr>
      <w:rPr>
        <w:rFonts w:hint="eastAsia"/>
      </w:rPr>
    </w:lvl>
  </w:abstractNum>
  <w:abstractNum w:abstractNumId="5">
    <w:nsid w:val="88542A4B"/>
    <w:multiLevelType w:val="singleLevel"/>
    <w:tmpl w:val="88542A4B"/>
    <w:lvl w:ilvl="0" w:tentative="0">
      <w:start w:val="1"/>
      <w:numFmt w:val="decimalEnclosedCircleChinese"/>
      <w:suff w:val="nothing"/>
      <w:lvlText w:val="%1　"/>
      <w:lvlJc w:val="left"/>
      <w:pPr>
        <w:ind w:left="0" w:firstLine="400"/>
      </w:pPr>
      <w:rPr>
        <w:rFonts w:hint="eastAsia"/>
      </w:rPr>
    </w:lvl>
  </w:abstractNum>
  <w:abstractNum w:abstractNumId="6">
    <w:nsid w:val="8ADB5C91"/>
    <w:multiLevelType w:val="singleLevel"/>
    <w:tmpl w:val="8ADB5C9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7">
    <w:nsid w:val="8F84673D"/>
    <w:multiLevelType w:val="singleLevel"/>
    <w:tmpl w:val="8F84673D"/>
    <w:lvl w:ilvl="0" w:tentative="0">
      <w:start w:val="1"/>
      <w:numFmt w:val="decimalEnclosedCircleChinese"/>
      <w:suff w:val="nothing"/>
      <w:lvlText w:val="%1　"/>
      <w:lvlJc w:val="left"/>
      <w:pPr>
        <w:ind w:left="0" w:firstLine="400"/>
      </w:pPr>
      <w:rPr>
        <w:rFonts w:hint="eastAsia"/>
      </w:rPr>
    </w:lvl>
  </w:abstractNum>
  <w:abstractNum w:abstractNumId="8">
    <w:nsid w:val="90C5E6C4"/>
    <w:multiLevelType w:val="singleLevel"/>
    <w:tmpl w:val="90C5E6C4"/>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9">
    <w:nsid w:val="93E6AADB"/>
    <w:multiLevelType w:val="singleLevel"/>
    <w:tmpl w:val="93E6AADB"/>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0">
    <w:nsid w:val="946B7AF9"/>
    <w:multiLevelType w:val="singleLevel"/>
    <w:tmpl w:val="946B7AF9"/>
    <w:lvl w:ilvl="0" w:tentative="0">
      <w:start w:val="1"/>
      <w:numFmt w:val="decimal"/>
      <w:suff w:val="nothing"/>
      <w:lvlText w:val="(%1)"/>
      <w:lvlJc w:val="left"/>
      <w:pPr>
        <w:ind w:left="425" w:hanging="425"/>
      </w:pPr>
      <w:rPr>
        <w:rFonts w:hint="default"/>
      </w:rPr>
    </w:lvl>
  </w:abstractNum>
  <w:abstractNum w:abstractNumId="11">
    <w:nsid w:val="97E5846A"/>
    <w:multiLevelType w:val="singleLevel"/>
    <w:tmpl w:val="97E5846A"/>
    <w:lvl w:ilvl="0" w:tentative="0">
      <w:start w:val="1"/>
      <w:numFmt w:val="decimalEnclosedCircleChinese"/>
      <w:suff w:val="nothing"/>
      <w:lvlText w:val="%1　"/>
      <w:lvlJc w:val="left"/>
      <w:pPr>
        <w:ind w:left="0" w:firstLine="400"/>
      </w:pPr>
      <w:rPr>
        <w:rFonts w:hint="eastAsia"/>
      </w:rPr>
    </w:lvl>
  </w:abstractNum>
  <w:abstractNum w:abstractNumId="12">
    <w:nsid w:val="9801C1C6"/>
    <w:multiLevelType w:val="singleLevel"/>
    <w:tmpl w:val="9801C1C6"/>
    <w:lvl w:ilvl="0" w:tentative="0">
      <w:start w:val="1"/>
      <w:numFmt w:val="decimal"/>
      <w:suff w:val="nothing"/>
      <w:lvlText w:val="(%1)"/>
      <w:lvlJc w:val="left"/>
    </w:lvl>
  </w:abstractNum>
  <w:abstractNum w:abstractNumId="13">
    <w:nsid w:val="98DE9427"/>
    <w:multiLevelType w:val="singleLevel"/>
    <w:tmpl w:val="98DE9427"/>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4">
    <w:nsid w:val="9A375024"/>
    <w:multiLevelType w:val="singleLevel"/>
    <w:tmpl w:val="9A375024"/>
    <w:lvl w:ilvl="0" w:tentative="0">
      <w:start w:val="1"/>
      <w:numFmt w:val="decimal"/>
      <w:suff w:val="nothing"/>
      <w:lvlText w:val="%1."/>
      <w:lvlJc w:val="left"/>
      <w:pPr>
        <w:ind w:left="425" w:hanging="425"/>
      </w:pPr>
      <w:rPr>
        <w:rFonts w:hint="default"/>
      </w:rPr>
    </w:lvl>
  </w:abstractNum>
  <w:abstractNum w:abstractNumId="15">
    <w:nsid w:val="9CD87B3B"/>
    <w:multiLevelType w:val="singleLevel"/>
    <w:tmpl w:val="9CD87B3B"/>
    <w:lvl w:ilvl="0" w:tentative="0">
      <w:start w:val="1"/>
      <w:numFmt w:val="decimal"/>
      <w:suff w:val="nothing"/>
      <w:lvlText w:val="%1."/>
      <w:lvlJc w:val="left"/>
      <w:pPr>
        <w:ind w:left="425" w:hanging="425"/>
      </w:pPr>
      <w:rPr>
        <w:rFonts w:hint="default"/>
      </w:rPr>
    </w:lvl>
  </w:abstractNum>
  <w:abstractNum w:abstractNumId="16">
    <w:nsid w:val="9D8C627B"/>
    <w:multiLevelType w:val="singleLevel"/>
    <w:tmpl w:val="9D8C627B"/>
    <w:lvl w:ilvl="0" w:tentative="0">
      <w:start w:val="1"/>
      <w:numFmt w:val="decimal"/>
      <w:suff w:val="nothing"/>
      <w:lvlText w:val="%1."/>
      <w:lvlJc w:val="left"/>
      <w:pPr>
        <w:ind w:left="425" w:hanging="425"/>
      </w:pPr>
      <w:rPr>
        <w:rFonts w:hint="default"/>
      </w:rPr>
    </w:lvl>
  </w:abstractNum>
  <w:abstractNum w:abstractNumId="17">
    <w:nsid w:val="A13491F3"/>
    <w:multiLevelType w:val="singleLevel"/>
    <w:tmpl w:val="A13491F3"/>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8">
    <w:nsid w:val="A1442270"/>
    <w:multiLevelType w:val="singleLevel"/>
    <w:tmpl w:val="A1442270"/>
    <w:lvl w:ilvl="0" w:tentative="0">
      <w:start w:val="1"/>
      <w:numFmt w:val="decimalEnclosedCircleChinese"/>
      <w:suff w:val="nothing"/>
      <w:lvlText w:val="%1　"/>
      <w:lvlJc w:val="left"/>
      <w:pPr>
        <w:ind w:left="0" w:firstLine="400"/>
      </w:pPr>
      <w:rPr>
        <w:rFonts w:hint="eastAsia" w:ascii="宋体" w:hAnsi="宋体" w:eastAsia="宋体" w:cs="宋体"/>
        <w:color w:val="auto"/>
        <w:sz w:val="24"/>
        <w:szCs w:val="24"/>
      </w:rPr>
    </w:lvl>
  </w:abstractNum>
  <w:abstractNum w:abstractNumId="19">
    <w:nsid w:val="A87CC35D"/>
    <w:multiLevelType w:val="singleLevel"/>
    <w:tmpl w:val="A87CC35D"/>
    <w:lvl w:ilvl="0" w:tentative="0">
      <w:start w:val="1"/>
      <w:numFmt w:val="decimalEnclosedCircleChinese"/>
      <w:suff w:val="nothing"/>
      <w:lvlText w:val="%1　"/>
      <w:lvlJc w:val="left"/>
      <w:pPr>
        <w:ind w:left="0" w:firstLine="400"/>
      </w:pPr>
      <w:rPr>
        <w:rFonts w:hint="eastAsia"/>
      </w:rPr>
    </w:lvl>
  </w:abstractNum>
  <w:abstractNum w:abstractNumId="20">
    <w:nsid w:val="A9A735A8"/>
    <w:multiLevelType w:val="singleLevel"/>
    <w:tmpl w:val="A9A735A8"/>
    <w:lvl w:ilvl="0" w:tentative="0">
      <w:start w:val="1"/>
      <w:numFmt w:val="decimal"/>
      <w:suff w:val="nothing"/>
      <w:lvlText w:val="%1."/>
      <w:lvlJc w:val="left"/>
      <w:pPr>
        <w:ind w:left="425" w:hanging="425"/>
      </w:pPr>
      <w:rPr>
        <w:rFonts w:hint="default"/>
      </w:rPr>
    </w:lvl>
  </w:abstractNum>
  <w:abstractNum w:abstractNumId="21">
    <w:nsid w:val="AB700886"/>
    <w:multiLevelType w:val="singleLevel"/>
    <w:tmpl w:val="AB70088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22">
    <w:nsid w:val="ABD54E74"/>
    <w:multiLevelType w:val="singleLevel"/>
    <w:tmpl w:val="ABD54E74"/>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23">
    <w:nsid w:val="AE043C5D"/>
    <w:multiLevelType w:val="singleLevel"/>
    <w:tmpl w:val="AE043C5D"/>
    <w:lvl w:ilvl="0" w:tentative="0">
      <w:start w:val="1"/>
      <w:numFmt w:val="decimalEnclosedCircleChinese"/>
      <w:suff w:val="nothing"/>
      <w:lvlText w:val="%1　"/>
      <w:lvlJc w:val="left"/>
      <w:pPr>
        <w:ind w:left="0" w:firstLine="400"/>
      </w:pPr>
      <w:rPr>
        <w:rFonts w:hint="eastAsia"/>
        <w:color w:val="auto"/>
      </w:rPr>
    </w:lvl>
  </w:abstractNum>
  <w:abstractNum w:abstractNumId="24">
    <w:nsid w:val="B2E42025"/>
    <w:multiLevelType w:val="singleLevel"/>
    <w:tmpl w:val="B2E42025"/>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25">
    <w:nsid w:val="B69CA7F1"/>
    <w:multiLevelType w:val="singleLevel"/>
    <w:tmpl w:val="B69CA7F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26">
    <w:nsid w:val="B93F1E2A"/>
    <w:multiLevelType w:val="singleLevel"/>
    <w:tmpl w:val="B93F1E2A"/>
    <w:lvl w:ilvl="0" w:tentative="0">
      <w:start w:val="1"/>
      <w:numFmt w:val="decimal"/>
      <w:suff w:val="nothing"/>
      <w:lvlText w:val="(%1)"/>
      <w:lvlJc w:val="left"/>
      <w:pPr>
        <w:ind w:left="425" w:hanging="425"/>
      </w:pPr>
      <w:rPr>
        <w:rFonts w:hint="default"/>
      </w:rPr>
    </w:lvl>
  </w:abstractNum>
  <w:abstractNum w:abstractNumId="27">
    <w:nsid w:val="BE06F0C6"/>
    <w:multiLevelType w:val="singleLevel"/>
    <w:tmpl w:val="BE06F0C6"/>
    <w:lvl w:ilvl="0" w:tentative="0">
      <w:start w:val="1"/>
      <w:numFmt w:val="decimalEnclosedCircleChinese"/>
      <w:suff w:val="nothing"/>
      <w:lvlText w:val="%1　"/>
      <w:lvlJc w:val="left"/>
      <w:pPr>
        <w:ind w:left="0" w:firstLine="400"/>
      </w:pPr>
      <w:rPr>
        <w:rFonts w:hint="eastAsia"/>
      </w:rPr>
    </w:lvl>
  </w:abstractNum>
  <w:abstractNum w:abstractNumId="28">
    <w:nsid w:val="C027B747"/>
    <w:multiLevelType w:val="singleLevel"/>
    <w:tmpl w:val="C027B747"/>
    <w:lvl w:ilvl="0" w:tentative="0">
      <w:start w:val="1"/>
      <w:numFmt w:val="chineseCounting"/>
      <w:suff w:val="nothing"/>
      <w:lvlText w:val="（%1）"/>
      <w:lvlJc w:val="left"/>
      <w:rPr>
        <w:rFonts w:hint="eastAsia"/>
      </w:rPr>
    </w:lvl>
  </w:abstractNum>
  <w:abstractNum w:abstractNumId="29">
    <w:nsid w:val="C36C44CF"/>
    <w:multiLevelType w:val="singleLevel"/>
    <w:tmpl w:val="C36C44CF"/>
    <w:lvl w:ilvl="0" w:tentative="0">
      <w:start w:val="1"/>
      <w:numFmt w:val="decimalEnclosedCircleChinese"/>
      <w:suff w:val="nothing"/>
      <w:lvlText w:val="%1　"/>
      <w:lvlJc w:val="left"/>
      <w:pPr>
        <w:ind w:left="0" w:firstLine="400"/>
      </w:pPr>
      <w:rPr>
        <w:rFonts w:hint="eastAsia"/>
      </w:rPr>
    </w:lvl>
  </w:abstractNum>
  <w:abstractNum w:abstractNumId="30">
    <w:nsid w:val="C7272B03"/>
    <w:multiLevelType w:val="singleLevel"/>
    <w:tmpl w:val="C7272B03"/>
    <w:lvl w:ilvl="0" w:tentative="0">
      <w:start w:val="1"/>
      <w:numFmt w:val="decimal"/>
      <w:suff w:val="nothing"/>
      <w:lvlText w:val="%1."/>
      <w:lvlJc w:val="left"/>
      <w:pPr>
        <w:ind w:left="425" w:hanging="425"/>
      </w:pPr>
      <w:rPr>
        <w:rFonts w:hint="default"/>
      </w:rPr>
    </w:lvl>
  </w:abstractNum>
  <w:abstractNum w:abstractNumId="31">
    <w:nsid w:val="C90A1D26"/>
    <w:multiLevelType w:val="singleLevel"/>
    <w:tmpl w:val="C90A1D2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2">
    <w:nsid w:val="CB0EE5F1"/>
    <w:multiLevelType w:val="singleLevel"/>
    <w:tmpl w:val="CB0EE5F1"/>
    <w:lvl w:ilvl="0" w:tentative="0">
      <w:start w:val="1"/>
      <w:numFmt w:val="decimalEnclosedCircleChinese"/>
      <w:suff w:val="nothing"/>
      <w:lvlText w:val="%1　"/>
      <w:lvlJc w:val="left"/>
      <w:pPr>
        <w:ind w:left="0" w:firstLine="400"/>
      </w:pPr>
      <w:rPr>
        <w:rFonts w:hint="eastAsia"/>
      </w:rPr>
    </w:lvl>
  </w:abstractNum>
  <w:abstractNum w:abstractNumId="33">
    <w:nsid w:val="CD725466"/>
    <w:multiLevelType w:val="singleLevel"/>
    <w:tmpl w:val="CD72546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4">
    <w:nsid w:val="CF43AEBC"/>
    <w:multiLevelType w:val="singleLevel"/>
    <w:tmpl w:val="CF43AEBC"/>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5">
    <w:nsid w:val="D1C700DA"/>
    <w:multiLevelType w:val="singleLevel"/>
    <w:tmpl w:val="D1C700DA"/>
    <w:lvl w:ilvl="0" w:tentative="0">
      <w:start w:val="1"/>
      <w:numFmt w:val="decimalEnclosedCircleChinese"/>
      <w:suff w:val="nothing"/>
      <w:lvlText w:val="%1　"/>
      <w:lvlJc w:val="left"/>
      <w:pPr>
        <w:ind w:left="0" w:firstLine="400"/>
      </w:pPr>
      <w:rPr>
        <w:rFonts w:hint="eastAsia"/>
      </w:rPr>
    </w:lvl>
  </w:abstractNum>
  <w:abstractNum w:abstractNumId="36">
    <w:nsid w:val="D1F99286"/>
    <w:multiLevelType w:val="singleLevel"/>
    <w:tmpl w:val="D1F99286"/>
    <w:lvl w:ilvl="0" w:tentative="0">
      <w:start w:val="1"/>
      <w:numFmt w:val="decimalEnclosedCircleChinese"/>
      <w:suff w:val="nothing"/>
      <w:lvlText w:val="%1　"/>
      <w:lvlJc w:val="left"/>
      <w:pPr>
        <w:ind w:left="0" w:firstLine="400"/>
      </w:pPr>
      <w:rPr>
        <w:rFonts w:hint="eastAsia"/>
      </w:rPr>
    </w:lvl>
  </w:abstractNum>
  <w:abstractNum w:abstractNumId="37">
    <w:nsid w:val="D3225836"/>
    <w:multiLevelType w:val="singleLevel"/>
    <w:tmpl w:val="D3225836"/>
    <w:lvl w:ilvl="0" w:tentative="0">
      <w:start w:val="1"/>
      <w:numFmt w:val="decimalEnclosedCircleChinese"/>
      <w:suff w:val="nothing"/>
      <w:lvlText w:val="%1　"/>
      <w:lvlJc w:val="left"/>
      <w:pPr>
        <w:ind w:left="0" w:firstLine="400"/>
      </w:pPr>
      <w:rPr>
        <w:rFonts w:hint="eastAsia"/>
      </w:rPr>
    </w:lvl>
  </w:abstractNum>
  <w:abstractNum w:abstractNumId="38">
    <w:nsid w:val="D5AD0F84"/>
    <w:multiLevelType w:val="singleLevel"/>
    <w:tmpl w:val="D5AD0F84"/>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9">
    <w:nsid w:val="D92DA71A"/>
    <w:multiLevelType w:val="singleLevel"/>
    <w:tmpl w:val="D92DA71A"/>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0">
    <w:nsid w:val="DB267180"/>
    <w:multiLevelType w:val="singleLevel"/>
    <w:tmpl w:val="DB267180"/>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41">
    <w:nsid w:val="DBB1B968"/>
    <w:multiLevelType w:val="singleLevel"/>
    <w:tmpl w:val="DBB1B968"/>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42">
    <w:nsid w:val="DBE5443F"/>
    <w:multiLevelType w:val="singleLevel"/>
    <w:tmpl w:val="DBE5443F"/>
    <w:lvl w:ilvl="0" w:tentative="0">
      <w:start w:val="1"/>
      <w:numFmt w:val="decimal"/>
      <w:suff w:val="nothing"/>
      <w:lvlText w:val="(%1)"/>
      <w:lvlJc w:val="left"/>
      <w:pPr>
        <w:ind w:left="425" w:hanging="425"/>
      </w:pPr>
      <w:rPr>
        <w:rFonts w:hint="default"/>
      </w:rPr>
    </w:lvl>
  </w:abstractNum>
  <w:abstractNum w:abstractNumId="43">
    <w:nsid w:val="DD7E0282"/>
    <w:multiLevelType w:val="singleLevel"/>
    <w:tmpl w:val="DD7E0282"/>
    <w:lvl w:ilvl="0" w:tentative="0">
      <w:start w:val="1"/>
      <w:numFmt w:val="decimalEnclosedCircleChinese"/>
      <w:suff w:val="nothing"/>
      <w:lvlText w:val="%1　"/>
      <w:lvlJc w:val="left"/>
      <w:pPr>
        <w:ind w:left="0" w:firstLine="400"/>
      </w:pPr>
      <w:rPr>
        <w:rFonts w:hint="eastAsia"/>
      </w:rPr>
    </w:lvl>
  </w:abstractNum>
  <w:abstractNum w:abstractNumId="44">
    <w:nsid w:val="E0585A55"/>
    <w:multiLevelType w:val="singleLevel"/>
    <w:tmpl w:val="E0585A55"/>
    <w:lvl w:ilvl="0" w:tentative="0">
      <w:start w:val="1"/>
      <w:numFmt w:val="decimalEnclosedCircleChinese"/>
      <w:suff w:val="nothing"/>
      <w:lvlText w:val="%1　"/>
      <w:lvlJc w:val="left"/>
      <w:pPr>
        <w:ind w:left="0" w:firstLine="400"/>
      </w:pPr>
      <w:rPr>
        <w:rFonts w:hint="eastAsia"/>
      </w:rPr>
    </w:lvl>
  </w:abstractNum>
  <w:abstractNum w:abstractNumId="45">
    <w:nsid w:val="E0CE1EE1"/>
    <w:multiLevelType w:val="singleLevel"/>
    <w:tmpl w:val="E0CE1EE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6">
    <w:nsid w:val="E3DF3516"/>
    <w:multiLevelType w:val="singleLevel"/>
    <w:tmpl w:val="E3DF3516"/>
    <w:lvl w:ilvl="0" w:tentative="0">
      <w:start w:val="1"/>
      <w:numFmt w:val="decimal"/>
      <w:suff w:val="nothing"/>
      <w:lvlText w:val="(%1)"/>
      <w:lvlJc w:val="left"/>
      <w:pPr>
        <w:ind w:left="425" w:hanging="425"/>
      </w:pPr>
      <w:rPr>
        <w:rFonts w:hint="default"/>
      </w:rPr>
    </w:lvl>
  </w:abstractNum>
  <w:abstractNum w:abstractNumId="47">
    <w:nsid w:val="E592129B"/>
    <w:multiLevelType w:val="singleLevel"/>
    <w:tmpl w:val="E592129B"/>
    <w:lvl w:ilvl="0" w:tentative="0">
      <w:start w:val="1"/>
      <w:numFmt w:val="decimalEnclosedCircleChinese"/>
      <w:suff w:val="nothing"/>
      <w:lvlText w:val="%1　"/>
      <w:lvlJc w:val="left"/>
      <w:pPr>
        <w:ind w:left="0" w:firstLine="400"/>
      </w:pPr>
      <w:rPr>
        <w:rFonts w:hint="eastAsia"/>
      </w:rPr>
    </w:lvl>
  </w:abstractNum>
  <w:abstractNum w:abstractNumId="48">
    <w:nsid w:val="E6314DEA"/>
    <w:multiLevelType w:val="singleLevel"/>
    <w:tmpl w:val="E6314DEA"/>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9">
    <w:nsid w:val="E792D5A1"/>
    <w:multiLevelType w:val="singleLevel"/>
    <w:tmpl w:val="E792D5A1"/>
    <w:lvl w:ilvl="0" w:tentative="0">
      <w:start w:val="1"/>
      <w:numFmt w:val="decimalEnclosedCircleChinese"/>
      <w:suff w:val="nothing"/>
      <w:lvlText w:val="%1　"/>
      <w:lvlJc w:val="left"/>
      <w:pPr>
        <w:ind w:left="0" w:firstLine="400"/>
      </w:pPr>
      <w:rPr>
        <w:rFonts w:hint="eastAsia"/>
      </w:rPr>
    </w:lvl>
  </w:abstractNum>
  <w:abstractNum w:abstractNumId="50">
    <w:nsid w:val="EA72B527"/>
    <w:multiLevelType w:val="singleLevel"/>
    <w:tmpl w:val="EA72B527"/>
    <w:lvl w:ilvl="0" w:tentative="0">
      <w:start w:val="1"/>
      <w:numFmt w:val="decimalEnclosedCircleChinese"/>
      <w:suff w:val="nothing"/>
      <w:lvlText w:val="%1　"/>
      <w:lvlJc w:val="left"/>
      <w:pPr>
        <w:ind w:left="0" w:firstLine="400"/>
      </w:pPr>
      <w:rPr>
        <w:rFonts w:hint="eastAsia"/>
      </w:rPr>
    </w:lvl>
  </w:abstractNum>
  <w:abstractNum w:abstractNumId="51">
    <w:nsid w:val="EEEABBF8"/>
    <w:multiLevelType w:val="singleLevel"/>
    <w:tmpl w:val="EEEABBF8"/>
    <w:lvl w:ilvl="0" w:tentative="0">
      <w:start w:val="1"/>
      <w:numFmt w:val="decimalEnclosedCircleChinese"/>
      <w:suff w:val="nothing"/>
      <w:lvlText w:val="%1　"/>
      <w:lvlJc w:val="left"/>
      <w:pPr>
        <w:ind w:left="0" w:firstLine="400"/>
      </w:pPr>
      <w:rPr>
        <w:rFonts w:hint="eastAsia"/>
      </w:rPr>
    </w:lvl>
  </w:abstractNum>
  <w:abstractNum w:abstractNumId="52">
    <w:nsid w:val="EF488E77"/>
    <w:multiLevelType w:val="singleLevel"/>
    <w:tmpl w:val="EF488E77"/>
    <w:lvl w:ilvl="0" w:tentative="0">
      <w:start w:val="1"/>
      <w:numFmt w:val="decimalEnclosedCircleChinese"/>
      <w:suff w:val="nothing"/>
      <w:lvlText w:val="%1　"/>
      <w:lvlJc w:val="left"/>
      <w:pPr>
        <w:ind w:left="0" w:firstLine="400"/>
      </w:pPr>
      <w:rPr>
        <w:rFonts w:hint="eastAsia"/>
      </w:rPr>
    </w:lvl>
  </w:abstractNum>
  <w:abstractNum w:abstractNumId="53">
    <w:nsid w:val="F0AC4D57"/>
    <w:multiLevelType w:val="singleLevel"/>
    <w:tmpl w:val="F0AC4D57"/>
    <w:lvl w:ilvl="0" w:tentative="0">
      <w:start w:val="1"/>
      <w:numFmt w:val="decimalEnclosedCircleChinese"/>
      <w:suff w:val="nothing"/>
      <w:lvlText w:val="%1　"/>
      <w:lvlJc w:val="left"/>
      <w:pPr>
        <w:ind w:left="0" w:firstLine="400"/>
      </w:pPr>
      <w:rPr>
        <w:rFonts w:hint="eastAsia"/>
      </w:rPr>
    </w:lvl>
  </w:abstractNum>
  <w:abstractNum w:abstractNumId="54">
    <w:nsid w:val="F44A5049"/>
    <w:multiLevelType w:val="singleLevel"/>
    <w:tmpl w:val="F44A5049"/>
    <w:lvl w:ilvl="0" w:tentative="0">
      <w:start w:val="1"/>
      <w:numFmt w:val="decimal"/>
      <w:suff w:val="nothing"/>
      <w:lvlText w:val="(%1)"/>
      <w:lvlJc w:val="left"/>
    </w:lvl>
  </w:abstractNum>
  <w:abstractNum w:abstractNumId="55">
    <w:nsid w:val="F63D95A8"/>
    <w:multiLevelType w:val="singleLevel"/>
    <w:tmpl w:val="F63D95A8"/>
    <w:lvl w:ilvl="0" w:tentative="0">
      <w:start w:val="1"/>
      <w:numFmt w:val="decimal"/>
      <w:suff w:val="nothing"/>
      <w:lvlText w:val="(%1)"/>
      <w:lvlJc w:val="left"/>
      <w:pPr>
        <w:ind w:left="425" w:hanging="425"/>
      </w:pPr>
      <w:rPr>
        <w:rFonts w:hint="default"/>
      </w:rPr>
    </w:lvl>
  </w:abstractNum>
  <w:abstractNum w:abstractNumId="56">
    <w:nsid w:val="F8E58469"/>
    <w:multiLevelType w:val="singleLevel"/>
    <w:tmpl w:val="F8E58469"/>
    <w:lvl w:ilvl="0" w:tentative="0">
      <w:start w:val="1"/>
      <w:numFmt w:val="decimal"/>
      <w:suff w:val="nothing"/>
      <w:lvlText w:val="%1."/>
      <w:lvlJc w:val="left"/>
      <w:pPr>
        <w:ind w:left="425" w:hanging="425"/>
      </w:pPr>
      <w:rPr>
        <w:rFonts w:hint="default"/>
      </w:rPr>
    </w:lvl>
  </w:abstractNum>
  <w:abstractNum w:abstractNumId="57">
    <w:nsid w:val="FB4E9596"/>
    <w:multiLevelType w:val="singleLevel"/>
    <w:tmpl w:val="FB4E959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58">
    <w:nsid w:val="FCCADA79"/>
    <w:multiLevelType w:val="singleLevel"/>
    <w:tmpl w:val="FCCADA79"/>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59">
    <w:nsid w:val="FE7F8058"/>
    <w:multiLevelType w:val="singleLevel"/>
    <w:tmpl w:val="FE7F8058"/>
    <w:lvl w:ilvl="0" w:tentative="0">
      <w:start w:val="1"/>
      <w:numFmt w:val="decimalEnclosedCircleChinese"/>
      <w:suff w:val="nothing"/>
      <w:lvlText w:val="%1　"/>
      <w:lvlJc w:val="left"/>
      <w:pPr>
        <w:ind w:left="0" w:firstLine="400"/>
      </w:pPr>
      <w:rPr>
        <w:rFonts w:hint="eastAsia"/>
      </w:rPr>
    </w:lvl>
  </w:abstractNum>
  <w:abstractNum w:abstractNumId="60">
    <w:nsid w:val="00000001"/>
    <w:multiLevelType w:val="singleLevel"/>
    <w:tmpl w:val="00000001"/>
    <w:lvl w:ilvl="0" w:tentative="0">
      <w:start w:val="1"/>
      <w:numFmt w:val="decimal"/>
      <w:pStyle w:val="157"/>
      <w:lvlText w:val="%1)"/>
      <w:lvlJc w:val="left"/>
      <w:pPr>
        <w:tabs>
          <w:tab w:val="left" w:pos="425"/>
        </w:tabs>
        <w:ind w:left="425" w:hanging="425"/>
      </w:pPr>
      <w:rPr>
        <w:rFonts w:hint="eastAsia"/>
      </w:rPr>
    </w:lvl>
  </w:abstractNum>
  <w:abstractNum w:abstractNumId="61">
    <w:nsid w:val="0000000D"/>
    <w:multiLevelType w:val="multilevel"/>
    <w:tmpl w:val="0000000D"/>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0000000E"/>
    <w:multiLevelType w:val="singleLevel"/>
    <w:tmpl w:val="0000000E"/>
    <w:lvl w:ilvl="0" w:tentative="0">
      <w:start w:val="1"/>
      <w:numFmt w:val="bullet"/>
      <w:pStyle w:val="229"/>
      <w:lvlText w:val=""/>
      <w:lvlJc w:val="left"/>
      <w:pPr>
        <w:tabs>
          <w:tab w:val="left" w:pos="360"/>
        </w:tabs>
        <w:ind w:left="360" w:hanging="360"/>
      </w:pPr>
      <w:rPr>
        <w:rFonts w:hint="default" w:ascii="Wingdings" w:hAnsi="Wingdings"/>
      </w:rPr>
    </w:lvl>
  </w:abstractNum>
  <w:abstractNum w:abstractNumId="63">
    <w:nsid w:val="00000011"/>
    <w:multiLevelType w:val="multilevel"/>
    <w:tmpl w:val="00000011"/>
    <w:lvl w:ilvl="0" w:tentative="0">
      <w:start w:val="1"/>
      <w:numFmt w:val="upperLetter"/>
      <w:pStyle w:val="2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4">
    <w:nsid w:val="00000012"/>
    <w:multiLevelType w:val="singleLevel"/>
    <w:tmpl w:val="00000012"/>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5">
    <w:nsid w:val="00000014"/>
    <w:multiLevelType w:val="multilevel"/>
    <w:tmpl w:val="00000014"/>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6">
    <w:nsid w:val="00000015"/>
    <w:multiLevelType w:val="singleLevel"/>
    <w:tmpl w:val="00000015"/>
    <w:lvl w:ilvl="0" w:tentative="0">
      <w:start w:val="1"/>
      <w:numFmt w:val="bullet"/>
      <w:pStyle w:val="184"/>
      <w:lvlText w:val=""/>
      <w:lvlJc w:val="left"/>
      <w:pPr>
        <w:tabs>
          <w:tab w:val="left" w:pos="1620"/>
        </w:tabs>
        <w:ind w:left="1620" w:hanging="360"/>
      </w:pPr>
      <w:rPr>
        <w:rFonts w:hint="default" w:ascii="Wingdings" w:hAnsi="Wingdings"/>
      </w:rPr>
    </w:lvl>
  </w:abstractNum>
  <w:abstractNum w:abstractNumId="67">
    <w:nsid w:val="00000016"/>
    <w:multiLevelType w:val="multilevel"/>
    <w:tmpl w:val="00000016"/>
    <w:lvl w:ilvl="0" w:tentative="0">
      <w:start w:val="1"/>
      <w:numFmt w:val="decimal"/>
      <w:pStyle w:val="12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00000017"/>
    <w:multiLevelType w:val="multilevel"/>
    <w:tmpl w:val="00000017"/>
    <w:lvl w:ilvl="0" w:tentative="0">
      <w:start w:val="1"/>
      <w:numFmt w:val="chineseCountingThousand"/>
      <w:pStyle w:val="16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00000019"/>
    <w:multiLevelType w:val="multilevel"/>
    <w:tmpl w:val="00000019"/>
    <w:lvl w:ilvl="0" w:tentative="0">
      <w:start w:val="1"/>
      <w:numFmt w:val="bullet"/>
      <w:pStyle w:val="23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0">
    <w:nsid w:val="0000001A"/>
    <w:multiLevelType w:val="singleLevel"/>
    <w:tmpl w:val="0000001A"/>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71">
    <w:nsid w:val="0000001D"/>
    <w:multiLevelType w:val="singleLevel"/>
    <w:tmpl w:val="0000001D"/>
    <w:lvl w:ilvl="0" w:tentative="0">
      <w:start w:val="1"/>
      <w:numFmt w:val="decimal"/>
      <w:pStyle w:val="13"/>
      <w:lvlText w:val="%1."/>
      <w:lvlJc w:val="left"/>
      <w:pPr>
        <w:tabs>
          <w:tab w:val="left" w:pos="425"/>
        </w:tabs>
        <w:ind w:left="425" w:hanging="425"/>
      </w:pPr>
      <w:rPr>
        <w:rFonts w:hint="default"/>
      </w:rPr>
    </w:lvl>
  </w:abstractNum>
  <w:abstractNum w:abstractNumId="72">
    <w:nsid w:val="0055CE2A"/>
    <w:multiLevelType w:val="singleLevel"/>
    <w:tmpl w:val="0055CE2A"/>
    <w:lvl w:ilvl="0" w:tentative="0">
      <w:start w:val="1"/>
      <w:numFmt w:val="decimal"/>
      <w:suff w:val="nothing"/>
      <w:lvlText w:val="(%1)"/>
      <w:lvlJc w:val="left"/>
    </w:lvl>
  </w:abstractNum>
  <w:abstractNum w:abstractNumId="73">
    <w:nsid w:val="00FA1999"/>
    <w:multiLevelType w:val="singleLevel"/>
    <w:tmpl w:val="00FA1999"/>
    <w:lvl w:ilvl="0" w:tentative="0">
      <w:start w:val="1"/>
      <w:numFmt w:val="decimalEnclosedCircleChinese"/>
      <w:suff w:val="nothing"/>
      <w:lvlText w:val="%1　"/>
      <w:lvlJc w:val="left"/>
      <w:pPr>
        <w:ind w:left="0" w:firstLine="400"/>
      </w:pPr>
      <w:rPr>
        <w:rFonts w:hint="eastAsia"/>
      </w:rPr>
    </w:lvl>
  </w:abstractNum>
  <w:abstractNum w:abstractNumId="74">
    <w:nsid w:val="0214BFF5"/>
    <w:multiLevelType w:val="singleLevel"/>
    <w:tmpl w:val="0214BFF5"/>
    <w:lvl w:ilvl="0" w:tentative="0">
      <w:start w:val="1"/>
      <w:numFmt w:val="decimalEnclosedCircleChinese"/>
      <w:suff w:val="nothing"/>
      <w:lvlText w:val="%1　"/>
      <w:lvlJc w:val="left"/>
      <w:pPr>
        <w:ind w:left="0" w:firstLine="400"/>
      </w:pPr>
      <w:rPr>
        <w:rFonts w:hint="eastAsia"/>
      </w:rPr>
    </w:lvl>
  </w:abstractNum>
  <w:abstractNum w:abstractNumId="75">
    <w:nsid w:val="02575DEF"/>
    <w:multiLevelType w:val="singleLevel"/>
    <w:tmpl w:val="02575DEF"/>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76">
    <w:nsid w:val="05134F35"/>
    <w:multiLevelType w:val="singleLevel"/>
    <w:tmpl w:val="05134F35"/>
    <w:lvl w:ilvl="0" w:tentative="0">
      <w:start w:val="1"/>
      <w:numFmt w:val="decimal"/>
      <w:suff w:val="nothing"/>
      <w:lvlText w:val="%1."/>
      <w:lvlJc w:val="left"/>
      <w:pPr>
        <w:ind w:left="425" w:hanging="425"/>
      </w:pPr>
      <w:rPr>
        <w:rFonts w:hint="default"/>
      </w:rPr>
    </w:lvl>
  </w:abstractNum>
  <w:abstractNum w:abstractNumId="77">
    <w:nsid w:val="068B260F"/>
    <w:multiLevelType w:val="singleLevel"/>
    <w:tmpl w:val="068B260F"/>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78">
    <w:nsid w:val="07C25DBD"/>
    <w:multiLevelType w:val="singleLevel"/>
    <w:tmpl w:val="07C25DBD"/>
    <w:lvl w:ilvl="0" w:tentative="0">
      <w:start w:val="1"/>
      <w:numFmt w:val="decimal"/>
      <w:suff w:val="nothing"/>
      <w:lvlText w:val="%1."/>
      <w:lvlJc w:val="left"/>
      <w:pPr>
        <w:ind w:left="425" w:hanging="425"/>
      </w:pPr>
      <w:rPr>
        <w:rFonts w:hint="default"/>
      </w:rPr>
    </w:lvl>
  </w:abstractNum>
  <w:abstractNum w:abstractNumId="79">
    <w:nsid w:val="089A0D0A"/>
    <w:multiLevelType w:val="singleLevel"/>
    <w:tmpl w:val="089A0D0A"/>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80">
    <w:nsid w:val="08A2CC4F"/>
    <w:multiLevelType w:val="singleLevel"/>
    <w:tmpl w:val="08A2CC4F"/>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81">
    <w:nsid w:val="08B0726A"/>
    <w:multiLevelType w:val="singleLevel"/>
    <w:tmpl w:val="08B0726A"/>
    <w:lvl w:ilvl="0" w:tentative="0">
      <w:start w:val="1"/>
      <w:numFmt w:val="decimalEnclosedCircleChinese"/>
      <w:suff w:val="nothing"/>
      <w:lvlText w:val="%1　"/>
      <w:lvlJc w:val="left"/>
      <w:pPr>
        <w:ind w:left="0" w:firstLine="400"/>
      </w:pPr>
      <w:rPr>
        <w:rFonts w:hint="eastAsia"/>
      </w:rPr>
    </w:lvl>
  </w:abstractNum>
  <w:abstractNum w:abstractNumId="82">
    <w:nsid w:val="0AC73033"/>
    <w:multiLevelType w:val="singleLevel"/>
    <w:tmpl w:val="0AC73033"/>
    <w:lvl w:ilvl="0" w:tentative="0">
      <w:start w:val="1"/>
      <w:numFmt w:val="decimalEnclosedCircleChinese"/>
      <w:suff w:val="nothing"/>
      <w:lvlText w:val="%1　"/>
      <w:lvlJc w:val="left"/>
      <w:pPr>
        <w:ind w:left="0" w:firstLine="400"/>
      </w:pPr>
      <w:rPr>
        <w:rFonts w:hint="eastAsia"/>
      </w:rPr>
    </w:lvl>
  </w:abstractNum>
  <w:abstractNum w:abstractNumId="83">
    <w:nsid w:val="0C905AD2"/>
    <w:multiLevelType w:val="singleLevel"/>
    <w:tmpl w:val="0C905AD2"/>
    <w:lvl w:ilvl="0" w:tentative="0">
      <w:start w:val="1"/>
      <w:numFmt w:val="decimalEnclosedCircleChinese"/>
      <w:suff w:val="nothing"/>
      <w:lvlText w:val="%1　"/>
      <w:lvlJc w:val="left"/>
      <w:pPr>
        <w:ind w:left="0" w:firstLine="400"/>
      </w:pPr>
      <w:rPr>
        <w:rFonts w:hint="eastAsia"/>
      </w:rPr>
    </w:lvl>
  </w:abstractNum>
  <w:abstractNum w:abstractNumId="84">
    <w:nsid w:val="0D956663"/>
    <w:multiLevelType w:val="singleLevel"/>
    <w:tmpl w:val="0D956663"/>
    <w:lvl w:ilvl="0" w:tentative="0">
      <w:start w:val="1"/>
      <w:numFmt w:val="decimalEnclosedCircleChinese"/>
      <w:suff w:val="nothing"/>
      <w:lvlText w:val="%1　"/>
      <w:lvlJc w:val="left"/>
      <w:pPr>
        <w:ind w:left="0" w:firstLine="400"/>
      </w:pPr>
      <w:rPr>
        <w:rFonts w:hint="eastAsia"/>
      </w:rPr>
    </w:lvl>
  </w:abstractNum>
  <w:abstractNum w:abstractNumId="85">
    <w:nsid w:val="0F68D7C8"/>
    <w:multiLevelType w:val="singleLevel"/>
    <w:tmpl w:val="0F68D7C8"/>
    <w:lvl w:ilvl="0" w:tentative="0">
      <w:start w:val="1"/>
      <w:numFmt w:val="decimal"/>
      <w:lvlText w:val="(%1)"/>
      <w:lvlJc w:val="left"/>
      <w:pPr>
        <w:ind w:left="425" w:hanging="425"/>
      </w:pPr>
      <w:rPr>
        <w:rFonts w:hint="default"/>
      </w:rPr>
    </w:lvl>
  </w:abstractNum>
  <w:abstractNum w:abstractNumId="86">
    <w:nsid w:val="0F6CA442"/>
    <w:multiLevelType w:val="singleLevel"/>
    <w:tmpl w:val="0F6CA442"/>
    <w:lvl w:ilvl="0" w:tentative="0">
      <w:start w:val="1"/>
      <w:numFmt w:val="decimalEnclosedCircleChinese"/>
      <w:suff w:val="nothing"/>
      <w:lvlText w:val="%1　"/>
      <w:lvlJc w:val="left"/>
      <w:pPr>
        <w:ind w:left="0" w:firstLine="400"/>
      </w:pPr>
      <w:rPr>
        <w:rFonts w:hint="eastAsia"/>
      </w:rPr>
    </w:lvl>
  </w:abstractNum>
  <w:abstractNum w:abstractNumId="87">
    <w:nsid w:val="1030A150"/>
    <w:multiLevelType w:val="singleLevel"/>
    <w:tmpl w:val="1030A150"/>
    <w:lvl w:ilvl="0" w:tentative="0">
      <w:start w:val="1"/>
      <w:numFmt w:val="decimal"/>
      <w:suff w:val="nothing"/>
      <w:lvlText w:val="%1."/>
      <w:lvlJc w:val="left"/>
      <w:pPr>
        <w:ind w:left="425" w:hanging="425"/>
      </w:pPr>
      <w:rPr>
        <w:rFonts w:hint="default"/>
      </w:rPr>
    </w:lvl>
  </w:abstractNum>
  <w:abstractNum w:abstractNumId="88">
    <w:nsid w:val="131D7FBB"/>
    <w:multiLevelType w:val="singleLevel"/>
    <w:tmpl w:val="131D7FBB"/>
    <w:lvl w:ilvl="0" w:tentative="0">
      <w:start w:val="1"/>
      <w:numFmt w:val="decimal"/>
      <w:suff w:val="nothing"/>
      <w:lvlText w:val="(%1)"/>
      <w:lvlJc w:val="left"/>
      <w:pPr>
        <w:ind w:left="425" w:hanging="425"/>
      </w:pPr>
      <w:rPr>
        <w:rFonts w:hint="default"/>
      </w:rPr>
    </w:lvl>
  </w:abstractNum>
  <w:abstractNum w:abstractNumId="89">
    <w:nsid w:val="1494F038"/>
    <w:multiLevelType w:val="singleLevel"/>
    <w:tmpl w:val="1494F038"/>
    <w:lvl w:ilvl="0" w:tentative="0">
      <w:start w:val="1"/>
      <w:numFmt w:val="decimalEnclosedCircleChinese"/>
      <w:suff w:val="nothing"/>
      <w:lvlText w:val="%1　"/>
      <w:lvlJc w:val="left"/>
      <w:pPr>
        <w:ind w:left="0" w:firstLine="400"/>
      </w:pPr>
      <w:rPr>
        <w:rFonts w:hint="eastAsia"/>
      </w:rPr>
    </w:lvl>
  </w:abstractNum>
  <w:abstractNum w:abstractNumId="90">
    <w:nsid w:val="14A1EEF3"/>
    <w:multiLevelType w:val="singleLevel"/>
    <w:tmpl w:val="14A1EEF3"/>
    <w:lvl w:ilvl="0" w:tentative="0">
      <w:start w:val="1"/>
      <w:numFmt w:val="decimal"/>
      <w:suff w:val="nothing"/>
      <w:lvlText w:val="(%1)"/>
      <w:lvlJc w:val="left"/>
      <w:pPr>
        <w:ind w:left="425" w:hanging="425"/>
      </w:pPr>
      <w:rPr>
        <w:rFonts w:hint="default"/>
      </w:rPr>
    </w:lvl>
  </w:abstractNum>
  <w:abstractNum w:abstractNumId="91">
    <w:nsid w:val="17B1FD00"/>
    <w:multiLevelType w:val="singleLevel"/>
    <w:tmpl w:val="17B1FD00"/>
    <w:lvl w:ilvl="0" w:tentative="0">
      <w:start w:val="1"/>
      <w:numFmt w:val="decimalEnclosedCircleChinese"/>
      <w:suff w:val="nothing"/>
      <w:lvlText w:val="%1　"/>
      <w:lvlJc w:val="left"/>
      <w:pPr>
        <w:ind w:left="0" w:firstLine="400"/>
      </w:pPr>
      <w:rPr>
        <w:rFonts w:hint="eastAsia"/>
      </w:rPr>
    </w:lvl>
  </w:abstractNum>
  <w:abstractNum w:abstractNumId="92">
    <w:nsid w:val="2263E63F"/>
    <w:multiLevelType w:val="singleLevel"/>
    <w:tmpl w:val="2263E63F"/>
    <w:lvl w:ilvl="0" w:tentative="0">
      <w:start w:val="1"/>
      <w:numFmt w:val="decimalEnclosedCircleChinese"/>
      <w:suff w:val="nothing"/>
      <w:lvlText w:val="%1　"/>
      <w:lvlJc w:val="left"/>
      <w:pPr>
        <w:ind w:left="0" w:firstLine="400"/>
      </w:pPr>
      <w:rPr>
        <w:rFonts w:hint="eastAsia"/>
      </w:rPr>
    </w:lvl>
  </w:abstractNum>
  <w:abstractNum w:abstractNumId="93">
    <w:nsid w:val="24316FCC"/>
    <w:multiLevelType w:val="singleLevel"/>
    <w:tmpl w:val="24316FCC"/>
    <w:lvl w:ilvl="0" w:tentative="0">
      <w:start w:val="1"/>
      <w:numFmt w:val="decimalEnclosedCircleChinese"/>
      <w:suff w:val="nothing"/>
      <w:lvlText w:val="%1　"/>
      <w:lvlJc w:val="left"/>
      <w:pPr>
        <w:ind w:left="0" w:firstLine="400"/>
      </w:pPr>
      <w:rPr>
        <w:rFonts w:hint="eastAsia"/>
      </w:rPr>
    </w:lvl>
  </w:abstractNum>
  <w:abstractNum w:abstractNumId="94">
    <w:nsid w:val="2795E9D0"/>
    <w:multiLevelType w:val="singleLevel"/>
    <w:tmpl w:val="2795E9D0"/>
    <w:lvl w:ilvl="0" w:tentative="0">
      <w:start w:val="1"/>
      <w:numFmt w:val="decimalEnclosedCircleChinese"/>
      <w:suff w:val="nothing"/>
      <w:lvlText w:val="%1　"/>
      <w:lvlJc w:val="left"/>
      <w:pPr>
        <w:ind w:left="0" w:firstLine="400"/>
      </w:pPr>
      <w:rPr>
        <w:rFonts w:hint="eastAsia"/>
      </w:rPr>
    </w:lvl>
  </w:abstractNum>
  <w:abstractNum w:abstractNumId="95">
    <w:nsid w:val="27B5B607"/>
    <w:multiLevelType w:val="singleLevel"/>
    <w:tmpl w:val="27B5B607"/>
    <w:lvl w:ilvl="0" w:tentative="0">
      <w:start w:val="1"/>
      <w:numFmt w:val="decimal"/>
      <w:suff w:val="nothing"/>
      <w:lvlText w:val="%1."/>
      <w:lvlJc w:val="left"/>
      <w:pPr>
        <w:ind w:left="425" w:hanging="425"/>
      </w:pPr>
      <w:rPr>
        <w:rFonts w:hint="default"/>
      </w:rPr>
    </w:lvl>
  </w:abstractNum>
  <w:abstractNum w:abstractNumId="96">
    <w:nsid w:val="27EF8731"/>
    <w:multiLevelType w:val="singleLevel"/>
    <w:tmpl w:val="27EF8731"/>
    <w:lvl w:ilvl="0" w:tentative="0">
      <w:start w:val="1"/>
      <w:numFmt w:val="decimal"/>
      <w:suff w:val="nothing"/>
      <w:lvlText w:val="(%1)"/>
      <w:lvlJc w:val="left"/>
      <w:pPr>
        <w:ind w:left="425" w:hanging="425"/>
      </w:pPr>
      <w:rPr>
        <w:rFonts w:hint="default"/>
      </w:rPr>
    </w:lvl>
  </w:abstractNum>
  <w:abstractNum w:abstractNumId="97">
    <w:nsid w:val="2D3F9F51"/>
    <w:multiLevelType w:val="singleLevel"/>
    <w:tmpl w:val="2D3F9F5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98">
    <w:nsid w:val="2E530A73"/>
    <w:multiLevelType w:val="singleLevel"/>
    <w:tmpl w:val="2E530A73"/>
    <w:lvl w:ilvl="0" w:tentative="0">
      <w:start w:val="1"/>
      <w:numFmt w:val="decimal"/>
      <w:suff w:val="nothing"/>
      <w:lvlText w:val="%1."/>
      <w:lvlJc w:val="left"/>
      <w:pPr>
        <w:ind w:left="425" w:hanging="425"/>
      </w:pPr>
      <w:rPr>
        <w:rFonts w:hint="default"/>
      </w:rPr>
    </w:lvl>
  </w:abstractNum>
  <w:abstractNum w:abstractNumId="99">
    <w:nsid w:val="2F608568"/>
    <w:multiLevelType w:val="singleLevel"/>
    <w:tmpl w:val="2F608568"/>
    <w:lvl w:ilvl="0" w:tentative="0">
      <w:start w:val="1"/>
      <w:numFmt w:val="decimal"/>
      <w:suff w:val="nothing"/>
      <w:lvlText w:val="(%1)"/>
      <w:lvlJc w:val="left"/>
      <w:pPr>
        <w:ind w:left="425" w:hanging="425"/>
      </w:pPr>
      <w:rPr>
        <w:rFonts w:hint="default"/>
      </w:rPr>
    </w:lvl>
  </w:abstractNum>
  <w:abstractNum w:abstractNumId="100">
    <w:nsid w:val="3852FEA6"/>
    <w:multiLevelType w:val="singleLevel"/>
    <w:tmpl w:val="3852FEA6"/>
    <w:lvl w:ilvl="0" w:tentative="0">
      <w:start w:val="1"/>
      <w:numFmt w:val="decimal"/>
      <w:suff w:val="nothing"/>
      <w:lvlText w:val="(%1)"/>
      <w:lvlJc w:val="left"/>
      <w:pPr>
        <w:ind w:left="425" w:hanging="425"/>
      </w:pPr>
      <w:rPr>
        <w:rFonts w:hint="default"/>
      </w:rPr>
    </w:lvl>
  </w:abstractNum>
  <w:abstractNum w:abstractNumId="101">
    <w:nsid w:val="39924F79"/>
    <w:multiLevelType w:val="singleLevel"/>
    <w:tmpl w:val="39924F79"/>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02">
    <w:nsid w:val="39BEDAED"/>
    <w:multiLevelType w:val="singleLevel"/>
    <w:tmpl w:val="39BEDAED"/>
    <w:lvl w:ilvl="0" w:tentative="0">
      <w:start w:val="1"/>
      <w:numFmt w:val="decimalEnclosedCircleChinese"/>
      <w:suff w:val="nothing"/>
      <w:lvlText w:val="%1　"/>
      <w:lvlJc w:val="left"/>
      <w:pPr>
        <w:ind w:left="0" w:firstLine="400"/>
      </w:pPr>
      <w:rPr>
        <w:rFonts w:hint="eastAsia"/>
      </w:rPr>
    </w:lvl>
  </w:abstractNum>
  <w:abstractNum w:abstractNumId="103">
    <w:nsid w:val="3A28FC68"/>
    <w:multiLevelType w:val="singleLevel"/>
    <w:tmpl w:val="3A28FC68"/>
    <w:lvl w:ilvl="0" w:tentative="0">
      <w:start w:val="1"/>
      <w:numFmt w:val="decimalEnclosedCircleChinese"/>
      <w:suff w:val="nothing"/>
      <w:lvlText w:val="%1　"/>
      <w:lvlJc w:val="left"/>
      <w:pPr>
        <w:ind w:left="0" w:firstLine="400"/>
      </w:pPr>
      <w:rPr>
        <w:rFonts w:hint="eastAsia"/>
      </w:rPr>
    </w:lvl>
  </w:abstractNum>
  <w:abstractNum w:abstractNumId="104">
    <w:nsid w:val="3A9E2842"/>
    <w:multiLevelType w:val="singleLevel"/>
    <w:tmpl w:val="3A9E2842"/>
    <w:lvl w:ilvl="0" w:tentative="0">
      <w:start w:val="1"/>
      <w:numFmt w:val="decimal"/>
      <w:suff w:val="nothing"/>
      <w:lvlText w:val="(%1)"/>
      <w:lvlJc w:val="left"/>
      <w:pPr>
        <w:ind w:left="425" w:hanging="425"/>
      </w:pPr>
      <w:rPr>
        <w:rFonts w:hint="default"/>
      </w:rPr>
    </w:lvl>
  </w:abstractNum>
  <w:abstractNum w:abstractNumId="105">
    <w:nsid w:val="3B94CAAF"/>
    <w:multiLevelType w:val="singleLevel"/>
    <w:tmpl w:val="3B94CAAF"/>
    <w:lvl w:ilvl="0" w:tentative="0">
      <w:start w:val="1"/>
      <w:numFmt w:val="decimal"/>
      <w:suff w:val="nothing"/>
      <w:lvlText w:val="%1."/>
      <w:lvlJc w:val="left"/>
      <w:pPr>
        <w:ind w:left="425" w:hanging="425"/>
      </w:pPr>
      <w:rPr>
        <w:rFonts w:hint="default"/>
      </w:rPr>
    </w:lvl>
  </w:abstractNum>
  <w:abstractNum w:abstractNumId="106">
    <w:nsid w:val="3B96C30D"/>
    <w:multiLevelType w:val="singleLevel"/>
    <w:tmpl w:val="3B96C30D"/>
    <w:lvl w:ilvl="0" w:tentative="0">
      <w:start w:val="1"/>
      <w:numFmt w:val="chineseCounting"/>
      <w:suff w:val="nothing"/>
      <w:lvlText w:val="（%1）"/>
      <w:lvlJc w:val="left"/>
      <w:rPr>
        <w:rFonts w:hint="eastAsia"/>
      </w:rPr>
    </w:lvl>
  </w:abstractNum>
  <w:abstractNum w:abstractNumId="107">
    <w:nsid w:val="3D5EDAC9"/>
    <w:multiLevelType w:val="singleLevel"/>
    <w:tmpl w:val="3D5EDAC9"/>
    <w:lvl w:ilvl="0" w:tentative="0">
      <w:start w:val="1"/>
      <w:numFmt w:val="decimalEnclosedCircleChinese"/>
      <w:suff w:val="nothing"/>
      <w:lvlText w:val="%1　"/>
      <w:lvlJc w:val="left"/>
      <w:pPr>
        <w:ind w:left="0" w:firstLine="400"/>
      </w:pPr>
      <w:rPr>
        <w:rFonts w:hint="eastAsia"/>
      </w:rPr>
    </w:lvl>
  </w:abstractNum>
  <w:abstractNum w:abstractNumId="108">
    <w:nsid w:val="40DFA473"/>
    <w:multiLevelType w:val="singleLevel"/>
    <w:tmpl w:val="40DFA473"/>
    <w:lvl w:ilvl="0" w:tentative="0">
      <w:start w:val="1"/>
      <w:numFmt w:val="decimal"/>
      <w:suff w:val="nothing"/>
      <w:lvlText w:val="(%1)"/>
      <w:lvlJc w:val="left"/>
      <w:pPr>
        <w:ind w:left="425" w:hanging="425"/>
      </w:pPr>
      <w:rPr>
        <w:rFonts w:hint="default"/>
      </w:rPr>
    </w:lvl>
  </w:abstractNum>
  <w:abstractNum w:abstractNumId="109">
    <w:nsid w:val="42FBC7E0"/>
    <w:multiLevelType w:val="singleLevel"/>
    <w:tmpl w:val="42FBC7E0"/>
    <w:lvl w:ilvl="0" w:tentative="0">
      <w:start w:val="1"/>
      <w:numFmt w:val="decimalEnclosedCircleChinese"/>
      <w:suff w:val="nothing"/>
      <w:lvlText w:val="%1　"/>
      <w:lvlJc w:val="left"/>
      <w:pPr>
        <w:ind w:left="0" w:firstLine="400"/>
      </w:pPr>
      <w:rPr>
        <w:rFonts w:hint="eastAsia"/>
      </w:rPr>
    </w:lvl>
  </w:abstractNum>
  <w:abstractNum w:abstractNumId="110">
    <w:nsid w:val="44FA9CDE"/>
    <w:multiLevelType w:val="singleLevel"/>
    <w:tmpl w:val="44FA9CDE"/>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11">
    <w:nsid w:val="4B18A1B3"/>
    <w:multiLevelType w:val="singleLevel"/>
    <w:tmpl w:val="4B18A1B3"/>
    <w:lvl w:ilvl="0" w:tentative="0">
      <w:start w:val="1"/>
      <w:numFmt w:val="decimalEnclosedCircleChinese"/>
      <w:suff w:val="nothing"/>
      <w:lvlText w:val="%1　"/>
      <w:lvlJc w:val="left"/>
      <w:pPr>
        <w:ind w:left="0" w:firstLine="400"/>
      </w:pPr>
      <w:rPr>
        <w:rFonts w:hint="eastAsia"/>
      </w:rPr>
    </w:lvl>
  </w:abstractNum>
  <w:abstractNum w:abstractNumId="112">
    <w:nsid w:val="4B1D1561"/>
    <w:multiLevelType w:val="singleLevel"/>
    <w:tmpl w:val="4B1D1561"/>
    <w:lvl w:ilvl="0" w:tentative="0">
      <w:start w:val="1"/>
      <w:numFmt w:val="decimalEnclosedCircleChinese"/>
      <w:suff w:val="nothing"/>
      <w:lvlText w:val="%1　"/>
      <w:lvlJc w:val="left"/>
      <w:pPr>
        <w:ind w:left="0" w:firstLine="400"/>
      </w:pPr>
      <w:rPr>
        <w:rFonts w:hint="eastAsia"/>
      </w:rPr>
    </w:lvl>
  </w:abstractNum>
  <w:abstractNum w:abstractNumId="113">
    <w:nsid w:val="5063320C"/>
    <w:multiLevelType w:val="singleLevel"/>
    <w:tmpl w:val="5063320C"/>
    <w:lvl w:ilvl="0" w:tentative="0">
      <w:start w:val="1"/>
      <w:numFmt w:val="decimalEnclosedCircleChinese"/>
      <w:suff w:val="nothing"/>
      <w:lvlText w:val="%1　"/>
      <w:lvlJc w:val="left"/>
      <w:pPr>
        <w:ind w:left="0" w:firstLine="400"/>
      </w:pPr>
      <w:rPr>
        <w:rFonts w:hint="eastAsia"/>
      </w:rPr>
    </w:lvl>
  </w:abstractNum>
  <w:abstractNum w:abstractNumId="114">
    <w:nsid w:val="519AEB36"/>
    <w:multiLevelType w:val="singleLevel"/>
    <w:tmpl w:val="519AEB36"/>
    <w:lvl w:ilvl="0" w:tentative="0">
      <w:start w:val="1"/>
      <w:numFmt w:val="decimal"/>
      <w:suff w:val="nothing"/>
      <w:lvlText w:val="(%1)"/>
      <w:lvlJc w:val="left"/>
      <w:pPr>
        <w:ind w:left="425" w:hanging="425"/>
      </w:pPr>
      <w:rPr>
        <w:rFonts w:hint="default"/>
      </w:rPr>
    </w:lvl>
  </w:abstractNum>
  <w:abstractNum w:abstractNumId="115">
    <w:nsid w:val="51CB49D4"/>
    <w:multiLevelType w:val="singleLevel"/>
    <w:tmpl w:val="51CB49D4"/>
    <w:lvl w:ilvl="0" w:tentative="0">
      <w:start w:val="1"/>
      <w:numFmt w:val="decimal"/>
      <w:suff w:val="nothing"/>
      <w:lvlText w:val="(%1)"/>
      <w:lvlJc w:val="left"/>
      <w:pPr>
        <w:ind w:left="425" w:hanging="425"/>
      </w:pPr>
      <w:rPr>
        <w:rFonts w:hint="default"/>
      </w:rPr>
    </w:lvl>
  </w:abstractNum>
  <w:abstractNum w:abstractNumId="116">
    <w:nsid w:val="551D486A"/>
    <w:multiLevelType w:val="singleLevel"/>
    <w:tmpl w:val="551D486A"/>
    <w:lvl w:ilvl="0" w:tentative="0">
      <w:start w:val="1"/>
      <w:numFmt w:val="decimalEnclosedCircleChinese"/>
      <w:suff w:val="nothing"/>
      <w:lvlText w:val="%1　"/>
      <w:lvlJc w:val="left"/>
      <w:pPr>
        <w:ind w:left="0" w:firstLine="400"/>
      </w:pPr>
      <w:rPr>
        <w:rFonts w:hint="eastAsia"/>
        <w:color w:val="auto"/>
      </w:rPr>
    </w:lvl>
  </w:abstractNum>
  <w:abstractNum w:abstractNumId="117">
    <w:nsid w:val="55599457"/>
    <w:multiLevelType w:val="singleLevel"/>
    <w:tmpl w:val="55599457"/>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18">
    <w:nsid w:val="5624FE77"/>
    <w:multiLevelType w:val="singleLevel"/>
    <w:tmpl w:val="5624FE77"/>
    <w:lvl w:ilvl="0" w:tentative="0">
      <w:start w:val="1"/>
      <w:numFmt w:val="decimalEnclosedCircleChinese"/>
      <w:suff w:val="nothing"/>
      <w:lvlText w:val="%1　"/>
      <w:lvlJc w:val="left"/>
      <w:pPr>
        <w:ind w:left="0" w:firstLine="400"/>
      </w:pPr>
      <w:rPr>
        <w:rFonts w:hint="eastAsia"/>
      </w:rPr>
    </w:lvl>
  </w:abstractNum>
  <w:abstractNum w:abstractNumId="119">
    <w:nsid w:val="57FCAE58"/>
    <w:multiLevelType w:val="singleLevel"/>
    <w:tmpl w:val="57FCAE58"/>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0">
    <w:nsid w:val="5B752210"/>
    <w:multiLevelType w:val="singleLevel"/>
    <w:tmpl w:val="5B752210"/>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1">
    <w:nsid w:val="5E138474"/>
    <w:multiLevelType w:val="singleLevel"/>
    <w:tmpl w:val="5E138474"/>
    <w:lvl w:ilvl="0" w:tentative="0">
      <w:start w:val="1"/>
      <w:numFmt w:val="decimal"/>
      <w:suff w:val="nothing"/>
      <w:lvlText w:val="(%1)"/>
      <w:lvlJc w:val="left"/>
      <w:pPr>
        <w:ind w:left="425" w:hanging="425"/>
      </w:pPr>
      <w:rPr>
        <w:rFonts w:hint="default"/>
      </w:rPr>
    </w:lvl>
  </w:abstractNum>
  <w:abstractNum w:abstractNumId="122">
    <w:nsid w:val="5FBAB41E"/>
    <w:multiLevelType w:val="singleLevel"/>
    <w:tmpl w:val="5FBAB41E"/>
    <w:lvl w:ilvl="0" w:tentative="0">
      <w:start w:val="1"/>
      <w:numFmt w:val="decimal"/>
      <w:suff w:val="nothing"/>
      <w:lvlText w:val="(%1)"/>
      <w:lvlJc w:val="left"/>
    </w:lvl>
  </w:abstractNum>
  <w:abstractNum w:abstractNumId="123">
    <w:nsid w:val="63A474BC"/>
    <w:multiLevelType w:val="singleLevel"/>
    <w:tmpl w:val="63A474BC"/>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4">
    <w:nsid w:val="6490CBBD"/>
    <w:multiLevelType w:val="singleLevel"/>
    <w:tmpl w:val="6490CBBD"/>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5">
    <w:nsid w:val="66E08951"/>
    <w:multiLevelType w:val="singleLevel"/>
    <w:tmpl w:val="66E08951"/>
    <w:lvl w:ilvl="0" w:tentative="0">
      <w:start w:val="1"/>
      <w:numFmt w:val="decimalEnclosedCircleChinese"/>
      <w:suff w:val="nothing"/>
      <w:lvlText w:val="%1　"/>
      <w:lvlJc w:val="left"/>
      <w:pPr>
        <w:ind w:left="0" w:firstLine="400"/>
      </w:pPr>
      <w:rPr>
        <w:rFonts w:hint="eastAsia"/>
      </w:rPr>
    </w:lvl>
  </w:abstractNum>
  <w:abstractNum w:abstractNumId="126">
    <w:nsid w:val="68C0BE45"/>
    <w:multiLevelType w:val="singleLevel"/>
    <w:tmpl w:val="68C0BE45"/>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7">
    <w:nsid w:val="68C99E32"/>
    <w:multiLevelType w:val="singleLevel"/>
    <w:tmpl w:val="68C99E32"/>
    <w:lvl w:ilvl="0" w:tentative="0">
      <w:start w:val="1"/>
      <w:numFmt w:val="decimal"/>
      <w:lvlText w:val="(%1)"/>
      <w:lvlJc w:val="left"/>
      <w:pPr>
        <w:ind w:left="425" w:hanging="425"/>
      </w:pPr>
      <w:rPr>
        <w:rFonts w:hint="default"/>
      </w:rPr>
    </w:lvl>
  </w:abstractNum>
  <w:abstractNum w:abstractNumId="128">
    <w:nsid w:val="699454AF"/>
    <w:multiLevelType w:val="singleLevel"/>
    <w:tmpl w:val="699454AF"/>
    <w:lvl w:ilvl="0" w:tentative="0">
      <w:start w:val="1"/>
      <w:numFmt w:val="decimal"/>
      <w:suff w:val="nothing"/>
      <w:lvlText w:val="(%1)"/>
      <w:lvlJc w:val="left"/>
      <w:pPr>
        <w:ind w:left="425" w:hanging="425"/>
      </w:pPr>
      <w:rPr>
        <w:rFonts w:hint="default"/>
      </w:rPr>
    </w:lvl>
  </w:abstractNum>
  <w:abstractNum w:abstractNumId="129">
    <w:nsid w:val="6BA925CF"/>
    <w:multiLevelType w:val="singleLevel"/>
    <w:tmpl w:val="6BA925CF"/>
    <w:lvl w:ilvl="0" w:tentative="0">
      <w:start w:val="1"/>
      <w:numFmt w:val="decimal"/>
      <w:suff w:val="nothing"/>
      <w:lvlText w:val="(%1)"/>
      <w:lvlJc w:val="left"/>
    </w:lvl>
  </w:abstractNum>
  <w:abstractNum w:abstractNumId="130">
    <w:nsid w:val="6DC1FB45"/>
    <w:multiLevelType w:val="singleLevel"/>
    <w:tmpl w:val="6DC1FB45"/>
    <w:lvl w:ilvl="0" w:tentative="0">
      <w:start w:val="1"/>
      <w:numFmt w:val="decimalEnclosedCircleChinese"/>
      <w:suff w:val="nothing"/>
      <w:lvlText w:val="%1　"/>
      <w:lvlJc w:val="left"/>
      <w:pPr>
        <w:ind w:left="0" w:firstLine="400"/>
      </w:pPr>
      <w:rPr>
        <w:rFonts w:hint="eastAsia"/>
      </w:rPr>
    </w:lvl>
  </w:abstractNum>
  <w:abstractNum w:abstractNumId="131">
    <w:nsid w:val="71B4912E"/>
    <w:multiLevelType w:val="singleLevel"/>
    <w:tmpl w:val="71B4912E"/>
    <w:lvl w:ilvl="0" w:tentative="0">
      <w:start w:val="1"/>
      <w:numFmt w:val="decimalEnclosedCircleChinese"/>
      <w:suff w:val="nothing"/>
      <w:lvlText w:val="%1　"/>
      <w:lvlJc w:val="left"/>
      <w:pPr>
        <w:ind w:left="0" w:firstLine="400"/>
      </w:pPr>
      <w:rPr>
        <w:rFonts w:hint="eastAsia"/>
      </w:rPr>
    </w:lvl>
  </w:abstractNum>
  <w:abstractNum w:abstractNumId="132">
    <w:nsid w:val="7370D2CC"/>
    <w:multiLevelType w:val="singleLevel"/>
    <w:tmpl w:val="7370D2CC"/>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33">
    <w:nsid w:val="7557CF1E"/>
    <w:multiLevelType w:val="singleLevel"/>
    <w:tmpl w:val="7557CF1E"/>
    <w:lvl w:ilvl="0" w:tentative="0">
      <w:start w:val="2"/>
      <w:numFmt w:val="decimal"/>
      <w:suff w:val="nothing"/>
      <w:lvlText w:val="%1、"/>
      <w:lvlJc w:val="left"/>
    </w:lvl>
  </w:abstractNum>
  <w:abstractNum w:abstractNumId="134">
    <w:nsid w:val="77AFB9D5"/>
    <w:multiLevelType w:val="singleLevel"/>
    <w:tmpl w:val="77AFB9D5"/>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35">
    <w:nsid w:val="7850B165"/>
    <w:multiLevelType w:val="singleLevel"/>
    <w:tmpl w:val="7850B165"/>
    <w:lvl w:ilvl="0" w:tentative="0">
      <w:start w:val="1"/>
      <w:numFmt w:val="decimalEnclosedCircleChinese"/>
      <w:suff w:val="nothing"/>
      <w:lvlText w:val="%1　"/>
      <w:lvlJc w:val="left"/>
      <w:pPr>
        <w:ind w:left="0" w:firstLine="400"/>
      </w:pPr>
      <w:rPr>
        <w:rFonts w:hint="eastAsia"/>
      </w:rPr>
    </w:lvl>
  </w:abstractNum>
  <w:abstractNum w:abstractNumId="136">
    <w:nsid w:val="7AC0CB5D"/>
    <w:multiLevelType w:val="singleLevel"/>
    <w:tmpl w:val="7AC0CB5D"/>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37">
    <w:nsid w:val="7EC86631"/>
    <w:multiLevelType w:val="singleLevel"/>
    <w:tmpl w:val="7EC86631"/>
    <w:lvl w:ilvl="0" w:tentative="0">
      <w:start w:val="1"/>
      <w:numFmt w:val="decimalEnclosedCircleChinese"/>
      <w:suff w:val="nothing"/>
      <w:lvlText w:val="%1　"/>
      <w:lvlJc w:val="left"/>
      <w:pPr>
        <w:ind w:left="0" w:firstLine="400"/>
      </w:pPr>
      <w:rPr>
        <w:rFonts w:hint="eastAsia"/>
      </w:rPr>
    </w:lvl>
  </w:abstractNum>
  <w:abstractNum w:abstractNumId="138">
    <w:nsid w:val="7F95A642"/>
    <w:multiLevelType w:val="singleLevel"/>
    <w:tmpl w:val="7F95A642"/>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num w:numId="1">
    <w:abstractNumId w:val="71"/>
  </w:num>
  <w:num w:numId="2">
    <w:abstractNumId w:val="64"/>
  </w:num>
  <w:num w:numId="3">
    <w:abstractNumId w:val="70"/>
  </w:num>
  <w:num w:numId="4">
    <w:abstractNumId w:val="67"/>
  </w:num>
  <w:num w:numId="5">
    <w:abstractNumId w:val="65"/>
  </w:num>
  <w:num w:numId="6">
    <w:abstractNumId w:val="61"/>
  </w:num>
  <w:num w:numId="7">
    <w:abstractNumId w:val="60"/>
  </w:num>
  <w:num w:numId="8">
    <w:abstractNumId w:val="68"/>
  </w:num>
  <w:num w:numId="9">
    <w:abstractNumId w:val="63"/>
  </w:num>
  <w:num w:numId="10">
    <w:abstractNumId w:val="66"/>
  </w:num>
  <w:num w:numId="11">
    <w:abstractNumId w:val="62"/>
  </w:num>
  <w:num w:numId="12">
    <w:abstractNumId w:val="69"/>
  </w:num>
  <w:num w:numId="13">
    <w:abstractNumId w:val="20"/>
  </w:num>
  <w:num w:numId="14">
    <w:abstractNumId w:val="121"/>
  </w:num>
  <w:num w:numId="15">
    <w:abstractNumId w:val="1"/>
  </w:num>
  <w:num w:numId="16">
    <w:abstractNumId w:val="81"/>
  </w:num>
  <w:num w:numId="17">
    <w:abstractNumId w:val="19"/>
  </w:num>
  <w:num w:numId="18">
    <w:abstractNumId w:val="36"/>
  </w:num>
  <w:num w:numId="19">
    <w:abstractNumId w:val="105"/>
  </w:num>
  <w:num w:numId="20">
    <w:abstractNumId w:val="42"/>
  </w:num>
  <w:num w:numId="21">
    <w:abstractNumId w:val="128"/>
  </w:num>
  <w:num w:numId="22">
    <w:abstractNumId w:val="135"/>
  </w:num>
  <w:num w:numId="23">
    <w:abstractNumId w:val="37"/>
  </w:num>
  <w:num w:numId="24">
    <w:abstractNumId w:val="2"/>
  </w:num>
  <w:num w:numId="25">
    <w:abstractNumId w:val="54"/>
  </w:num>
  <w:num w:numId="26">
    <w:abstractNumId w:val="114"/>
  </w:num>
  <w:num w:numId="27">
    <w:abstractNumId w:val="32"/>
  </w:num>
  <w:num w:numId="28">
    <w:abstractNumId w:val="5"/>
  </w:num>
  <w:num w:numId="29">
    <w:abstractNumId w:val="131"/>
  </w:num>
  <w:num w:numId="30">
    <w:abstractNumId w:val="23"/>
  </w:num>
  <w:num w:numId="31">
    <w:abstractNumId w:val="95"/>
  </w:num>
  <w:num w:numId="32">
    <w:abstractNumId w:val="3"/>
  </w:num>
  <w:num w:numId="33">
    <w:abstractNumId w:val="57"/>
  </w:num>
  <w:num w:numId="34">
    <w:abstractNumId w:val="113"/>
  </w:num>
  <w:num w:numId="35">
    <w:abstractNumId w:val="25"/>
  </w:num>
  <w:num w:numId="36">
    <w:abstractNumId w:val="116"/>
  </w:num>
  <w:num w:numId="37">
    <w:abstractNumId w:val="126"/>
  </w:num>
  <w:num w:numId="38">
    <w:abstractNumId w:val="73"/>
  </w:num>
  <w:num w:numId="39">
    <w:abstractNumId w:val="38"/>
  </w:num>
  <w:num w:numId="40">
    <w:abstractNumId w:val="93"/>
  </w:num>
  <w:num w:numId="41">
    <w:abstractNumId w:val="48"/>
  </w:num>
  <w:num w:numId="42">
    <w:abstractNumId w:val="112"/>
  </w:num>
  <w:num w:numId="43">
    <w:abstractNumId w:val="98"/>
  </w:num>
  <w:num w:numId="44">
    <w:abstractNumId w:val="122"/>
  </w:num>
  <w:num w:numId="45">
    <w:abstractNumId w:val="17"/>
  </w:num>
  <w:num w:numId="46">
    <w:abstractNumId w:val="118"/>
  </w:num>
  <w:num w:numId="47">
    <w:abstractNumId w:val="39"/>
  </w:num>
  <w:num w:numId="48">
    <w:abstractNumId w:val="111"/>
  </w:num>
  <w:num w:numId="49">
    <w:abstractNumId w:val="136"/>
  </w:num>
  <w:num w:numId="50">
    <w:abstractNumId w:val="51"/>
  </w:num>
  <w:num w:numId="51">
    <w:abstractNumId w:val="21"/>
  </w:num>
  <w:num w:numId="52">
    <w:abstractNumId w:val="102"/>
  </w:num>
  <w:num w:numId="53">
    <w:abstractNumId w:val="16"/>
  </w:num>
  <w:num w:numId="54">
    <w:abstractNumId w:val="129"/>
  </w:num>
  <w:num w:numId="55">
    <w:abstractNumId w:val="24"/>
  </w:num>
  <w:num w:numId="56">
    <w:abstractNumId w:val="91"/>
  </w:num>
  <w:num w:numId="57">
    <w:abstractNumId w:val="88"/>
  </w:num>
  <w:num w:numId="58">
    <w:abstractNumId w:val="27"/>
  </w:num>
  <w:num w:numId="59">
    <w:abstractNumId w:val="76"/>
  </w:num>
  <w:num w:numId="60">
    <w:abstractNumId w:val="127"/>
  </w:num>
  <w:num w:numId="61">
    <w:abstractNumId w:val="99"/>
  </w:num>
  <w:num w:numId="62">
    <w:abstractNumId w:val="59"/>
  </w:num>
  <w:num w:numId="63">
    <w:abstractNumId w:val="43"/>
  </w:num>
  <w:num w:numId="64">
    <w:abstractNumId w:val="11"/>
  </w:num>
  <w:num w:numId="65">
    <w:abstractNumId w:val="56"/>
  </w:num>
  <w:num w:numId="66">
    <w:abstractNumId w:val="72"/>
  </w:num>
  <w:num w:numId="67">
    <w:abstractNumId w:val="12"/>
  </w:num>
  <w:num w:numId="68">
    <w:abstractNumId w:val="103"/>
  </w:num>
  <w:num w:numId="69">
    <w:abstractNumId w:val="14"/>
  </w:num>
  <w:num w:numId="70">
    <w:abstractNumId w:val="96"/>
  </w:num>
  <w:num w:numId="71">
    <w:abstractNumId w:val="104"/>
  </w:num>
  <w:num w:numId="72">
    <w:abstractNumId w:val="49"/>
  </w:num>
  <w:num w:numId="73">
    <w:abstractNumId w:val="130"/>
  </w:num>
  <w:num w:numId="74">
    <w:abstractNumId w:val="7"/>
  </w:num>
  <w:num w:numId="75">
    <w:abstractNumId w:val="29"/>
  </w:num>
  <w:num w:numId="76">
    <w:abstractNumId w:val="50"/>
  </w:num>
  <w:num w:numId="77">
    <w:abstractNumId w:val="120"/>
  </w:num>
  <w:num w:numId="78">
    <w:abstractNumId w:val="10"/>
  </w:num>
  <w:num w:numId="79">
    <w:abstractNumId w:val="13"/>
  </w:num>
  <w:num w:numId="80">
    <w:abstractNumId w:val="125"/>
  </w:num>
  <w:num w:numId="81">
    <w:abstractNumId w:val="78"/>
  </w:num>
  <w:num w:numId="82">
    <w:abstractNumId w:val="85"/>
  </w:num>
  <w:num w:numId="83">
    <w:abstractNumId w:val="9"/>
  </w:num>
  <w:num w:numId="84">
    <w:abstractNumId w:val="86"/>
  </w:num>
  <w:num w:numId="85">
    <w:abstractNumId w:val="117"/>
  </w:num>
  <w:num w:numId="86">
    <w:abstractNumId w:val="44"/>
  </w:num>
  <w:num w:numId="87">
    <w:abstractNumId w:val="123"/>
  </w:num>
  <w:num w:numId="88">
    <w:abstractNumId w:val="0"/>
  </w:num>
  <w:num w:numId="89">
    <w:abstractNumId w:val="8"/>
  </w:num>
  <w:num w:numId="90">
    <w:abstractNumId w:val="4"/>
  </w:num>
  <w:num w:numId="91">
    <w:abstractNumId w:val="15"/>
  </w:num>
  <w:num w:numId="92">
    <w:abstractNumId w:val="79"/>
  </w:num>
  <w:num w:numId="93">
    <w:abstractNumId w:val="110"/>
  </w:num>
  <w:num w:numId="94">
    <w:abstractNumId w:val="47"/>
  </w:num>
  <w:num w:numId="95">
    <w:abstractNumId w:val="92"/>
  </w:num>
  <w:num w:numId="96">
    <w:abstractNumId w:val="137"/>
  </w:num>
  <w:num w:numId="97">
    <w:abstractNumId w:val="18"/>
  </w:num>
  <w:num w:numId="98">
    <w:abstractNumId w:val="30"/>
  </w:num>
  <w:num w:numId="99">
    <w:abstractNumId w:val="100"/>
  </w:num>
  <w:num w:numId="100">
    <w:abstractNumId w:val="26"/>
  </w:num>
  <w:num w:numId="101">
    <w:abstractNumId w:val="94"/>
  </w:num>
  <w:num w:numId="102">
    <w:abstractNumId w:val="124"/>
  </w:num>
  <w:num w:numId="103">
    <w:abstractNumId w:val="90"/>
  </w:num>
  <w:num w:numId="104">
    <w:abstractNumId w:val="34"/>
  </w:num>
  <w:num w:numId="105">
    <w:abstractNumId w:val="107"/>
  </w:num>
  <w:num w:numId="106">
    <w:abstractNumId w:val="6"/>
  </w:num>
  <w:num w:numId="107">
    <w:abstractNumId w:val="108"/>
  </w:num>
  <w:num w:numId="108">
    <w:abstractNumId w:val="55"/>
  </w:num>
  <w:num w:numId="109">
    <w:abstractNumId w:val="83"/>
  </w:num>
  <w:num w:numId="110">
    <w:abstractNumId w:val="52"/>
  </w:num>
  <w:num w:numId="111">
    <w:abstractNumId w:val="84"/>
  </w:num>
  <w:num w:numId="112">
    <w:abstractNumId w:val="89"/>
  </w:num>
  <w:num w:numId="113">
    <w:abstractNumId w:val="58"/>
  </w:num>
  <w:num w:numId="114">
    <w:abstractNumId w:val="115"/>
  </w:num>
  <w:num w:numId="115">
    <w:abstractNumId w:val="22"/>
  </w:num>
  <w:num w:numId="116">
    <w:abstractNumId w:val="74"/>
  </w:num>
  <w:num w:numId="117">
    <w:abstractNumId w:val="119"/>
  </w:num>
  <w:num w:numId="118">
    <w:abstractNumId w:val="82"/>
  </w:num>
  <w:num w:numId="119">
    <w:abstractNumId w:val="31"/>
  </w:num>
  <w:num w:numId="120">
    <w:abstractNumId w:val="109"/>
  </w:num>
  <w:num w:numId="121">
    <w:abstractNumId w:val="101"/>
  </w:num>
  <w:num w:numId="122">
    <w:abstractNumId w:val="35"/>
  </w:num>
  <w:num w:numId="123">
    <w:abstractNumId w:val="134"/>
  </w:num>
  <w:num w:numId="124">
    <w:abstractNumId w:val="53"/>
  </w:num>
  <w:num w:numId="125">
    <w:abstractNumId w:val="97"/>
  </w:num>
  <w:num w:numId="126">
    <w:abstractNumId w:val="40"/>
  </w:num>
  <w:num w:numId="127">
    <w:abstractNumId w:val="45"/>
  </w:num>
  <w:num w:numId="128">
    <w:abstractNumId w:val="33"/>
  </w:num>
  <w:num w:numId="129">
    <w:abstractNumId w:val="132"/>
  </w:num>
  <w:num w:numId="130">
    <w:abstractNumId w:val="75"/>
  </w:num>
  <w:num w:numId="131">
    <w:abstractNumId w:val="41"/>
  </w:num>
  <w:num w:numId="132">
    <w:abstractNumId w:val="77"/>
  </w:num>
  <w:num w:numId="133">
    <w:abstractNumId w:val="80"/>
  </w:num>
  <w:num w:numId="134">
    <w:abstractNumId w:val="138"/>
  </w:num>
  <w:num w:numId="135">
    <w:abstractNumId w:val="87"/>
  </w:num>
  <w:num w:numId="136">
    <w:abstractNumId w:val="46"/>
  </w:num>
  <w:num w:numId="137">
    <w:abstractNumId w:val="133"/>
  </w:num>
  <w:num w:numId="138">
    <w:abstractNumId w:val="106"/>
  </w:num>
  <w:num w:numId="1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NmM0YjY3MWJjODlhOWZlZDQzNjRjZGE4MzQ1OTEifQ=="/>
    <w:docVar w:name="KSO_WPS_MARK_KEY" w:val="dce41869-66cd-427d-93cc-667253d7ee48"/>
  </w:docVars>
  <w:rsids>
    <w:rsidRoot w:val="00172A27"/>
    <w:rsid w:val="000017A9"/>
    <w:rsid w:val="00001CED"/>
    <w:rsid w:val="000021CC"/>
    <w:rsid w:val="00003179"/>
    <w:rsid w:val="00003D1A"/>
    <w:rsid w:val="00007068"/>
    <w:rsid w:val="000072F9"/>
    <w:rsid w:val="0000774F"/>
    <w:rsid w:val="000138A3"/>
    <w:rsid w:val="000258A4"/>
    <w:rsid w:val="00031A22"/>
    <w:rsid w:val="000335F1"/>
    <w:rsid w:val="00040999"/>
    <w:rsid w:val="0004344C"/>
    <w:rsid w:val="0005348A"/>
    <w:rsid w:val="000544E7"/>
    <w:rsid w:val="00057349"/>
    <w:rsid w:val="00060509"/>
    <w:rsid w:val="00063B9D"/>
    <w:rsid w:val="000704B9"/>
    <w:rsid w:val="00071562"/>
    <w:rsid w:val="000724B9"/>
    <w:rsid w:val="00072D64"/>
    <w:rsid w:val="00076627"/>
    <w:rsid w:val="00077DE1"/>
    <w:rsid w:val="00090283"/>
    <w:rsid w:val="00094F2D"/>
    <w:rsid w:val="000A1BF2"/>
    <w:rsid w:val="000A515F"/>
    <w:rsid w:val="000B2956"/>
    <w:rsid w:val="000C0ED2"/>
    <w:rsid w:val="000C116D"/>
    <w:rsid w:val="000C6680"/>
    <w:rsid w:val="000C68DA"/>
    <w:rsid w:val="000C776C"/>
    <w:rsid w:val="000E01DC"/>
    <w:rsid w:val="000E1597"/>
    <w:rsid w:val="000E2D71"/>
    <w:rsid w:val="000E3C2A"/>
    <w:rsid w:val="000E4D8D"/>
    <w:rsid w:val="000F3AA2"/>
    <w:rsid w:val="000F74C3"/>
    <w:rsid w:val="0010396D"/>
    <w:rsid w:val="00105259"/>
    <w:rsid w:val="00115FB6"/>
    <w:rsid w:val="0011795F"/>
    <w:rsid w:val="00126790"/>
    <w:rsid w:val="0013063A"/>
    <w:rsid w:val="0013177C"/>
    <w:rsid w:val="001318A7"/>
    <w:rsid w:val="00135B83"/>
    <w:rsid w:val="00137A57"/>
    <w:rsid w:val="00142AD5"/>
    <w:rsid w:val="0014378A"/>
    <w:rsid w:val="00145E3E"/>
    <w:rsid w:val="001476A8"/>
    <w:rsid w:val="00157A39"/>
    <w:rsid w:val="00161A76"/>
    <w:rsid w:val="00162D58"/>
    <w:rsid w:val="00166D95"/>
    <w:rsid w:val="001700E3"/>
    <w:rsid w:val="001719CA"/>
    <w:rsid w:val="00172A27"/>
    <w:rsid w:val="0018223A"/>
    <w:rsid w:val="001843B6"/>
    <w:rsid w:val="001901AE"/>
    <w:rsid w:val="00196AD1"/>
    <w:rsid w:val="001A11A4"/>
    <w:rsid w:val="001A5C46"/>
    <w:rsid w:val="001A7373"/>
    <w:rsid w:val="001B2DBF"/>
    <w:rsid w:val="001B3FAB"/>
    <w:rsid w:val="001B7F8A"/>
    <w:rsid w:val="001C1185"/>
    <w:rsid w:val="001C1B11"/>
    <w:rsid w:val="001C3095"/>
    <w:rsid w:val="001D01C2"/>
    <w:rsid w:val="001D45C1"/>
    <w:rsid w:val="001D736D"/>
    <w:rsid w:val="001E0124"/>
    <w:rsid w:val="001E3C37"/>
    <w:rsid w:val="001E5318"/>
    <w:rsid w:val="001F01AE"/>
    <w:rsid w:val="001F1E07"/>
    <w:rsid w:val="001F23DE"/>
    <w:rsid w:val="001F428B"/>
    <w:rsid w:val="001F5877"/>
    <w:rsid w:val="001F5E7F"/>
    <w:rsid w:val="00207A8B"/>
    <w:rsid w:val="00207CB7"/>
    <w:rsid w:val="0021130C"/>
    <w:rsid w:val="00211869"/>
    <w:rsid w:val="0022267A"/>
    <w:rsid w:val="00224971"/>
    <w:rsid w:val="00226C71"/>
    <w:rsid w:val="00231328"/>
    <w:rsid w:val="00232A6E"/>
    <w:rsid w:val="002337FE"/>
    <w:rsid w:val="0023625A"/>
    <w:rsid w:val="002401C4"/>
    <w:rsid w:val="002417F8"/>
    <w:rsid w:val="00241EC3"/>
    <w:rsid w:val="00242B73"/>
    <w:rsid w:val="002475B1"/>
    <w:rsid w:val="002621D9"/>
    <w:rsid w:val="00270895"/>
    <w:rsid w:val="00272AA1"/>
    <w:rsid w:val="00273DB8"/>
    <w:rsid w:val="00274F2E"/>
    <w:rsid w:val="00276325"/>
    <w:rsid w:val="00277669"/>
    <w:rsid w:val="00287243"/>
    <w:rsid w:val="0029104E"/>
    <w:rsid w:val="002A4EC8"/>
    <w:rsid w:val="002A5C10"/>
    <w:rsid w:val="002B1930"/>
    <w:rsid w:val="002B42A7"/>
    <w:rsid w:val="002C095C"/>
    <w:rsid w:val="002C1271"/>
    <w:rsid w:val="002C2B12"/>
    <w:rsid w:val="002C48E4"/>
    <w:rsid w:val="002C4D37"/>
    <w:rsid w:val="002C67FE"/>
    <w:rsid w:val="002D3AF4"/>
    <w:rsid w:val="002D7692"/>
    <w:rsid w:val="002E7200"/>
    <w:rsid w:val="002E79D5"/>
    <w:rsid w:val="002F170B"/>
    <w:rsid w:val="002F4F18"/>
    <w:rsid w:val="002F7E17"/>
    <w:rsid w:val="003007D4"/>
    <w:rsid w:val="00301362"/>
    <w:rsid w:val="00303AD2"/>
    <w:rsid w:val="00304BB7"/>
    <w:rsid w:val="00305424"/>
    <w:rsid w:val="0031487A"/>
    <w:rsid w:val="00314DC7"/>
    <w:rsid w:val="00314E79"/>
    <w:rsid w:val="00321094"/>
    <w:rsid w:val="003249C9"/>
    <w:rsid w:val="003262B7"/>
    <w:rsid w:val="00326B14"/>
    <w:rsid w:val="003319CB"/>
    <w:rsid w:val="00334531"/>
    <w:rsid w:val="00336F62"/>
    <w:rsid w:val="00341964"/>
    <w:rsid w:val="00341F23"/>
    <w:rsid w:val="003425C9"/>
    <w:rsid w:val="00345278"/>
    <w:rsid w:val="003467D4"/>
    <w:rsid w:val="003475B5"/>
    <w:rsid w:val="00367377"/>
    <w:rsid w:val="00367CE2"/>
    <w:rsid w:val="003732A0"/>
    <w:rsid w:val="00380E83"/>
    <w:rsid w:val="00383059"/>
    <w:rsid w:val="00385AD1"/>
    <w:rsid w:val="00385B5B"/>
    <w:rsid w:val="003861FF"/>
    <w:rsid w:val="00386335"/>
    <w:rsid w:val="00387386"/>
    <w:rsid w:val="00392B3C"/>
    <w:rsid w:val="003B1695"/>
    <w:rsid w:val="003B487A"/>
    <w:rsid w:val="003B6385"/>
    <w:rsid w:val="003B7EF3"/>
    <w:rsid w:val="003C06CE"/>
    <w:rsid w:val="003C1FCE"/>
    <w:rsid w:val="003D75EF"/>
    <w:rsid w:val="003E1EB6"/>
    <w:rsid w:val="003E7197"/>
    <w:rsid w:val="003F4F7C"/>
    <w:rsid w:val="00401AA4"/>
    <w:rsid w:val="0040231F"/>
    <w:rsid w:val="00403172"/>
    <w:rsid w:val="00403B41"/>
    <w:rsid w:val="00406978"/>
    <w:rsid w:val="004101EA"/>
    <w:rsid w:val="00411438"/>
    <w:rsid w:val="00414262"/>
    <w:rsid w:val="00414667"/>
    <w:rsid w:val="004208D8"/>
    <w:rsid w:val="00420F7E"/>
    <w:rsid w:val="004217DC"/>
    <w:rsid w:val="0042647B"/>
    <w:rsid w:val="00426CA2"/>
    <w:rsid w:val="004314C6"/>
    <w:rsid w:val="00433007"/>
    <w:rsid w:val="00434C83"/>
    <w:rsid w:val="0044039F"/>
    <w:rsid w:val="0044578A"/>
    <w:rsid w:val="0044610A"/>
    <w:rsid w:val="00463086"/>
    <w:rsid w:val="0046624C"/>
    <w:rsid w:val="00472503"/>
    <w:rsid w:val="0047580D"/>
    <w:rsid w:val="00475EA0"/>
    <w:rsid w:val="00482D09"/>
    <w:rsid w:val="0048681B"/>
    <w:rsid w:val="004904CB"/>
    <w:rsid w:val="0049407D"/>
    <w:rsid w:val="004973C7"/>
    <w:rsid w:val="004A4C54"/>
    <w:rsid w:val="004A597C"/>
    <w:rsid w:val="004A71A5"/>
    <w:rsid w:val="004B17C5"/>
    <w:rsid w:val="004B776C"/>
    <w:rsid w:val="004B7A1E"/>
    <w:rsid w:val="004C17CE"/>
    <w:rsid w:val="004D1E3D"/>
    <w:rsid w:val="004D24F4"/>
    <w:rsid w:val="004D2A36"/>
    <w:rsid w:val="004E22D8"/>
    <w:rsid w:val="004E2643"/>
    <w:rsid w:val="004E2C73"/>
    <w:rsid w:val="004E3B17"/>
    <w:rsid w:val="004E55CC"/>
    <w:rsid w:val="004E7ABA"/>
    <w:rsid w:val="004F1760"/>
    <w:rsid w:val="004F66B3"/>
    <w:rsid w:val="00511552"/>
    <w:rsid w:val="005128FA"/>
    <w:rsid w:val="005236E1"/>
    <w:rsid w:val="00525261"/>
    <w:rsid w:val="00526229"/>
    <w:rsid w:val="00541A61"/>
    <w:rsid w:val="005476BC"/>
    <w:rsid w:val="00550757"/>
    <w:rsid w:val="00552B92"/>
    <w:rsid w:val="00555337"/>
    <w:rsid w:val="005554D9"/>
    <w:rsid w:val="00556F37"/>
    <w:rsid w:val="005603D3"/>
    <w:rsid w:val="00565F32"/>
    <w:rsid w:val="00567863"/>
    <w:rsid w:val="00570B78"/>
    <w:rsid w:val="0057309D"/>
    <w:rsid w:val="00575DAE"/>
    <w:rsid w:val="00576F0B"/>
    <w:rsid w:val="00577549"/>
    <w:rsid w:val="00582662"/>
    <w:rsid w:val="005903AA"/>
    <w:rsid w:val="005A1758"/>
    <w:rsid w:val="005A1AB6"/>
    <w:rsid w:val="005A1C77"/>
    <w:rsid w:val="005A1D69"/>
    <w:rsid w:val="005A523E"/>
    <w:rsid w:val="005A5EFD"/>
    <w:rsid w:val="005A74B2"/>
    <w:rsid w:val="005B030F"/>
    <w:rsid w:val="005B0FA3"/>
    <w:rsid w:val="005B1BCD"/>
    <w:rsid w:val="005B7D07"/>
    <w:rsid w:val="005C102B"/>
    <w:rsid w:val="005D3828"/>
    <w:rsid w:val="005D4328"/>
    <w:rsid w:val="005E5540"/>
    <w:rsid w:val="005F3D46"/>
    <w:rsid w:val="005F5060"/>
    <w:rsid w:val="005F7D8F"/>
    <w:rsid w:val="00604F7A"/>
    <w:rsid w:val="006110B1"/>
    <w:rsid w:val="00613FDB"/>
    <w:rsid w:val="00615518"/>
    <w:rsid w:val="00623134"/>
    <w:rsid w:val="006249CB"/>
    <w:rsid w:val="0063348A"/>
    <w:rsid w:val="00637333"/>
    <w:rsid w:val="00637867"/>
    <w:rsid w:val="006401F4"/>
    <w:rsid w:val="006415B7"/>
    <w:rsid w:val="00642949"/>
    <w:rsid w:val="00642A06"/>
    <w:rsid w:val="00646784"/>
    <w:rsid w:val="00650402"/>
    <w:rsid w:val="006517FE"/>
    <w:rsid w:val="00673F59"/>
    <w:rsid w:val="00683EB7"/>
    <w:rsid w:val="00691DEE"/>
    <w:rsid w:val="0069222D"/>
    <w:rsid w:val="00693C43"/>
    <w:rsid w:val="0069689D"/>
    <w:rsid w:val="00697CEC"/>
    <w:rsid w:val="006A0FAA"/>
    <w:rsid w:val="006A1BC4"/>
    <w:rsid w:val="006A1E8F"/>
    <w:rsid w:val="006A4622"/>
    <w:rsid w:val="006B0147"/>
    <w:rsid w:val="006B1C03"/>
    <w:rsid w:val="006B2591"/>
    <w:rsid w:val="006B359C"/>
    <w:rsid w:val="006C44FA"/>
    <w:rsid w:val="006D69E9"/>
    <w:rsid w:val="006E3489"/>
    <w:rsid w:val="006E722A"/>
    <w:rsid w:val="006F30A4"/>
    <w:rsid w:val="006F63BC"/>
    <w:rsid w:val="006F67FC"/>
    <w:rsid w:val="006F7768"/>
    <w:rsid w:val="006F7C6D"/>
    <w:rsid w:val="0070331C"/>
    <w:rsid w:val="00704F45"/>
    <w:rsid w:val="007147B8"/>
    <w:rsid w:val="0072097B"/>
    <w:rsid w:val="00721982"/>
    <w:rsid w:val="00740874"/>
    <w:rsid w:val="00741489"/>
    <w:rsid w:val="007423F9"/>
    <w:rsid w:val="0074327E"/>
    <w:rsid w:val="0074442D"/>
    <w:rsid w:val="007461CD"/>
    <w:rsid w:val="00752DE1"/>
    <w:rsid w:val="00754741"/>
    <w:rsid w:val="00755449"/>
    <w:rsid w:val="00761266"/>
    <w:rsid w:val="007622C3"/>
    <w:rsid w:val="0076526F"/>
    <w:rsid w:val="007672D0"/>
    <w:rsid w:val="007741E3"/>
    <w:rsid w:val="00774AB7"/>
    <w:rsid w:val="00791705"/>
    <w:rsid w:val="007A1727"/>
    <w:rsid w:val="007A1A26"/>
    <w:rsid w:val="007A2DCA"/>
    <w:rsid w:val="007B123E"/>
    <w:rsid w:val="007C1095"/>
    <w:rsid w:val="007C2CB5"/>
    <w:rsid w:val="007D0314"/>
    <w:rsid w:val="007D2B10"/>
    <w:rsid w:val="007D43AA"/>
    <w:rsid w:val="007D4A42"/>
    <w:rsid w:val="007D4FCA"/>
    <w:rsid w:val="007E0EBC"/>
    <w:rsid w:val="007E1E65"/>
    <w:rsid w:val="007E2174"/>
    <w:rsid w:val="007E5058"/>
    <w:rsid w:val="007E50C8"/>
    <w:rsid w:val="007E7A95"/>
    <w:rsid w:val="007F57B9"/>
    <w:rsid w:val="008017E0"/>
    <w:rsid w:val="00801B4C"/>
    <w:rsid w:val="00817196"/>
    <w:rsid w:val="00817A2D"/>
    <w:rsid w:val="00825B89"/>
    <w:rsid w:val="00841752"/>
    <w:rsid w:val="00851DFD"/>
    <w:rsid w:val="00853B29"/>
    <w:rsid w:val="00853B2A"/>
    <w:rsid w:val="0085567C"/>
    <w:rsid w:val="00857EFC"/>
    <w:rsid w:val="00865FB9"/>
    <w:rsid w:val="00870346"/>
    <w:rsid w:val="008738AA"/>
    <w:rsid w:val="00877642"/>
    <w:rsid w:val="00877662"/>
    <w:rsid w:val="00882DB8"/>
    <w:rsid w:val="0088329D"/>
    <w:rsid w:val="0088503A"/>
    <w:rsid w:val="0088713E"/>
    <w:rsid w:val="0088781E"/>
    <w:rsid w:val="00887B90"/>
    <w:rsid w:val="00890381"/>
    <w:rsid w:val="00893E77"/>
    <w:rsid w:val="00895683"/>
    <w:rsid w:val="008A7BE2"/>
    <w:rsid w:val="008B0878"/>
    <w:rsid w:val="008B1204"/>
    <w:rsid w:val="008B2137"/>
    <w:rsid w:val="008C0EE1"/>
    <w:rsid w:val="008C16AB"/>
    <w:rsid w:val="008F0193"/>
    <w:rsid w:val="008F2337"/>
    <w:rsid w:val="008F7B8B"/>
    <w:rsid w:val="00901530"/>
    <w:rsid w:val="00903866"/>
    <w:rsid w:val="00904F02"/>
    <w:rsid w:val="009055CE"/>
    <w:rsid w:val="00911376"/>
    <w:rsid w:val="009122D2"/>
    <w:rsid w:val="00915A67"/>
    <w:rsid w:val="00915FE6"/>
    <w:rsid w:val="00916A31"/>
    <w:rsid w:val="009175B2"/>
    <w:rsid w:val="00922422"/>
    <w:rsid w:val="009269B7"/>
    <w:rsid w:val="0094108D"/>
    <w:rsid w:val="00942911"/>
    <w:rsid w:val="00946625"/>
    <w:rsid w:val="00954FF4"/>
    <w:rsid w:val="00960F06"/>
    <w:rsid w:val="00962C49"/>
    <w:rsid w:val="009637CA"/>
    <w:rsid w:val="00967939"/>
    <w:rsid w:val="00973CFC"/>
    <w:rsid w:val="00982CB3"/>
    <w:rsid w:val="00983030"/>
    <w:rsid w:val="00983662"/>
    <w:rsid w:val="00984FC1"/>
    <w:rsid w:val="00985687"/>
    <w:rsid w:val="00992B71"/>
    <w:rsid w:val="00993E13"/>
    <w:rsid w:val="00995DE0"/>
    <w:rsid w:val="009971C7"/>
    <w:rsid w:val="00997DC6"/>
    <w:rsid w:val="009A0778"/>
    <w:rsid w:val="009C2F33"/>
    <w:rsid w:val="009C4C2E"/>
    <w:rsid w:val="009C5CC6"/>
    <w:rsid w:val="009D1C14"/>
    <w:rsid w:val="009F1B71"/>
    <w:rsid w:val="009F34A9"/>
    <w:rsid w:val="009F5227"/>
    <w:rsid w:val="00A06246"/>
    <w:rsid w:val="00A06D72"/>
    <w:rsid w:val="00A07C7A"/>
    <w:rsid w:val="00A15E0B"/>
    <w:rsid w:val="00A16107"/>
    <w:rsid w:val="00A16981"/>
    <w:rsid w:val="00A27C1B"/>
    <w:rsid w:val="00A27C55"/>
    <w:rsid w:val="00A30DAD"/>
    <w:rsid w:val="00A37777"/>
    <w:rsid w:val="00A41E63"/>
    <w:rsid w:val="00A426B4"/>
    <w:rsid w:val="00A4624A"/>
    <w:rsid w:val="00A46653"/>
    <w:rsid w:val="00A50E9B"/>
    <w:rsid w:val="00A51D34"/>
    <w:rsid w:val="00A522D5"/>
    <w:rsid w:val="00A53FB6"/>
    <w:rsid w:val="00A56603"/>
    <w:rsid w:val="00A568B5"/>
    <w:rsid w:val="00A6012F"/>
    <w:rsid w:val="00A82474"/>
    <w:rsid w:val="00A8519A"/>
    <w:rsid w:val="00A97ECE"/>
    <w:rsid w:val="00AA2DEE"/>
    <w:rsid w:val="00AA3FD1"/>
    <w:rsid w:val="00AB0691"/>
    <w:rsid w:val="00AB06F0"/>
    <w:rsid w:val="00AC021F"/>
    <w:rsid w:val="00AC0AAD"/>
    <w:rsid w:val="00AC30E2"/>
    <w:rsid w:val="00AD5098"/>
    <w:rsid w:val="00AE15CC"/>
    <w:rsid w:val="00AE5F30"/>
    <w:rsid w:val="00AF2EFD"/>
    <w:rsid w:val="00AF4C15"/>
    <w:rsid w:val="00B01139"/>
    <w:rsid w:val="00B011C0"/>
    <w:rsid w:val="00B0439C"/>
    <w:rsid w:val="00B04FAB"/>
    <w:rsid w:val="00B109B4"/>
    <w:rsid w:val="00B112DF"/>
    <w:rsid w:val="00B119D1"/>
    <w:rsid w:val="00B11F7A"/>
    <w:rsid w:val="00B139B7"/>
    <w:rsid w:val="00B16687"/>
    <w:rsid w:val="00B23F86"/>
    <w:rsid w:val="00B23FBB"/>
    <w:rsid w:val="00B24FA6"/>
    <w:rsid w:val="00B32D28"/>
    <w:rsid w:val="00B34C3E"/>
    <w:rsid w:val="00B34F1F"/>
    <w:rsid w:val="00B3542E"/>
    <w:rsid w:val="00B40504"/>
    <w:rsid w:val="00B42B7B"/>
    <w:rsid w:val="00B436CF"/>
    <w:rsid w:val="00B45E07"/>
    <w:rsid w:val="00B50405"/>
    <w:rsid w:val="00B5057D"/>
    <w:rsid w:val="00B52E01"/>
    <w:rsid w:val="00B6029E"/>
    <w:rsid w:val="00B62C2A"/>
    <w:rsid w:val="00B62C3B"/>
    <w:rsid w:val="00B659C3"/>
    <w:rsid w:val="00B71B1B"/>
    <w:rsid w:val="00B73AC5"/>
    <w:rsid w:val="00B81396"/>
    <w:rsid w:val="00B83437"/>
    <w:rsid w:val="00B83B3F"/>
    <w:rsid w:val="00B85FDD"/>
    <w:rsid w:val="00B90A27"/>
    <w:rsid w:val="00B92B2A"/>
    <w:rsid w:val="00BA1EA9"/>
    <w:rsid w:val="00BB15B5"/>
    <w:rsid w:val="00BB35B5"/>
    <w:rsid w:val="00BB60DC"/>
    <w:rsid w:val="00BC42E6"/>
    <w:rsid w:val="00BD65A0"/>
    <w:rsid w:val="00BD7AEB"/>
    <w:rsid w:val="00BE1DFF"/>
    <w:rsid w:val="00BE7029"/>
    <w:rsid w:val="00BE7EAA"/>
    <w:rsid w:val="00BF2BA5"/>
    <w:rsid w:val="00C00F9B"/>
    <w:rsid w:val="00C016DB"/>
    <w:rsid w:val="00C04AAE"/>
    <w:rsid w:val="00C06C42"/>
    <w:rsid w:val="00C07532"/>
    <w:rsid w:val="00C10870"/>
    <w:rsid w:val="00C131AA"/>
    <w:rsid w:val="00C2316A"/>
    <w:rsid w:val="00C24E45"/>
    <w:rsid w:val="00C346E2"/>
    <w:rsid w:val="00C36B27"/>
    <w:rsid w:val="00C451BC"/>
    <w:rsid w:val="00C453F9"/>
    <w:rsid w:val="00C4545A"/>
    <w:rsid w:val="00C47654"/>
    <w:rsid w:val="00C54082"/>
    <w:rsid w:val="00C554D6"/>
    <w:rsid w:val="00C57A50"/>
    <w:rsid w:val="00C62666"/>
    <w:rsid w:val="00C62B5F"/>
    <w:rsid w:val="00C62C38"/>
    <w:rsid w:val="00C641F8"/>
    <w:rsid w:val="00C7017A"/>
    <w:rsid w:val="00C72D94"/>
    <w:rsid w:val="00C75205"/>
    <w:rsid w:val="00C772E1"/>
    <w:rsid w:val="00C81897"/>
    <w:rsid w:val="00C8487E"/>
    <w:rsid w:val="00C9158F"/>
    <w:rsid w:val="00C93EC5"/>
    <w:rsid w:val="00C9765A"/>
    <w:rsid w:val="00CA2030"/>
    <w:rsid w:val="00CA30F3"/>
    <w:rsid w:val="00CB0EA2"/>
    <w:rsid w:val="00CB3F76"/>
    <w:rsid w:val="00CB64D8"/>
    <w:rsid w:val="00CB7206"/>
    <w:rsid w:val="00CC0082"/>
    <w:rsid w:val="00CC1ACE"/>
    <w:rsid w:val="00CC2CAE"/>
    <w:rsid w:val="00CC3B4B"/>
    <w:rsid w:val="00CC6273"/>
    <w:rsid w:val="00CC77E9"/>
    <w:rsid w:val="00CD6C18"/>
    <w:rsid w:val="00CE3716"/>
    <w:rsid w:val="00CE42DE"/>
    <w:rsid w:val="00CF1E28"/>
    <w:rsid w:val="00CF6CE9"/>
    <w:rsid w:val="00D00489"/>
    <w:rsid w:val="00D02366"/>
    <w:rsid w:val="00D04607"/>
    <w:rsid w:val="00D056E9"/>
    <w:rsid w:val="00D11F30"/>
    <w:rsid w:val="00D14664"/>
    <w:rsid w:val="00D1545D"/>
    <w:rsid w:val="00D21EE5"/>
    <w:rsid w:val="00D22DC2"/>
    <w:rsid w:val="00D30364"/>
    <w:rsid w:val="00D3624D"/>
    <w:rsid w:val="00D407DE"/>
    <w:rsid w:val="00D41EAF"/>
    <w:rsid w:val="00D45091"/>
    <w:rsid w:val="00D471CC"/>
    <w:rsid w:val="00D47572"/>
    <w:rsid w:val="00D47F85"/>
    <w:rsid w:val="00D52704"/>
    <w:rsid w:val="00D61197"/>
    <w:rsid w:val="00D61D72"/>
    <w:rsid w:val="00D71D7C"/>
    <w:rsid w:val="00D75978"/>
    <w:rsid w:val="00D83870"/>
    <w:rsid w:val="00D86372"/>
    <w:rsid w:val="00D91A3C"/>
    <w:rsid w:val="00D945B3"/>
    <w:rsid w:val="00DB0FA8"/>
    <w:rsid w:val="00DB176E"/>
    <w:rsid w:val="00DB6C72"/>
    <w:rsid w:val="00DB78F9"/>
    <w:rsid w:val="00DC321F"/>
    <w:rsid w:val="00DD66D3"/>
    <w:rsid w:val="00DD7D18"/>
    <w:rsid w:val="00DE0C1D"/>
    <w:rsid w:val="00DE448C"/>
    <w:rsid w:val="00DE72E7"/>
    <w:rsid w:val="00DF54C2"/>
    <w:rsid w:val="00DF626C"/>
    <w:rsid w:val="00E02975"/>
    <w:rsid w:val="00E23794"/>
    <w:rsid w:val="00E2407F"/>
    <w:rsid w:val="00E2668C"/>
    <w:rsid w:val="00E274C6"/>
    <w:rsid w:val="00E315FB"/>
    <w:rsid w:val="00E32F14"/>
    <w:rsid w:val="00E3786C"/>
    <w:rsid w:val="00E50233"/>
    <w:rsid w:val="00E66300"/>
    <w:rsid w:val="00E71FA5"/>
    <w:rsid w:val="00E753B8"/>
    <w:rsid w:val="00E80433"/>
    <w:rsid w:val="00E861BA"/>
    <w:rsid w:val="00E87A4E"/>
    <w:rsid w:val="00E94BA4"/>
    <w:rsid w:val="00E95091"/>
    <w:rsid w:val="00E9666B"/>
    <w:rsid w:val="00E96BF9"/>
    <w:rsid w:val="00EA2308"/>
    <w:rsid w:val="00EB4D68"/>
    <w:rsid w:val="00EC2B44"/>
    <w:rsid w:val="00EC3944"/>
    <w:rsid w:val="00EC6674"/>
    <w:rsid w:val="00ED3B1F"/>
    <w:rsid w:val="00ED4D0B"/>
    <w:rsid w:val="00EF0330"/>
    <w:rsid w:val="00EF3E2B"/>
    <w:rsid w:val="00EF3FD8"/>
    <w:rsid w:val="00F007E2"/>
    <w:rsid w:val="00F0168F"/>
    <w:rsid w:val="00F04C55"/>
    <w:rsid w:val="00F0676A"/>
    <w:rsid w:val="00F06998"/>
    <w:rsid w:val="00F11821"/>
    <w:rsid w:val="00F14F49"/>
    <w:rsid w:val="00F15760"/>
    <w:rsid w:val="00F160BE"/>
    <w:rsid w:val="00F16E57"/>
    <w:rsid w:val="00F16EDE"/>
    <w:rsid w:val="00F2102C"/>
    <w:rsid w:val="00F23F7E"/>
    <w:rsid w:val="00F24CC4"/>
    <w:rsid w:val="00F24FB4"/>
    <w:rsid w:val="00F26538"/>
    <w:rsid w:val="00F30021"/>
    <w:rsid w:val="00F3297D"/>
    <w:rsid w:val="00F33008"/>
    <w:rsid w:val="00F402B9"/>
    <w:rsid w:val="00F417D1"/>
    <w:rsid w:val="00F450BC"/>
    <w:rsid w:val="00F479D4"/>
    <w:rsid w:val="00F556A6"/>
    <w:rsid w:val="00F61B38"/>
    <w:rsid w:val="00F66C88"/>
    <w:rsid w:val="00F66E43"/>
    <w:rsid w:val="00F704B3"/>
    <w:rsid w:val="00F72CBA"/>
    <w:rsid w:val="00F76BE6"/>
    <w:rsid w:val="00F7768B"/>
    <w:rsid w:val="00F80F40"/>
    <w:rsid w:val="00F81060"/>
    <w:rsid w:val="00F81434"/>
    <w:rsid w:val="00F81722"/>
    <w:rsid w:val="00F82A6B"/>
    <w:rsid w:val="00F9611A"/>
    <w:rsid w:val="00F96B3B"/>
    <w:rsid w:val="00F9794A"/>
    <w:rsid w:val="00FA0DC9"/>
    <w:rsid w:val="00FA2E6B"/>
    <w:rsid w:val="00FA3A26"/>
    <w:rsid w:val="00FA4A6C"/>
    <w:rsid w:val="00FB7F39"/>
    <w:rsid w:val="00FC05AA"/>
    <w:rsid w:val="00FC33D3"/>
    <w:rsid w:val="00FC45D0"/>
    <w:rsid w:val="00FC4D3F"/>
    <w:rsid w:val="00FC5145"/>
    <w:rsid w:val="00FE2360"/>
    <w:rsid w:val="00FE3072"/>
    <w:rsid w:val="00FE432C"/>
    <w:rsid w:val="00FE7B62"/>
    <w:rsid w:val="00FF2776"/>
    <w:rsid w:val="012714C9"/>
    <w:rsid w:val="013930DE"/>
    <w:rsid w:val="01AA3560"/>
    <w:rsid w:val="01B22A20"/>
    <w:rsid w:val="01B53358"/>
    <w:rsid w:val="01BD0368"/>
    <w:rsid w:val="01D60B44"/>
    <w:rsid w:val="01E05808"/>
    <w:rsid w:val="01FA18E8"/>
    <w:rsid w:val="020F7B7E"/>
    <w:rsid w:val="02730BE3"/>
    <w:rsid w:val="027C4D61"/>
    <w:rsid w:val="02AE0F75"/>
    <w:rsid w:val="02C1420B"/>
    <w:rsid w:val="02EA018D"/>
    <w:rsid w:val="02F361E7"/>
    <w:rsid w:val="03162AD9"/>
    <w:rsid w:val="0324253E"/>
    <w:rsid w:val="036A1510"/>
    <w:rsid w:val="0394201E"/>
    <w:rsid w:val="039B3DFC"/>
    <w:rsid w:val="03CF69C9"/>
    <w:rsid w:val="03FE5EBA"/>
    <w:rsid w:val="040D1192"/>
    <w:rsid w:val="044F484E"/>
    <w:rsid w:val="04500C11"/>
    <w:rsid w:val="046B4E4C"/>
    <w:rsid w:val="04A15406"/>
    <w:rsid w:val="04AA6C0B"/>
    <w:rsid w:val="04B341A6"/>
    <w:rsid w:val="04C119F9"/>
    <w:rsid w:val="04E009AB"/>
    <w:rsid w:val="04FF212C"/>
    <w:rsid w:val="05087345"/>
    <w:rsid w:val="053C512E"/>
    <w:rsid w:val="05555829"/>
    <w:rsid w:val="0562229A"/>
    <w:rsid w:val="05A51D18"/>
    <w:rsid w:val="05F42136"/>
    <w:rsid w:val="061C1C8C"/>
    <w:rsid w:val="062B0DEB"/>
    <w:rsid w:val="06564386"/>
    <w:rsid w:val="065E6A34"/>
    <w:rsid w:val="06667C48"/>
    <w:rsid w:val="067526A6"/>
    <w:rsid w:val="069B724F"/>
    <w:rsid w:val="06CA50F6"/>
    <w:rsid w:val="06D90E7C"/>
    <w:rsid w:val="06F965A3"/>
    <w:rsid w:val="0700113A"/>
    <w:rsid w:val="070D03CD"/>
    <w:rsid w:val="078057A6"/>
    <w:rsid w:val="07AB084E"/>
    <w:rsid w:val="086D5E46"/>
    <w:rsid w:val="08702ABE"/>
    <w:rsid w:val="087034E2"/>
    <w:rsid w:val="08C91941"/>
    <w:rsid w:val="0930353B"/>
    <w:rsid w:val="094B45BE"/>
    <w:rsid w:val="09616470"/>
    <w:rsid w:val="09A3577C"/>
    <w:rsid w:val="09D41DD9"/>
    <w:rsid w:val="09DD6948"/>
    <w:rsid w:val="0A0F4034"/>
    <w:rsid w:val="0A7A6BAF"/>
    <w:rsid w:val="0AAE1466"/>
    <w:rsid w:val="0AFB13C3"/>
    <w:rsid w:val="0AFB7199"/>
    <w:rsid w:val="0B0D3E50"/>
    <w:rsid w:val="0B2152A7"/>
    <w:rsid w:val="0B8D5889"/>
    <w:rsid w:val="0BD61737"/>
    <w:rsid w:val="0C076651"/>
    <w:rsid w:val="0C1741FF"/>
    <w:rsid w:val="0C8211DB"/>
    <w:rsid w:val="0C8567DA"/>
    <w:rsid w:val="0CE11116"/>
    <w:rsid w:val="0CE1212D"/>
    <w:rsid w:val="0CFB51EC"/>
    <w:rsid w:val="0D27282F"/>
    <w:rsid w:val="0D360848"/>
    <w:rsid w:val="0D460B5F"/>
    <w:rsid w:val="0D4B3DFF"/>
    <w:rsid w:val="0D5E38BE"/>
    <w:rsid w:val="0D9E67E5"/>
    <w:rsid w:val="0DAF7F11"/>
    <w:rsid w:val="0E111DC2"/>
    <w:rsid w:val="0E436F73"/>
    <w:rsid w:val="0EB451F9"/>
    <w:rsid w:val="0EC23919"/>
    <w:rsid w:val="0F29338B"/>
    <w:rsid w:val="0F855BBA"/>
    <w:rsid w:val="0F902C27"/>
    <w:rsid w:val="0F9710D5"/>
    <w:rsid w:val="0FAA46EC"/>
    <w:rsid w:val="0FAD6033"/>
    <w:rsid w:val="0FB47C25"/>
    <w:rsid w:val="0FC43BEB"/>
    <w:rsid w:val="0FEC44A8"/>
    <w:rsid w:val="1003030C"/>
    <w:rsid w:val="101007E8"/>
    <w:rsid w:val="101B1C17"/>
    <w:rsid w:val="10433815"/>
    <w:rsid w:val="10726D87"/>
    <w:rsid w:val="10844220"/>
    <w:rsid w:val="10967DE9"/>
    <w:rsid w:val="10E036B3"/>
    <w:rsid w:val="11197E30"/>
    <w:rsid w:val="112C1239"/>
    <w:rsid w:val="117A45B3"/>
    <w:rsid w:val="11920B78"/>
    <w:rsid w:val="11BB3B6C"/>
    <w:rsid w:val="11CB73B3"/>
    <w:rsid w:val="11E34B92"/>
    <w:rsid w:val="11FC75B2"/>
    <w:rsid w:val="11FD5C45"/>
    <w:rsid w:val="1206775B"/>
    <w:rsid w:val="120E5AB1"/>
    <w:rsid w:val="12103B51"/>
    <w:rsid w:val="124D409D"/>
    <w:rsid w:val="125C4DA6"/>
    <w:rsid w:val="12CC1B6D"/>
    <w:rsid w:val="130F3E82"/>
    <w:rsid w:val="1330168A"/>
    <w:rsid w:val="133D38C9"/>
    <w:rsid w:val="134F24D1"/>
    <w:rsid w:val="136E6DFB"/>
    <w:rsid w:val="13A26602"/>
    <w:rsid w:val="13D27E36"/>
    <w:rsid w:val="13E516B7"/>
    <w:rsid w:val="13F0706A"/>
    <w:rsid w:val="14202ED3"/>
    <w:rsid w:val="1441132C"/>
    <w:rsid w:val="144611D2"/>
    <w:rsid w:val="1446553E"/>
    <w:rsid w:val="14B903D4"/>
    <w:rsid w:val="14CD7F0D"/>
    <w:rsid w:val="14FF20CC"/>
    <w:rsid w:val="151529B4"/>
    <w:rsid w:val="15292F77"/>
    <w:rsid w:val="15334FCD"/>
    <w:rsid w:val="1542068C"/>
    <w:rsid w:val="15671D54"/>
    <w:rsid w:val="15712BD2"/>
    <w:rsid w:val="158741A4"/>
    <w:rsid w:val="15CC605B"/>
    <w:rsid w:val="15D155A2"/>
    <w:rsid w:val="15F23029"/>
    <w:rsid w:val="160F6D22"/>
    <w:rsid w:val="161A43D0"/>
    <w:rsid w:val="161A7A88"/>
    <w:rsid w:val="16DA6555"/>
    <w:rsid w:val="16F02774"/>
    <w:rsid w:val="1702234F"/>
    <w:rsid w:val="17BF2904"/>
    <w:rsid w:val="17EC2AC5"/>
    <w:rsid w:val="18186C72"/>
    <w:rsid w:val="18220FFB"/>
    <w:rsid w:val="18251E8C"/>
    <w:rsid w:val="184E178D"/>
    <w:rsid w:val="18684BD0"/>
    <w:rsid w:val="188B48D1"/>
    <w:rsid w:val="18C028C5"/>
    <w:rsid w:val="1934092B"/>
    <w:rsid w:val="195450AF"/>
    <w:rsid w:val="19547818"/>
    <w:rsid w:val="19B73C3C"/>
    <w:rsid w:val="19E55DD1"/>
    <w:rsid w:val="1A246A13"/>
    <w:rsid w:val="1A4903E5"/>
    <w:rsid w:val="1A500C08"/>
    <w:rsid w:val="1ABD25E2"/>
    <w:rsid w:val="1AD33B9C"/>
    <w:rsid w:val="1B0340B4"/>
    <w:rsid w:val="1B425F20"/>
    <w:rsid w:val="1B4618D3"/>
    <w:rsid w:val="1B9E5439"/>
    <w:rsid w:val="1BEF7C4A"/>
    <w:rsid w:val="1C044ABF"/>
    <w:rsid w:val="1C0926B2"/>
    <w:rsid w:val="1C643B45"/>
    <w:rsid w:val="1C6660EE"/>
    <w:rsid w:val="1C865112"/>
    <w:rsid w:val="1C9571B4"/>
    <w:rsid w:val="1CC424C0"/>
    <w:rsid w:val="1CDD11CE"/>
    <w:rsid w:val="1D7220F4"/>
    <w:rsid w:val="1D7A45EE"/>
    <w:rsid w:val="1D7F0A88"/>
    <w:rsid w:val="1DAC7063"/>
    <w:rsid w:val="1DC74443"/>
    <w:rsid w:val="1DEF2284"/>
    <w:rsid w:val="1E081852"/>
    <w:rsid w:val="1E7E3907"/>
    <w:rsid w:val="1EA21B3F"/>
    <w:rsid w:val="1EA44AFD"/>
    <w:rsid w:val="1EB61656"/>
    <w:rsid w:val="1EB747FE"/>
    <w:rsid w:val="1EE36CB0"/>
    <w:rsid w:val="1F592D27"/>
    <w:rsid w:val="1F71407D"/>
    <w:rsid w:val="1F833C2E"/>
    <w:rsid w:val="1F9013F1"/>
    <w:rsid w:val="1FB125BF"/>
    <w:rsid w:val="20076707"/>
    <w:rsid w:val="20192863"/>
    <w:rsid w:val="201C5886"/>
    <w:rsid w:val="20427981"/>
    <w:rsid w:val="204D15AB"/>
    <w:rsid w:val="204E0696"/>
    <w:rsid w:val="207B1099"/>
    <w:rsid w:val="208B4DF4"/>
    <w:rsid w:val="20E509CF"/>
    <w:rsid w:val="20EE7291"/>
    <w:rsid w:val="21343A26"/>
    <w:rsid w:val="217F78DD"/>
    <w:rsid w:val="2198622B"/>
    <w:rsid w:val="21B32F2D"/>
    <w:rsid w:val="21BB5FDD"/>
    <w:rsid w:val="21C127EB"/>
    <w:rsid w:val="21C612F9"/>
    <w:rsid w:val="21C64381"/>
    <w:rsid w:val="22097423"/>
    <w:rsid w:val="223A449D"/>
    <w:rsid w:val="223B2F0E"/>
    <w:rsid w:val="223D00CC"/>
    <w:rsid w:val="22604258"/>
    <w:rsid w:val="22662EEC"/>
    <w:rsid w:val="229508AC"/>
    <w:rsid w:val="22B72D0D"/>
    <w:rsid w:val="22BD582F"/>
    <w:rsid w:val="22CB50A4"/>
    <w:rsid w:val="22F13BA9"/>
    <w:rsid w:val="22F90753"/>
    <w:rsid w:val="23105B26"/>
    <w:rsid w:val="231D18AB"/>
    <w:rsid w:val="235F050E"/>
    <w:rsid w:val="236314D9"/>
    <w:rsid w:val="236E03B0"/>
    <w:rsid w:val="239A48BC"/>
    <w:rsid w:val="23CF3A49"/>
    <w:rsid w:val="23D231B4"/>
    <w:rsid w:val="24352443"/>
    <w:rsid w:val="243D7784"/>
    <w:rsid w:val="244D325D"/>
    <w:rsid w:val="24621831"/>
    <w:rsid w:val="2497726D"/>
    <w:rsid w:val="249E5066"/>
    <w:rsid w:val="24B42EC9"/>
    <w:rsid w:val="24C64438"/>
    <w:rsid w:val="250A44B0"/>
    <w:rsid w:val="25216A19"/>
    <w:rsid w:val="2548391D"/>
    <w:rsid w:val="254A0B8D"/>
    <w:rsid w:val="255043D2"/>
    <w:rsid w:val="25914490"/>
    <w:rsid w:val="25916815"/>
    <w:rsid w:val="25AE0DE8"/>
    <w:rsid w:val="25E0442F"/>
    <w:rsid w:val="26050C6E"/>
    <w:rsid w:val="26103D41"/>
    <w:rsid w:val="262E6A12"/>
    <w:rsid w:val="262F5E45"/>
    <w:rsid w:val="26506553"/>
    <w:rsid w:val="265E7266"/>
    <w:rsid w:val="26681488"/>
    <w:rsid w:val="267B5ED7"/>
    <w:rsid w:val="268314BF"/>
    <w:rsid w:val="26A679E6"/>
    <w:rsid w:val="26C30B00"/>
    <w:rsid w:val="26DA41C6"/>
    <w:rsid w:val="26ED0339"/>
    <w:rsid w:val="27210E37"/>
    <w:rsid w:val="27313F6F"/>
    <w:rsid w:val="273740CB"/>
    <w:rsid w:val="27636233"/>
    <w:rsid w:val="27713266"/>
    <w:rsid w:val="27732F9C"/>
    <w:rsid w:val="278C4852"/>
    <w:rsid w:val="27DE6107"/>
    <w:rsid w:val="27F51D33"/>
    <w:rsid w:val="282939F3"/>
    <w:rsid w:val="28564C9D"/>
    <w:rsid w:val="288F4824"/>
    <w:rsid w:val="28903681"/>
    <w:rsid w:val="28913EDC"/>
    <w:rsid w:val="28D16E73"/>
    <w:rsid w:val="28F33D32"/>
    <w:rsid w:val="2915294F"/>
    <w:rsid w:val="291750BF"/>
    <w:rsid w:val="294B0F0B"/>
    <w:rsid w:val="29591B37"/>
    <w:rsid w:val="299B2C5B"/>
    <w:rsid w:val="29B05C1E"/>
    <w:rsid w:val="29D177AB"/>
    <w:rsid w:val="29D37A41"/>
    <w:rsid w:val="29DA1219"/>
    <w:rsid w:val="29EB38BF"/>
    <w:rsid w:val="29F91ABD"/>
    <w:rsid w:val="2A484859"/>
    <w:rsid w:val="2A48700B"/>
    <w:rsid w:val="2A745132"/>
    <w:rsid w:val="2A845366"/>
    <w:rsid w:val="2A8F53BC"/>
    <w:rsid w:val="2A916B15"/>
    <w:rsid w:val="2AEB2687"/>
    <w:rsid w:val="2AFF5264"/>
    <w:rsid w:val="2B0C0F7B"/>
    <w:rsid w:val="2B2B6A94"/>
    <w:rsid w:val="2B401382"/>
    <w:rsid w:val="2B440CE8"/>
    <w:rsid w:val="2B553E4A"/>
    <w:rsid w:val="2B646DBA"/>
    <w:rsid w:val="2B7876AA"/>
    <w:rsid w:val="2B8B079A"/>
    <w:rsid w:val="2BCB62CC"/>
    <w:rsid w:val="2C1D6B29"/>
    <w:rsid w:val="2C2F4F6D"/>
    <w:rsid w:val="2C3D125B"/>
    <w:rsid w:val="2C6F19EA"/>
    <w:rsid w:val="2C9201C4"/>
    <w:rsid w:val="2C953B27"/>
    <w:rsid w:val="2CD44FE8"/>
    <w:rsid w:val="2CF51648"/>
    <w:rsid w:val="2D0B4074"/>
    <w:rsid w:val="2D0C1AF6"/>
    <w:rsid w:val="2D360531"/>
    <w:rsid w:val="2D542B3D"/>
    <w:rsid w:val="2D60110A"/>
    <w:rsid w:val="2D641059"/>
    <w:rsid w:val="2D655D28"/>
    <w:rsid w:val="2D8A7365"/>
    <w:rsid w:val="2DBD0EC1"/>
    <w:rsid w:val="2DC0289E"/>
    <w:rsid w:val="2DF35890"/>
    <w:rsid w:val="2E00131A"/>
    <w:rsid w:val="2E5237ED"/>
    <w:rsid w:val="2E7C4CC2"/>
    <w:rsid w:val="2F22467C"/>
    <w:rsid w:val="2F534B3B"/>
    <w:rsid w:val="30961AE2"/>
    <w:rsid w:val="30B654E5"/>
    <w:rsid w:val="30DF6506"/>
    <w:rsid w:val="30EB1AD1"/>
    <w:rsid w:val="31126BC0"/>
    <w:rsid w:val="314A69ED"/>
    <w:rsid w:val="316C5D25"/>
    <w:rsid w:val="319770C5"/>
    <w:rsid w:val="319B60C0"/>
    <w:rsid w:val="31AF3AA2"/>
    <w:rsid w:val="31BC6B2B"/>
    <w:rsid w:val="3200539A"/>
    <w:rsid w:val="320F1E35"/>
    <w:rsid w:val="323B0D1B"/>
    <w:rsid w:val="324803BF"/>
    <w:rsid w:val="328A1C30"/>
    <w:rsid w:val="32D47EA8"/>
    <w:rsid w:val="3327727E"/>
    <w:rsid w:val="333F6ECB"/>
    <w:rsid w:val="33500B97"/>
    <w:rsid w:val="33AA48B0"/>
    <w:rsid w:val="33AE0D25"/>
    <w:rsid w:val="33B84DAB"/>
    <w:rsid w:val="33E800AC"/>
    <w:rsid w:val="33F45321"/>
    <w:rsid w:val="342C4D3B"/>
    <w:rsid w:val="343B30B6"/>
    <w:rsid w:val="34692F9B"/>
    <w:rsid w:val="34732620"/>
    <w:rsid w:val="34A83C16"/>
    <w:rsid w:val="34DA0A32"/>
    <w:rsid w:val="34F43003"/>
    <w:rsid w:val="3552458B"/>
    <w:rsid w:val="35720FC6"/>
    <w:rsid w:val="357F67EE"/>
    <w:rsid w:val="35845A52"/>
    <w:rsid w:val="35862285"/>
    <w:rsid w:val="35C16347"/>
    <w:rsid w:val="35D30C5A"/>
    <w:rsid w:val="36233B7D"/>
    <w:rsid w:val="365543B1"/>
    <w:rsid w:val="367078D0"/>
    <w:rsid w:val="36876C4F"/>
    <w:rsid w:val="369F510E"/>
    <w:rsid w:val="36FA13B3"/>
    <w:rsid w:val="374A7960"/>
    <w:rsid w:val="375F5DED"/>
    <w:rsid w:val="3764396F"/>
    <w:rsid w:val="378E4842"/>
    <w:rsid w:val="37F814DF"/>
    <w:rsid w:val="38137AD8"/>
    <w:rsid w:val="38247467"/>
    <w:rsid w:val="386A2B8E"/>
    <w:rsid w:val="38882E30"/>
    <w:rsid w:val="38E76B27"/>
    <w:rsid w:val="38EA6674"/>
    <w:rsid w:val="38F22202"/>
    <w:rsid w:val="38F82230"/>
    <w:rsid w:val="38FE6FF4"/>
    <w:rsid w:val="39015ED3"/>
    <w:rsid w:val="39213358"/>
    <w:rsid w:val="393A09F7"/>
    <w:rsid w:val="395B3F46"/>
    <w:rsid w:val="396401D4"/>
    <w:rsid w:val="39D10EAA"/>
    <w:rsid w:val="39D23390"/>
    <w:rsid w:val="39E35AC2"/>
    <w:rsid w:val="39EF747A"/>
    <w:rsid w:val="3A07001A"/>
    <w:rsid w:val="3A212AC9"/>
    <w:rsid w:val="3A366C90"/>
    <w:rsid w:val="3A3A28B7"/>
    <w:rsid w:val="3A42547E"/>
    <w:rsid w:val="3A764D1C"/>
    <w:rsid w:val="3A834720"/>
    <w:rsid w:val="3B2C21FC"/>
    <w:rsid w:val="3B664767"/>
    <w:rsid w:val="3B702E61"/>
    <w:rsid w:val="3B7320D6"/>
    <w:rsid w:val="3B972C15"/>
    <w:rsid w:val="3BB54FDD"/>
    <w:rsid w:val="3BDD5AF6"/>
    <w:rsid w:val="3BF16211"/>
    <w:rsid w:val="3C0E2679"/>
    <w:rsid w:val="3C18239F"/>
    <w:rsid w:val="3C263E87"/>
    <w:rsid w:val="3C340BBF"/>
    <w:rsid w:val="3C456957"/>
    <w:rsid w:val="3C5F6F68"/>
    <w:rsid w:val="3C6C4DFA"/>
    <w:rsid w:val="3C986552"/>
    <w:rsid w:val="3CA60B04"/>
    <w:rsid w:val="3CBE4360"/>
    <w:rsid w:val="3CDC693C"/>
    <w:rsid w:val="3D1772A2"/>
    <w:rsid w:val="3D440005"/>
    <w:rsid w:val="3D6A54CD"/>
    <w:rsid w:val="3DC4712B"/>
    <w:rsid w:val="3DCC5572"/>
    <w:rsid w:val="3DDC3024"/>
    <w:rsid w:val="3E18216E"/>
    <w:rsid w:val="3EAC1BA8"/>
    <w:rsid w:val="3ECD34FD"/>
    <w:rsid w:val="3ED70A3A"/>
    <w:rsid w:val="3F104904"/>
    <w:rsid w:val="3F203BD7"/>
    <w:rsid w:val="3F2C52F0"/>
    <w:rsid w:val="3F3F067A"/>
    <w:rsid w:val="3F4263D8"/>
    <w:rsid w:val="3F6A7999"/>
    <w:rsid w:val="3F8B4AF7"/>
    <w:rsid w:val="3F962C16"/>
    <w:rsid w:val="3FE56C53"/>
    <w:rsid w:val="40491ED2"/>
    <w:rsid w:val="40651C2D"/>
    <w:rsid w:val="40F60A96"/>
    <w:rsid w:val="41120ECB"/>
    <w:rsid w:val="41250CF5"/>
    <w:rsid w:val="412626B7"/>
    <w:rsid w:val="412B563A"/>
    <w:rsid w:val="414A7CB0"/>
    <w:rsid w:val="417C2F7F"/>
    <w:rsid w:val="418238EE"/>
    <w:rsid w:val="41986978"/>
    <w:rsid w:val="41B0318A"/>
    <w:rsid w:val="42494474"/>
    <w:rsid w:val="425E0AAF"/>
    <w:rsid w:val="426E5C20"/>
    <w:rsid w:val="427D5E63"/>
    <w:rsid w:val="42A8354B"/>
    <w:rsid w:val="42B42D3C"/>
    <w:rsid w:val="43023BFF"/>
    <w:rsid w:val="430B16C1"/>
    <w:rsid w:val="432D55A8"/>
    <w:rsid w:val="434B12D1"/>
    <w:rsid w:val="434D13F6"/>
    <w:rsid w:val="43577FA2"/>
    <w:rsid w:val="436A4A6F"/>
    <w:rsid w:val="436E7D5A"/>
    <w:rsid w:val="43A15810"/>
    <w:rsid w:val="43CE43C4"/>
    <w:rsid w:val="43FE1684"/>
    <w:rsid w:val="44B870E1"/>
    <w:rsid w:val="45012D7B"/>
    <w:rsid w:val="45154265"/>
    <w:rsid w:val="45176E03"/>
    <w:rsid w:val="45367FB9"/>
    <w:rsid w:val="45BA66E7"/>
    <w:rsid w:val="45BB5620"/>
    <w:rsid w:val="45C9686D"/>
    <w:rsid w:val="45F052D3"/>
    <w:rsid w:val="46174E05"/>
    <w:rsid w:val="4636037C"/>
    <w:rsid w:val="465313B5"/>
    <w:rsid w:val="46861A06"/>
    <w:rsid w:val="46880168"/>
    <w:rsid w:val="46B376A0"/>
    <w:rsid w:val="46B53E1D"/>
    <w:rsid w:val="46B75DE0"/>
    <w:rsid w:val="46D850CE"/>
    <w:rsid w:val="46F340B4"/>
    <w:rsid w:val="47232381"/>
    <w:rsid w:val="47721D0E"/>
    <w:rsid w:val="47A67B93"/>
    <w:rsid w:val="47E04AB4"/>
    <w:rsid w:val="48152FCE"/>
    <w:rsid w:val="48400E2A"/>
    <w:rsid w:val="487C1FF8"/>
    <w:rsid w:val="489536D4"/>
    <w:rsid w:val="48A51B57"/>
    <w:rsid w:val="48B13105"/>
    <w:rsid w:val="48B60321"/>
    <w:rsid w:val="48C11A5A"/>
    <w:rsid w:val="492B2B84"/>
    <w:rsid w:val="49567034"/>
    <w:rsid w:val="495A19E6"/>
    <w:rsid w:val="496C5184"/>
    <w:rsid w:val="497E3B5E"/>
    <w:rsid w:val="49E80CD8"/>
    <w:rsid w:val="4A354A0A"/>
    <w:rsid w:val="4A370FED"/>
    <w:rsid w:val="4A6004B6"/>
    <w:rsid w:val="4A730277"/>
    <w:rsid w:val="4A9F0F6E"/>
    <w:rsid w:val="4ADD0959"/>
    <w:rsid w:val="4AE22AE2"/>
    <w:rsid w:val="4AFB74CD"/>
    <w:rsid w:val="4B1D738D"/>
    <w:rsid w:val="4B561347"/>
    <w:rsid w:val="4B621DBB"/>
    <w:rsid w:val="4B666020"/>
    <w:rsid w:val="4BEC6951"/>
    <w:rsid w:val="4C1E56C0"/>
    <w:rsid w:val="4C405F26"/>
    <w:rsid w:val="4C554E5C"/>
    <w:rsid w:val="4C9C3E97"/>
    <w:rsid w:val="4CA333DD"/>
    <w:rsid w:val="4CAF4181"/>
    <w:rsid w:val="4D021D86"/>
    <w:rsid w:val="4D0B059D"/>
    <w:rsid w:val="4D1E62A8"/>
    <w:rsid w:val="4D2F37DC"/>
    <w:rsid w:val="4D435CF2"/>
    <w:rsid w:val="4D6F6C0D"/>
    <w:rsid w:val="4D7B254C"/>
    <w:rsid w:val="4DEB25F0"/>
    <w:rsid w:val="4E1407FF"/>
    <w:rsid w:val="4E1E5397"/>
    <w:rsid w:val="4E47556D"/>
    <w:rsid w:val="4E484114"/>
    <w:rsid w:val="4EF15DE2"/>
    <w:rsid w:val="4EF9037D"/>
    <w:rsid w:val="4F652159"/>
    <w:rsid w:val="4F782C3A"/>
    <w:rsid w:val="4FCE18DC"/>
    <w:rsid w:val="4FF21C3E"/>
    <w:rsid w:val="50070A24"/>
    <w:rsid w:val="5013436B"/>
    <w:rsid w:val="50434E3C"/>
    <w:rsid w:val="505B24E3"/>
    <w:rsid w:val="50706E76"/>
    <w:rsid w:val="5084088D"/>
    <w:rsid w:val="50B6667B"/>
    <w:rsid w:val="50B84DFB"/>
    <w:rsid w:val="50EA7D99"/>
    <w:rsid w:val="510F4A72"/>
    <w:rsid w:val="516D1A20"/>
    <w:rsid w:val="51810C90"/>
    <w:rsid w:val="519A5C9B"/>
    <w:rsid w:val="51EA3AE5"/>
    <w:rsid w:val="520811CD"/>
    <w:rsid w:val="5224296A"/>
    <w:rsid w:val="52295F56"/>
    <w:rsid w:val="522C327F"/>
    <w:rsid w:val="524D3BDE"/>
    <w:rsid w:val="525342EF"/>
    <w:rsid w:val="529156E0"/>
    <w:rsid w:val="52B57C15"/>
    <w:rsid w:val="52BB0871"/>
    <w:rsid w:val="52D30275"/>
    <w:rsid w:val="52D53E03"/>
    <w:rsid w:val="52FB4C31"/>
    <w:rsid w:val="533024F5"/>
    <w:rsid w:val="5347445F"/>
    <w:rsid w:val="5361580D"/>
    <w:rsid w:val="53986FA1"/>
    <w:rsid w:val="53AC2B35"/>
    <w:rsid w:val="53FC2011"/>
    <w:rsid w:val="54134EAA"/>
    <w:rsid w:val="54263544"/>
    <w:rsid w:val="543177DD"/>
    <w:rsid w:val="544F01A4"/>
    <w:rsid w:val="547846DC"/>
    <w:rsid w:val="548C3CFC"/>
    <w:rsid w:val="54963D57"/>
    <w:rsid w:val="54E40912"/>
    <w:rsid w:val="54F72943"/>
    <w:rsid w:val="555B350A"/>
    <w:rsid w:val="556F1F83"/>
    <w:rsid w:val="557E2E7E"/>
    <w:rsid w:val="557F2C2A"/>
    <w:rsid w:val="565500A6"/>
    <w:rsid w:val="56CD2179"/>
    <w:rsid w:val="56DB0B3E"/>
    <w:rsid w:val="56E71049"/>
    <w:rsid w:val="56EF0E34"/>
    <w:rsid w:val="570F549B"/>
    <w:rsid w:val="573B211D"/>
    <w:rsid w:val="576A26F1"/>
    <w:rsid w:val="578876A8"/>
    <w:rsid w:val="57976109"/>
    <w:rsid w:val="579A000F"/>
    <w:rsid w:val="580D7D82"/>
    <w:rsid w:val="58235328"/>
    <w:rsid w:val="58E01529"/>
    <w:rsid w:val="58FF0ED5"/>
    <w:rsid w:val="5926565A"/>
    <w:rsid w:val="59465093"/>
    <w:rsid w:val="598E66C5"/>
    <w:rsid w:val="599528A7"/>
    <w:rsid w:val="59A009E7"/>
    <w:rsid w:val="59A97E6A"/>
    <w:rsid w:val="59BE23DB"/>
    <w:rsid w:val="59D07793"/>
    <w:rsid w:val="59EB56FF"/>
    <w:rsid w:val="59F70789"/>
    <w:rsid w:val="59FA400E"/>
    <w:rsid w:val="5A0A6826"/>
    <w:rsid w:val="5A180675"/>
    <w:rsid w:val="5A1839CC"/>
    <w:rsid w:val="5A26505E"/>
    <w:rsid w:val="5A5C5ECC"/>
    <w:rsid w:val="5A776550"/>
    <w:rsid w:val="5A8C3E5C"/>
    <w:rsid w:val="5AA83BA0"/>
    <w:rsid w:val="5AAC7C87"/>
    <w:rsid w:val="5BB36650"/>
    <w:rsid w:val="5BB662D5"/>
    <w:rsid w:val="5BBA74AC"/>
    <w:rsid w:val="5C0A0310"/>
    <w:rsid w:val="5C26338F"/>
    <w:rsid w:val="5C5B2F14"/>
    <w:rsid w:val="5C890A5F"/>
    <w:rsid w:val="5C9826E9"/>
    <w:rsid w:val="5C9C22BD"/>
    <w:rsid w:val="5D16122F"/>
    <w:rsid w:val="5D741A05"/>
    <w:rsid w:val="5D893D89"/>
    <w:rsid w:val="5D9A15EF"/>
    <w:rsid w:val="5D9C1156"/>
    <w:rsid w:val="5DF744B9"/>
    <w:rsid w:val="5E196F30"/>
    <w:rsid w:val="5E6170C1"/>
    <w:rsid w:val="5E7B72A3"/>
    <w:rsid w:val="5E83276C"/>
    <w:rsid w:val="5E9E44A2"/>
    <w:rsid w:val="5F337935"/>
    <w:rsid w:val="5F4B0511"/>
    <w:rsid w:val="5F4D5C1D"/>
    <w:rsid w:val="5F7B1280"/>
    <w:rsid w:val="5FC1162D"/>
    <w:rsid w:val="5FC17177"/>
    <w:rsid w:val="5FCF0239"/>
    <w:rsid w:val="5FFD791E"/>
    <w:rsid w:val="60027041"/>
    <w:rsid w:val="601A452C"/>
    <w:rsid w:val="601C01CD"/>
    <w:rsid w:val="60492A6B"/>
    <w:rsid w:val="606C02F9"/>
    <w:rsid w:val="60706A22"/>
    <w:rsid w:val="607628A1"/>
    <w:rsid w:val="608A3F50"/>
    <w:rsid w:val="60BF5BC6"/>
    <w:rsid w:val="60E80782"/>
    <w:rsid w:val="60ED0144"/>
    <w:rsid w:val="610B4A3B"/>
    <w:rsid w:val="61654877"/>
    <w:rsid w:val="61963A90"/>
    <w:rsid w:val="61D43510"/>
    <w:rsid w:val="61F7343F"/>
    <w:rsid w:val="621A29E9"/>
    <w:rsid w:val="62253371"/>
    <w:rsid w:val="62590D29"/>
    <w:rsid w:val="62F6339C"/>
    <w:rsid w:val="62FE3EF7"/>
    <w:rsid w:val="63351CAA"/>
    <w:rsid w:val="63540BC2"/>
    <w:rsid w:val="63671F38"/>
    <w:rsid w:val="63815BF0"/>
    <w:rsid w:val="639C631E"/>
    <w:rsid w:val="63BD1AE0"/>
    <w:rsid w:val="63BE2526"/>
    <w:rsid w:val="64100300"/>
    <w:rsid w:val="6468651B"/>
    <w:rsid w:val="648275DD"/>
    <w:rsid w:val="6483377F"/>
    <w:rsid w:val="64F571DD"/>
    <w:rsid w:val="659636C8"/>
    <w:rsid w:val="65970274"/>
    <w:rsid w:val="65A72E8C"/>
    <w:rsid w:val="65D9346B"/>
    <w:rsid w:val="65F35452"/>
    <w:rsid w:val="65F446E9"/>
    <w:rsid w:val="66173D55"/>
    <w:rsid w:val="664C47A8"/>
    <w:rsid w:val="6677449E"/>
    <w:rsid w:val="668A1206"/>
    <w:rsid w:val="66954F1E"/>
    <w:rsid w:val="66B51E22"/>
    <w:rsid w:val="66BD1751"/>
    <w:rsid w:val="66CA7C22"/>
    <w:rsid w:val="66F90123"/>
    <w:rsid w:val="67056130"/>
    <w:rsid w:val="672E57FA"/>
    <w:rsid w:val="67694278"/>
    <w:rsid w:val="677551D7"/>
    <w:rsid w:val="67AE41F6"/>
    <w:rsid w:val="67DA14DE"/>
    <w:rsid w:val="68126ECA"/>
    <w:rsid w:val="681712F8"/>
    <w:rsid w:val="683C270D"/>
    <w:rsid w:val="6849391E"/>
    <w:rsid w:val="684A6664"/>
    <w:rsid w:val="68564138"/>
    <w:rsid w:val="68650763"/>
    <w:rsid w:val="687B31CC"/>
    <w:rsid w:val="688F1A34"/>
    <w:rsid w:val="68B22D12"/>
    <w:rsid w:val="68C30CC1"/>
    <w:rsid w:val="695113D8"/>
    <w:rsid w:val="697266DE"/>
    <w:rsid w:val="697D65C5"/>
    <w:rsid w:val="69960980"/>
    <w:rsid w:val="699B4CCF"/>
    <w:rsid w:val="69C9327F"/>
    <w:rsid w:val="69E32BA8"/>
    <w:rsid w:val="6A5533E2"/>
    <w:rsid w:val="6A9035C7"/>
    <w:rsid w:val="6AAF493A"/>
    <w:rsid w:val="6AB452AD"/>
    <w:rsid w:val="6AE12B83"/>
    <w:rsid w:val="6AFD6B71"/>
    <w:rsid w:val="6B0065E5"/>
    <w:rsid w:val="6B0303F0"/>
    <w:rsid w:val="6B0A7F0E"/>
    <w:rsid w:val="6B2807B2"/>
    <w:rsid w:val="6B28227B"/>
    <w:rsid w:val="6B511AB7"/>
    <w:rsid w:val="6B7D0485"/>
    <w:rsid w:val="6B7E4104"/>
    <w:rsid w:val="6C0B1C95"/>
    <w:rsid w:val="6C1E07E1"/>
    <w:rsid w:val="6C3E451D"/>
    <w:rsid w:val="6C57294A"/>
    <w:rsid w:val="6C58248B"/>
    <w:rsid w:val="6C68196A"/>
    <w:rsid w:val="6C787517"/>
    <w:rsid w:val="6C9226C1"/>
    <w:rsid w:val="6CAD74DD"/>
    <w:rsid w:val="6CC47AD8"/>
    <w:rsid w:val="6CC55956"/>
    <w:rsid w:val="6CF9345D"/>
    <w:rsid w:val="6D107A6E"/>
    <w:rsid w:val="6D2D3750"/>
    <w:rsid w:val="6D555BFE"/>
    <w:rsid w:val="6D60076F"/>
    <w:rsid w:val="6D694D90"/>
    <w:rsid w:val="6DD013EE"/>
    <w:rsid w:val="6E184B0E"/>
    <w:rsid w:val="6E2032D0"/>
    <w:rsid w:val="6E4D5003"/>
    <w:rsid w:val="6E8E55A1"/>
    <w:rsid w:val="6EA5737A"/>
    <w:rsid w:val="6ECB6C27"/>
    <w:rsid w:val="6EEB3C07"/>
    <w:rsid w:val="6F7055B1"/>
    <w:rsid w:val="6F923F5D"/>
    <w:rsid w:val="6FD66A2F"/>
    <w:rsid w:val="6FDB5DF3"/>
    <w:rsid w:val="6FEA6A0C"/>
    <w:rsid w:val="6FFE5F86"/>
    <w:rsid w:val="70310B59"/>
    <w:rsid w:val="70453BB5"/>
    <w:rsid w:val="70995DAC"/>
    <w:rsid w:val="70BC654D"/>
    <w:rsid w:val="70F039C3"/>
    <w:rsid w:val="70F8508B"/>
    <w:rsid w:val="710424FF"/>
    <w:rsid w:val="710E548C"/>
    <w:rsid w:val="71351C2D"/>
    <w:rsid w:val="719930FD"/>
    <w:rsid w:val="719B34F1"/>
    <w:rsid w:val="71A66273"/>
    <w:rsid w:val="71A67290"/>
    <w:rsid w:val="71CC633B"/>
    <w:rsid w:val="71D31DA9"/>
    <w:rsid w:val="72404E39"/>
    <w:rsid w:val="725537D3"/>
    <w:rsid w:val="72D15107"/>
    <w:rsid w:val="72E454D7"/>
    <w:rsid w:val="72E50C9D"/>
    <w:rsid w:val="72E5220E"/>
    <w:rsid w:val="72EE5140"/>
    <w:rsid w:val="7310375F"/>
    <w:rsid w:val="73131F38"/>
    <w:rsid w:val="734B66B7"/>
    <w:rsid w:val="736911B5"/>
    <w:rsid w:val="738E7F6B"/>
    <w:rsid w:val="73A15E9F"/>
    <w:rsid w:val="744901C5"/>
    <w:rsid w:val="74545547"/>
    <w:rsid w:val="747131CA"/>
    <w:rsid w:val="747B4ABC"/>
    <w:rsid w:val="74940C4C"/>
    <w:rsid w:val="74B043D5"/>
    <w:rsid w:val="74DE723F"/>
    <w:rsid w:val="75287D2D"/>
    <w:rsid w:val="752B7ECA"/>
    <w:rsid w:val="75474B87"/>
    <w:rsid w:val="75723C09"/>
    <w:rsid w:val="758846D4"/>
    <w:rsid w:val="759B31E6"/>
    <w:rsid w:val="75A40FC9"/>
    <w:rsid w:val="75BF63EA"/>
    <w:rsid w:val="75D43A11"/>
    <w:rsid w:val="75F257F1"/>
    <w:rsid w:val="76041807"/>
    <w:rsid w:val="761154E0"/>
    <w:rsid w:val="7646350F"/>
    <w:rsid w:val="764E32E3"/>
    <w:rsid w:val="76535E0F"/>
    <w:rsid w:val="76635DC4"/>
    <w:rsid w:val="76D132BF"/>
    <w:rsid w:val="76D91624"/>
    <w:rsid w:val="76EB3606"/>
    <w:rsid w:val="76EE1DB1"/>
    <w:rsid w:val="76EE2FDF"/>
    <w:rsid w:val="76FC57EB"/>
    <w:rsid w:val="77193E72"/>
    <w:rsid w:val="77334A1F"/>
    <w:rsid w:val="773F310C"/>
    <w:rsid w:val="77501FC8"/>
    <w:rsid w:val="776D5ECB"/>
    <w:rsid w:val="77763C02"/>
    <w:rsid w:val="77797A8C"/>
    <w:rsid w:val="777F175A"/>
    <w:rsid w:val="77B40BAF"/>
    <w:rsid w:val="77B43AFA"/>
    <w:rsid w:val="77ED700C"/>
    <w:rsid w:val="780104AA"/>
    <w:rsid w:val="78097CE9"/>
    <w:rsid w:val="78601E7D"/>
    <w:rsid w:val="789E20B4"/>
    <w:rsid w:val="78A76502"/>
    <w:rsid w:val="78C53AE4"/>
    <w:rsid w:val="79541EC0"/>
    <w:rsid w:val="79576DDD"/>
    <w:rsid w:val="79713A02"/>
    <w:rsid w:val="79873A72"/>
    <w:rsid w:val="79BA313A"/>
    <w:rsid w:val="79D25443"/>
    <w:rsid w:val="79EA3C2E"/>
    <w:rsid w:val="79FD4EAF"/>
    <w:rsid w:val="7A100D8F"/>
    <w:rsid w:val="7A281358"/>
    <w:rsid w:val="7A583ACB"/>
    <w:rsid w:val="7A7E3E1D"/>
    <w:rsid w:val="7A83640D"/>
    <w:rsid w:val="7A9B68AB"/>
    <w:rsid w:val="7AB30C9A"/>
    <w:rsid w:val="7AC819CA"/>
    <w:rsid w:val="7AE475C4"/>
    <w:rsid w:val="7AEB0F15"/>
    <w:rsid w:val="7AEE5FD0"/>
    <w:rsid w:val="7AEF353D"/>
    <w:rsid w:val="7B1E17D6"/>
    <w:rsid w:val="7B4D4EAA"/>
    <w:rsid w:val="7B6E1C75"/>
    <w:rsid w:val="7B914152"/>
    <w:rsid w:val="7BC24813"/>
    <w:rsid w:val="7BFA557D"/>
    <w:rsid w:val="7C027C80"/>
    <w:rsid w:val="7C376AA7"/>
    <w:rsid w:val="7C692875"/>
    <w:rsid w:val="7C8E41ED"/>
    <w:rsid w:val="7CC460D9"/>
    <w:rsid w:val="7D17343E"/>
    <w:rsid w:val="7D2232B3"/>
    <w:rsid w:val="7D4168D5"/>
    <w:rsid w:val="7DC60BF7"/>
    <w:rsid w:val="7DDA3B8E"/>
    <w:rsid w:val="7DEA5D17"/>
    <w:rsid w:val="7DF45A13"/>
    <w:rsid w:val="7DF87600"/>
    <w:rsid w:val="7E132A6B"/>
    <w:rsid w:val="7E370FE0"/>
    <w:rsid w:val="7E60325B"/>
    <w:rsid w:val="7E6265E4"/>
    <w:rsid w:val="7ED357E8"/>
    <w:rsid w:val="7EDC1B9E"/>
    <w:rsid w:val="7EF81461"/>
    <w:rsid w:val="7EF919FF"/>
    <w:rsid w:val="7EFB3E5E"/>
    <w:rsid w:val="7F2102C4"/>
    <w:rsid w:val="7F865318"/>
    <w:rsid w:val="7FCD6F00"/>
    <w:rsid w:val="7FD90BC0"/>
    <w:rsid w:val="7FDE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6"/>
    <w:qFormat/>
    <w:uiPriority w:val="0"/>
    <w:pPr>
      <w:keepNext/>
      <w:snapToGrid w:val="0"/>
      <w:spacing w:line="360" w:lineRule="atLeast"/>
      <w:outlineLvl w:val="0"/>
    </w:pPr>
    <w:rPr>
      <w:rFonts w:ascii="宋体"/>
    </w:rPr>
  </w:style>
  <w:style w:type="paragraph" w:styleId="3">
    <w:name w:val="heading 2"/>
    <w:basedOn w:val="1"/>
    <w:next w:val="1"/>
    <w:link w:val="7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5"/>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7"/>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8"/>
    <w:qFormat/>
    <w:uiPriority w:val="0"/>
  </w:style>
  <w:style w:type="paragraph" w:styleId="33">
    <w:name w:val="Body Text Indent 2"/>
    <w:basedOn w:val="1"/>
    <w:link w:val="79"/>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next w:val="36"/>
    <w:qFormat/>
    <w:uiPriority w:val="0"/>
    <w:pPr>
      <w:tabs>
        <w:tab w:val="center" w:pos="4153"/>
        <w:tab w:val="right" w:pos="8306"/>
      </w:tabs>
      <w:snapToGrid w:val="0"/>
      <w:jc w:val="left"/>
    </w:pPr>
    <w:rPr>
      <w:sz w:val="18"/>
    </w:rPr>
  </w:style>
  <w:style w:type="paragraph" w:customStyle="1" w:styleId="36">
    <w:name w:val="索引 51"/>
    <w:basedOn w:val="1"/>
    <w:next w:val="1"/>
    <w:qFormat/>
    <w:uiPriority w:val="0"/>
    <w:pPr>
      <w:ind w:left="1680"/>
    </w:pPr>
  </w:style>
  <w:style w:type="paragraph" w:styleId="37">
    <w:name w:val="envelope return"/>
    <w:basedOn w:val="1"/>
    <w:qFormat/>
    <w:uiPriority w:val="0"/>
    <w:pPr>
      <w:snapToGrid w:val="0"/>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80"/>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1"/>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3"/>
    <w:link w:val="82"/>
    <w:qFormat/>
    <w:uiPriority w:val="0"/>
    <w:pPr>
      <w:spacing w:after="120" w:line="240" w:lineRule="auto"/>
      <w:ind w:left="420" w:leftChars="200" w:firstLine="420" w:firstLineChars="200"/>
    </w:p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0"/>
    <w:rPr>
      <w:b/>
      <w:bCs/>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basedOn w:val="61"/>
    <w:qFormat/>
    <w:uiPriority w:val="0"/>
  </w:style>
  <w:style w:type="character" w:styleId="66">
    <w:name w:val="HTML Definition"/>
    <w:basedOn w:val="61"/>
    <w:semiHidden/>
    <w:unhideWhenUsed/>
    <w:qFormat/>
    <w:uiPriority w:val="99"/>
    <w:rPr>
      <w:i/>
      <w:iCs/>
    </w:rPr>
  </w:style>
  <w:style w:type="character" w:styleId="67">
    <w:name w:val="Hyperlink"/>
    <w:qFormat/>
    <w:uiPriority w:val="99"/>
    <w:rPr>
      <w:color w:val="0000FF"/>
      <w:u w:val="single"/>
    </w:rPr>
  </w:style>
  <w:style w:type="character" w:styleId="68">
    <w:name w:val="HTML Code"/>
    <w:basedOn w:val="61"/>
    <w:semiHidden/>
    <w:unhideWhenUsed/>
    <w:qFormat/>
    <w:uiPriority w:val="99"/>
    <w:rPr>
      <w:rFonts w:hint="default" w:ascii="Consolas" w:hAnsi="Consolas" w:eastAsia="Consolas" w:cs="Consolas"/>
      <w:color w:val="C7254E"/>
      <w:sz w:val="21"/>
      <w:szCs w:val="21"/>
      <w:shd w:val="clear" w:fill="F9F2F4"/>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styleId="71">
    <w:name w:val="HTML Keyboard"/>
    <w:basedOn w:val="61"/>
    <w:semiHidden/>
    <w:unhideWhenUsed/>
    <w:qFormat/>
    <w:uiPriority w:val="99"/>
    <w:rPr>
      <w:rFonts w:ascii="Consolas" w:hAnsi="Consolas" w:eastAsia="Consolas" w:cs="Consolas"/>
      <w:color w:val="FFFFFF"/>
      <w:sz w:val="21"/>
      <w:szCs w:val="21"/>
      <w:shd w:val="clear" w:fill="333333"/>
    </w:rPr>
  </w:style>
  <w:style w:type="character" w:styleId="72">
    <w:name w:val="HTML Sample"/>
    <w:basedOn w:val="61"/>
    <w:semiHidden/>
    <w:unhideWhenUsed/>
    <w:qFormat/>
    <w:uiPriority w:val="99"/>
    <w:rPr>
      <w:rFonts w:hint="default" w:ascii="Consolas" w:hAnsi="Consolas" w:eastAsia="Consolas" w:cs="Consolas"/>
      <w:sz w:val="21"/>
      <w:szCs w:val="21"/>
    </w:rPr>
  </w:style>
  <w:style w:type="paragraph" w:customStyle="1" w:styleId="7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4">
    <w:name w:val="标题 2 Char"/>
    <w:link w:val="3"/>
    <w:qFormat/>
    <w:uiPriority w:val="0"/>
    <w:rPr>
      <w:rFonts w:ascii="Arial" w:hAnsi="Arial" w:eastAsia="黑体"/>
      <w:b/>
      <w:kern w:val="2"/>
      <w:sz w:val="32"/>
    </w:rPr>
  </w:style>
  <w:style w:type="character" w:customStyle="1" w:styleId="75">
    <w:name w:val="标题 3 Char"/>
    <w:link w:val="4"/>
    <w:qFormat/>
    <w:uiPriority w:val="0"/>
    <w:rPr>
      <w:rFonts w:eastAsia="宋体"/>
      <w:b/>
      <w:kern w:val="2"/>
      <w:sz w:val="32"/>
      <w:lang w:val="en-US" w:eastAsia="zh-CN"/>
    </w:rPr>
  </w:style>
  <w:style w:type="character" w:customStyle="1" w:styleId="76">
    <w:name w:val="批注文字 Char"/>
    <w:link w:val="19"/>
    <w:qFormat/>
    <w:uiPriority w:val="0"/>
    <w:rPr>
      <w:sz w:val="24"/>
    </w:rPr>
  </w:style>
  <w:style w:type="character" w:customStyle="1" w:styleId="77">
    <w:name w:val="正文文本缩进 Char"/>
    <w:link w:val="23"/>
    <w:qFormat/>
    <w:uiPriority w:val="0"/>
    <w:rPr>
      <w:kern w:val="2"/>
      <w:sz w:val="44"/>
    </w:rPr>
  </w:style>
  <w:style w:type="character" w:customStyle="1" w:styleId="78">
    <w:name w:val="日期 Char"/>
    <w:link w:val="32"/>
    <w:qFormat/>
    <w:uiPriority w:val="0"/>
    <w:rPr>
      <w:kern w:val="2"/>
      <w:sz w:val="28"/>
    </w:rPr>
  </w:style>
  <w:style w:type="character" w:customStyle="1" w:styleId="79">
    <w:name w:val="正文文本缩进 2 Char"/>
    <w:link w:val="33"/>
    <w:qFormat/>
    <w:uiPriority w:val="0"/>
    <w:rPr>
      <w:kern w:val="2"/>
      <w:sz w:val="28"/>
    </w:rPr>
  </w:style>
  <w:style w:type="character" w:customStyle="1" w:styleId="80">
    <w:name w:val="脚注文本 Char"/>
    <w:link w:val="42"/>
    <w:qFormat/>
    <w:uiPriority w:val="0"/>
    <w:rPr>
      <w:kern w:val="2"/>
      <w:sz w:val="18"/>
    </w:rPr>
  </w:style>
  <w:style w:type="character" w:customStyle="1" w:styleId="81">
    <w:name w:val="批注主题 Char"/>
    <w:link w:val="56"/>
    <w:qFormat/>
    <w:uiPriority w:val="0"/>
  </w:style>
  <w:style w:type="character" w:customStyle="1" w:styleId="82">
    <w:name w:val="正文首行缩进 2 Char"/>
    <w:link w:val="58"/>
    <w:qFormat/>
    <w:uiPriority w:val="0"/>
  </w:style>
  <w:style w:type="character" w:customStyle="1" w:styleId="83">
    <w:name w:val="未命名11"/>
    <w:qFormat/>
    <w:uiPriority w:val="0"/>
    <w:rPr>
      <w:color w:val="77FFFF"/>
      <w:sz w:val="24"/>
    </w:rPr>
  </w:style>
  <w:style w:type="character" w:customStyle="1" w:styleId="84">
    <w:name w:val="H2 Char"/>
    <w:qFormat/>
    <w:uiPriority w:val="0"/>
    <w:rPr>
      <w:rFonts w:ascii="Arial" w:hAnsi="Arial" w:eastAsia="宋体"/>
      <w:kern w:val="2"/>
      <w:sz w:val="28"/>
      <w:lang w:val="en-US" w:eastAsia="zh-CN"/>
    </w:rPr>
  </w:style>
  <w:style w:type="character" w:customStyle="1" w:styleId="85">
    <w:name w:val="样式 宋体"/>
    <w:qFormat/>
    <w:uiPriority w:val="0"/>
    <w:rPr>
      <w:rFonts w:ascii="宋体" w:hAnsi="宋体" w:eastAsia="宋体"/>
      <w:sz w:val="28"/>
    </w:rPr>
  </w:style>
  <w:style w:type="character" w:customStyle="1" w:styleId="86">
    <w:name w:val="content-white1"/>
    <w:qFormat/>
    <w:uiPriority w:val="0"/>
    <w:rPr>
      <w:rFonts w:ascii="_x000B__x000C_" w:hAnsi="_x000B__x000C_"/>
      <w:color w:val="auto"/>
      <w:sz w:val="18"/>
      <w:u w:val="none"/>
    </w:rPr>
  </w:style>
  <w:style w:type="character" w:customStyle="1" w:styleId="87">
    <w:name w:val="title_emph1"/>
    <w:qFormat/>
    <w:uiPriority w:val="0"/>
    <w:rPr>
      <w:rFonts w:hint="default" w:ascii="Arial" w:hAnsi="Arial"/>
      <w:b/>
      <w:sz w:val="20"/>
    </w:rPr>
  </w:style>
  <w:style w:type="character" w:customStyle="1" w:styleId="88">
    <w:name w:val="正文 + 三号 Char"/>
    <w:qFormat/>
    <w:uiPriority w:val="0"/>
    <w:rPr>
      <w:rFonts w:eastAsia="宋体"/>
      <w:kern w:val="2"/>
      <w:sz w:val="21"/>
      <w:lang w:val="en-US" w:eastAsia="zh-CN"/>
    </w:rPr>
  </w:style>
  <w:style w:type="character" w:customStyle="1" w:styleId="89">
    <w:name w:val="Char Char11"/>
    <w:qFormat/>
    <w:uiPriority w:val="0"/>
    <w:rPr>
      <w:rFonts w:ascii="宋体"/>
      <w:kern w:val="2"/>
      <w:sz w:val="28"/>
    </w:rPr>
  </w:style>
  <w:style w:type="character" w:customStyle="1" w:styleId="90">
    <w:name w:val="列出段落 Char"/>
    <w:link w:val="91"/>
    <w:qFormat/>
    <w:uiPriority w:val="0"/>
  </w:style>
  <w:style w:type="paragraph" w:styleId="91">
    <w:name w:val="List Paragraph"/>
    <w:basedOn w:val="1"/>
    <w:link w:val="90"/>
    <w:qFormat/>
    <w:uiPriority w:val="0"/>
    <w:pPr>
      <w:widowControl/>
      <w:ind w:firstLine="420" w:firstLineChars="200"/>
      <w:jc w:val="left"/>
    </w:pPr>
  </w:style>
  <w:style w:type="character" w:customStyle="1" w:styleId="92">
    <w:name w:val="文字 Char Char"/>
    <w:link w:val="93"/>
    <w:qFormat/>
    <w:uiPriority w:val="0"/>
    <w:rPr>
      <w:rFonts w:ascii="宋体"/>
      <w:kern w:val="2"/>
      <w:sz w:val="28"/>
    </w:rPr>
  </w:style>
  <w:style w:type="paragraph" w:customStyle="1" w:styleId="93">
    <w:name w:val="文字"/>
    <w:basedOn w:val="1"/>
    <w:link w:val="92"/>
    <w:qFormat/>
    <w:uiPriority w:val="0"/>
    <w:pPr>
      <w:tabs>
        <w:tab w:val="left" w:pos="8520"/>
      </w:tabs>
      <w:spacing w:line="312" w:lineRule="auto"/>
      <w:ind w:right="-210" w:firstLine="556"/>
    </w:pPr>
    <w:rPr>
      <w:rFonts w:ascii="宋体"/>
    </w:rPr>
  </w:style>
  <w:style w:type="character" w:customStyle="1" w:styleId="94">
    <w:name w:val="top-det1"/>
    <w:qFormat/>
    <w:uiPriority w:val="0"/>
    <w:rPr>
      <w:b/>
      <w:color w:val="000000"/>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Table Text Char1 Char Char"/>
    <w:qFormat/>
    <w:uiPriority w:val="0"/>
    <w:rPr>
      <w:rFonts w:ascii="Arial" w:hAnsi="Arial"/>
      <w:kern w:val="2"/>
      <w:sz w:val="18"/>
      <w:lang w:val="en-US" w:eastAsia="zh-CN" w:bidi="ar-SA"/>
    </w:rPr>
  </w:style>
  <w:style w:type="character" w:customStyle="1" w:styleId="97">
    <w:name w:val="Char Char7"/>
    <w:qFormat/>
    <w:uiPriority w:val="0"/>
    <w:rPr>
      <w:rFonts w:ascii="宋体" w:hAnsi="宋体" w:eastAsia="宋体"/>
      <w:kern w:val="2"/>
      <w:sz w:val="28"/>
    </w:rPr>
  </w:style>
  <w:style w:type="character" w:customStyle="1" w:styleId="98">
    <w:name w:val="小 Char"/>
    <w:qFormat/>
    <w:uiPriority w:val="0"/>
    <w:rPr>
      <w:rFonts w:ascii="宋体" w:hAnsi="Courier New" w:eastAsia="宋体"/>
      <w:kern w:val="2"/>
      <w:sz w:val="21"/>
      <w:lang w:val="en-US" w:eastAsia="zh-CN" w:bidi="ar-SA"/>
    </w:rPr>
  </w:style>
  <w:style w:type="character" w:customStyle="1" w:styleId="99">
    <w:name w:val="Char Char4"/>
    <w:qFormat/>
    <w:uiPriority w:val="0"/>
    <w:rPr>
      <w:rFonts w:eastAsia="宋体"/>
      <w:b/>
      <w:kern w:val="2"/>
      <w:sz w:val="21"/>
      <w:lang w:val="en-US" w:eastAsia="zh-CN"/>
    </w:rPr>
  </w:style>
  <w:style w:type="character" w:customStyle="1" w:styleId="100">
    <w:name w:val="crowed11"/>
    <w:qFormat/>
    <w:uiPriority w:val="0"/>
    <w:rPr>
      <w:rFonts w:hint="default" w:ascii="_x000B__x000C_" w:hAnsi="_x000B__x000C_"/>
      <w:sz w:val="24"/>
    </w:rPr>
  </w:style>
  <w:style w:type="character" w:customStyle="1" w:styleId="101">
    <w:name w:val="Char Char3"/>
    <w:qFormat/>
    <w:uiPriority w:val="0"/>
    <w:rPr>
      <w:rFonts w:eastAsia="宋体"/>
      <w:kern w:val="2"/>
      <w:sz w:val="18"/>
      <w:lang w:val="en-US" w:eastAsia="zh-CN"/>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标书正文:  0.74 厘米 Char1"/>
    <w:qFormat/>
    <w:uiPriority w:val="0"/>
    <w:rPr>
      <w:rFonts w:eastAsia="宋体"/>
      <w:kern w:val="2"/>
      <w:sz w:val="24"/>
      <w:lang w:val="en-US" w:eastAsia="zh-CN"/>
    </w:rPr>
  </w:style>
  <w:style w:type="character" w:customStyle="1" w:styleId="104">
    <w:name w:val="Char Char6"/>
    <w:qFormat/>
    <w:uiPriority w:val="0"/>
    <w:rPr>
      <w:rFonts w:ascii="仿宋_GB2312" w:eastAsia="仿宋_GB2312"/>
      <w:kern w:val="2"/>
      <w:sz w:val="32"/>
    </w:rPr>
  </w:style>
  <w:style w:type="character" w:customStyle="1" w:styleId="105">
    <w:name w:val="v151"/>
    <w:qFormat/>
    <w:uiPriority w:val="0"/>
    <w:rPr>
      <w:sz w:val="18"/>
    </w:rPr>
  </w:style>
  <w:style w:type="character" w:customStyle="1" w:styleId="106">
    <w:name w:val="font1"/>
    <w:qFormat/>
    <w:uiPriority w:val="0"/>
    <w:rPr>
      <w:color w:val="000000"/>
      <w:sz w:val="18"/>
    </w:rPr>
  </w:style>
  <w:style w:type="character" w:customStyle="1" w:styleId="107">
    <w:name w:val="Table Text Char Char Char Char"/>
    <w:link w:val="108"/>
    <w:qFormat/>
    <w:uiPriority w:val="0"/>
    <w:rPr>
      <w:rFonts w:ascii="Arial" w:hAnsi="Arial"/>
      <w:kern w:val="2"/>
      <w:sz w:val="18"/>
      <w:lang w:val="en-US" w:eastAsia="zh-CN" w:bidi="ar-SA"/>
    </w:rPr>
  </w:style>
  <w:style w:type="paragraph" w:customStyle="1" w:styleId="108">
    <w:name w:val="Table Text"/>
    <w:link w:val="107"/>
    <w:qFormat/>
    <w:uiPriority w:val="0"/>
    <w:pPr>
      <w:snapToGrid w:val="0"/>
      <w:spacing w:before="80" w:after="80"/>
    </w:pPr>
    <w:rPr>
      <w:rFonts w:ascii="Arial" w:hAnsi="Arial" w:eastAsia="宋体" w:cs="Times New Roman"/>
      <w:kern w:val="2"/>
      <w:sz w:val="18"/>
      <w:lang w:val="en-US" w:eastAsia="zh-CN" w:bidi="ar-SA"/>
    </w:rPr>
  </w:style>
  <w:style w:type="character" w:customStyle="1" w:styleId="109">
    <w:name w:val="Char Char2"/>
    <w:qFormat/>
    <w:uiPriority w:val="0"/>
    <w:rPr>
      <w:rFonts w:eastAsia="宋体"/>
      <w:kern w:val="2"/>
      <w:sz w:val="18"/>
      <w:lang w:val="en-US" w:eastAsia="zh-CN"/>
    </w:rPr>
  </w:style>
  <w:style w:type="character" w:customStyle="1" w:styleId="110">
    <w:name w:val="Char Char Char Char Char Char Char Char Char"/>
    <w:qFormat/>
    <w:uiPriority w:val="0"/>
    <w:rPr>
      <w:rFonts w:ascii="宋体" w:hAnsi="宋体" w:eastAsia="宋体"/>
      <w:kern w:val="2"/>
      <w:sz w:val="24"/>
      <w:lang w:val="en-US" w:eastAsia="zh-CN" w:bidi="ar-SA"/>
    </w:rPr>
  </w:style>
  <w:style w:type="paragraph" w:customStyle="1" w:styleId="1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4">
    <w:name w:val="图片文字"/>
    <w:basedOn w:val="1"/>
    <w:qFormat/>
    <w:uiPriority w:val="0"/>
    <w:pPr>
      <w:spacing w:line="240" w:lineRule="atLeast"/>
      <w:jc w:val="center"/>
    </w:pPr>
    <w:rPr>
      <w:sz w:val="21"/>
    </w:rPr>
  </w:style>
  <w:style w:type="paragraph" w:customStyle="1" w:styleId="115">
    <w:name w:val="默认段落字体 Para Char Char Char Char Char Char Char Char Char1 Char Char Char Char"/>
    <w:basedOn w:val="1"/>
    <w:qFormat/>
    <w:uiPriority w:val="0"/>
    <w:rPr>
      <w:rFonts w:ascii="Tahoma" w:hAnsi="Tahoma"/>
      <w:sz w:val="24"/>
    </w:rPr>
  </w:style>
  <w:style w:type="paragraph" w:customStyle="1" w:styleId="116">
    <w:name w:val="Char Char 字元 字元 字元 Char Char Char Char"/>
    <w:basedOn w:val="1"/>
    <w:qFormat/>
    <w:uiPriority w:val="0"/>
    <w:pPr>
      <w:adjustRightInd w:val="0"/>
      <w:spacing w:line="360" w:lineRule="auto"/>
    </w:pPr>
    <w:rPr>
      <w:kern w:val="0"/>
      <w:sz w:val="24"/>
    </w:rPr>
  </w:style>
  <w:style w:type="paragraph" w:customStyle="1" w:styleId="1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正文（首行不缩进）"/>
    <w:basedOn w:val="1"/>
    <w:qFormat/>
    <w:uiPriority w:val="0"/>
    <w:pPr>
      <w:autoSpaceDE w:val="0"/>
      <w:autoSpaceDN w:val="0"/>
      <w:adjustRightInd w:val="0"/>
      <w:spacing w:line="360" w:lineRule="auto"/>
      <w:jc w:val="left"/>
    </w:pPr>
    <w:rPr>
      <w:kern w:val="0"/>
      <w:sz w:val="21"/>
    </w:rPr>
  </w:style>
  <w:style w:type="paragraph" w:customStyle="1" w:styleId="12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1">
    <w:name w:val="表格文本"/>
    <w:qFormat/>
    <w:uiPriority w:val="0"/>
    <w:pPr>
      <w:tabs>
        <w:tab w:val="decimal" w:pos="0"/>
      </w:tabs>
    </w:pPr>
    <w:rPr>
      <w:rFonts w:ascii="Arial" w:hAnsi="Arial" w:eastAsia="宋体" w:cs="Times New Roman"/>
      <w:sz w:val="21"/>
      <w:lang w:val="en-US" w:eastAsia="zh-CN" w:bidi="ar-SA"/>
    </w:rPr>
  </w:style>
  <w:style w:type="paragraph" w:customStyle="1" w:styleId="122">
    <w:name w:val="样式 样式 首行缩进:  2 字符 + 首行缩进:  2 字符"/>
    <w:basedOn w:val="1"/>
    <w:qFormat/>
    <w:uiPriority w:val="0"/>
    <w:pPr>
      <w:numPr>
        <w:ilvl w:val="0"/>
        <w:numId w:val="4"/>
      </w:numPr>
      <w:tabs>
        <w:tab w:val="clear" w:pos="1230"/>
      </w:tabs>
      <w:spacing w:line="360" w:lineRule="auto"/>
      <w:ind w:firstLine="480" w:firstLineChars="200"/>
    </w:pPr>
    <w:rPr>
      <w:sz w:val="24"/>
    </w:rPr>
  </w:style>
  <w:style w:type="paragraph" w:customStyle="1" w:styleId="12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24">
    <w:name w:val="标准正文"/>
    <w:basedOn w:val="23"/>
    <w:qFormat/>
    <w:uiPriority w:val="0"/>
    <w:pPr>
      <w:spacing w:before="60" w:after="60" w:line="360" w:lineRule="auto"/>
      <w:ind w:left="0" w:firstLine="482"/>
    </w:pPr>
    <w:rPr>
      <w:rFonts w:ascii="Arial" w:hAnsi="Arial"/>
      <w:sz w:val="24"/>
    </w:rPr>
  </w:style>
  <w:style w:type="paragraph" w:customStyle="1" w:styleId="1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Char"/>
    <w:basedOn w:val="1"/>
    <w:qFormat/>
    <w:uiPriority w:val="0"/>
    <w:pPr>
      <w:spacing w:line="240" w:lineRule="atLeast"/>
      <w:ind w:left="420" w:firstLine="420"/>
    </w:pPr>
    <w:rPr>
      <w:kern w:val="0"/>
      <w:sz w:val="21"/>
    </w:rPr>
  </w:style>
  <w:style w:type="paragraph" w:customStyle="1" w:styleId="127">
    <w:name w:val="首行缩进 1"/>
    <w:basedOn w:val="1"/>
    <w:qFormat/>
    <w:uiPriority w:val="0"/>
    <w:pPr>
      <w:spacing w:after="120" w:line="360" w:lineRule="auto"/>
      <w:ind w:firstLine="200" w:firstLineChars="200"/>
    </w:pPr>
    <w:rPr>
      <w:sz w:val="24"/>
    </w:rPr>
  </w:style>
  <w:style w:type="paragraph" w:customStyle="1" w:styleId="12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2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0">
    <w:name w:val="正文文本缩进 21"/>
    <w:basedOn w:val="1"/>
    <w:qFormat/>
    <w:uiPriority w:val="0"/>
    <w:pPr>
      <w:adjustRightInd w:val="0"/>
      <w:spacing w:before="120"/>
      <w:ind w:firstLine="420"/>
      <w:textAlignment w:val="baseline"/>
    </w:pPr>
    <w:rPr>
      <w:sz w:val="24"/>
    </w:rPr>
  </w:style>
  <w:style w:type="paragraph" w:customStyle="1" w:styleId="131">
    <w:name w:val="表文字"/>
    <w:qFormat/>
    <w:uiPriority w:val="0"/>
    <w:rPr>
      <w:rFonts w:ascii="宋体" w:hAnsi="Times New Roman" w:eastAsia="宋体" w:cs="Times New Roman"/>
      <w:kern w:val="2"/>
      <w:lang w:val="en-US" w:eastAsia="zh-CN" w:bidi="ar-SA"/>
    </w:rPr>
  </w:style>
  <w:style w:type="paragraph" w:customStyle="1" w:styleId="13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3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7">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38">
    <w:name w:val="图例"/>
    <w:basedOn w:val="1"/>
    <w:qFormat/>
    <w:uiPriority w:val="0"/>
    <w:pPr>
      <w:spacing w:before="120" w:after="120" w:line="360" w:lineRule="auto"/>
      <w:jc w:val="center"/>
    </w:pPr>
    <w:rPr>
      <w:rFonts w:eastAsia="仿宋_GB2312"/>
      <w:b/>
      <w:sz w:val="24"/>
    </w:rPr>
  </w:style>
  <w:style w:type="paragraph" w:customStyle="1" w:styleId="139">
    <w:name w:val="正文文本 21"/>
    <w:basedOn w:val="1"/>
    <w:qFormat/>
    <w:uiPriority w:val="0"/>
    <w:pPr>
      <w:adjustRightInd w:val="0"/>
      <w:spacing w:before="120" w:line="360" w:lineRule="auto"/>
      <w:ind w:firstLine="480"/>
      <w:textAlignment w:val="baseline"/>
    </w:pPr>
    <w:rPr>
      <w:sz w:val="24"/>
    </w:rPr>
  </w:style>
  <w:style w:type="paragraph" w:customStyle="1" w:styleId="140">
    <w:name w:val="内容标题"/>
    <w:basedOn w:val="17"/>
    <w:qFormat/>
    <w:uiPriority w:val="0"/>
    <w:rPr>
      <w:rFonts w:ascii="Tahoma" w:hAnsi="Tahoma"/>
      <w:sz w:val="24"/>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表头样式"/>
    <w:basedOn w:val="1"/>
    <w:qFormat/>
    <w:uiPriority w:val="0"/>
    <w:pPr>
      <w:autoSpaceDE w:val="0"/>
      <w:autoSpaceDN w:val="0"/>
      <w:adjustRightInd w:val="0"/>
      <w:spacing w:line="360" w:lineRule="auto"/>
      <w:jc w:val="left"/>
    </w:pPr>
    <w:rPr>
      <w:b/>
      <w:kern w:val="0"/>
      <w:sz w:val="21"/>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标题3——2"/>
    <w:basedOn w:val="4"/>
    <w:next w:val="57"/>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6">
    <w:name w:val="Char Char14 Char Char"/>
    <w:basedOn w:val="1"/>
    <w:qFormat/>
    <w:uiPriority w:val="0"/>
    <w:rPr>
      <w:sz w:val="21"/>
      <w:szCs w:val="24"/>
    </w:rPr>
  </w:style>
  <w:style w:type="paragraph" w:customStyle="1" w:styleId="147">
    <w:name w:val="1"/>
    <w:basedOn w:val="1"/>
    <w:next w:val="30"/>
    <w:qFormat/>
    <w:uiPriority w:val="0"/>
    <w:rPr>
      <w:rFonts w:ascii="宋体" w:hAnsi="Courier New"/>
      <w:sz w:val="21"/>
    </w:rPr>
  </w:style>
  <w:style w:type="paragraph" w:customStyle="1" w:styleId="148">
    <w:name w:val="标书正文:  0.74 厘米"/>
    <w:basedOn w:val="1"/>
    <w:qFormat/>
    <w:uiPriority w:val="0"/>
    <w:pPr>
      <w:snapToGrid w:val="0"/>
      <w:spacing w:line="360" w:lineRule="auto"/>
      <w:ind w:firstLine="420"/>
    </w:pPr>
    <w:rPr>
      <w:sz w:val="24"/>
    </w:rPr>
  </w:style>
  <w:style w:type="paragraph" w:customStyle="1" w:styleId="149">
    <w:name w:val="首行缩进"/>
    <w:basedOn w:val="1"/>
    <w:qFormat/>
    <w:uiPriority w:val="0"/>
    <w:pPr>
      <w:numPr>
        <w:ilvl w:val="0"/>
        <w:numId w:val="5"/>
      </w:numPr>
      <w:spacing w:line="360" w:lineRule="auto"/>
    </w:pPr>
    <w:rPr>
      <w:rFonts w:eastAsia="仿宋_GB2312"/>
    </w:rPr>
  </w:style>
  <w:style w:type="paragraph" w:customStyle="1" w:styleId="150">
    <w:name w:val="Char1"/>
    <w:basedOn w:val="1"/>
    <w:qFormat/>
    <w:uiPriority w:val="0"/>
    <w:rPr>
      <w:sz w:val="21"/>
    </w:rPr>
  </w:style>
  <w:style w:type="paragraph" w:customStyle="1" w:styleId="151">
    <w:name w:val="IN Feature"/>
    <w:next w:val="15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3">
    <w:name w:val="样式 宋体 五号 行距: 单倍行距"/>
    <w:basedOn w:val="1"/>
    <w:qFormat/>
    <w:uiPriority w:val="0"/>
    <w:pPr>
      <w:adjustRightInd w:val="0"/>
      <w:jc w:val="left"/>
    </w:pPr>
    <w:rPr>
      <w:rFonts w:ascii="宋体" w:hAnsi="宋体"/>
      <w:kern w:val="0"/>
      <w:sz w:val="21"/>
    </w:rPr>
  </w:style>
  <w:style w:type="paragraph" w:customStyle="1" w:styleId="154">
    <w:name w:val="Title - Revision"/>
    <w:basedOn w:val="55"/>
    <w:qFormat/>
    <w:uiPriority w:val="0"/>
    <w:pPr>
      <w:spacing w:before="720"/>
    </w:p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57">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正文 + 三号"/>
    <w:basedOn w:val="1"/>
    <w:qFormat/>
    <w:uiPriority w:val="0"/>
    <w:rPr>
      <w:sz w:val="21"/>
    </w:rPr>
  </w:style>
  <w:style w:type="paragraph" w:customStyle="1" w:styleId="1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1">
    <w:name w:val="样式2"/>
    <w:basedOn w:val="5"/>
    <w:qFormat/>
    <w:uiPriority w:val="0"/>
    <w:pPr>
      <w:numPr>
        <w:ilvl w:val="0"/>
        <w:numId w:val="8"/>
      </w:numPr>
      <w:spacing w:before="560" w:line="400" w:lineRule="exact"/>
      <w:jc w:val="center"/>
      <w:outlineLvl w:val="0"/>
    </w:pPr>
    <w:rPr>
      <w:b w:val="0"/>
      <w:sz w:val="44"/>
    </w:rPr>
  </w:style>
  <w:style w:type="paragraph" w:customStyle="1" w:styleId="162">
    <w:name w:val="文章正文"/>
    <w:basedOn w:val="1"/>
    <w:qFormat/>
    <w:uiPriority w:val="0"/>
    <w:pPr>
      <w:ind w:firstLine="560" w:firstLineChars="200"/>
    </w:pPr>
    <w:rPr>
      <w:rFonts w:ascii="仿宋_GB2312" w:hAnsi="宋体" w:eastAsia="仿宋_GB2312"/>
      <w:color w:val="000000"/>
    </w:rPr>
  </w:style>
  <w:style w:type="paragraph" w:customStyle="1" w:styleId="16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5">
    <w:name w:val="没有缩进（为图形使用）"/>
    <w:basedOn w:val="1"/>
    <w:qFormat/>
    <w:uiPriority w:val="0"/>
    <w:pPr>
      <w:spacing w:before="120" w:after="120" w:line="360" w:lineRule="auto"/>
    </w:pPr>
    <w:rPr>
      <w:sz w:val="24"/>
    </w:rPr>
  </w:style>
  <w:style w:type="paragraph" w:customStyle="1" w:styleId="166">
    <w:name w:val="文本1"/>
    <w:basedOn w:val="1"/>
    <w:qFormat/>
    <w:uiPriority w:val="0"/>
    <w:pPr>
      <w:adjustRightInd w:val="0"/>
      <w:spacing w:line="312" w:lineRule="atLeast"/>
      <w:jc w:val="center"/>
      <w:textAlignment w:val="baseline"/>
    </w:pPr>
    <w:rPr>
      <w:kern w:val="0"/>
      <w:sz w:val="18"/>
    </w:rPr>
  </w:style>
  <w:style w:type="paragraph" w:customStyle="1" w:styleId="167">
    <w:name w:val="Char Char1 Char"/>
    <w:basedOn w:val="1"/>
    <w:qFormat/>
    <w:uiPriority w:val="0"/>
    <w:rPr>
      <w:rFonts w:ascii="Tahoma" w:hAnsi="Tahoma"/>
      <w:sz w:val="24"/>
      <w:szCs w:val="24"/>
    </w:rPr>
  </w:style>
  <w:style w:type="paragraph" w:customStyle="1" w:styleId="16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9">
    <w:name w:val="Char Char Char"/>
    <w:basedOn w:val="1"/>
    <w:qFormat/>
    <w:uiPriority w:val="0"/>
    <w:rPr>
      <w:rFonts w:ascii="Tahoma" w:hAnsi="Tahoma"/>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文本框样式1"/>
    <w:basedOn w:val="1"/>
    <w:qFormat/>
    <w:uiPriority w:val="0"/>
    <w:pPr>
      <w:adjustRightInd w:val="0"/>
      <w:snapToGrid w:val="0"/>
      <w:spacing w:before="60" w:line="180" w:lineRule="exact"/>
      <w:jc w:val="center"/>
    </w:pPr>
    <w:rPr>
      <w:sz w:val="21"/>
    </w:rPr>
  </w:style>
  <w:style w:type="paragraph" w:customStyle="1" w:styleId="172">
    <w:name w:val="Note"/>
    <w:basedOn w:val="1"/>
    <w:qFormat/>
    <w:uiPriority w:val="0"/>
    <w:pPr>
      <w:pBdr>
        <w:top w:val="single" w:color="auto" w:sz="12" w:space="3"/>
        <w:bottom w:val="single" w:color="auto" w:sz="12" w:space="3"/>
      </w:pBdr>
      <w:spacing w:line="360" w:lineRule="auto"/>
    </w:pPr>
    <w:rPr>
      <w:sz w:val="24"/>
    </w:rPr>
  </w:style>
  <w:style w:type="paragraph" w:customStyle="1" w:styleId="173">
    <w:name w:val="二级条标题"/>
    <w:basedOn w:val="174"/>
    <w:next w:val="111"/>
    <w:qFormat/>
    <w:uiPriority w:val="0"/>
    <w:pPr>
      <w:ind w:left="840"/>
      <w:outlineLvl w:val="3"/>
    </w:pPr>
  </w:style>
  <w:style w:type="paragraph" w:customStyle="1" w:styleId="174">
    <w:name w:val="一级条标题"/>
    <w:basedOn w:val="175"/>
    <w:next w:val="111"/>
    <w:qFormat/>
    <w:uiPriority w:val="0"/>
    <w:pPr>
      <w:numPr>
        <w:numId w:val="0"/>
      </w:numPr>
      <w:spacing w:before="0" w:beforeLines="0" w:after="0" w:afterLines="0"/>
      <w:ind w:left="525"/>
      <w:outlineLvl w:val="2"/>
    </w:pPr>
    <w:rPr>
      <w:sz w:val="21"/>
    </w:rPr>
  </w:style>
  <w:style w:type="paragraph" w:customStyle="1" w:styleId="175">
    <w:name w:val="章标题"/>
    <w:next w:val="1"/>
    <w:qFormat/>
    <w:uiPriority w:val="0"/>
    <w:pPr>
      <w:numPr>
        <w:ilvl w:val="1"/>
        <w:numId w:val="9"/>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6">
    <w:name w:val="正文4"/>
    <w:basedOn w:val="1"/>
    <w:qFormat/>
    <w:uiPriority w:val="0"/>
    <w:pPr>
      <w:tabs>
        <w:tab w:val="left" w:pos="1275"/>
      </w:tabs>
      <w:spacing w:before="60" w:after="60" w:line="360" w:lineRule="auto"/>
      <w:ind w:left="820" w:leftChars="400" w:hanging="705"/>
    </w:pPr>
    <w:rPr>
      <w:sz w:val="24"/>
    </w:rPr>
  </w:style>
  <w:style w:type="paragraph" w:customStyle="1" w:styleId="177">
    <w:name w:val="Char1 Char Char Char"/>
    <w:basedOn w:val="1"/>
    <w:qFormat/>
    <w:uiPriority w:val="0"/>
    <w:rPr>
      <w:rFonts w:ascii="Tahoma" w:hAnsi="Tahoma"/>
      <w:sz w:val="30"/>
    </w:rPr>
  </w:style>
  <w:style w:type="paragraph" w:customStyle="1" w:styleId="178">
    <w:name w:val="00"/>
    <w:basedOn w:val="1"/>
    <w:qFormat/>
    <w:uiPriority w:val="0"/>
    <w:pPr>
      <w:autoSpaceDE w:val="0"/>
      <w:autoSpaceDN w:val="0"/>
      <w:adjustRightInd w:val="0"/>
      <w:jc w:val="left"/>
    </w:pPr>
    <w:rPr>
      <w:rFonts w:ascii="黑体" w:eastAsia="黑体"/>
      <w:b/>
      <w:kern w:val="0"/>
      <w:sz w:val="20"/>
    </w:rPr>
  </w:style>
  <w:style w:type="paragraph" w:customStyle="1" w:styleId="17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0">
    <w:name w:val="样式 行距: 1.5 倍行距1"/>
    <w:basedOn w:val="1"/>
    <w:qFormat/>
    <w:uiPriority w:val="0"/>
    <w:pPr>
      <w:snapToGrid w:val="0"/>
    </w:pPr>
    <w:rPr>
      <w:sz w:val="21"/>
    </w:rPr>
  </w:style>
  <w:style w:type="paragraph" w:customStyle="1" w:styleId="181">
    <w:name w:val="样式4"/>
    <w:basedOn w:val="5"/>
    <w:qFormat/>
    <w:uiPriority w:val="0"/>
    <w:pPr>
      <w:adjustRightInd w:val="0"/>
      <w:snapToGrid w:val="0"/>
    </w:pPr>
  </w:style>
  <w:style w:type="paragraph" w:customStyle="1" w:styleId="182">
    <w:name w:val="可研正文"/>
    <w:basedOn w:val="22"/>
    <w:qFormat/>
    <w:uiPriority w:val="0"/>
    <w:pPr>
      <w:adjustRightInd w:val="0"/>
      <w:snapToGrid w:val="0"/>
      <w:spacing w:line="440" w:lineRule="exact"/>
      <w:ind w:firstLine="567"/>
    </w:pPr>
    <w:rPr>
      <w:sz w:val="28"/>
    </w:rPr>
  </w:style>
  <w:style w:type="paragraph" w:customStyle="1" w:styleId="18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4">
    <w:name w:val="Char Char Char Char Char"/>
    <w:basedOn w:val="1"/>
    <w:qFormat/>
    <w:uiPriority w:val="0"/>
    <w:pPr>
      <w:numPr>
        <w:ilvl w:val="0"/>
        <w:numId w:val="10"/>
      </w:numPr>
      <w:tabs>
        <w:tab w:val="left" w:pos="425"/>
        <w:tab w:val="clear" w:pos="1620"/>
      </w:tabs>
    </w:pPr>
    <w:rPr>
      <w:rFonts w:ascii="Tahoma" w:hAnsi="Tahoma"/>
      <w:sz w:val="24"/>
    </w:rPr>
  </w:style>
  <w:style w:type="paragraph" w:customStyle="1" w:styleId="18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6">
    <w:name w:val="关键词"/>
    <w:basedOn w:val="1"/>
    <w:next w:val="1"/>
    <w:qFormat/>
    <w:uiPriority w:val="0"/>
    <w:pPr>
      <w:spacing w:line="360" w:lineRule="auto"/>
    </w:pPr>
    <w:rPr>
      <w:rFonts w:eastAsia="黑体"/>
      <w:sz w:val="20"/>
    </w:rPr>
  </w:style>
  <w:style w:type="paragraph" w:customStyle="1" w:styleId="18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1">
    <w:name w:val="1.正文"/>
    <w:basedOn w:val="1"/>
    <w:qFormat/>
    <w:uiPriority w:val="0"/>
    <w:pPr>
      <w:spacing w:line="360" w:lineRule="auto"/>
      <w:ind w:left="540" w:leftChars="225" w:firstLine="540" w:firstLineChars="225"/>
    </w:pPr>
    <w:rPr>
      <w:sz w:val="24"/>
    </w:rPr>
  </w:style>
  <w:style w:type="paragraph" w:customStyle="1" w:styleId="192">
    <w:name w:val="Char2"/>
    <w:basedOn w:val="1"/>
    <w:qFormat/>
    <w:uiPriority w:val="0"/>
    <w:pPr>
      <w:spacing w:line="240" w:lineRule="atLeast"/>
      <w:ind w:left="420" w:firstLine="420"/>
    </w:pPr>
    <w:rPr>
      <w:kern w:val="0"/>
      <w:sz w:val="21"/>
    </w:rPr>
  </w:style>
  <w:style w:type="paragraph" w:customStyle="1" w:styleId="19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5">
    <w:name w:val="Title - Date"/>
    <w:basedOn w:val="55"/>
    <w:next w:val="1"/>
    <w:qFormat/>
    <w:uiPriority w:val="0"/>
    <w:pPr>
      <w:spacing w:before="240" w:after="720"/>
    </w:pPr>
    <w:rPr>
      <w:sz w:val="28"/>
    </w:rPr>
  </w:style>
  <w:style w:type="paragraph" w:customStyle="1" w:styleId="196">
    <w:name w:val="编号正文"/>
    <w:basedOn w:val="197"/>
    <w:qFormat/>
    <w:uiPriority w:val="0"/>
    <w:pPr>
      <w:snapToGrid/>
      <w:spacing w:line="360" w:lineRule="auto"/>
      <w:ind w:left="1407" w:hanging="1047"/>
      <w:jc w:val="left"/>
    </w:pPr>
    <w:rPr>
      <w:rFonts w:eastAsia="仿宋_GB2312"/>
    </w:rPr>
  </w:style>
  <w:style w:type="paragraph" w:customStyle="1" w:styleId="1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8">
    <w:name w:val="附录3"/>
    <w:basedOn w:val="1"/>
    <w:next w:val="1"/>
    <w:qFormat/>
    <w:uiPriority w:val="0"/>
    <w:pPr>
      <w:tabs>
        <w:tab w:val="left" w:pos="851"/>
      </w:tabs>
      <w:ind w:left="425" w:hanging="425"/>
      <w:outlineLvl w:val="2"/>
    </w:pPr>
    <w:rPr>
      <w:rFonts w:eastAsia="黑体"/>
      <w:b/>
      <w:sz w:val="32"/>
    </w:rPr>
  </w:style>
  <w:style w:type="paragraph" w:customStyle="1" w:styleId="199">
    <w:name w:val="Char1 Char Char Char1"/>
    <w:basedOn w:val="1"/>
    <w:qFormat/>
    <w:uiPriority w:val="0"/>
    <w:rPr>
      <w:rFonts w:ascii="Tahoma" w:hAnsi="Tahoma"/>
      <w:sz w:val="24"/>
    </w:rPr>
  </w:style>
  <w:style w:type="paragraph" w:customStyle="1" w:styleId="200">
    <w:name w:val="af"/>
    <w:basedOn w:val="1"/>
    <w:qFormat/>
    <w:uiPriority w:val="0"/>
    <w:pPr>
      <w:widowControl/>
      <w:spacing w:line="300" w:lineRule="atLeast"/>
      <w:jc w:val="left"/>
    </w:pPr>
    <w:rPr>
      <w:rFonts w:ascii="宋体" w:hAnsi="宋体"/>
      <w:kern w:val="0"/>
      <w:sz w:val="18"/>
    </w:rPr>
  </w:style>
  <w:style w:type="paragraph" w:customStyle="1" w:styleId="201">
    <w:name w:val="样式 正文缩进正文（首行缩进两字）表正文正文非缩进特点标题4段1 + 首行缩进:  2 字符"/>
    <w:basedOn w:val="15"/>
    <w:qFormat/>
    <w:uiPriority w:val="0"/>
    <w:pPr>
      <w:ind w:firstLine="480" w:firstLineChars="200"/>
    </w:pPr>
  </w:style>
  <w:style w:type="paragraph" w:customStyle="1" w:styleId="20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3">
    <w:name w:val="Style Heading 3h3Heading 3 - oldLevel 3 HeadH3level_3PIM 3se..."/>
    <w:basedOn w:val="4"/>
    <w:qFormat/>
    <w:uiPriority w:val="0"/>
    <w:pPr>
      <w:tabs>
        <w:tab w:val="left" w:pos="709"/>
        <w:tab w:val="left" w:pos="1620"/>
      </w:tabs>
      <w:ind w:left="1620" w:hanging="360"/>
    </w:pPr>
  </w:style>
  <w:style w:type="paragraph" w:customStyle="1" w:styleId="20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05">
    <w:name w:val="Char Char Char Char Char Char Char"/>
    <w:basedOn w:val="17"/>
    <w:qFormat/>
    <w:uiPriority w:val="0"/>
    <w:rPr>
      <w:rFonts w:ascii="宋体" w:hAnsi="Tahoma"/>
    </w:rPr>
  </w:style>
  <w:style w:type="paragraph" w:customStyle="1" w:styleId="2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8">
    <w:name w:val="表头文本"/>
    <w:qFormat/>
    <w:uiPriority w:val="0"/>
    <w:pPr>
      <w:jc w:val="center"/>
    </w:pPr>
    <w:rPr>
      <w:rFonts w:ascii="Arial" w:hAnsi="Arial" w:eastAsia="宋体" w:cs="Times New Roman"/>
      <w:b/>
      <w:sz w:val="21"/>
      <w:lang w:val="en-US" w:eastAsia="zh-CN" w:bidi="ar-SA"/>
    </w:rPr>
  </w:style>
  <w:style w:type="paragraph" w:customStyle="1" w:styleId="20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0">
    <w:name w:val="样式1"/>
    <w:basedOn w:val="5"/>
    <w:qFormat/>
    <w:uiPriority w:val="0"/>
    <w:pPr>
      <w:tabs>
        <w:tab w:val="left" w:pos="720"/>
      </w:tabs>
      <w:spacing w:before="500" w:after="260" w:line="560" w:lineRule="atLeast"/>
      <w:ind w:left="420" w:hanging="420"/>
    </w:pPr>
  </w:style>
  <w:style w:type="paragraph" w:customStyle="1" w:styleId="21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2">
    <w:name w:val="正文字缩2字"/>
    <w:basedOn w:val="1"/>
    <w:qFormat/>
    <w:uiPriority w:val="0"/>
    <w:pPr>
      <w:spacing w:before="60" w:after="60" w:line="360" w:lineRule="auto"/>
      <w:ind w:left="200" w:leftChars="200" w:firstLine="200" w:firstLineChars="200"/>
    </w:pPr>
    <w:rPr>
      <w:sz w:val="24"/>
    </w:rPr>
  </w:style>
  <w:style w:type="paragraph" w:customStyle="1" w:styleId="21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15">
    <w:name w:val="表格内文字"/>
    <w:basedOn w:val="30"/>
    <w:qFormat/>
    <w:uiPriority w:val="0"/>
    <w:pPr>
      <w:adjustRightInd w:val="0"/>
    </w:pPr>
    <w:rPr>
      <w:color w:val="000000"/>
      <w:lang w:val="en-GB"/>
    </w:rPr>
  </w:style>
  <w:style w:type="paragraph" w:customStyle="1" w:styleId="21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8">
    <w:name w:val="二级列表"/>
    <w:basedOn w:val="158"/>
    <w:next w:val="158"/>
    <w:qFormat/>
    <w:uiPriority w:val="0"/>
    <w:pPr>
      <w:tabs>
        <w:tab w:val="left" w:pos="2120"/>
      </w:tabs>
      <w:ind w:firstLine="0" w:firstLineChars="0"/>
    </w:pPr>
    <w:rPr>
      <w:b/>
    </w:rPr>
  </w:style>
  <w:style w:type="paragraph" w:customStyle="1" w:styleId="219">
    <w:name w:val="Char Char Char Char Char Char Char Char Char Char Char Char Char Char Char Char"/>
    <w:basedOn w:val="1"/>
    <w:qFormat/>
    <w:uiPriority w:val="0"/>
    <w:pPr>
      <w:tabs>
        <w:tab w:val="left" w:pos="360"/>
      </w:tabs>
    </w:pPr>
    <w:rPr>
      <w:sz w:val="24"/>
    </w:rPr>
  </w:style>
  <w:style w:type="paragraph" w:customStyle="1" w:styleId="220">
    <w:name w:val="Item Step in Tabl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221">
    <w:name w:val="标题无"/>
    <w:basedOn w:val="1"/>
    <w:qFormat/>
    <w:uiPriority w:val="0"/>
    <w:pPr>
      <w:spacing w:line="360" w:lineRule="auto"/>
    </w:pPr>
    <w:rPr>
      <w:sz w:val="24"/>
    </w:rPr>
  </w:style>
  <w:style w:type="paragraph" w:customStyle="1" w:styleId="22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23">
    <w:name w:val="摘要"/>
    <w:basedOn w:val="1"/>
    <w:next w:val="3"/>
    <w:qFormat/>
    <w:uiPriority w:val="0"/>
    <w:pPr>
      <w:spacing w:line="360" w:lineRule="auto"/>
    </w:pPr>
    <w:rPr>
      <w:rFonts w:eastAsia="黑体"/>
      <w:sz w:val="20"/>
    </w:rPr>
  </w:style>
  <w:style w:type="paragraph" w:customStyle="1" w:styleId="22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9">
    <w:name w:val="表号"/>
    <w:basedOn w:val="1"/>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0">
    <w:name w:val="Char2 Char Char Char Char Char Char"/>
    <w:basedOn w:val="1"/>
    <w:qFormat/>
    <w:uiPriority w:val="0"/>
    <w:rPr>
      <w:rFonts w:ascii="仿宋_GB2312"/>
      <w:b/>
      <w:sz w:val="30"/>
    </w:rPr>
  </w:style>
  <w:style w:type="paragraph" w:customStyle="1" w:styleId="2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2">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3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4">
    <w:name w:val="_Style 229"/>
    <w:qFormat/>
    <w:uiPriority w:val="0"/>
    <w:rPr>
      <w:rFonts w:ascii="Times New Roman" w:hAnsi="Times New Roman" w:eastAsia="宋体" w:cs="Times New Roman"/>
      <w:kern w:val="2"/>
      <w:sz w:val="21"/>
      <w:lang w:val="en-US" w:eastAsia="zh-CN" w:bidi="ar-SA"/>
    </w:rPr>
  </w:style>
  <w:style w:type="paragraph" w:customStyle="1" w:styleId="2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6">
    <w:name w:val="正文表格"/>
    <w:basedOn w:val="1"/>
    <w:qFormat/>
    <w:uiPriority w:val="0"/>
    <w:pPr>
      <w:adjustRightInd w:val="0"/>
      <w:spacing w:before="40" w:after="40"/>
    </w:pPr>
    <w:rPr>
      <w:sz w:val="24"/>
    </w:rPr>
  </w:style>
  <w:style w:type="paragraph" w:customStyle="1" w:styleId="237">
    <w:name w:val="正文1"/>
    <w:basedOn w:val="1"/>
    <w:qFormat/>
    <w:uiPriority w:val="0"/>
    <w:pPr>
      <w:spacing w:line="300" w:lineRule="auto"/>
      <w:ind w:firstLine="200" w:firstLineChars="200"/>
    </w:pPr>
    <w:rPr>
      <w:sz w:val="24"/>
    </w:rPr>
  </w:style>
  <w:style w:type="paragraph" w:customStyle="1" w:styleId="238">
    <w:name w:val="Char Char Char Char Char Char Char1"/>
    <w:basedOn w:val="1"/>
    <w:qFormat/>
    <w:uiPriority w:val="0"/>
    <w:rPr>
      <w:rFonts w:ascii="Tahoma" w:hAnsi="Tahoma"/>
      <w:sz w:val="24"/>
    </w:rPr>
  </w:style>
  <w:style w:type="paragraph" w:customStyle="1" w:styleId="23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40">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41">
    <w:name w:val="Other|1"/>
    <w:basedOn w:val="1"/>
    <w:qFormat/>
    <w:uiPriority w:val="0"/>
    <w:pPr>
      <w:spacing w:line="341" w:lineRule="auto"/>
      <w:ind w:firstLine="400"/>
    </w:pPr>
    <w:rPr>
      <w:rFonts w:ascii="宋体" w:hAnsi="宋体" w:cs="宋体"/>
      <w:sz w:val="20"/>
      <w:lang w:val="zh-TW" w:eastAsia="zh-TW" w:bidi="zh-TW"/>
    </w:rPr>
  </w:style>
  <w:style w:type="character" w:customStyle="1" w:styleId="242">
    <w:name w:val="NormalCharacter"/>
    <w:qFormat/>
    <w:uiPriority w:val="0"/>
  </w:style>
  <w:style w:type="character" w:customStyle="1" w:styleId="243">
    <w:name w:val="UserStyle_175"/>
    <w:qFormat/>
    <w:uiPriority w:val="0"/>
    <w:rPr>
      <w:rFonts w:ascii="宋体" w:hAnsi="宋体" w:eastAsia="宋体"/>
      <w:color w:val="000000"/>
      <w:sz w:val="20"/>
      <w:szCs w:val="20"/>
    </w:rPr>
  </w:style>
  <w:style w:type="paragraph" w:customStyle="1" w:styleId="244">
    <w:name w:val="Table Paragraph"/>
    <w:basedOn w:val="1"/>
    <w:qFormat/>
    <w:uiPriority w:val="1"/>
  </w:style>
  <w:style w:type="paragraph" w:customStyle="1" w:styleId="245">
    <w:name w:val="列表段落1"/>
    <w:basedOn w:val="1"/>
    <w:qFormat/>
    <w:uiPriority w:val="34"/>
    <w:pPr>
      <w:ind w:firstLine="420" w:firstLineChars="200"/>
    </w:pPr>
  </w:style>
  <w:style w:type="character" w:customStyle="1" w:styleId="246">
    <w:name w:val="标题 1 Char"/>
    <w:link w:val="2"/>
    <w:qFormat/>
    <w:uiPriority w:val="0"/>
    <w:rPr>
      <w:rFonts w:ascii="宋体"/>
    </w:rPr>
  </w:style>
  <w:style w:type="character" w:customStyle="1" w:styleId="247">
    <w:name w:val="color-green"/>
    <w:basedOn w:val="61"/>
    <w:qFormat/>
    <w:uiPriority w:val="0"/>
    <w:rPr>
      <w:color w:val="02B202"/>
      <w:sz w:val="15"/>
      <w:szCs w:val="15"/>
      <w:bdr w:val="single" w:color="02B202" w:sz="4" w:space="0"/>
      <w:shd w:val="clear" w:fill="FFFFFF"/>
    </w:rPr>
  </w:style>
  <w:style w:type="character" w:customStyle="1" w:styleId="248">
    <w:name w:val="color-blue"/>
    <w:basedOn w:val="61"/>
    <w:qFormat/>
    <w:uiPriority w:val="0"/>
    <w:rPr>
      <w:color w:val="2272DE"/>
      <w:sz w:val="15"/>
      <w:szCs w:val="15"/>
      <w:bdr w:val="single" w:color="2272DE" w:sz="4" w:space="0"/>
      <w:shd w:val="clear" w:fill="FFFFFF"/>
    </w:rPr>
  </w:style>
  <w:style w:type="character" w:customStyle="1" w:styleId="249">
    <w:name w:val="color-red"/>
    <w:basedOn w:val="61"/>
    <w:qFormat/>
    <w:uiPriority w:val="0"/>
    <w:rPr>
      <w:color w:val="FF6E40"/>
      <w:sz w:val="15"/>
      <w:szCs w:val="15"/>
      <w:bdr w:val="single" w:color="FF6E40" w:sz="4" w:space="0"/>
      <w:shd w:val="clear" w:fill="FFFFFF"/>
    </w:rPr>
  </w:style>
  <w:style w:type="character" w:customStyle="1" w:styleId="250">
    <w:name w:val="btn_xlxz"/>
    <w:basedOn w:val="61"/>
    <w:qFormat/>
    <w:uiPriority w:val="0"/>
  </w:style>
  <w:style w:type="character" w:customStyle="1" w:styleId="251">
    <w:name w:val="btn_xlxz1"/>
    <w:basedOn w:val="61"/>
    <w:qFormat/>
    <w:uiPriority w:val="0"/>
  </w:style>
  <w:style w:type="character" w:customStyle="1" w:styleId="252">
    <w:name w:val="tit"/>
    <w:basedOn w:val="61"/>
    <w:qFormat/>
    <w:uiPriority w:val="0"/>
    <w:rPr>
      <w:color w:val="FFFFFF"/>
    </w:rPr>
  </w:style>
  <w:style w:type="character" w:customStyle="1" w:styleId="253">
    <w:name w:val="first-child"/>
    <w:basedOn w:val="61"/>
    <w:qFormat/>
    <w:uiPriority w:val="0"/>
  </w:style>
  <w:style w:type="paragraph" w:customStyle="1" w:styleId="254">
    <w:name w:val="_Style 253"/>
    <w:basedOn w:val="1"/>
    <w:next w:val="1"/>
    <w:qFormat/>
    <w:uiPriority w:val="0"/>
    <w:pPr>
      <w:pBdr>
        <w:bottom w:val="single" w:color="auto" w:sz="6" w:space="1"/>
      </w:pBdr>
      <w:jc w:val="center"/>
    </w:pPr>
    <w:rPr>
      <w:rFonts w:ascii="Arial" w:eastAsia="宋体"/>
      <w:vanish/>
      <w:sz w:val="16"/>
    </w:rPr>
  </w:style>
  <w:style w:type="paragraph" w:customStyle="1" w:styleId="255">
    <w:name w:val="_Style 254"/>
    <w:basedOn w:val="1"/>
    <w:next w:val="1"/>
    <w:qFormat/>
    <w:uiPriority w:val="0"/>
    <w:pPr>
      <w:pBdr>
        <w:top w:val="single" w:color="auto" w:sz="6" w:space="1"/>
      </w:pBdr>
      <w:jc w:val="center"/>
    </w:pPr>
    <w:rPr>
      <w:rFonts w:ascii="Arial" w:eastAsia="宋体"/>
      <w:vanish/>
      <w:sz w:val="16"/>
    </w:rPr>
  </w:style>
  <w:style w:type="paragraph" w:customStyle="1" w:styleId="256">
    <w:name w:val="z-正文"/>
    <w:basedOn w:val="1"/>
    <w:qFormat/>
    <w:uiPriority w:val="0"/>
    <w:pPr>
      <w:spacing w:beforeLines="5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67EBF-EC95-46B9-9593-E6516AF838A8}">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139</Pages>
  <Words>9522</Words>
  <Characters>10169</Characters>
  <Lines>3165</Lines>
  <Paragraphs>2696</Paragraphs>
  <TotalTime>4</TotalTime>
  <ScaleCrop>false</ScaleCrop>
  <LinksUpToDate>false</LinksUpToDate>
  <CharactersWithSpaces>10382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2023-07-06T10:53:00Z</dcterms:created>
  <dc:creator>罗成</dc:creator>
  <cp:lastModifiedBy>邱亚</cp:lastModifiedBy>
  <cp:lastPrinted>2024-07-05T00:09:00Z</cp:lastPrinted>
  <dcterms:modified xsi:type="dcterms:W3CDTF">2025-07-09T13:58:20Z</dcterms:modified>
  <dc:title>竞争性磋商文件</dc:title>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D9882CB883D94E498482DE59D33305E6_13</vt:lpwstr>
  </property>
  <property fmtid="{D5CDD505-2E9C-101B-9397-08002B2CF9AE}" pid="4" name="KSOTemplateDocerSaveRecord">
    <vt:lpwstr>eyJoZGlkIjoiYmQ3NjQxYmZmN2ZkODIxYWNiNTEzMzQyMTZmNzQ1MmMiLCJ1c2VySWQiOiIyNTE0ODkwODcifQ==</vt:lpwstr>
  </property>
</Properties>
</file>