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2E66FB7">
      <w:pPr>
        <w:spacing w:line="360" w:lineRule="auto"/>
        <w:jc w:val="center"/>
        <w:rPr>
          <w:rFonts w:hint="eastAsia" w:ascii="宋体" w:hAnsi="宋体" w:cs="宋体"/>
          <w:b/>
          <w:bCs/>
          <w:color w:val="auto"/>
          <w:sz w:val="40"/>
          <w:szCs w:val="32"/>
        </w:rPr>
      </w:pPr>
      <w:r>
        <w:rPr>
          <w:rFonts w:hint="eastAsia" w:ascii="宋体" w:hAnsi="宋体" w:cs="宋体"/>
          <w:b/>
          <w:bCs/>
          <w:color w:val="auto"/>
          <w:sz w:val="40"/>
          <w:szCs w:val="32"/>
        </w:rPr>
        <w:t>重庆文理学院红河A区学生（研究生）公寓建设项目</w:t>
      </w:r>
    </w:p>
    <w:p w14:paraId="2D5874AE">
      <w:pPr>
        <w:spacing w:line="360" w:lineRule="auto"/>
        <w:jc w:val="center"/>
        <w:rPr>
          <w:rFonts w:hint="eastAsia" w:ascii="宋体" w:hAnsi="宋体"/>
          <w:b/>
          <w:bCs/>
          <w:color w:val="auto"/>
          <w:kern w:val="0"/>
          <w:sz w:val="32"/>
          <w:szCs w:val="32"/>
        </w:rPr>
      </w:pPr>
      <w:r>
        <w:rPr>
          <w:rFonts w:hint="eastAsia" w:ascii="宋体" w:hAnsi="宋体" w:cs="宋体"/>
          <w:b/>
          <w:bCs/>
          <w:color w:val="auto"/>
          <w:sz w:val="40"/>
          <w:szCs w:val="32"/>
        </w:rPr>
        <w:t>跟踪审计咨询服务</w:t>
      </w:r>
    </w:p>
    <w:p w14:paraId="35810FB4">
      <w:pPr>
        <w:autoSpaceDE w:val="0"/>
        <w:autoSpaceDN w:val="0"/>
        <w:adjustRightInd w:val="0"/>
        <w:snapToGrid w:val="0"/>
        <w:spacing w:line="360" w:lineRule="auto"/>
        <w:ind w:firstLine="422"/>
        <w:jc w:val="left"/>
        <w:rPr>
          <w:rFonts w:hint="eastAsia" w:ascii="宋体" w:hAnsi="宋体"/>
          <w:b/>
          <w:bCs/>
          <w:color w:val="auto"/>
          <w:kern w:val="0"/>
          <w:szCs w:val="21"/>
        </w:rPr>
      </w:pPr>
    </w:p>
    <w:p w14:paraId="334433B9">
      <w:pPr>
        <w:pStyle w:val="16"/>
        <w:ind w:firstLine="442"/>
        <w:rPr>
          <w:b/>
          <w:bCs/>
          <w:color w:val="auto"/>
          <w:sz w:val="22"/>
          <w:szCs w:val="21"/>
        </w:rPr>
      </w:pPr>
    </w:p>
    <w:p w14:paraId="5A81170C">
      <w:pPr>
        <w:ind w:firstLine="442"/>
        <w:rPr>
          <w:b/>
          <w:bCs/>
          <w:color w:val="auto"/>
          <w:sz w:val="22"/>
          <w:szCs w:val="24"/>
        </w:rPr>
      </w:pPr>
    </w:p>
    <w:p w14:paraId="255E1535">
      <w:pPr>
        <w:pStyle w:val="16"/>
        <w:ind w:firstLine="442"/>
        <w:rPr>
          <w:b/>
          <w:bCs/>
          <w:color w:val="auto"/>
          <w:sz w:val="22"/>
          <w:szCs w:val="21"/>
        </w:rPr>
      </w:pPr>
    </w:p>
    <w:p w14:paraId="256050AC">
      <w:pPr>
        <w:ind w:firstLine="442"/>
        <w:rPr>
          <w:b/>
          <w:bCs/>
          <w:color w:val="auto"/>
          <w:sz w:val="22"/>
          <w:szCs w:val="24"/>
        </w:rPr>
      </w:pPr>
    </w:p>
    <w:p w14:paraId="7B0395B8">
      <w:pPr>
        <w:autoSpaceDE w:val="0"/>
        <w:autoSpaceDN w:val="0"/>
        <w:adjustRightInd w:val="0"/>
        <w:snapToGrid w:val="0"/>
        <w:spacing w:line="360" w:lineRule="auto"/>
        <w:ind w:firstLine="422"/>
        <w:jc w:val="left"/>
        <w:rPr>
          <w:rFonts w:hint="eastAsia" w:ascii="宋体" w:hAnsi="宋体"/>
          <w:b/>
          <w:bCs/>
          <w:color w:val="auto"/>
          <w:kern w:val="0"/>
          <w:szCs w:val="21"/>
        </w:rPr>
      </w:pPr>
    </w:p>
    <w:p w14:paraId="5393BFBC">
      <w:pPr>
        <w:autoSpaceDE w:val="0"/>
        <w:autoSpaceDN w:val="0"/>
        <w:adjustRightInd w:val="0"/>
        <w:snapToGrid w:val="0"/>
        <w:spacing w:line="360" w:lineRule="auto"/>
        <w:ind w:firstLine="422"/>
        <w:jc w:val="left"/>
        <w:rPr>
          <w:rFonts w:hint="eastAsia" w:ascii="宋体" w:hAnsi="宋体"/>
          <w:b/>
          <w:bCs/>
          <w:color w:val="auto"/>
          <w:kern w:val="0"/>
          <w:szCs w:val="21"/>
        </w:rPr>
      </w:pPr>
    </w:p>
    <w:p w14:paraId="662F6DEE">
      <w:pPr>
        <w:autoSpaceDE w:val="0"/>
        <w:autoSpaceDN w:val="0"/>
        <w:adjustRightInd w:val="0"/>
        <w:snapToGrid w:val="0"/>
        <w:spacing w:line="360" w:lineRule="auto"/>
        <w:ind w:firstLine="422"/>
        <w:jc w:val="left"/>
        <w:rPr>
          <w:rFonts w:hint="eastAsia" w:ascii="宋体" w:hAnsi="宋体"/>
          <w:b/>
          <w:bCs/>
          <w:color w:val="auto"/>
          <w:kern w:val="0"/>
          <w:szCs w:val="21"/>
        </w:rPr>
      </w:pPr>
    </w:p>
    <w:p w14:paraId="44992D1C">
      <w:pPr>
        <w:tabs>
          <w:tab w:val="left" w:pos="6252"/>
        </w:tabs>
        <w:autoSpaceDE w:val="0"/>
        <w:autoSpaceDN w:val="0"/>
        <w:adjustRightInd w:val="0"/>
        <w:snapToGrid w:val="0"/>
        <w:spacing w:line="360" w:lineRule="auto"/>
        <w:jc w:val="center"/>
        <w:rPr>
          <w:rFonts w:hint="eastAsia" w:asciiTheme="minorEastAsia" w:hAnsiTheme="minorEastAsia" w:eastAsiaTheme="minorEastAsia"/>
          <w:b/>
          <w:bCs/>
          <w:color w:val="auto"/>
          <w:w w:val="99"/>
          <w:kern w:val="0"/>
          <w:sz w:val="72"/>
          <w:szCs w:val="72"/>
        </w:rPr>
      </w:pPr>
      <w:r>
        <w:rPr>
          <w:rFonts w:hint="eastAsia" w:asciiTheme="minorEastAsia" w:hAnsiTheme="minorEastAsia" w:eastAsiaTheme="minorEastAsia"/>
          <w:b/>
          <w:bCs/>
          <w:color w:val="auto"/>
          <w:w w:val="99"/>
          <w:kern w:val="0"/>
          <w:sz w:val="72"/>
          <w:szCs w:val="72"/>
        </w:rPr>
        <w:t>竞 争 性 比 选 文 件</w:t>
      </w:r>
    </w:p>
    <w:p w14:paraId="4364695B">
      <w:pPr>
        <w:tabs>
          <w:tab w:val="left" w:pos="6252"/>
        </w:tabs>
        <w:autoSpaceDE w:val="0"/>
        <w:autoSpaceDN w:val="0"/>
        <w:adjustRightInd w:val="0"/>
        <w:snapToGrid w:val="0"/>
        <w:spacing w:line="360" w:lineRule="auto"/>
        <w:ind w:firstLine="2221" w:firstLineChars="700"/>
        <w:rPr>
          <w:rFonts w:hint="eastAsia" w:asciiTheme="minorEastAsia" w:hAnsiTheme="minorEastAsia" w:eastAsiaTheme="minorEastAsia"/>
          <w:b/>
          <w:bCs/>
          <w:color w:val="auto"/>
          <w:w w:val="99"/>
          <w:kern w:val="0"/>
          <w:sz w:val="32"/>
          <w:szCs w:val="32"/>
        </w:rPr>
      </w:pPr>
      <w:r>
        <w:rPr>
          <w:rFonts w:hint="eastAsia" w:asciiTheme="minorEastAsia" w:hAnsiTheme="minorEastAsia" w:eastAsiaTheme="minorEastAsia"/>
          <w:b/>
          <w:bCs/>
          <w:color w:val="auto"/>
          <w:w w:val="99"/>
          <w:kern w:val="0"/>
          <w:sz w:val="32"/>
          <w:szCs w:val="32"/>
        </w:rPr>
        <w:t>招标编号：YQZB-【2026】第002号</w:t>
      </w:r>
    </w:p>
    <w:p w14:paraId="7E2AAE42">
      <w:pPr>
        <w:tabs>
          <w:tab w:val="left" w:pos="6252"/>
        </w:tabs>
        <w:autoSpaceDE w:val="0"/>
        <w:autoSpaceDN w:val="0"/>
        <w:adjustRightInd w:val="0"/>
        <w:snapToGrid w:val="0"/>
        <w:spacing w:line="360" w:lineRule="auto"/>
        <w:ind w:firstLine="1269" w:firstLineChars="400"/>
        <w:rPr>
          <w:rFonts w:hint="eastAsia" w:asciiTheme="minorEastAsia" w:hAnsiTheme="minorEastAsia" w:eastAsiaTheme="minorEastAsia"/>
          <w:b/>
          <w:bCs/>
          <w:color w:val="auto"/>
          <w:w w:val="99"/>
          <w:kern w:val="0"/>
          <w:sz w:val="32"/>
          <w:szCs w:val="32"/>
        </w:rPr>
      </w:pPr>
    </w:p>
    <w:p w14:paraId="466C10E3">
      <w:pPr>
        <w:autoSpaceDE w:val="0"/>
        <w:autoSpaceDN w:val="0"/>
        <w:adjustRightInd w:val="0"/>
        <w:snapToGrid w:val="0"/>
        <w:spacing w:line="360" w:lineRule="auto"/>
        <w:ind w:firstLine="422"/>
        <w:jc w:val="left"/>
        <w:rPr>
          <w:rFonts w:hint="eastAsia" w:ascii="宋体" w:hAnsi="宋体"/>
          <w:b/>
          <w:bCs/>
          <w:color w:val="auto"/>
          <w:kern w:val="0"/>
          <w:szCs w:val="21"/>
        </w:rPr>
      </w:pPr>
    </w:p>
    <w:p w14:paraId="3AD0B87F">
      <w:pPr>
        <w:ind w:firstLine="442"/>
        <w:rPr>
          <w:b/>
          <w:bCs/>
          <w:color w:val="auto"/>
          <w:sz w:val="22"/>
          <w:szCs w:val="24"/>
        </w:rPr>
      </w:pPr>
    </w:p>
    <w:p w14:paraId="7442A66B">
      <w:pPr>
        <w:autoSpaceDE w:val="0"/>
        <w:autoSpaceDN w:val="0"/>
        <w:adjustRightInd w:val="0"/>
        <w:snapToGrid w:val="0"/>
        <w:spacing w:line="360" w:lineRule="auto"/>
        <w:ind w:firstLine="422"/>
        <w:jc w:val="left"/>
        <w:rPr>
          <w:rFonts w:hint="eastAsia" w:ascii="宋体" w:hAnsi="宋体"/>
          <w:b/>
          <w:bCs/>
          <w:color w:val="auto"/>
          <w:kern w:val="0"/>
          <w:szCs w:val="21"/>
        </w:rPr>
      </w:pPr>
    </w:p>
    <w:p w14:paraId="3BF73F3F">
      <w:pPr>
        <w:autoSpaceDE w:val="0"/>
        <w:autoSpaceDN w:val="0"/>
        <w:adjustRightInd w:val="0"/>
        <w:snapToGrid w:val="0"/>
        <w:spacing w:line="360" w:lineRule="auto"/>
        <w:ind w:firstLine="422"/>
        <w:jc w:val="center"/>
        <w:rPr>
          <w:rFonts w:hint="eastAsia" w:ascii="宋体" w:hAnsi="宋体"/>
          <w:b/>
          <w:bCs/>
          <w:color w:val="auto"/>
          <w:kern w:val="0"/>
          <w:szCs w:val="21"/>
        </w:rPr>
      </w:pPr>
    </w:p>
    <w:p w14:paraId="17422EC7">
      <w:pPr>
        <w:pStyle w:val="28"/>
        <w:ind w:firstLine="422"/>
        <w:rPr>
          <w:rFonts w:hint="eastAsia" w:ascii="宋体" w:hAnsi="宋体"/>
          <w:b/>
          <w:bCs/>
          <w:color w:val="auto"/>
          <w:kern w:val="0"/>
          <w:szCs w:val="21"/>
        </w:rPr>
      </w:pPr>
    </w:p>
    <w:p w14:paraId="6109486E">
      <w:pPr>
        <w:ind w:firstLine="422"/>
        <w:rPr>
          <w:rFonts w:hint="eastAsia" w:ascii="宋体" w:hAnsi="宋体"/>
          <w:b/>
          <w:bCs/>
          <w:color w:val="auto"/>
          <w:kern w:val="0"/>
          <w:szCs w:val="21"/>
        </w:rPr>
      </w:pPr>
    </w:p>
    <w:p w14:paraId="3C2C9062">
      <w:pPr>
        <w:pStyle w:val="28"/>
        <w:ind w:firstLine="422"/>
        <w:rPr>
          <w:rFonts w:hint="eastAsia" w:ascii="宋体" w:hAnsi="宋体"/>
          <w:b/>
          <w:bCs/>
          <w:color w:val="auto"/>
          <w:kern w:val="0"/>
          <w:szCs w:val="21"/>
        </w:rPr>
      </w:pPr>
    </w:p>
    <w:p w14:paraId="14ABD313">
      <w:pPr>
        <w:ind w:firstLine="422"/>
        <w:rPr>
          <w:rFonts w:hint="eastAsia" w:ascii="宋体" w:hAnsi="宋体"/>
          <w:b/>
          <w:bCs/>
          <w:color w:val="auto"/>
          <w:kern w:val="0"/>
          <w:szCs w:val="21"/>
        </w:rPr>
      </w:pPr>
    </w:p>
    <w:p w14:paraId="1ECD40B8">
      <w:pPr>
        <w:pStyle w:val="28"/>
        <w:ind w:firstLine="422"/>
        <w:rPr>
          <w:b/>
          <w:bCs/>
          <w:color w:val="auto"/>
        </w:rPr>
      </w:pPr>
    </w:p>
    <w:p w14:paraId="43388AE4">
      <w:pPr>
        <w:pStyle w:val="16"/>
        <w:ind w:firstLine="442"/>
        <w:rPr>
          <w:b/>
          <w:bCs/>
          <w:color w:val="auto"/>
          <w:sz w:val="22"/>
          <w:szCs w:val="21"/>
        </w:rPr>
      </w:pPr>
    </w:p>
    <w:p w14:paraId="6B352192">
      <w:pPr>
        <w:autoSpaceDE w:val="0"/>
        <w:autoSpaceDN w:val="0"/>
        <w:adjustRightInd w:val="0"/>
        <w:snapToGrid w:val="0"/>
        <w:spacing w:line="360" w:lineRule="auto"/>
        <w:ind w:firstLine="422"/>
        <w:rPr>
          <w:rFonts w:hint="eastAsia" w:ascii="宋体" w:hAnsi="宋体"/>
          <w:b/>
          <w:bCs/>
          <w:color w:val="auto"/>
          <w:kern w:val="0"/>
          <w:szCs w:val="21"/>
        </w:rPr>
      </w:pPr>
    </w:p>
    <w:p w14:paraId="7055C896">
      <w:pPr>
        <w:tabs>
          <w:tab w:val="left" w:pos="6252"/>
        </w:tabs>
        <w:autoSpaceDE w:val="0"/>
        <w:autoSpaceDN w:val="0"/>
        <w:adjustRightInd w:val="0"/>
        <w:snapToGrid w:val="0"/>
        <w:spacing w:line="360" w:lineRule="auto"/>
        <w:ind w:firstLine="1269" w:firstLineChars="400"/>
        <w:rPr>
          <w:rFonts w:hint="eastAsia" w:asciiTheme="minorEastAsia" w:hAnsiTheme="minorEastAsia" w:eastAsiaTheme="minorEastAsia"/>
          <w:b/>
          <w:bCs/>
          <w:color w:val="auto"/>
          <w:w w:val="99"/>
          <w:kern w:val="0"/>
          <w:sz w:val="32"/>
          <w:szCs w:val="32"/>
        </w:rPr>
      </w:pPr>
      <w:r>
        <w:rPr>
          <w:rFonts w:hint="eastAsia" w:asciiTheme="minorEastAsia" w:hAnsiTheme="minorEastAsia" w:eastAsiaTheme="minorEastAsia"/>
          <w:b/>
          <w:bCs/>
          <w:color w:val="auto"/>
          <w:w w:val="99"/>
          <w:kern w:val="0"/>
          <w:sz w:val="32"/>
          <w:szCs w:val="32"/>
        </w:rPr>
        <w:t>比选人</w:t>
      </w:r>
      <w:r>
        <w:rPr>
          <w:rFonts w:asciiTheme="minorEastAsia" w:hAnsiTheme="minorEastAsia" w:eastAsiaTheme="minorEastAsia"/>
          <w:b/>
          <w:bCs/>
          <w:color w:val="auto"/>
          <w:w w:val="99"/>
          <w:kern w:val="0"/>
          <w:sz w:val="32"/>
          <w:szCs w:val="32"/>
        </w:rPr>
        <w:t>：</w:t>
      </w:r>
      <w:r>
        <w:rPr>
          <w:rFonts w:hint="eastAsia" w:asciiTheme="minorEastAsia" w:hAnsiTheme="minorEastAsia" w:eastAsiaTheme="minorEastAsia"/>
          <w:b/>
          <w:bCs/>
          <w:color w:val="auto"/>
          <w:w w:val="99"/>
          <w:kern w:val="0"/>
          <w:sz w:val="32"/>
          <w:szCs w:val="32"/>
        </w:rPr>
        <w:t>重庆文理学院</w:t>
      </w:r>
    </w:p>
    <w:p w14:paraId="25FD07B9">
      <w:pPr>
        <w:tabs>
          <w:tab w:val="left" w:pos="6252"/>
        </w:tabs>
        <w:autoSpaceDE w:val="0"/>
        <w:autoSpaceDN w:val="0"/>
        <w:adjustRightInd w:val="0"/>
        <w:snapToGrid w:val="0"/>
        <w:spacing w:line="360" w:lineRule="auto"/>
        <w:ind w:firstLine="1269" w:firstLineChars="400"/>
        <w:rPr>
          <w:rFonts w:hint="eastAsia" w:asciiTheme="minorEastAsia" w:hAnsiTheme="minorEastAsia" w:eastAsiaTheme="minorEastAsia"/>
          <w:b/>
          <w:bCs/>
          <w:color w:val="auto"/>
          <w:w w:val="99"/>
          <w:kern w:val="0"/>
          <w:sz w:val="32"/>
          <w:szCs w:val="32"/>
        </w:rPr>
      </w:pPr>
      <w:r>
        <w:rPr>
          <w:rFonts w:asciiTheme="minorEastAsia" w:hAnsiTheme="minorEastAsia" w:eastAsiaTheme="minorEastAsia"/>
          <w:b/>
          <w:bCs/>
          <w:color w:val="auto"/>
          <w:w w:val="99"/>
          <w:kern w:val="0"/>
          <w:sz w:val="32"/>
          <w:szCs w:val="32"/>
        </w:rPr>
        <w:t>代理机构：</w:t>
      </w:r>
      <w:r>
        <w:rPr>
          <w:rFonts w:hint="eastAsia" w:asciiTheme="minorEastAsia" w:hAnsiTheme="minorEastAsia" w:eastAsiaTheme="minorEastAsia"/>
          <w:b/>
          <w:bCs/>
          <w:color w:val="auto"/>
          <w:w w:val="99"/>
          <w:kern w:val="0"/>
          <w:sz w:val="32"/>
          <w:szCs w:val="32"/>
        </w:rPr>
        <w:t>重庆渝强工程项目管理有限公司</w:t>
      </w:r>
    </w:p>
    <w:p w14:paraId="771E06F7">
      <w:pPr>
        <w:tabs>
          <w:tab w:val="left" w:pos="6252"/>
        </w:tabs>
        <w:autoSpaceDE w:val="0"/>
        <w:autoSpaceDN w:val="0"/>
        <w:adjustRightInd w:val="0"/>
        <w:snapToGrid w:val="0"/>
        <w:spacing w:line="360" w:lineRule="auto"/>
        <w:ind w:firstLine="834" w:firstLineChars="300"/>
        <w:rPr>
          <w:rFonts w:hint="eastAsia" w:asciiTheme="minorEastAsia" w:hAnsiTheme="minorEastAsia" w:eastAsiaTheme="minorEastAsia"/>
          <w:b/>
          <w:bCs/>
          <w:color w:val="auto"/>
          <w:w w:val="99"/>
          <w:kern w:val="0"/>
          <w:sz w:val="28"/>
          <w:szCs w:val="28"/>
        </w:rPr>
      </w:pPr>
    </w:p>
    <w:p w14:paraId="55FE2BDD">
      <w:pPr>
        <w:ind w:firstLine="674"/>
        <w:jc w:val="center"/>
        <w:rPr>
          <w:rFonts w:hint="eastAsia" w:asciiTheme="minorEastAsia" w:hAnsiTheme="minorEastAsia" w:eastAsiaTheme="minorEastAsia"/>
          <w:color w:val="auto"/>
          <w:sz w:val="32"/>
          <w:szCs w:val="24"/>
        </w:rPr>
      </w:pPr>
      <w:bookmarkStart w:id="0" w:name="_Toc13210649"/>
      <w:bookmarkStart w:id="1" w:name="_Toc536621766"/>
      <w:bookmarkStart w:id="2" w:name="_Toc509218549"/>
      <w:bookmarkStart w:id="3" w:name="_Toc536797277"/>
      <w:bookmarkStart w:id="4" w:name="_Toc536796736"/>
      <w:r>
        <w:rPr>
          <w:rFonts w:hint="eastAsia" w:ascii="宋体" w:hAnsi="宋体"/>
          <w:b/>
          <w:bCs/>
          <w:color w:val="auto"/>
          <w:spacing w:val="8"/>
          <w:kern w:val="0"/>
          <w:sz w:val="32"/>
          <w:szCs w:val="32"/>
          <w:u w:val="single"/>
        </w:rPr>
        <w:t>2026</w:t>
      </w:r>
      <w:r>
        <w:rPr>
          <w:rFonts w:ascii="宋体" w:hAnsi="宋体"/>
          <w:b/>
          <w:bCs/>
          <w:color w:val="auto"/>
          <w:spacing w:val="8"/>
          <w:kern w:val="0"/>
          <w:sz w:val="32"/>
          <w:szCs w:val="32"/>
        </w:rPr>
        <w:t>年</w:t>
      </w:r>
      <w:r>
        <w:rPr>
          <w:rFonts w:ascii="宋体" w:hAnsi="宋体"/>
          <w:b/>
          <w:bCs/>
          <w:color w:val="auto"/>
          <w:spacing w:val="8"/>
          <w:kern w:val="0"/>
          <w:sz w:val="32"/>
          <w:szCs w:val="32"/>
          <w:u w:val="single"/>
        </w:rPr>
        <w:t>3</w:t>
      </w:r>
      <w:r>
        <w:rPr>
          <w:rFonts w:ascii="宋体" w:hAnsi="宋体"/>
          <w:b/>
          <w:bCs/>
          <w:color w:val="auto"/>
          <w:spacing w:val="8"/>
          <w:kern w:val="0"/>
          <w:sz w:val="32"/>
          <w:szCs w:val="32"/>
        </w:rPr>
        <w:t>月</w:t>
      </w:r>
      <w:bookmarkEnd w:id="0"/>
      <w:bookmarkEnd w:id="1"/>
      <w:bookmarkEnd w:id="2"/>
      <w:bookmarkEnd w:id="3"/>
      <w:bookmarkEnd w:id="4"/>
    </w:p>
    <w:p w14:paraId="12E59A20">
      <w:pPr>
        <w:pStyle w:val="114"/>
        <w:ind w:firstLine="440"/>
        <w:jc w:val="center"/>
        <w:rPr>
          <w:rFonts w:ascii="Calibri" w:hAnsi="Calibri" w:eastAsia="宋体" w:cs="Times New Roman"/>
          <w:b w:val="0"/>
          <w:bCs w:val="0"/>
          <w:color w:val="auto"/>
          <w:kern w:val="2"/>
          <w:sz w:val="22"/>
          <w:szCs w:val="24"/>
          <w:lang w:val="zh-CN"/>
        </w:rPr>
        <w:sectPr>
          <w:pgSz w:w="11907" w:h="16840"/>
          <w:pgMar w:top="1304" w:right="1134" w:bottom="1304" w:left="1304" w:header="850" w:footer="992" w:gutter="0"/>
          <w:cols w:space="720" w:num="1"/>
          <w:docGrid w:linePitch="286" w:charSpace="0"/>
        </w:sectPr>
      </w:pPr>
      <w:bookmarkStart w:id="5" w:name="_Toc144974479"/>
      <w:bookmarkStart w:id="6" w:name="_Toc152045511"/>
      <w:bookmarkStart w:id="7" w:name="_Toc152042287"/>
    </w:p>
    <w:sdt>
      <w:sdtPr>
        <w:rPr>
          <w:rFonts w:ascii="Calibri" w:hAnsi="Calibri" w:eastAsia="宋体" w:cs="Times New Roman"/>
          <w:b w:val="0"/>
          <w:bCs w:val="0"/>
          <w:color w:val="auto"/>
          <w:kern w:val="2"/>
          <w:sz w:val="22"/>
          <w:szCs w:val="24"/>
          <w:lang w:val="zh-CN"/>
        </w:rPr>
        <w:id w:val="488060713"/>
      </w:sdtPr>
      <w:sdtEndPr>
        <w:rPr>
          <w:rFonts w:ascii="Calibri" w:hAnsi="Calibri" w:eastAsia="宋体" w:cs="Times New Roman"/>
          <w:b w:val="0"/>
          <w:bCs w:val="0"/>
          <w:color w:val="auto"/>
          <w:kern w:val="2"/>
          <w:sz w:val="22"/>
          <w:szCs w:val="22"/>
          <w:lang w:val="zh-CN"/>
        </w:rPr>
      </w:sdtEndPr>
      <w:sdtContent>
        <w:p w14:paraId="0D567321">
          <w:pPr>
            <w:pStyle w:val="114"/>
            <w:ind w:firstLine="440"/>
            <w:jc w:val="center"/>
            <w:rPr>
              <w:rFonts w:hint="eastAsia" w:ascii="宋体" w:hAnsi="宋体" w:eastAsia="宋体" w:cs="Times New Roman"/>
              <w:color w:val="auto"/>
              <w:sz w:val="48"/>
              <w:szCs w:val="48"/>
              <w:lang w:val="zh-CN"/>
            </w:rPr>
          </w:pPr>
          <w:r>
            <w:rPr>
              <w:rFonts w:ascii="宋体" w:hAnsi="宋体" w:eastAsia="宋体" w:cs="Times New Roman"/>
              <w:color w:val="auto"/>
              <w:sz w:val="48"/>
              <w:szCs w:val="48"/>
              <w:lang w:val="zh-CN"/>
            </w:rPr>
            <w:t>目</w:t>
          </w:r>
          <w:r>
            <w:rPr>
              <w:rFonts w:hint="eastAsia" w:ascii="宋体" w:hAnsi="宋体" w:eastAsia="宋体" w:cs="Times New Roman"/>
              <w:color w:val="auto"/>
              <w:sz w:val="48"/>
              <w:szCs w:val="48"/>
              <w:lang w:val="zh-CN"/>
            </w:rPr>
            <w:t xml:space="preserve"> </w:t>
          </w:r>
          <w:r>
            <w:rPr>
              <w:rFonts w:ascii="宋体" w:hAnsi="宋体" w:eastAsia="宋体" w:cs="Times New Roman"/>
              <w:color w:val="auto"/>
              <w:sz w:val="48"/>
              <w:szCs w:val="48"/>
              <w:lang w:val="zh-CN"/>
            </w:rPr>
            <w:t>录</w:t>
          </w:r>
        </w:p>
        <w:p w14:paraId="488B60A0">
          <w:pPr>
            <w:pStyle w:val="28"/>
            <w:tabs>
              <w:tab w:val="right" w:leader="dot" w:pos="9469"/>
            </w:tabs>
            <w:ind w:firstLine="440"/>
            <w:rPr>
              <w:color w:val="auto"/>
            </w:rPr>
          </w:pPr>
          <w:r>
            <w:rPr>
              <w:color w:val="auto"/>
              <w:sz w:val="22"/>
            </w:rPr>
            <w:fldChar w:fldCharType="begin"/>
          </w:r>
          <w:r>
            <w:rPr>
              <w:color w:val="auto"/>
              <w:sz w:val="22"/>
            </w:rPr>
            <w:instrText xml:space="preserve"> TOC \o "1-3" \h \z \u </w:instrText>
          </w:r>
          <w:r>
            <w:rPr>
              <w:color w:val="auto"/>
              <w:sz w:val="22"/>
            </w:rPr>
            <w:fldChar w:fldCharType="separate"/>
          </w:r>
        </w:p>
        <w:p w14:paraId="2606B756">
          <w:pPr>
            <w:pStyle w:val="28"/>
            <w:tabs>
              <w:tab w:val="right" w:leader="dot" w:pos="9469"/>
            </w:tabs>
            <w:rPr>
              <w:color w:val="auto"/>
            </w:rPr>
          </w:pPr>
          <w:r>
            <w:rPr>
              <w:color w:val="auto"/>
            </w:rPr>
            <w:fldChar w:fldCharType="begin"/>
          </w:r>
          <w:r>
            <w:rPr>
              <w:color w:val="auto"/>
            </w:rPr>
            <w:instrText xml:space="preserve"> HYPERLINK \l "_Toc28554" </w:instrText>
          </w:r>
          <w:r>
            <w:rPr>
              <w:color w:val="auto"/>
            </w:rPr>
            <w:fldChar w:fldCharType="separate"/>
          </w:r>
          <w:r>
            <w:rPr>
              <w:rFonts w:asciiTheme="minorEastAsia" w:hAnsiTheme="minorEastAsia" w:eastAsiaTheme="minorEastAsia"/>
              <w:snapToGrid w:val="0"/>
              <w:color w:val="auto"/>
              <w:kern w:val="0"/>
              <w:szCs w:val="21"/>
            </w:rPr>
            <w:t>第一章</w:t>
          </w:r>
          <w:r>
            <w:rPr>
              <w:rFonts w:hint="eastAsia" w:asciiTheme="minorEastAsia" w:hAnsiTheme="minorEastAsia" w:eastAsiaTheme="minorEastAsia"/>
              <w:snapToGrid w:val="0"/>
              <w:color w:val="auto"/>
              <w:kern w:val="0"/>
              <w:szCs w:val="21"/>
            </w:rPr>
            <w:t xml:space="preserve">  比选</w:t>
          </w:r>
          <w:r>
            <w:rPr>
              <w:rFonts w:asciiTheme="minorEastAsia" w:hAnsiTheme="minorEastAsia" w:eastAsiaTheme="minorEastAsia"/>
              <w:snapToGrid w:val="0"/>
              <w:color w:val="auto"/>
              <w:kern w:val="0"/>
              <w:szCs w:val="21"/>
            </w:rPr>
            <w:t>公告</w:t>
          </w:r>
          <w:r>
            <w:rPr>
              <w:color w:val="auto"/>
            </w:rPr>
            <w:tab/>
          </w:r>
          <w:r>
            <w:rPr>
              <w:color w:val="auto"/>
            </w:rPr>
            <w:fldChar w:fldCharType="begin"/>
          </w:r>
          <w:r>
            <w:rPr>
              <w:color w:val="auto"/>
            </w:rPr>
            <w:instrText xml:space="preserve"> PAGEREF _Toc28554 \h </w:instrText>
          </w:r>
          <w:r>
            <w:rPr>
              <w:color w:val="auto"/>
            </w:rPr>
            <w:fldChar w:fldCharType="separate"/>
          </w:r>
          <w:r>
            <w:rPr>
              <w:color w:val="auto"/>
            </w:rPr>
            <w:t>3</w:t>
          </w:r>
          <w:r>
            <w:rPr>
              <w:color w:val="auto"/>
            </w:rPr>
            <w:fldChar w:fldCharType="end"/>
          </w:r>
          <w:r>
            <w:rPr>
              <w:color w:val="auto"/>
            </w:rPr>
            <w:fldChar w:fldCharType="end"/>
          </w:r>
        </w:p>
        <w:p w14:paraId="6AB43695">
          <w:pPr>
            <w:pStyle w:val="33"/>
            <w:tabs>
              <w:tab w:val="right" w:leader="dot" w:pos="9469"/>
            </w:tabs>
            <w:ind w:left="420"/>
            <w:rPr>
              <w:color w:val="auto"/>
            </w:rPr>
          </w:pPr>
          <w:r>
            <w:rPr>
              <w:color w:val="auto"/>
            </w:rPr>
            <w:fldChar w:fldCharType="begin"/>
          </w:r>
          <w:r>
            <w:rPr>
              <w:color w:val="auto"/>
            </w:rPr>
            <w:instrText xml:space="preserve"> HYPERLINK \l "_Toc3825" </w:instrText>
          </w:r>
          <w:r>
            <w:rPr>
              <w:color w:val="auto"/>
            </w:rPr>
            <w:fldChar w:fldCharType="separate"/>
          </w:r>
          <w:r>
            <w:rPr>
              <w:rFonts w:asciiTheme="minorEastAsia" w:hAnsiTheme="minorEastAsia" w:eastAsiaTheme="minorEastAsia"/>
              <w:color w:val="auto"/>
              <w:szCs w:val="32"/>
            </w:rPr>
            <w:t xml:space="preserve">1. </w:t>
          </w:r>
          <w:r>
            <w:rPr>
              <w:rFonts w:hint="eastAsia" w:asciiTheme="minorEastAsia" w:hAnsiTheme="minorEastAsia" w:eastAsiaTheme="minorEastAsia"/>
              <w:color w:val="auto"/>
              <w:szCs w:val="32"/>
            </w:rPr>
            <w:t>比选</w:t>
          </w:r>
          <w:r>
            <w:rPr>
              <w:rFonts w:asciiTheme="minorEastAsia" w:hAnsiTheme="minorEastAsia" w:eastAsiaTheme="minorEastAsia"/>
              <w:color w:val="auto"/>
              <w:szCs w:val="32"/>
            </w:rPr>
            <w:t>条件</w:t>
          </w:r>
          <w:r>
            <w:rPr>
              <w:color w:val="auto"/>
            </w:rPr>
            <w:tab/>
          </w:r>
          <w:r>
            <w:rPr>
              <w:color w:val="auto"/>
            </w:rPr>
            <w:fldChar w:fldCharType="begin"/>
          </w:r>
          <w:r>
            <w:rPr>
              <w:color w:val="auto"/>
            </w:rPr>
            <w:instrText xml:space="preserve"> PAGEREF _Toc3825 \h </w:instrText>
          </w:r>
          <w:r>
            <w:rPr>
              <w:color w:val="auto"/>
            </w:rPr>
            <w:fldChar w:fldCharType="separate"/>
          </w:r>
          <w:r>
            <w:rPr>
              <w:color w:val="auto"/>
            </w:rPr>
            <w:t>3</w:t>
          </w:r>
          <w:r>
            <w:rPr>
              <w:color w:val="auto"/>
            </w:rPr>
            <w:fldChar w:fldCharType="end"/>
          </w:r>
          <w:r>
            <w:rPr>
              <w:color w:val="auto"/>
            </w:rPr>
            <w:fldChar w:fldCharType="end"/>
          </w:r>
        </w:p>
        <w:p w14:paraId="1E9ED1E4">
          <w:pPr>
            <w:pStyle w:val="33"/>
            <w:tabs>
              <w:tab w:val="right" w:leader="dot" w:pos="9469"/>
            </w:tabs>
            <w:ind w:left="420"/>
            <w:rPr>
              <w:color w:val="auto"/>
            </w:rPr>
          </w:pPr>
          <w:r>
            <w:rPr>
              <w:color w:val="auto"/>
            </w:rPr>
            <w:fldChar w:fldCharType="begin"/>
          </w:r>
          <w:r>
            <w:rPr>
              <w:color w:val="auto"/>
            </w:rPr>
            <w:instrText xml:space="preserve"> HYPERLINK \l "_Toc19771" </w:instrText>
          </w:r>
          <w:r>
            <w:rPr>
              <w:color w:val="auto"/>
            </w:rPr>
            <w:fldChar w:fldCharType="separate"/>
          </w:r>
          <w:r>
            <w:rPr>
              <w:rFonts w:asciiTheme="minorEastAsia" w:hAnsiTheme="minorEastAsia" w:eastAsiaTheme="minorEastAsia"/>
              <w:color w:val="auto"/>
              <w:szCs w:val="32"/>
            </w:rPr>
            <w:t>2. 项目概况与</w:t>
          </w:r>
          <w:r>
            <w:rPr>
              <w:rFonts w:hint="eastAsia" w:asciiTheme="minorEastAsia" w:hAnsiTheme="minorEastAsia" w:eastAsiaTheme="minorEastAsia"/>
              <w:color w:val="auto"/>
              <w:szCs w:val="32"/>
            </w:rPr>
            <w:t>比选范围</w:t>
          </w:r>
          <w:r>
            <w:rPr>
              <w:color w:val="auto"/>
            </w:rPr>
            <w:tab/>
          </w:r>
          <w:r>
            <w:rPr>
              <w:color w:val="auto"/>
            </w:rPr>
            <w:fldChar w:fldCharType="begin"/>
          </w:r>
          <w:r>
            <w:rPr>
              <w:color w:val="auto"/>
            </w:rPr>
            <w:instrText xml:space="preserve"> PAGEREF _Toc19771 \h </w:instrText>
          </w:r>
          <w:r>
            <w:rPr>
              <w:color w:val="auto"/>
            </w:rPr>
            <w:fldChar w:fldCharType="separate"/>
          </w:r>
          <w:r>
            <w:rPr>
              <w:color w:val="auto"/>
            </w:rPr>
            <w:t>3</w:t>
          </w:r>
          <w:r>
            <w:rPr>
              <w:color w:val="auto"/>
            </w:rPr>
            <w:fldChar w:fldCharType="end"/>
          </w:r>
          <w:r>
            <w:rPr>
              <w:color w:val="auto"/>
            </w:rPr>
            <w:fldChar w:fldCharType="end"/>
          </w:r>
        </w:p>
        <w:p w14:paraId="4DE6D08C">
          <w:pPr>
            <w:pStyle w:val="33"/>
            <w:tabs>
              <w:tab w:val="right" w:leader="dot" w:pos="9469"/>
            </w:tabs>
            <w:ind w:left="420"/>
            <w:rPr>
              <w:color w:val="auto"/>
            </w:rPr>
          </w:pPr>
          <w:r>
            <w:rPr>
              <w:color w:val="auto"/>
            </w:rPr>
            <w:fldChar w:fldCharType="begin"/>
          </w:r>
          <w:r>
            <w:rPr>
              <w:color w:val="auto"/>
            </w:rPr>
            <w:instrText xml:space="preserve"> HYPERLINK \l "_Toc6222" </w:instrText>
          </w:r>
          <w:r>
            <w:rPr>
              <w:color w:val="auto"/>
            </w:rPr>
            <w:fldChar w:fldCharType="separate"/>
          </w:r>
          <w:r>
            <w:rPr>
              <w:rFonts w:asciiTheme="minorEastAsia" w:hAnsiTheme="minorEastAsia" w:eastAsiaTheme="minorEastAsia"/>
              <w:color w:val="auto"/>
              <w:szCs w:val="32"/>
            </w:rPr>
            <w:t xml:space="preserve">3. </w:t>
          </w:r>
          <w:r>
            <w:rPr>
              <w:rFonts w:hint="eastAsia" w:asciiTheme="minorEastAsia" w:hAnsiTheme="minorEastAsia" w:eastAsiaTheme="minorEastAsia"/>
              <w:color w:val="auto"/>
              <w:szCs w:val="32"/>
            </w:rPr>
            <w:t>竞标人</w:t>
          </w:r>
          <w:r>
            <w:rPr>
              <w:rFonts w:asciiTheme="minorEastAsia" w:hAnsiTheme="minorEastAsia" w:eastAsiaTheme="minorEastAsia"/>
              <w:color w:val="auto"/>
              <w:szCs w:val="32"/>
            </w:rPr>
            <w:t>资格要求</w:t>
          </w:r>
          <w:r>
            <w:rPr>
              <w:color w:val="auto"/>
            </w:rPr>
            <w:tab/>
          </w:r>
          <w:r>
            <w:rPr>
              <w:color w:val="auto"/>
            </w:rPr>
            <w:fldChar w:fldCharType="begin"/>
          </w:r>
          <w:r>
            <w:rPr>
              <w:color w:val="auto"/>
            </w:rPr>
            <w:instrText xml:space="preserve"> PAGEREF _Toc6222 \h </w:instrText>
          </w:r>
          <w:r>
            <w:rPr>
              <w:color w:val="auto"/>
            </w:rPr>
            <w:fldChar w:fldCharType="separate"/>
          </w:r>
          <w:r>
            <w:rPr>
              <w:color w:val="auto"/>
            </w:rPr>
            <w:t>4</w:t>
          </w:r>
          <w:r>
            <w:rPr>
              <w:color w:val="auto"/>
            </w:rPr>
            <w:fldChar w:fldCharType="end"/>
          </w:r>
          <w:r>
            <w:rPr>
              <w:color w:val="auto"/>
            </w:rPr>
            <w:fldChar w:fldCharType="end"/>
          </w:r>
        </w:p>
        <w:p w14:paraId="2ADB77F5">
          <w:pPr>
            <w:pStyle w:val="33"/>
            <w:tabs>
              <w:tab w:val="right" w:leader="dot" w:pos="9469"/>
            </w:tabs>
            <w:ind w:left="420"/>
            <w:rPr>
              <w:color w:val="auto"/>
            </w:rPr>
          </w:pPr>
          <w:r>
            <w:rPr>
              <w:color w:val="auto"/>
            </w:rPr>
            <w:fldChar w:fldCharType="begin"/>
          </w:r>
          <w:r>
            <w:rPr>
              <w:color w:val="auto"/>
            </w:rPr>
            <w:instrText xml:space="preserve"> HYPERLINK \l "_Toc21237" </w:instrText>
          </w:r>
          <w:r>
            <w:rPr>
              <w:color w:val="auto"/>
            </w:rPr>
            <w:fldChar w:fldCharType="separate"/>
          </w:r>
          <w:r>
            <w:rPr>
              <w:rFonts w:asciiTheme="minorEastAsia" w:hAnsiTheme="minorEastAsia" w:eastAsiaTheme="minorEastAsia"/>
              <w:color w:val="auto"/>
              <w:szCs w:val="32"/>
            </w:rPr>
            <w:t xml:space="preserve">4. </w:t>
          </w:r>
          <w:r>
            <w:rPr>
              <w:rFonts w:hint="eastAsia" w:asciiTheme="minorEastAsia" w:hAnsiTheme="minorEastAsia" w:eastAsiaTheme="minorEastAsia"/>
              <w:color w:val="auto"/>
              <w:szCs w:val="32"/>
            </w:rPr>
            <w:t>比选文件的获取</w:t>
          </w:r>
          <w:r>
            <w:rPr>
              <w:color w:val="auto"/>
            </w:rPr>
            <w:tab/>
          </w:r>
          <w:r>
            <w:rPr>
              <w:color w:val="auto"/>
            </w:rPr>
            <w:fldChar w:fldCharType="begin"/>
          </w:r>
          <w:r>
            <w:rPr>
              <w:color w:val="auto"/>
            </w:rPr>
            <w:instrText xml:space="preserve"> PAGEREF _Toc21237 \h </w:instrText>
          </w:r>
          <w:r>
            <w:rPr>
              <w:color w:val="auto"/>
            </w:rPr>
            <w:fldChar w:fldCharType="separate"/>
          </w:r>
          <w:r>
            <w:rPr>
              <w:color w:val="auto"/>
            </w:rPr>
            <w:t>4</w:t>
          </w:r>
          <w:r>
            <w:rPr>
              <w:color w:val="auto"/>
            </w:rPr>
            <w:fldChar w:fldCharType="end"/>
          </w:r>
          <w:r>
            <w:rPr>
              <w:color w:val="auto"/>
            </w:rPr>
            <w:fldChar w:fldCharType="end"/>
          </w:r>
        </w:p>
        <w:p w14:paraId="4095B776">
          <w:pPr>
            <w:pStyle w:val="33"/>
            <w:tabs>
              <w:tab w:val="right" w:leader="dot" w:pos="9469"/>
            </w:tabs>
            <w:ind w:left="420"/>
            <w:rPr>
              <w:color w:val="auto"/>
            </w:rPr>
          </w:pPr>
          <w:r>
            <w:rPr>
              <w:color w:val="auto"/>
            </w:rPr>
            <w:fldChar w:fldCharType="begin"/>
          </w:r>
          <w:r>
            <w:rPr>
              <w:color w:val="auto"/>
            </w:rPr>
            <w:instrText xml:space="preserve"> HYPERLINK \l "_Toc1612" </w:instrText>
          </w:r>
          <w:r>
            <w:rPr>
              <w:color w:val="auto"/>
            </w:rPr>
            <w:fldChar w:fldCharType="separate"/>
          </w:r>
          <w:r>
            <w:rPr>
              <w:rFonts w:asciiTheme="minorEastAsia" w:hAnsiTheme="minorEastAsia" w:eastAsiaTheme="minorEastAsia"/>
              <w:color w:val="auto"/>
              <w:szCs w:val="32"/>
            </w:rPr>
            <w:t xml:space="preserve">5. </w:t>
          </w:r>
          <w:r>
            <w:rPr>
              <w:rFonts w:hint="eastAsia" w:asciiTheme="minorEastAsia" w:hAnsiTheme="minorEastAsia" w:eastAsiaTheme="minorEastAsia"/>
              <w:color w:val="auto"/>
              <w:szCs w:val="32"/>
            </w:rPr>
            <w:t>竞标文件的递交</w:t>
          </w:r>
          <w:r>
            <w:rPr>
              <w:color w:val="auto"/>
            </w:rPr>
            <w:tab/>
          </w:r>
          <w:r>
            <w:rPr>
              <w:color w:val="auto"/>
            </w:rPr>
            <w:fldChar w:fldCharType="begin"/>
          </w:r>
          <w:r>
            <w:rPr>
              <w:color w:val="auto"/>
            </w:rPr>
            <w:instrText xml:space="preserve"> PAGEREF _Toc1612 \h </w:instrText>
          </w:r>
          <w:r>
            <w:rPr>
              <w:color w:val="auto"/>
            </w:rPr>
            <w:fldChar w:fldCharType="separate"/>
          </w:r>
          <w:r>
            <w:rPr>
              <w:color w:val="auto"/>
            </w:rPr>
            <w:t>4</w:t>
          </w:r>
          <w:r>
            <w:rPr>
              <w:color w:val="auto"/>
            </w:rPr>
            <w:fldChar w:fldCharType="end"/>
          </w:r>
          <w:r>
            <w:rPr>
              <w:color w:val="auto"/>
            </w:rPr>
            <w:fldChar w:fldCharType="end"/>
          </w:r>
        </w:p>
        <w:p w14:paraId="4AAC1251">
          <w:pPr>
            <w:pStyle w:val="33"/>
            <w:tabs>
              <w:tab w:val="right" w:leader="dot" w:pos="9469"/>
            </w:tabs>
            <w:ind w:left="420"/>
            <w:rPr>
              <w:color w:val="auto"/>
            </w:rPr>
          </w:pPr>
          <w:r>
            <w:rPr>
              <w:color w:val="auto"/>
            </w:rPr>
            <w:fldChar w:fldCharType="begin"/>
          </w:r>
          <w:r>
            <w:rPr>
              <w:color w:val="auto"/>
            </w:rPr>
            <w:instrText xml:space="preserve"> HYPERLINK \l "_Toc6209" </w:instrText>
          </w:r>
          <w:r>
            <w:rPr>
              <w:color w:val="auto"/>
            </w:rPr>
            <w:fldChar w:fldCharType="separate"/>
          </w:r>
          <w:r>
            <w:rPr>
              <w:rFonts w:asciiTheme="minorEastAsia" w:hAnsiTheme="minorEastAsia" w:eastAsiaTheme="minorEastAsia"/>
              <w:color w:val="auto"/>
              <w:szCs w:val="32"/>
            </w:rPr>
            <w:t xml:space="preserve">6. </w:t>
          </w:r>
          <w:r>
            <w:rPr>
              <w:rFonts w:hint="eastAsia" w:asciiTheme="minorEastAsia" w:hAnsiTheme="minorEastAsia" w:eastAsiaTheme="minorEastAsia"/>
              <w:color w:val="auto"/>
              <w:szCs w:val="32"/>
            </w:rPr>
            <w:t>发布公告的媒介</w:t>
          </w:r>
          <w:r>
            <w:rPr>
              <w:color w:val="auto"/>
            </w:rPr>
            <w:tab/>
          </w:r>
          <w:r>
            <w:rPr>
              <w:color w:val="auto"/>
            </w:rPr>
            <w:fldChar w:fldCharType="begin"/>
          </w:r>
          <w:r>
            <w:rPr>
              <w:color w:val="auto"/>
            </w:rPr>
            <w:instrText xml:space="preserve"> PAGEREF _Toc6209 \h </w:instrText>
          </w:r>
          <w:r>
            <w:rPr>
              <w:color w:val="auto"/>
            </w:rPr>
            <w:fldChar w:fldCharType="separate"/>
          </w:r>
          <w:r>
            <w:rPr>
              <w:color w:val="auto"/>
            </w:rPr>
            <w:t>4</w:t>
          </w:r>
          <w:r>
            <w:rPr>
              <w:color w:val="auto"/>
            </w:rPr>
            <w:fldChar w:fldCharType="end"/>
          </w:r>
          <w:r>
            <w:rPr>
              <w:color w:val="auto"/>
            </w:rPr>
            <w:fldChar w:fldCharType="end"/>
          </w:r>
        </w:p>
        <w:p w14:paraId="46478F35">
          <w:pPr>
            <w:pStyle w:val="33"/>
            <w:tabs>
              <w:tab w:val="right" w:leader="dot" w:pos="9469"/>
            </w:tabs>
            <w:ind w:left="420"/>
            <w:rPr>
              <w:color w:val="auto"/>
            </w:rPr>
          </w:pPr>
          <w:r>
            <w:rPr>
              <w:color w:val="auto"/>
            </w:rPr>
            <w:fldChar w:fldCharType="begin"/>
          </w:r>
          <w:r>
            <w:rPr>
              <w:color w:val="auto"/>
            </w:rPr>
            <w:instrText xml:space="preserve"> HYPERLINK \l "_Toc6950" </w:instrText>
          </w:r>
          <w:r>
            <w:rPr>
              <w:color w:val="auto"/>
            </w:rPr>
            <w:fldChar w:fldCharType="separate"/>
          </w:r>
          <w:r>
            <w:rPr>
              <w:rFonts w:asciiTheme="minorEastAsia" w:hAnsiTheme="minorEastAsia" w:eastAsiaTheme="minorEastAsia"/>
              <w:color w:val="auto"/>
              <w:szCs w:val="32"/>
            </w:rPr>
            <w:t xml:space="preserve">7. </w:t>
          </w:r>
          <w:r>
            <w:rPr>
              <w:rFonts w:hint="eastAsia" w:asciiTheme="minorEastAsia" w:hAnsiTheme="minorEastAsia" w:eastAsiaTheme="minorEastAsia"/>
              <w:color w:val="auto"/>
              <w:szCs w:val="32"/>
            </w:rPr>
            <w:t>联系方式</w:t>
          </w:r>
          <w:r>
            <w:rPr>
              <w:color w:val="auto"/>
            </w:rPr>
            <w:tab/>
          </w:r>
          <w:r>
            <w:rPr>
              <w:color w:val="auto"/>
            </w:rPr>
            <w:fldChar w:fldCharType="begin"/>
          </w:r>
          <w:r>
            <w:rPr>
              <w:color w:val="auto"/>
            </w:rPr>
            <w:instrText xml:space="preserve"> PAGEREF _Toc6950 \h </w:instrText>
          </w:r>
          <w:r>
            <w:rPr>
              <w:color w:val="auto"/>
            </w:rPr>
            <w:fldChar w:fldCharType="separate"/>
          </w:r>
          <w:r>
            <w:rPr>
              <w:color w:val="auto"/>
            </w:rPr>
            <w:t>4</w:t>
          </w:r>
          <w:r>
            <w:rPr>
              <w:color w:val="auto"/>
            </w:rPr>
            <w:fldChar w:fldCharType="end"/>
          </w:r>
          <w:r>
            <w:rPr>
              <w:color w:val="auto"/>
            </w:rPr>
            <w:fldChar w:fldCharType="end"/>
          </w:r>
        </w:p>
        <w:p w14:paraId="424DBFAB">
          <w:pPr>
            <w:pStyle w:val="28"/>
            <w:tabs>
              <w:tab w:val="right" w:leader="dot" w:pos="9469"/>
            </w:tabs>
            <w:rPr>
              <w:color w:val="auto"/>
            </w:rPr>
          </w:pPr>
          <w:r>
            <w:rPr>
              <w:color w:val="auto"/>
            </w:rPr>
            <w:fldChar w:fldCharType="begin"/>
          </w:r>
          <w:r>
            <w:rPr>
              <w:color w:val="auto"/>
            </w:rPr>
            <w:instrText xml:space="preserve"> HYPERLINK \l "_Toc16764" </w:instrText>
          </w:r>
          <w:r>
            <w:rPr>
              <w:color w:val="auto"/>
            </w:rPr>
            <w:fldChar w:fldCharType="separate"/>
          </w:r>
          <w:r>
            <w:rPr>
              <w:rFonts w:asciiTheme="minorEastAsia" w:hAnsiTheme="minorEastAsia" w:eastAsiaTheme="minorEastAsia"/>
              <w:snapToGrid w:val="0"/>
              <w:color w:val="auto"/>
              <w:kern w:val="0"/>
              <w:szCs w:val="21"/>
            </w:rPr>
            <w:t>第二章</w:t>
          </w:r>
          <w:r>
            <w:rPr>
              <w:rFonts w:hint="eastAsia" w:asciiTheme="minorEastAsia" w:hAnsiTheme="minorEastAsia" w:eastAsiaTheme="minorEastAsia"/>
              <w:snapToGrid w:val="0"/>
              <w:color w:val="auto"/>
              <w:kern w:val="0"/>
              <w:szCs w:val="21"/>
            </w:rPr>
            <w:t xml:space="preserve">  </w:t>
          </w:r>
          <w:r>
            <w:rPr>
              <w:rFonts w:asciiTheme="minorEastAsia" w:hAnsiTheme="minorEastAsia" w:eastAsiaTheme="minorEastAsia"/>
              <w:snapToGrid w:val="0"/>
              <w:color w:val="auto"/>
              <w:kern w:val="0"/>
              <w:szCs w:val="21"/>
            </w:rPr>
            <w:t>竞标人须知</w:t>
          </w:r>
          <w:r>
            <w:rPr>
              <w:color w:val="auto"/>
            </w:rPr>
            <w:tab/>
          </w:r>
          <w:r>
            <w:rPr>
              <w:color w:val="auto"/>
            </w:rPr>
            <w:fldChar w:fldCharType="begin"/>
          </w:r>
          <w:r>
            <w:rPr>
              <w:color w:val="auto"/>
            </w:rPr>
            <w:instrText xml:space="preserve"> PAGEREF _Toc16764 \h </w:instrText>
          </w:r>
          <w:r>
            <w:rPr>
              <w:color w:val="auto"/>
            </w:rPr>
            <w:fldChar w:fldCharType="separate"/>
          </w:r>
          <w:r>
            <w:rPr>
              <w:color w:val="auto"/>
            </w:rPr>
            <w:t>5</w:t>
          </w:r>
          <w:r>
            <w:rPr>
              <w:color w:val="auto"/>
            </w:rPr>
            <w:fldChar w:fldCharType="end"/>
          </w:r>
          <w:r>
            <w:rPr>
              <w:color w:val="auto"/>
            </w:rPr>
            <w:fldChar w:fldCharType="end"/>
          </w:r>
        </w:p>
        <w:p w14:paraId="3BBECDAD">
          <w:pPr>
            <w:pStyle w:val="33"/>
            <w:tabs>
              <w:tab w:val="right" w:leader="dot" w:pos="9469"/>
            </w:tabs>
            <w:ind w:left="420"/>
            <w:rPr>
              <w:color w:val="auto"/>
            </w:rPr>
          </w:pPr>
          <w:r>
            <w:rPr>
              <w:color w:val="auto"/>
            </w:rPr>
            <w:fldChar w:fldCharType="begin"/>
          </w:r>
          <w:r>
            <w:rPr>
              <w:color w:val="auto"/>
            </w:rPr>
            <w:instrText xml:space="preserve"> HYPERLINK \l "_Toc11542" </w:instrText>
          </w:r>
          <w:r>
            <w:rPr>
              <w:color w:val="auto"/>
            </w:rPr>
            <w:fldChar w:fldCharType="separate"/>
          </w:r>
          <w:r>
            <w:rPr>
              <w:rFonts w:ascii="宋体" w:hAnsi="宋体"/>
              <w:bCs/>
              <w:color w:val="auto"/>
              <w:szCs w:val="36"/>
            </w:rPr>
            <w:t>竞标人须知前附表</w:t>
          </w:r>
          <w:r>
            <w:rPr>
              <w:color w:val="auto"/>
            </w:rPr>
            <w:tab/>
          </w:r>
          <w:r>
            <w:rPr>
              <w:color w:val="auto"/>
            </w:rPr>
            <w:fldChar w:fldCharType="begin"/>
          </w:r>
          <w:r>
            <w:rPr>
              <w:color w:val="auto"/>
            </w:rPr>
            <w:instrText xml:space="preserve"> PAGEREF _Toc11542 \h </w:instrText>
          </w:r>
          <w:r>
            <w:rPr>
              <w:color w:val="auto"/>
            </w:rPr>
            <w:fldChar w:fldCharType="separate"/>
          </w:r>
          <w:r>
            <w:rPr>
              <w:color w:val="auto"/>
            </w:rPr>
            <w:t>5</w:t>
          </w:r>
          <w:r>
            <w:rPr>
              <w:color w:val="auto"/>
            </w:rPr>
            <w:fldChar w:fldCharType="end"/>
          </w:r>
          <w:r>
            <w:rPr>
              <w:color w:val="auto"/>
            </w:rPr>
            <w:fldChar w:fldCharType="end"/>
          </w:r>
        </w:p>
        <w:p w14:paraId="21E5356C">
          <w:pPr>
            <w:pStyle w:val="33"/>
            <w:tabs>
              <w:tab w:val="right" w:leader="dot" w:pos="9469"/>
            </w:tabs>
            <w:ind w:left="420"/>
            <w:rPr>
              <w:color w:val="auto"/>
            </w:rPr>
          </w:pPr>
          <w:r>
            <w:rPr>
              <w:color w:val="auto"/>
            </w:rPr>
            <w:fldChar w:fldCharType="begin"/>
          </w:r>
          <w:r>
            <w:rPr>
              <w:color w:val="auto"/>
            </w:rPr>
            <w:instrText xml:space="preserve"> HYPERLINK \l "_Toc19305" </w:instrText>
          </w:r>
          <w:r>
            <w:rPr>
              <w:color w:val="auto"/>
            </w:rPr>
            <w:fldChar w:fldCharType="separate"/>
          </w:r>
          <w:r>
            <w:rPr>
              <w:rFonts w:asciiTheme="minorEastAsia" w:hAnsiTheme="minorEastAsia" w:eastAsiaTheme="minorEastAsia"/>
              <w:color w:val="auto"/>
              <w:szCs w:val="21"/>
            </w:rPr>
            <w:t>1. 总则</w:t>
          </w:r>
          <w:r>
            <w:rPr>
              <w:color w:val="auto"/>
            </w:rPr>
            <w:tab/>
          </w:r>
          <w:r>
            <w:rPr>
              <w:color w:val="auto"/>
            </w:rPr>
            <w:fldChar w:fldCharType="begin"/>
          </w:r>
          <w:r>
            <w:rPr>
              <w:color w:val="auto"/>
            </w:rPr>
            <w:instrText xml:space="preserve"> PAGEREF _Toc19305 \h </w:instrText>
          </w:r>
          <w:r>
            <w:rPr>
              <w:color w:val="auto"/>
            </w:rPr>
            <w:fldChar w:fldCharType="separate"/>
          </w:r>
          <w:r>
            <w:rPr>
              <w:color w:val="auto"/>
            </w:rPr>
            <w:t>14</w:t>
          </w:r>
          <w:r>
            <w:rPr>
              <w:color w:val="auto"/>
            </w:rPr>
            <w:fldChar w:fldCharType="end"/>
          </w:r>
          <w:r>
            <w:rPr>
              <w:color w:val="auto"/>
            </w:rPr>
            <w:fldChar w:fldCharType="end"/>
          </w:r>
        </w:p>
        <w:p w14:paraId="713F4653">
          <w:pPr>
            <w:pStyle w:val="20"/>
            <w:tabs>
              <w:tab w:val="right" w:leader="dot" w:pos="9469"/>
            </w:tabs>
            <w:ind w:left="840"/>
            <w:rPr>
              <w:color w:val="auto"/>
            </w:rPr>
          </w:pPr>
          <w:r>
            <w:rPr>
              <w:color w:val="auto"/>
            </w:rPr>
            <w:fldChar w:fldCharType="begin"/>
          </w:r>
          <w:r>
            <w:rPr>
              <w:color w:val="auto"/>
            </w:rPr>
            <w:instrText xml:space="preserve"> HYPERLINK \l "_Toc5694" </w:instrText>
          </w:r>
          <w:r>
            <w:rPr>
              <w:color w:val="auto"/>
            </w:rPr>
            <w:fldChar w:fldCharType="separate"/>
          </w:r>
          <w:r>
            <w:rPr>
              <w:rFonts w:asciiTheme="minorEastAsia" w:hAnsiTheme="minorEastAsia" w:eastAsiaTheme="minorEastAsia"/>
              <w:color w:val="auto"/>
              <w:szCs w:val="21"/>
            </w:rPr>
            <w:t>1.1</w:t>
          </w:r>
          <w:r>
            <w:rPr>
              <w:rFonts w:hint="eastAsia" w:asciiTheme="minorEastAsia" w:hAnsiTheme="minorEastAsia" w:eastAsiaTheme="minorEastAsia"/>
              <w:color w:val="auto"/>
              <w:szCs w:val="21"/>
            </w:rPr>
            <w:t xml:space="preserve"> 比选项目</w:t>
          </w:r>
          <w:r>
            <w:rPr>
              <w:rFonts w:asciiTheme="minorEastAsia" w:hAnsiTheme="minorEastAsia" w:eastAsiaTheme="minorEastAsia"/>
              <w:color w:val="auto"/>
              <w:szCs w:val="21"/>
            </w:rPr>
            <w:t>概况</w:t>
          </w:r>
          <w:r>
            <w:rPr>
              <w:color w:val="auto"/>
            </w:rPr>
            <w:tab/>
          </w:r>
          <w:r>
            <w:rPr>
              <w:color w:val="auto"/>
            </w:rPr>
            <w:fldChar w:fldCharType="begin"/>
          </w:r>
          <w:r>
            <w:rPr>
              <w:color w:val="auto"/>
            </w:rPr>
            <w:instrText xml:space="preserve"> PAGEREF _Toc5694 \h </w:instrText>
          </w:r>
          <w:r>
            <w:rPr>
              <w:color w:val="auto"/>
            </w:rPr>
            <w:fldChar w:fldCharType="separate"/>
          </w:r>
          <w:r>
            <w:rPr>
              <w:color w:val="auto"/>
            </w:rPr>
            <w:t>14</w:t>
          </w:r>
          <w:r>
            <w:rPr>
              <w:color w:val="auto"/>
            </w:rPr>
            <w:fldChar w:fldCharType="end"/>
          </w:r>
          <w:r>
            <w:rPr>
              <w:color w:val="auto"/>
            </w:rPr>
            <w:fldChar w:fldCharType="end"/>
          </w:r>
        </w:p>
        <w:p w14:paraId="2379D30B">
          <w:pPr>
            <w:pStyle w:val="20"/>
            <w:tabs>
              <w:tab w:val="right" w:leader="dot" w:pos="9469"/>
            </w:tabs>
            <w:ind w:left="840"/>
            <w:rPr>
              <w:color w:val="auto"/>
            </w:rPr>
          </w:pPr>
          <w:r>
            <w:rPr>
              <w:color w:val="auto"/>
            </w:rPr>
            <w:fldChar w:fldCharType="begin"/>
          </w:r>
          <w:r>
            <w:rPr>
              <w:color w:val="auto"/>
            </w:rPr>
            <w:instrText xml:space="preserve"> HYPERLINK \l "_Toc10435" </w:instrText>
          </w:r>
          <w:r>
            <w:rPr>
              <w:color w:val="auto"/>
            </w:rPr>
            <w:fldChar w:fldCharType="separate"/>
          </w:r>
          <w:r>
            <w:rPr>
              <w:rFonts w:asciiTheme="minorEastAsia" w:hAnsiTheme="minorEastAsia" w:eastAsiaTheme="minorEastAsia"/>
              <w:color w:val="auto"/>
              <w:szCs w:val="21"/>
            </w:rPr>
            <w:t>1.2</w:t>
          </w:r>
          <w:r>
            <w:rPr>
              <w:rFonts w:hint="eastAsia" w:asciiTheme="minorEastAsia" w:hAnsiTheme="minorEastAsia" w:eastAsiaTheme="minorEastAsia"/>
              <w:color w:val="auto"/>
              <w:szCs w:val="21"/>
            </w:rPr>
            <w:t xml:space="preserve"> 比选项目</w:t>
          </w:r>
          <w:r>
            <w:rPr>
              <w:rFonts w:asciiTheme="minorEastAsia" w:hAnsiTheme="minorEastAsia" w:eastAsiaTheme="minorEastAsia"/>
              <w:color w:val="auto"/>
              <w:szCs w:val="21"/>
            </w:rPr>
            <w:t>的资金来源和落实情况</w:t>
          </w:r>
          <w:r>
            <w:rPr>
              <w:color w:val="auto"/>
            </w:rPr>
            <w:tab/>
          </w:r>
          <w:r>
            <w:rPr>
              <w:color w:val="auto"/>
            </w:rPr>
            <w:fldChar w:fldCharType="begin"/>
          </w:r>
          <w:r>
            <w:rPr>
              <w:color w:val="auto"/>
            </w:rPr>
            <w:instrText xml:space="preserve"> PAGEREF _Toc10435 \h </w:instrText>
          </w:r>
          <w:r>
            <w:rPr>
              <w:color w:val="auto"/>
            </w:rPr>
            <w:fldChar w:fldCharType="separate"/>
          </w:r>
          <w:r>
            <w:rPr>
              <w:color w:val="auto"/>
            </w:rPr>
            <w:t>14</w:t>
          </w:r>
          <w:r>
            <w:rPr>
              <w:color w:val="auto"/>
            </w:rPr>
            <w:fldChar w:fldCharType="end"/>
          </w:r>
          <w:r>
            <w:rPr>
              <w:color w:val="auto"/>
            </w:rPr>
            <w:fldChar w:fldCharType="end"/>
          </w:r>
        </w:p>
        <w:p w14:paraId="13A20E43">
          <w:pPr>
            <w:pStyle w:val="20"/>
            <w:tabs>
              <w:tab w:val="right" w:leader="dot" w:pos="9469"/>
            </w:tabs>
            <w:ind w:left="840"/>
            <w:rPr>
              <w:color w:val="auto"/>
            </w:rPr>
          </w:pPr>
          <w:r>
            <w:rPr>
              <w:color w:val="auto"/>
            </w:rPr>
            <w:fldChar w:fldCharType="begin"/>
          </w:r>
          <w:r>
            <w:rPr>
              <w:color w:val="auto"/>
            </w:rPr>
            <w:instrText xml:space="preserve"> HYPERLINK \l "_Toc10965" </w:instrText>
          </w:r>
          <w:r>
            <w:rPr>
              <w:color w:val="auto"/>
            </w:rPr>
            <w:fldChar w:fldCharType="separate"/>
          </w:r>
          <w:r>
            <w:rPr>
              <w:rFonts w:asciiTheme="minorEastAsia" w:hAnsiTheme="minorEastAsia" w:eastAsiaTheme="minorEastAsia"/>
              <w:color w:val="auto"/>
              <w:szCs w:val="21"/>
            </w:rPr>
            <w:t>1.3</w:t>
          </w:r>
          <w:r>
            <w:rPr>
              <w:rFonts w:hint="eastAsia" w:asciiTheme="minorEastAsia" w:hAnsiTheme="minorEastAsia" w:eastAsiaTheme="minorEastAsia"/>
              <w:color w:val="auto"/>
              <w:szCs w:val="21"/>
            </w:rPr>
            <w:t xml:space="preserve"> 比选范围</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服务期限</w:t>
          </w:r>
          <w:r>
            <w:rPr>
              <w:rFonts w:asciiTheme="minorEastAsia" w:hAnsiTheme="minorEastAsia" w:eastAsiaTheme="minorEastAsia"/>
              <w:color w:val="auto"/>
              <w:szCs w:val="21"/>
            </w:rPr>
            <w:t>和质量标准</w:t>
          </w:r>
          <w:r>
            <w:rPr>
              <w:color w:val="auto"/>
            </w:rPr>
            <w:tab/>
          </w:r>
          <w:r>
            <w:rPr>
              <w:color w:val="auto"/>
            </w:rPr>
            <w:fldChar w:fldCharType="begin"/>
          </w:r>
          <w:r>
            <w:rPr>
              <w:color w:val="auto"/>
            </w:rPr>
            <w:instrText xml:space="preserve"> PAGEREF _Toc10965 \h </w:instrText>
          </w:r>
          <w:r>
            <w:rPr>
              <w:color w:val="auto"/>
            </w:rPr>
            <w:fldChar w:fldCharType="separate"/>
          </w:r>
          <w:r>
            <w:rPr>
              <w:color w:val="auto"/>
            </w:rPr>
            <w:t>14</w:t>
          </w:r>
          <w:r>
            <w:rPr>
              <w:color w:val="auto"/>
            </w:rPr>
            <w:fldChar w:fldCharType="end"/>
          </w:r>
          <w:r>
            <w:rPr>
              <w:color w:val="auto"/>
            </w:rPr>
            <w:fldChar w:fldCharType="end"/>
          </w:r>
        </w:p>
        <w:p w14:paraId="4B09DBD5">
          <w:pPr>
            <w:pStyle w:val="20"/>
            <w:tabs>
              <w:tab w:val="right" w:leader="dot" w:pos="9469"/>
            </w:tabs>
            <w:ind w:left="840"/>
            <w:rPr>
              <w:color w:val="auto"/>
            </w:rPr>
          </w:pPr>
          <w:r>
            <w:rPr>
              <w:color w:val="auto"/>
            </w:rPr>
            <w:fldChar w:fldCharType="begin"/>
          </w:r>
          <w:r>
            <w:rPr>
              <w:color w:val="auto"/>
            </w:rPr>
            <w:instrText xml:space="preserve"> HYPERLINK \l "_Toc32684" </w:instrText>
          </w:r>
          <w:r>
            <w:rPr>
              <w:color w:val="auto"/>
            </w:rPr>
            <w:fldChar w:fldCharType="separate"/>
          </w:r>
          <w:r>
            <w:rPr>
              <w:rFonts w:asciiTheme="minorEastAsia" w:hAnsiTheme="minorEastAsia" w:eastAsiaTheme="minorEastAsia"/>
              <w:color w:val="auto"/>
              <w:szCs w:val="21"/>
            </w:rPr>
            <w:t>1.4</w:t>
          </w:r>
          <w:r>
            <w:rPr>
              <w:rFonts w:hint="eastAsia" w:asciiTheme="minorEastAsia" w:hAnsiTheme="minorEastAsia" w:eastAsiaTheme="minorEastAsia"/>
              <w:color w:val="auto"/>
              <w:szCs w:val="21"/>
            </w:rPr>
            <w:t xml:space="preserve"> </w:t>
          </w:r>
          <w:r>
            <w:rPr>
              <w:rFonts w:asciiTheme="minorEastAsia" w:hAnsiTheme="minorEastAsia" w:eastAsiaTheme="minorEastAsia"/>
              <w:color w:val="auto"/>
              <w:szCs w:val="21"/>
            </w:rPr>
            <w:t>竞标人资格要求</w:t>
          </w:r>
          <w:r>
            <w:rPr>
              <w:color w:val="auto"/>
            </w:rPr>
            <w:tab/>
          </w:r>
          <w:r>
            <w:rPr>
              <w:color w:val="auto"/>
            </w:rPr>
            <w:fldChar w:fldCharType="begin"/>
          </w:r>
          <w:r>
            <w:rPr>
              <w:color w:val="auto"/>
            </w:rPr>
            <w:instrText xml:space="preserve"> PAGEREF _Toc32684 \h </w:instrText>
          </w:r>
          <w:r>
            <w:rPr>
              <w:color w:val="auto"/>
            </w:rPr>
            <w:fldChar w:fldCharType="separate"/>
          </w:r>
          <w:r>
            <w:rPr>
              <w:color w:val="auto"/>
            </w:rPr>
            <w:t>14</w:t>
          </w:r>
          <w:r>
            <w:rPr>
              <w:color w:val="auto"/>
            </w:rPr>
            <w:fldChar w:fldCharType="end"/>
          </w:r>
          <w:r>
            <w:rPr>
              <w:color w:val="auto"/>
            </w:rPr>
            <w:fldChar w:fldCharType="end"/>
          </w:r>
        </w:p>
        <w:p w14:paraId="54435CC2">
          <w:pPr>
            <w:pStyle w:val="20"/>
            <w:tabs>
              <w:tab w:val="right" w:leader="dot" w:pos="9469"/>
            </w:tabs>
            <w:ind w:left="840"/>
            <w:rPr>
              <w:color w:val="auto"/>
            </w:rPr>
          </w:pPr>
          <w:r>
            <w:rPr>
              <w:color w:val="auto"/>
            </w:rPr>
            <w:fldChar w:fldCharType="begin"/>
          </w:r>
          <w:r>
            <w:rPr>
              <w:color w:val="auto"/>
            </w:rPr>
            <w:instrText xml:space="preserve"> HYPERLINK \l "_Toc6195" </w:instrText>
          </w:r>
          <w:r>
            <w:rPr>
              <w:color w:val="auto"/>
            </w:rPr>
            <w:fldChar w:fldCharType="separate"/>
          </w:r>
          <w:r>
            <w:rPr>
              <w:rFonts w:asciiTheme="minorEastAsia" w:hAnsiTheme="minorEastAsia" w:eastAsiaTheme="minorEastAsia"/>
              <w:color w:val="auto"/>
              <w:szCs w:val="21"/>
            </w:rPr>
            <w:t xml:space="preserve">1.5 </w:t>
          </w:r>
          <w:r>
            <w:rPr>
              <w:rFonts w:hint="eastAsia" w:asciiTheme="minorEastAsia" w:hAnsiTheme="minorEastAsia" w:eastAsiaTheme="minorEastAsia"/>
              <w:color w:val="auto"/>
              <w:szCs w:val="21"/>
            </w:rPr>
            <w:t>费用承担</w:t>
          </w:r>
          <w:r>
            <w:rPr>
              <w:color w:val="auto"/>
            </w:rPr>
            <w:tab/>
          </w:r>
          <w:r>
            <w:rPr>
              <w:color w:val="auto"/>
            </w:rPr>
            <w:fldChar w:fldCharType="begin"/>
          </w:r>
          <w:r>
            <w:rPr>
              <w:color w:val="auto"/>
            </w:rPr>
            <w:instrText xml:space="preserve"> PAGEREF _Toc6195 \h </w:instrText>
          </w:r>
          <w:r>
            <w:rPr>
              <w:color w:val="auto"/>
            </w:rPr>
            <w:fldChar w:fldCharType="separate"/>
          </w:r>
          <w:r>
            <w:rPr>
              <w:color w:val="auto"/>
            </w:rPr>
            <w:t>15</w:t>
          </w:r>
          <w:r>
            <w:rPr>
              <w:color w:val="auto"/>
            </w:rPr>
            <w:fldChar w:fldCharType="end"/>
          </w:r>
          <w:r>
            <w:rPr>
              <w:color w:val="auto"/>
            </w:rPr>
            <w:fldChar w:fldCharType="end"/>
          </w:r>
        </w:p>
        <w:p w14:paraId="374A6B46">
          <w:pPr>
            <w:pStyle w:val="20"/>
            <w:tabs>
              <w:tab w:val="right" w:leader="dot" w:pos="9469"/>
            </w:tabs>
            <w:ind w:left="840"/>
            <w:rPr>
              <w:color w:val="auto"/>
            </w:rPr>
          </w:pPr>
          <w:r>
            <w:rPr>
              <w:color w:val="auto"/>
            </w:rPr>
            <w:fldChar w:fldCharType="begin"/>
          </w:r>
          <w:r>
            <w:rPr>
              <w:color w:val="auto"/>
            </w:rPr>
            <w:instrText xml:space="preserve"> HYPERLINK \l "_Toc20716" </w:instrText>
          </w:r>
          <w:r>
            <w:rPr>
              <w:color w:val="auto"/>
            </w:rPr>
            <w:fldChar w:fldCharType="separate"/>
          </w:r>
          <w:r>
            <w:rPr>
              <w:rFonts w:asciiTheme="minorEastAsia" w:hAnsiTheme="minorEastAsia" w:eastAsiaTheme="minorEastAsia"/>
              <w:color w:val="auto"/>
              <w:szCs w:val="21"/>
            </w:rPr>
            <w:t>1.6</w:t>
          </w:r>
          <w:r>
            <w:rPr>
              <w:rFonts w:hint="eastAsia" w:asciiTheme="minorEastAsia" w:hAnsiTheme="minorEastAsia" w:eastAsiaTheme="minorEastAsia"/>
              <w:color w:val="auto"/>
              <w:szCs w:val="21"/>
            </w:rPr>
            <w:t xml:space="preserve"> 保密</w:t>
          </w:r>
          <w:r>
            <w:rPr>
              <w:color w:val="auto"/>
            </w:rPr>
            <w:tab/>
          </w:r>
          <w:r>
            <w:rPr>
              <w:color w:val="auto"/>
            </w:rPr>
            <w:fldChar w:fldCharType="begin"/>
          </w:r>
          <w:r>
            <w:rPr>
              <w:color w:val="auto"/>
            </w:rPr>
            <w:instrText xml:space="preserve"> PAGEREF _Toc20716 \h </w:instrText>
          </w:r>
          <w:r>
            <w:rPr>
              <w:color w:val="auto"/>
            </w:rPr>
            <w:fldChar w:fldCharType="separate"/>
          </w:r>
          <w:r>
            <w:rPr>
              <w:color w:val="auto"/>
            </w:rPr>
            <w:t>15</w:t>
          </w:r>
          <w:r>
            <w:rPr>
              <w:color w:val="auto"/>
            </w:rPr>
            <w:fldChar w:fldCharType="end"/>
          </w:r>
          <w:r>
            <w:rPr>
              <w:color w:val="auto"/>
            </w:rPr>
            <w:fldChar w:fldCharType="end"/>
          </w:r>
        </w:p>
        <w:p w14:paraId="3D022C61">
          <w:pPr>
            <w:pStyle w:val="20"/>
            <w:tabs>
              <w:tab w:val="right" w:leader="dot" w:pos="9469"/>
            </w:tabs>
            <w:ind w:left="840"/>
            <w:rPr>
              <w:color w:val="auto"/>
            </w:rPr>
          </w:pPr>
          <w:r>
            <w:rPr>
              <w:color w:val="auto"/>
            </w:rPr>
            <w:fldChar w:fldCharType="begin"/>
          </w:r>
          <w:r>
            <w:rPr>
              <w:color w:val="auto"/>
            </w:rPr>
            <w:instrText xml:space="preserve"> HYPERLINK \l "_Toc2436" </w:instrText>
          </w:r>
          <w:r>
            <w:rPr>
              <w:color w:val="auto"/>
            </w:rPr>
            <w:fldChar w:fldCharType="separate"/>
          </w:r>
          <w:r>
            <w:rPr>
              <w:rFonts w:asciiTheme="minorEastAsia" w:hAnsiTheme="minorEastAsia" w:eastAsiaTheme="minorEastAsia"/>
              <w:color w:val="auto"/>
              <w:szCs w:val="21"/>
            </w:rPr>
            <w:t>1.7 语言文字</w:t>
          </w:r>
          <w:r>
            <w:rPr>
              <w:color w:val="auto"/>
            </w:rPr>
            <w:tab/>
          </w:r>
          <w:r>
            <w:rPr>
              <w:color w:val="auto"/>
            </w:rPr>
            <w:fldChar w:fldCharType="begin"/>
          </w:r>
          <w:r>
            <w:rPr>
              <w:color w:val="auto"/>
            </w:rPr>
            <w:instrText xml:space="preserve"> PAGEREF _Toc2436 \h </w:instrText>
          </w:r>
          <w:r>
            <w:rPr>
              <w:color w:val="auto"/>
            </w:rPr>
            <w:fldChar w:fldCharType="separate"/>
          </w:r>
          <w:r>
            <w:rPr>
              <w:color w:val="auto"/>
            </w:rPr>
            <w:t>15</w:t>
          </w:r>
          <w:r>
            <w:rPr>
              <w:color w:val="auto"/>
            </w:rPr>
            <w:fldChar w:fldCharType="end"/>
          </w:r>
          <w:r>
            <w:rPr>
              <w:color w:val="auto"/>
            </w:rPr>
            <w:fldChar w:fldCharType="end"/>
          </w:r>
        </w:p>
        <w:p w14:paraId="176D57D0">
          <w:pPr>
            <w:pStyle w:val="20"/>
            <w:tabs>
              <w:tab w:val="right" w:leader="dot" w:pos="9469"/>
            </w:tabs>
            <w:ind w:left="840"/>
            <w:rPr>
              <w:color w:val="auto"/>
            </w:rPr>
          </w:pPr>
          <w:r>
            <w:rPr>
              <w:color w:val="auto"/>
            </w:rPr>
            <w:fldChar w:fldCharType="begin"/>
          </w:r>
          <w:r>
            <w:rPr>
              <w:color w:val="auto"/>
            </w:rPr>
            <w:instrText xml:space="preserve"> HYPERLINK \l "_Toc14946" </w:instrText>
          </w:r>
          <w:r>
            <w:rPr>
              <w:color w:val="auto"/>
            </w:rPr>
            <w:fldChar w:fldCharType="separate"/>
          </w:r>
          <w:r>
            <w:rPr>
              <w:rFonts w:asciiTheme="minorEastAsia" w:hAnsiTheme="minorEastAsia" w:eastAsiaTheme="minorEastAsia"/>
              <w:color w:val="auto"/>
              <w:szCs w:val="21"/>
            </w:rPr>
            <w:t>1.8</w:t>
          </w:r>
          <w:r>
            <w:rPr>
              <w:rFonts w:hint="eastAsia" w:asciiTheme="minorEastAsia" w:hAnsiTheme="minorEastAsia" w:eastAsiaTheme="minorEastAsia"/>
              <w:color w:val="auto"/>
              <w:szCs w:val="21"/>
            </w:rPr>
            <w:t xml:space="preserve"> </w:t>
          </w:r>
          <w:r>
            <w:rPr>
              <w:rFonts w:asciiTheme="minorEastAsia" w:hAnsiTheme="minorEastAsia" w:eastAsiaTheme="minorEastAsia"/>
              <w:color w:val="auto"/>
              <w:szCs w:val="21"/>
            </w:rPr>
            <w:t>计量单位</w:t>
          </w:r>
          <w:r>
            <w:rPr>
              <w:color w:val="auto"/>
            </w:rPr>
            <w:tab/>
          </w:r>
          <w:r>
            <w:rPr>
              <w:color w:val="auto"/>
            </w:rPr>
            <w:fldChar w:fldCharType="begin"/>
          </w:r>
          <w:r>
            <w:rPr>
              <w:color w:val="auto"/>
            </w:rPr>
            <w:instrText xml:space="preserve"> PAGEREF _Toc14946 \h </w:instrText>
          </w:r>
          <w:r>
            <w:rPr>
              <w:color w:val="auto"/>
            </w:rPr>
            <w:fldChar w:fldCharType="separate"/>
          </w:r>
          <w:r>
            <w:rPr>
              <w:color w:val="auto"/>
            </w:rPr>
            <w:t>15</w:t>
          </w:r>
          <w:r>
            <w:rPr>
              <w:color w:val="auto"/>
            </w:rPr>
            <w:fldChar w:fldCharType="end"/>
          </w:r>
          <w:r>
            <w:rPr>
              <w:color w:val="auto"/>
            </w:rPr>
            <w:fldChar w:fldCharType="end"/>
          </w:r>
        </w:p>
        <w:p w14:paraId="58CE807B">
          <w:pPr>
            <w:pStyle w:val="20"/>
            <w:tabs>
              <w:tab w:val="right" w:leader="dot" w:pos="9469"/>
            </w:tabs>
            <w:ind w:left="840"/>
            <w:rPr>
              <w:color w:val="auto"/>
            </w:rPr>
          </w:pPr>
          <w:r>
            <w:rPr>
              <w:color w:val="auto"/>
            </w:rPr>
            <w:fldChar w:fldCharType="begin"/>
          </w:r>
          <w:r>
            <w:rPr>
              <w:color w:val="auto"/>
            </w:rPr>
            <w:instrText xml:space="preserve"> HYPERLINK \l "_Toc20236" </w:instrText>
          </w:r>
          <w:r>
            <w:rPr>
              <w:color w:val="auto"/>
            </w:rPr>
            <w:fldChar w:fldCharType="separate"/>
          </w:r>
          <w:r>
            <w:rPr>
              <w:rFonts w:asciiTheme="minorEastAsia" w:hAnsiTheme="minorEastAsia" w:eastAsiaTheme="minorEastAsia"/>
              <w:color w:val="auto"/>
              <w:szCs w:val="21"/>
            </w:rPr>
            <w:t xml:space="preserve">1.9 </w:t>
          </w:r>
          <w:r>
            <w:rPr>
              <w:rFonts w:hint="eastAsia" w:asciiTheme="minorEastAsia" w:hAnsiTheme="minorEastAsia" w:eastAsiaTheme="minorEastAsia"/>
              <w:color w:val="auto"/>
              <w:szCs w:val="21"/>
            </w:rPr>
            <w:t>踏勘现场</w:t>
          </w:r>
          <w:r>
            <w:rPr>
              <w:color w:val="auto"/>
            </w:rPr>
            <w:tab/>
          </w:r>
          <w:r>
            <w:rPr>
              <w:color w:val="auto"/>
            </w:rPr>
            <w:fldChar w:fldCharType="begin"/>
          </w:r>
          <w:r>
            <w:rPr>
              <w:color w:val="auto"/>
            </w:rPr>
            <w:instrText xml:space="preserve"> PAGEREF _Toc20236 \h </w:instrText>
          </w:r>
          <w:r>
            <w:rPr>
              <w:color w:val="auto"/>
            </w:rPr>
            <w:fldChar w:fldCharType="separate"/>
          </w:r>
          <w:r>
            <w:rPr>
              <w:color w:val="auto"/>
            </w:rPr>
            <w:t>15</w:t>
          </w:r>
          <w:r>
            <w:rPr>
              <w:color w:val="auto"/>
            </w:rPr>
            <w:fldChar w:fldCharType="end"/>
          </w:r>
          <w:r>
            <w:rPr>
              <w:color w:val="auto"/>
            </w:rPr>
            <w:fldChar w:fldCharType="end"/>
          </w:r>
        </w:p>
        <w:p w14:paraId="0523D830">
          <w:pPr>
            <w:pStyle w:val="20"/>
            <w:tabs>
              <w:tab w:val="right" w:leader="dot" w:pos="9469"/>
            </w:tabs>
            <w:ind w:left="840"/>
            <w:rPr>
              <w:color w:val="auto"/>
            </w:rPr>
          </w:pPr>
          <w:r>
            <w:rPr>
              <w:color w:val="auto"/>
            </w:rPr>
            <w:fldChar w:fldCharType="begin"/>
          </w:r>
          <w:r>
            <w:rPr>
              <w:color w:val="auto"/>
            </w:rPr>
            <w:instrText xml:space="preserve"> HYPERLINK \l "_Toc13746" </w:instrText>
          </w:r>
          <w:r>
            <w:rPr>
              <w:color w:val="auto"/>
            </w:rPr>
            <w:fldChar w:fldCharType="separate"/>
          </w:r>
          <w:r>
            <w:rPr>
              <w:rFonts w:asciiTheme="minorEastAsia" w:hAnsiTheme="minorEastAsia" w:eastAsiaTheme="minorEastAsia"/>
              <w:color w:val="auto"/>
              <w:szCs w:val="21"/>
            </w:rPr>
            <w:t>1.10</w:t>
          </w:r>
          <w:r>
            <w:rPr>
              <w:rFonts w:hint="eastAsia" w:asciiTheme="minorEastAsia" w:hAnsiTheme="minorEastAsia" w:eastAsiaTheme="minorEastAsia"/>
              <w:color w:val="auto"/>
              <w:szCs w:val="21"/>
            </w:rPr>
            <w:t xml:space="preserve"> 竞标</w:t>
          </w:r>
          <w:r>
            <w:rPr>
              <w:rFonts w:asciiTheme="minorEastAsia" w:hAnsiTheme="minorEastAsia" w:eastAsiaTheme="minorEastAsia"/>
              <w:color w:val="auto"/>
              <w:szCs w:val="21"/>
            </w:rPr>
            <w:t>预备会</w:t>
          </w:r>
          <w:r>
            <w:rPr>
              <w:color w:val="auto"/>
            </w:rPr>
            <w:tab/>
          </w:r>
          <w:r>
            <w:rPr>
              <w:color w:val="auto"/>
            </w:rPr>
            <w:fldChar w:fldCharType="begin"/>
          </w:r>
          <w:r>
            <w:rPr>
              <w:color w:val="auto"/>
            </w:rPr>
            <w:instrText xml:space="preserve"> PAGEREF _Toc13746 \h </w:instrText>
          </w:r>
          <w:r>
            <w:rPr>
              <w:color w:val="auto"/>
            </w:rPr>
            <w:fldChar w:fldCharType="separate"/>
          </w:r>
          <w:r>
            <w:rPr>
              <w:color w:val="auto"/>
            </w:rPr>
            <w:t>16</w:t>
          </w:r>
          <w:r>
            <w:rPr>
              <w:color w:val="auto"/>
            </w:rPr>
            <w:fldChar w:fldCharType="end"/>
          </w:r>
          <w:r>
            <w:rPr>
              <w:color w:val="auto"/>
            </w:rPr>
            <w:fldChar w:fldCharType="end"/>
          </w:r>
        </w:p>
        <w:p w14:paraId="4B295352">
          <w:pPr>
            <w:pStyle w:val="20"/>
            <w:tabs>
              <w:tab w:val="right" w:leader="dot" w:pos="9469"/>
            </w:tabs>
            <w:ind w:left="840"/>
            <w:rPr>
              <w:color w:val="auto"/>
            </w:rPr>
          </w:pPr>
          <w:r>
            <w:rPr>
              <w:color w:val="auto"/>
            </w:rPr>
            <w:fldChar w:fldCharType="begin"/>
          </w:r>
          <w:r>
            <w:rPr>
              <w:color w:val="auto"/>
            </w:rPr>
            <w:instrText xml:space="preserve"> HYPERLINK \l "_Toc1155" </w:instrText>
          </w:r>
          <w:r>
            <w:rPr>
              <w:color w:val="auto"/>
            </w:rPr>
            <w:fldChar w:fldCharType="separate"/>
          </w:r>
          <w:r>
            <w:rPr>
              <w:rFonts w:asciiTheme="minorEastAsia" w:hAnsiTheme="minorEastAsia" w:eastAsiaTheme="minorEastAsia"/>
              <w:color w:val="auto"/>
              <w:szCs w:val="21"/>
            </w:rPr>
            <w:t>1.11</w:t>
          </w:r>
          <w:r>
            <w:rPr>
              <w:rFonts w:hint="eastAsia" w:asciiTheme="minorEastAsia" w:hAnsiTheme="minorEastAsia" w:eastAsiaTheme="minorEastAsia"/>
              <w:color w:val="auto"/>
              <w:szCs w:val="21"/>
            </w:rPr>
            <w:t xml:space="preserve"> </w:t>
          </w:r>
          <w:r>
            <w:rPr>
              <w:rFonts w:asciiTheme="minorEastAsia" w:hAnsiTheme="minorEastAsia" w:eastAsiaTheme="minorEastAsia"/>
              <w:color w:val="auto"/>
              <w:szCs w:val="21"/>
            </w:rPr>
            <w:t>分包</w:t>
          </w:r>
          <w:r>
            <w:rPr>
              <w:color w:val="auto"/>
            </w:rPr>
            <w:tab/>
          </w:r>
          <w:r>
            <w:rPr>
              <w:color w:val="auto"/>
            </w:rPr>
            <w:fldChar w:fldCharType="begin"/>
          </w:r>
          <w:r>
            <w:rPr>
              <w:color w:val="auto"/>
            </w:rPr>
            <w:instrText xml:space="preserve"> PAGEREF _Toc1155 \h </w:instrText>
          </w:r>
          <w:r>
            <w:rPr>
              <w:color w:val="auto"/>
            </w:rPr>
            <w:fldChar w:fldCharType="separate"/>
          </w:r>
          <w:r>
            <w:rPr>
              <w:color w:val="auto"/>
            </w:rPr>
            <w:t>16</w:t>
          </w:r>
          <w:r>
            <w:rPr>
              <w:color w:val="auto"/>
            </w:rPr>
            <w:fldChar w:fldCharType="end"/>
          </w:r>
          <w:r>
            <w:rPr>
              <w:color w:val="auto"/>
            </w:rPr>
            <w:fldChar w:fldCharType="end"/>
          </w:r>
        </w:p>
        <w:p w14:paraId="0B6E5F3D">
          <w:pPr>
            <w:pStyle w:val="20"/>
            <w:tabs>
              <w:tab w:val="right" w:leader="dot" w:pos="9469"/>
            </w:tabs>
            <w:ind w:left="840"/>
            <w:rPr>
              <w:color w:val="auto"/>
            </w:rPr>
          </w:pPr>
          <w:r>
            <w:rPr>
              <w:color w:val="auto"/>
            </w:rPr>
            <w:fldChar w:fldCharType="begin"/>
          </w:r>
          <w:r>
            <w:rPr>
              <w:color w:val="auto"/>
            </w:rPr>
            <w:instrText xml:space="preserve"> HYPERLINK \l "_Toc32184" </w:instrText>
          </w:r>
          <w:r>
            <w:rPr>
              <w:color w:val="auto"/>
            </w:rPr>
            <w:fldChar w:fldCharType="separate"/>
          </w:r>
          <w:r>
            <w:rPr>
              <w:rFonts w:asciiTheme="minorEastAsia" w:hAnsiTheme="minorEastAsia" w:eastAsiaTheme="minorEastAsia"/>
              <w:color w:val="auto"/>
              <w:szCs w:val="21"/>
            </w:rPr>
            <w:t>1.12</w:t>
          </w:r>
          <w:r>
            <w:rPr>
              <w:rFonts w:hint="eastAsia" w:asciiTheme="minorEastAsia" w:hAnsiTheme="minorEastAsia" w:eastAsiaTheme="minorEastAsia"/>
              <w:color w:val="auto"/>
              <w:szCs w:val="21"/>
            </w:rPr>
            <w:t xml:space="preserve"> </w:t>
          </w:r>
          <w:r>
            <w:rPr>
              <w:rFonts w:asciiTheme="minorEastAsia" w:hAnsiTheme="minorEastAsia" w:eastAsiaTheme="minorEastAsia"/>
              <w:color w:val="auto"/>
              <w:szCs w:val="21"/>
            </w:rPr>
            <w:t>响应和</w:t>
          </w:r>
          <w:r>
            <w:rPr>
              <w:rFonts w:hint="eastAsia" w:asciiTheme="minorEastAsia" w:hAnsiTheme="minorEastAsia" w:eastAsiaTheme="minorEastAsia"/>
              <w:color w:val="auto"/>
              <w:szCs w:val="21"/>
            </w:rPr>
            <w:t>偏离</w:t>
          </w:r>
          <w:r>
            <w:rPr>
              <w:color w:val="auto"/>
            </w:rPr>
            <w:tab/>
          </w:r>
          <w:r>
            <w:rPr>
              <w:color w:val="auto"/>
            </w:rPr>
            <w:fldChar w:fldCharType="begin"/>
          </w:r>
          <w:r>
            <w:rPr>
              <w:color w:val="auto"/>
            </w:rPr>
            <w:instrText xml:space="preserve"> PAGEREF _Toc32184 \h </w:instrText>
          </w:r>
          <w:r>
            <w:rPr>
              <w:color w:val="auto"/>
            </w:rPr>
            <w:fldChar w:fldCharType="separate"/>
          </w:r>
          <w:r>
            <w:rPr>
              <w:color w:val="auto"/>
            </w:rPr>
            <w:t>16</w:t>
          </w:r>
          <w:r>
            <w:rPr>
              <w:color w:val="auto"/>
            </w:rPr>
            <w:fldChar w:fldCharType="end"/>
          </w:r>
          <w:r>
            <w:rPr>
              <w:color w:val="auto"/>
            </w:rPr>
            <w:fldChar w:fldCharType="end"/>
          </w:r>
        </w:p>
        <w:p w14:paraId="24485099">
          <w:pPr>
            <w:pStyle w:val="33"/>
            <w:tabs>
              <w:tab w:val="right" w:leader="dot" w:pos="9469"/>
            </w:tabs>
            <w:ind w:left="420"/>
            <w:rPr>
              <w:color w:val="auto"/>
            </w:rPr>
          </w:pPr>
          <w:r>
            <w:rPr>
              <w:color w:val="auto"/>
            </w:rPr>
            <w:fldChar w:fldCharType="begin"/>
          </w:r>
          <w:r>
            <w:rPr>
              <w:color w:val="auto"/>
            </w:rPr>
            <w:instrText xml:space="preserve"> HYPERLINK \l "_Toc22352" </w:instrText>
          </w:r>
          <w:r>
            <w:rPr>
              <w:color w:val="auto"/>
            </w:rPr>
            <w:fldChar w:fldCharType="separate"/>
          </w:r>
          <w:r>
            <w:rPr>
              <w:rFonts w:asciiTheme="minorEastAsia" w:hAnsiTheme="minorEastAsia" w:eastAsiaTheme="minorEastAsia"/>
              <w:color w:val="auto"/>
              <w:szCs w:val="21"/>
            </w:rPr>
            <w:t>2. 比选文件</w:t>
          </w:r>
          <w:r>
            <w:rPr>
              <w:color w:val="auto"/>
            </w:rPr>
            <w:tab/>
          </w:r>
          <w:r>
            <w:rPr>
              <w:color w:val="auto"/>
            </w:rPr>
            <w:fldChar w:fldCharType="begin"/>
          </w:r>
          <w:r>
            <w:rPr>
              <w:color w:val="auto"/>
            </w:rPr>
            <w:instrText xml:space="preserve"> PAGEREF _Toc22352 \h </w:instrText>
          </w:r>
          <w:r>
            <w:rPr>
              <w:color w:val="auto"/>
            </w:rPr>
            <w:fldChar w:fldCharType="separate"/>
          </w:r>
          <w:r>
            <w:rPr>
              <w:color w:val="auto"/>
            </w:rPr>
            <w:t>16</w:t>
          </w:r>
          <w:r>
            <w:rPr>
              <w:color w:val="auto"/>
            </w:rPr>
            <w:fldChar w:fldCharType="end"/>
          </w:r>
          <w:r>
            <w:rPr>
              <w:color w:val="auto"/>
            </w:rPr>
            <w:fldChar w:fldCharType="end"/>
          </w:r>
        </w:p>
        <w:p w14:paraId="0548C238">
          <w:pPr>
            <w:pStyle w:val="20"/>
            <w:tabs>
              <w:tab w:val="right" w:leader="dot" w:pos="9469"/>
            </w:tabs>
            <w:ind w:left="840"/>
            <w:rPr>
              <w:color w:val="auto"/>
            </w:rPr>
          </w:pPr>
          <w:r>
            <w:rPr>
              <w:color w:val="auto"/>
            </w:rPr>
            <w:fldChar w:fldCharType="begin"/>
          </w:r>
          <w:r>
            <w:rPr>
              <w:color w:val="auto"/>
            </w:rPr>
            <w:instrText xml:space="preserve"> HYPERLINK \l "_Toc22605" </w:instrText>
          </w:r>
          <w:r>
            <w:rPr>
              <w:color w:val="auto"/>
            </w:rPr>
            <w:fldChar w:fldCharType="separate"/>
          </w:r>
          <w:r>
            <w:rPr>
              <w:rFonts w:asciiTheme="minorEastAsia" w:hAnsiTheme="minorEastAsia" w:eastAsiaTheme="minorEastAsia"/>
              <w:color w:val="auto"/>
              <w:szCs w:val="21"/>
            </w:rPr>
            <w:t>2.1 比选文件的组成</w:t>
          </w:r>
          <w:r>
            <w:rPr>
              <w:color w:val="auto"/>
            </w:rPr>
            <w:tab/>
          </w:r>
          <w:r>
            <w:rPr>
              <w:color w:val="auto"/>
            </w:rPr>
            <w:fldChar w:fldCharType="begin"/>
          </w:r>
          <w:r>
            <w:rPr>
              <w:color w:val="auto"/>
            </w:rPr>
            <w:instrText xml:space="preserve"> PAGEREF _Toc22605 \h </w:instrText>
          </w:r>
          <w:r>
            <w:rPr>
              <w:color w:val="auto"/>
            </w:rPr>
            <w:fldChar w:fldCharType="separate"/>
          </w:r>
          <w:r>
            <w:rPr>
              <w:color w:val="auto"/>
            </w:rPr>
            <w:t>16</w:t>
          </w:r>
          <w:r>
            <w:rPr>
              <w:color w:val="auto"/>
            </w:rPr>
            <w:fldChar w:fldCharType="end"/>
          </w:r>
          <w:r>
            <w:rPr>
              <w:color w:val="auto"/>
            </w:rPr>
            <w:fldChar w:fldCharType="end"/>
          </w:r>
        </w:p>
        <w:p w14:paraId="534FA081">
          <w:pPr>
            <w:pStyle w:val="20"/>
            <w:tabs>
              <w:tab w:val="right" w:leader="dot" w:pos="9469"/>
            </w:tabs>
            <w:ind w:left="840"/>
            <w:rPr>
              <w:color w:val="auto"/>
            </w:rPr>
          </w:pPr>
          <w:r>
            <w:rPr>
              <w:color w:val="auto"/>
            </w:rPr>
            <w:fldChar w:fldCharType="begin"/>
          </w:r>
          <w:r>
            <w:rPr>
              <w:color w:val="auto"/>
            </w:rPr>
            <w:instrText xml:space="preserve"> HYPERLINK \l "_Toc21429" </w:instrText>
          </w:r>
          <w:r>
            <w:rPr>
              <w:color w:val="auto"/>
            </w:rPr>
            <w:fldChar w:fldCharType="separate"/>
          </w:r>
          <w:r>
            <w:rPr>
              <w:rFonts w:asciiTheme="minorEastAsia" w:hAnsiTheme="minorEastAsia" w:eastAsiaTheme="minorEastAsia"/>
              <w:color w:val="auto"/>
              <w:szCs w:val="21"/>
            </w:rPr>
            <w:t>2.2 比选文件的澄清</w:t>
          </w:r>
          <w:r>
            <w:rPr>
              <w:color w:val="auto"/>
            </w:rPr>
            <w:tab/>
          </w:r>
          <w:r>
            <w:rPr>
              <w:color w:val="auto"/>
            </w:rPr>
            <w:fldChar w:fldCharType="begin"/>
          </w:r>
          <w:r>
            <w:rPr>
              <w:color w:val="auto"/>
            </w:rPr>
            <w:instrText xml:space="preserve"> PAGEREF _Toc21429 \h </w:instrText>
          </w:r>
          <w:r>
            <w:rPr>
              <w:color w:val="auto"/>
            </w:rPr>
            <w:fldChar w:fldCharType="separate"/>
          </w:r>
          <w:r>
            <w:rPr>
              <w:color w:val="auto"/>
            </w:rPr>
            <w:t>16</w:t>
          </w:r>
          <w:r>
            <w:rPr>
              <w:color w:val="auto"/>
            </w:rPr>
            <w:fldChar w:fldCharType="end"/>
          </w:r>
          <w:r>
            <w:rPr>
              <w:color w:val="auto"/>
            </w:rPr>
            <w:fldChar w:fldCharType="end"/>
          </w:r>
        </w:p>
        <w:p w14:paraId="30CD5D9D">
          <w:pPr>
            <w:pStyle w:val="20"/>
            <w:tabs>
              <w:tab w:val="right" w:leader="dot" w:pos="9469"/>
            </w:tabs>
            <w:ind w:left="840"/>
            <w:rPr>
              <w:color w:val="auto"/>
            </w:rPr>
          </w:pPr>
          <w:r>
            <w:rPr>
              <w:color w:val="auto"/>
            </w:rPr>
            <w:fldChar w:fldCharType="begin"/>
          </w:r>
          <w:r>
            <w:rPr>
              <w:color w:val="auto"/>
            </w:rPr>
            <w:instrText xml:space="preserve"> HYPERLINK \l "_Toc12117" </w:instrText>
          </w:r>
          <w:r>
            <w:rPr>
              <w:color w:val="auto"/>
            </w:rPr>
            <w:fldChar w:fldCharType="separate"/>
          </w:r>
          <w:r>
            <w:rPr>
              <w:rFonts w:asciiTheme="minorEastAsia" w:hAnsiTheme="minorEastAsia" w:eastAsiaTheme="minorEastAsia"/>
              <w:color w:val="auto"/>
              <w:szCs w:val="21"/>
            </w:rPr>
            <w:t>2.3 比选文件的修改</w:t>
          </w:r>
          <w:r>
            <w:rPr>
              <w:color w:val="auto"/>
            </w:rPr>
            <w:tab/>
          </w:r>
          <w:r>
            <w:rPr>
              <w:color w:val="auto"/>
            </w:rPr>
            <w:fldChar w:fldCharType="begin"/>
          </w:r>
          <w:r>
            <w:rPr>
              <w:color w:val="auto"/>
            </w:rPr>
            <w:instrText xml:space="preserve"> PAGEREF _Toc12117 \h </w:instrText>
          </w:r>
          <w:r>
            <w:rPr>
              <w:color w:val="auto"/>
            </w:rPr>
            <w:fldChar w:fldCharType="separate"/>
          </w:r>
          <w:r>
            <w:rPr>
              <w:color w:val="auto"/>
            </w:rPr>
            <w:t>17</w:t>
          </w:r>
          <w:r>
            <w:rPr>
              <w:color w:val="auto"/>
            </w:rPr>
            <w:fldChar w:fldCharType="end"/>
          </w:r>
          <w:r>
            <w:rPr>
              <w:color w:val="auto"/>
            </w:rPr>
            <w:fldChar w:fldCharType="end"/>
          </w:r>
        </w:p>
        <w:p w14:paraId="518D2753">
          <w:pPr>
            <w:pStyle w:val="33"/>
            <w:tabs>
              <w:tab w:val="right" w:leader="dot" w:pos="9469"/>
            </w:tabs>
            <w:ind w:left="420"/>
            <w:rPr>
              <w:color w:val="auto"/>
            </w:rPr>
          </w:pPr>
          <w:r>
            <w:rPr>
              <w:color w:val="auto"/>
            </w:rPr>
            <w:fldChar w:fldCharType="begin"/>
          </w:r>
          <w:r>
            <w:rPr>
              <w:color w:val="auto"/>
            </w:rPr>
            <w:instrText xml:space="preserve"> HYPERLINK \l "_Toc6173" </w:instrText>
          </w:r>
          <w:r>
            <w:rPr>
              <w:color w:val="auto"/>
            </w:rPr>
            <w:fldChar w:fldCharType="separate"/>
          </w:r>
          <w:r>
            <w:rPr>
              <w:rFonts w:asciiTheme="minorEastAsia" w:hAnsiTheme="minorEastAsia" w:eastAsiaTheme="minorEastAsia"/>
              <w:color w:val="auto"/>
              <w:szCs w:val="21"/>
            </w:rPr>
            <w:t>3. 竞标文件</w:t>
          </w:r>
          <w:r>
            <w:rPr>
              <w:color w:val="auto"/>
            </w:rPr>
            <w:tab/>
          </w:r>
          <w:r>
            <w:rPr>
              <w:color w:val="auto"/>
            </w:rPr>
            <w:fldChar w:fldCharType="begin"/>
          </w:r>
          <w:r>
            <w:rPr>
              <w:color w:val="auto"/>
            </w:rPr>
            <w:instrText xml:space="preserve"> PAGEREF _Toc6173 \h </w:instrText>
          </w:r>
          <w:r>
            <w:rPr>
              <w:color w:val="auto"/>
            </w:rPr>
            <w:fldChar w:fldCharType="separate"/>
          </w:r>
          <w:r>
            <w:rPr>
              <w:color w:val="auto"/>
            </w:rPr>
            <w:t>17</w:t>
          </w:r>
          <w:r>
            <w:rPr>
              <w:color w:val="auto"/>
            </w:rPr>
            <w:fldChar w:fldCharType="end"/>
          </w:r>
          <w:r>
            <w:rPr>
              <w:color w:val="auto"/>
            </w:rPr>
            <w:fldChar w:fldCharType="end"/>
          </w:r>
        </w:p>
        <w:p w14:paraId="2F2A8C72">
          <w:pPr>
            <w:pStyle w:val="20"/>
            <w:tabs>
              <w:tab w:val="right" w:leader="dot" w:pos="9469"/>
            </w:tabs>
            <w:ind w:left="840"/>
            <w:rPr>
              <w:color w:val="auto"/>
            </w:rPr>
          </w:pPr>
          <w:r>
            <w:rPr>
              <w:color w:val="auto"/>
            </w:rPr>
            <w:fldChar w:fldCharType="begin"/>
          </w:r>
          <w:r>
            <w:rPr>
              <w:color w:val="auto"/>
            </w:rPr>
            <w:instrText xml:space="preserve"> HYPERLINK \l "_Toc31547" </w:instrText>
          </w:r>
          <w:r>
            <w:rPr>
              <w:color w:val="auto"/>
            </w:rPr>
            <w:fldChar w:fldCharType="separate"/>
          </w:r>
          <w:r>
            <w:rPr>
              <w:rFonts w:asciiTheme="minorEastAsia" w:hAnsiTheme="minorEastAsia" w:eastAsiaTheme="minorEastAsia"/>
              <w:color w:val="auto"/>
              <w:szCs w:val="21"/>
            </w:rPr>
            <w:t>3.1 竞标文件的组成</w:t>
          </w:r>
          <w:r>
            <w:rPr>
              <w:color w:val="auto"/>
            </w:rPr>
            <w:tab/>
          </w:r>
          <w:r>
            <w:rPr>
              <w:color w:val="auto"/>
            </w:rPr>
            <w:fldChar w:fldCharType="begin"/>
          </w:r>
          <w:r>
            <w:rPr>
              <w:color w:val="auto"/>
            </w:rPr>
            <w:instrText xml:space="preserve"> PAGEREF _Toc31547 \h </w:instrText>
          </w:r>
          <w:r>
            <w:rPr>
              <w:color w:val="auto"/>
            </w:rPr>
            <w:fldChar w:fldCharType="separate"/>
          </w:r>
          <w:r>
            <w:rPr>
              <w:color w:val="auto"/>
            </w:rPr>
            <w:t>17</w:t>
          </w:r>
          <w:r>
            <w:rPr>
              <w:color w:val="auto"/>
            </w:rPr>
            <w:fldChar w:fldCharType="end"/>
          </w:r>
          <w:r>
            <w:rPr>
              <w:color w:val="auto"/>
            </w:rPr>
            <w:fldChar w:fldCharType="end"/>
          </w:r>
        </w:p>
        <w:p w14:paraId="0E5ABD78">
          <w:pPr>
            <w:pStyle w:val="20"/>
            <w:tabs>
              <w:tab w:val="right" w:leader="dot" w:pos="9469"/>
            </w:tabs>
            <w:ind w:left="840"/>
            <w:rPr>
              <w:color w:val="auto"/>
            </w:rPr>
          </w:pPr>
          <w:r>
            <w:rPr>
              <w:color w:val="auto"/>
            </w:rPr>
            <w:fldChar w:fldCharType="begin"/>
          </w:r>
          <w:r>
            <w:rPr>
              <w:color w:val="auto"/>
            </w:rPr>
            <w:instrText xml:space="preserve"> HYPERLINK \l "_Toc2099" </w:instrText>
          </w:r>
          <w:r>
            <w:rPr>
              <w:color w:val="auto"/>
            </w:rPr>
            <w:fldChar w:fldCharType="separate"/>
          </w:r>
          <w:r>
            <w:rPr>
              <w:rFonts w:asciiTheme="minorEastAsia" w:hAnsiTheme="minorEastAsia" w:eastAsiaTheme="minorEastAsia"/>
              <w:color w:val="auto"/>
              <w:szCs w:val="21"/>
            </w:rPr>
            <w:t xml:space="preserve">3.2 </w:t>
          </w:r>
          <w:r>
            <w:rPr>
              <w:rFonts w:hint="eastAsia" w:asciiTheme="minorEastAsia" w:hAnsiTheme="minorEastAsia" w:eastAsiaTheme="minorEastAsia"/>
              <w:color w:val="auto"/>
              <w:szCs w:val="21"/>
            </w:rPr>
            <w:t>竞标</w:t>
          </w:r>
          <w:r>
            <w:rPr>
              <w:rFonts w:asciiTheme="minorEastAsia" w:hAnsiTheme="minorEastAsia" w:eastAsiaTheme="minorEastAsia"/>
              <w:color w:val="auto"/>
              <w:szCs w:val="21"/>
            </w:rPr>
            <w:t>报价</w:t>
          </w:r>
          <w:r>
            <w:rPr>
              <w:color w:val="auto"/>
            </w:rPr>
            <w:tab/>
          </w:r>
          <w:r>
            <w:rPr>
              <w:color w:val="auto"/>
            </w:rPr>
            <w:fldChar w:fldCharType="begin"/>
          </w:r>
          <w:r>
            <w:rPr>
              <w:color w:val="auto"/>
            </w:rPr>
            <w:instrText xml:space="preserve"> PAGEREF _Toc2099 \h </w:instrText>
          </w:r>
          <w:r>
            <w:rPr>
              <w:color w:val="auto"/>
            </w:rPr>
            <w:fldChar w:fldCharType="separate"/>
          </w:r>
          <w:r>
            <w:rPr>
              <w:color w:val="auto"/>
            </w:rPr>
            <w:t>17</w:t>
          </w:r>
          <w:r>
            <w:rPr>
              <w:color w:val="auto"/>
            </w:rPr>
            <w:fldChar w:fldCharType="end"/>
          </w:r>
          <w:r>
            <w:rPr>
              <w:color w:val="auto"/>
            </w:rPr>
            <w:fldChar w:fldCharType="end"/>
          </w:r>
        </w:p>
        <w:p w14:paraId="4A236615">
          <w:pPr>
            <w:pStyle w:val="20"/>
            <w:tabs>
              <w:tab w:val="right" w:leader="dot" w:pos="9469"/>
            </w:tabs>
            <w:ind w:left="840"/>
            <w:rPr>
              <w:color w:val="auto"/>
            </w:rPr>
          </w:pPr>
          <w:r>
            <w:rPr>
              <w:color w:val="auto"/>
            </w:rPr>
            <w:fldChar w:fldCharType="begin"/>
          </w:r>
          <w:r>
            <w:rPr>
              <w:color w:val="auto"/>
            </w:rPr>
            <w:instrText xml:space="preserve"> HYPERLINK \l "_Toc21054" </w:instrText>
          </w:r>
          <w:r>
            <w:rPr>
              <w:color w:val="auto"/>
            </w:rPr>
            <w:fldChar w:fldCharType="separate"/>
          </w:r>
          <w:r>
            <w:rPr>
              <w:rFonts w:asciiTheme="minorEastAsia" w:hAnsiTheme="minorEastAsia" w:eastAsiaTheme="minorEastAsia"/>
              <w:color w:val="auto"/>
              <w:szCs w:val="21"/>
            </w:rPr>
            <w:t>3.3 竞标有效期</w:t>
          </w:r>
          <w:r>
            <w:rPr>
              <w:color w:val="auto"/>
            </w:rPr>
            <w:tab/>
          </w:r>
          <w:r>
            <w:rPr>
              <w:color w:val="auto"/>
            </w:rPr>
            <w:fldChar w:fldCharType="begin"/>
          </w:r>
          <w:r>
            <w:rPr>
              <w:color w:val="auto"/>
            </w:rPr>
            <w:instrText xml:space="preserve"> PAGEREF _Toc21054 \h </w:instrText>
          </w:r>
          <w:r>
            <w:rPr>
              <w:color w:val="auto"/>
            </w:rPr>
            <w:fldChar w:fldCharType="separate"/>
          </w:r>
          <w:r>
            <w:rPr>
              <w:color w:val="auto"/>
            </w:rPr>
            <w:t>17</w:t>
          </w:r>
          <w:r>
            <w:rPr>
              <w:color w:val="auto"/>
            </w:rPr>
            <w:fldChar w:fldCharType="end"/>
          </w:r>
          <w:r>
            <w:rPr>
              <w:color w:val="auto"/>
            </w:rPr>
            <w:fldChar w:fldCharType="end"/>
          </w:r>
        </w:p>
        <w:p w14:paraId="4B100407">
          <w:pPr>
            <w:pStyle w:val="20"/>
            <w:tabs>
              <w:tab w:val="right" w:leader="dot" w:pos="9469"/>
            </w:tabs>
            <w:ind w:left="840"/>
            <w:rPr>
              <w:color w:val="auto"/>
            </w:rPr>
          </w:pPr>
          <w:r>
            <w:rPr>
              <w:color w:val="auto"/>
            </w:rPr>
            <w:fldChar w:fldCharType="begin"/>
          </w:r>
          <w:r>
            <w:rPr>
              <w:color w:val="auto"/>
            </w:rPr>
            <w:instrText xml:space="preserve"> HYPERLINK \l "_Toc9588" </w:instrText>
          </w:r>
          <w:r>
            <w:rPr>
              <w:color w:val="auto"/>
            </w:rPr>
            <w:fldChar w:fldCharType="separate"/>
          </w:r>
          <w:r>
            <w:rPr>
              <w:rFonts w:asciiTheme="minorEastAsia" w:hAnsiTheme="minorEastAsia" w:eastAsiaTheme="minorEastAsia"/>
              <w:color w:val="auto"/>
              <w:szCs w:val="21"/>
            </w:rPr>
            <w:t>3.4 竞标保证金</w:t>
          </w:r>
          <w:r>
            <w:rPr>
              <w:color w:val="auto"/>
            </w:rPr>
            <w:tab/>
          </w:r>
          <w:r>
            <w:rPr>
              <w:color w:val="auto"/>
            </w:rPr>
            <w:fldChar w:fldCharType="begin"/>
          </w:r>
          <w:r>
            <w:rPr>
              <w:color w:val="auto"/>
            </w:rPr>
            <w:instrText xml:space="preserve"> PAGEREF _Toc9588 \h </w:instrText>
          </w:r>
          <w:r>
            <w:rPr>
              <w:color w:val="auto"/>
            </w:rPr>
            <w:fldChar w:fldCharType="separate"/>
          </w:r>
          <w:r>
            <w:rPr>
              <w:color w:val="auto"/>
            </w:rPr>
            <w:t>18</w:t>
          </w:r>
          <w:r>
            <w:rPr>
              <w:color w:val="auto"/>
            </w:rPr>
            <w:fldChar w:fldCharType="end"/>
          </w:r>
          <w:r>
            <w:rPr>
              <w:color w:val="auto"/>
            </w:rPr>
            <w:fldChar w:fldCharType="end"/>
          </w:r>
        </w:p>
        <w:p w14:paraId="40775690">
          <w:pPr>
            <w:pStyle w:val="20"/>
            <w:tabs>
              <w:tab w:val="right" w:leader="dot" w:pos="9469"/>
            </w:tabs>
            <w:ind w:left="840"/>
            <w:rPr>
              <w:color w:val="auto"/>
            </w:rPr>
          </w:pPr>
          <w:r>
            <w:rPr>
              <w:color w:val="auto"/>
            </w:rPr>
            <w:fldChar w:fldCharType="begin"/>
          </w:r>
          <w:r>
            <w:rPr>
              <w:color w:val="auto"/>
            </w:rPr>
            <w:instrText xml:space="preserve"> HYPERLINK \l "_Toc19264" </w:instrText>
          </w:r>
          <w:r>
            <w:rPr>
              <w:color w:val="auto"/>
            </w:rPr>
            <w:fldChar w:fldCharType="separate"/>
          </w:r>
          <w:r>
            <w:rPr>
              <w:rFonts w:asciiTheme="minorEastAsia" w:hAnsiTheme="minorEastAsia" w:eastAsiaTheme="minorEastAsia"/>
              <w:color w:val="auto"/>
              <w:szCs w:val="21"/>
            </w:rPr>
            <w:t>3.5 资格审查资料</w:t>
          </w:r>
          <w:r>
            <w:rPr>
              <w:color w:val="auto"/>
            </w:rPr>
            <w:tab/>
          </w:r>
          <w:r>
            <w:rPr>
              <w:color w:val="auto"/>
            </w:rPr>
            <w:fldChar w:fldCharType="begin"/>
          </w:r>
          <w:r>
            <w:rPr>
              <w:color w:val="auto"/>
            </w:rPr>
            <w:instrText xml:space="preserve"> PAGEREF _Toc19264 \h </w:instrText>
          </w:r>
          <w:r>
            <w:rPr>
              <w:color w:val="auto"/>
            </w:rPr>
            <w:fldChar w:fldCharType="separate"/>
          </w:r>
          <w:r>
            <w:rPr>
              <w:color w:val="auto"/>
            </w:rPr>
            <w:t>18</w:t>
          </w:r>
          <w:r>
            <w:rPr>
              <w:color w:val="auto"/>
            </w:rPr>
            <w:fldChar w:fldCharType="end"/>
          </w:r>
          <w:r>
            <w:rPr>
              <w:color w:val="auto"/>
            </w:rPr>
            <w:fldChar w:fldCharType="end"/>
          </w:r>
        </w:p>
        <w:p w14:paraId="3D4099DF">
          <w:pPr>
            <w:pStyle w:val="20"/>
            <w:tabs>
              <w:tab w:val="right" w:leader="dot" w:pos="9469"/>
            </w:tabs>
            <w:ind w:left="840"/>
            <w:rPr>
              <w:color w:val="auto"/>
            </w:rPr>
          </w:pPr>
          <w:r>
            <w:rPr>
              <w:color w:val="auto"/>
            </w:rPr>
            <w:fldChar w:fldCharType="begin"/>
          </w:r>
          <w:r>
            <w:rPr>
              <w:color w:val="auto"/>
            </w:rPr>
            <w:instrText xml:space="preserve"> HYPERLINK \l "_Toc8514" </w:instrText>
          </w:r>
          <w:r>
            <w:rPr>
              <w:color w:val="auto"/>
            </w:rPr>
            <w:fldChar w:fldCharType="separate"/>
          </w:r>
          <w:r>
            <w:rPr>
              <w:rFonts w:asciiTheme="minorEastAsia" w:hAnsiTheme="minorEastAsia" w:eastAsiaTheme="minorEastAsia"/>
              <w:color w:val="auto"/>
              <w:szCs w:val="21"/>
            </w:rPr>
            <w:t>3.6 备选</w:t>
          </w:r>
          <w:r>
            <w:rPr>
              <w:rFonts w:hint="eastAsia" w:asciiTheme="minorEastAsia" w:hAnsiTheme="minorEastAsia" w:eastAsiaTheme="minorEastAsia"/>
              <w:color w:val="auto"/>
              <w:szCs w:val="21"/>
            </w:rPr>
            <w:t>竞标</w:t>
          </w:r>
          <w:r>
            <w:rPr>
              <w:rFonts w:asciiTheme="minorEastAsia" w:hAnsiTheme="minorEastAsia" w:eastAsiaTheme="minorEastAsia"/>
              <w:color w:val="auto"/>
              <w:szCs w:val="21"/>
            </w:rPr>
            <w:t>方案</w:t>
          </w:r>
          <w:r>
            <w:rPr>
              <w:color w:val="auto"/>
            </w:rPr>
            <w:tab/>
          </w:r>
          <w:r>
            <w:rPr>
              <w:color w:val="auto"/>
            </w:rPr>
            <w:fldChar w:fldCharType="begin"/>
          </w:r>
          <w:r>
            <w:rPr>
              <w:color w:val="auto"/>
            </w:rPr>
            <w:instrText xml:space="preserve"> PAGEREF _Toc8514 \h </w:instrText>
          </w:r>
          <w:r>
            <w:rPr>
              <w:color w:val="auto"/>
            </w:rPr>
            <w:fldChar w:fldCharType="separate"/>
          </w:r>
          <w:r>
            <w:rPr>
              <w:color w:val="auto"/>
            </w:rPr>
            <w:t>18</w:t>
          </w:r>
          <w:r>
            <w:rPr>
              <w:color w:val="auto"/>
            </w:rPr>
            <w:fldChar w:fldCharType="end"/>
          </w:r>
          <w:r>
            <w:rPr>
              <w:color w:val="auto"/>
            </w:rPr>
            <w:fldChar w:fldCharType="end"/>
          </w:r>
        </w:p>
        <w:p w14:paraId="725BC564">
          <w:pPr>
            <w:pStyle w:val="20"/>
            <w:tabs>
              <w:tab w:val="right" w:leader="dot" w:pos="9469"/>
            </w:tabs>
            <w:ind w:left="840"/>
            <w:rPr>
              <w:color w:val="auto"/>
            </w:rPr>
          </w:pPr>
          <w:r>
            <w:rPr>
              <w:color w:val="auto"/>
            </w:rPr>
            <w:fldChar w:fldCharType="begin"/>
          </w:r>
          <w:r>
            <w:rPr>
              <w:color w:val="auto"/>
            </w:rPr>
            <w:instrText xml:space="preserve"> HYPERLINK \l "_Toc6135" </w:instrText>
          </w:r>
          <w:r>
            <w:rPr>
              <w:color w:val="auto"/>
            </w:rPr>
            <w:fldChar w:fldCharType="separate"/>
          </w:r>
          <w:r>
            <w:rPr>
              <w:rFonts w:asciiTheme="minorEastAsia" w:hAnsiTheme="minorEastAsia" w:eastAsiaTheme="minorEastAsia"/>
              <w:color w:val="auto"/>
              <w:szCs w:val="21"/>
            </w:rPr>
            <w:t>3.7 竞标文件的编制</w:t>
          </w:r>
          <w:r>
            <w:rPr>
              <w:color w:val="auto"/>
            </w:rPr>
            <w:tab/>
          </w:r>
          <w:r>
            <w:rPr>
              <w:color w:val="auto"/>
            </w:rPr>
            <w:fldChar w:fldCharType="begin"/>
          </w:r>
          <w:r>
            <w:rPr>
              <w:color w:val="auto"/>
            </w:rPr>
            <w:instrText xml:space="preserve"> PAGEREF _Toc6135 \h </w:instrText>
          </w:r>
          <w:r>
            <w:rPr>
              <w:color w:val="auto"/>
            </w:rPr>
            <w:fldChar w:fldCharType="separate"/>
          </w:r>
          <w:r>
            <w:rPr>
              <w:color w:val="auto"/>
            </w:rPr>
            <w:t>18</w:t>
          </w:r>
          <w:r>
            <w:rPr>
              <w:color w:val="auto"/>
            </w:rPr>
            <w:fldChar w:fldCharType="end"/>
          </w:r>
          <w:r>
            <w:rPr>
              <w:color w:val="auto"/>
            </w:rPr>
            <w:fldChar w:fldCharType="end"/>
          </w:r>
        </w:p>
        <w:p w14:paraId="45B0952C">
          <w:pPr>
            <w:pStyle w:val="33"/>
            <w:tabs>
              <w:tab w:val="right" w:leader="dot" w:pos="9469"/>
            </w:tabs>
            <w:ind w:left="420"/>
            <w:rPr>
              <w:color w:val="auto"/>
            </w:rPr>
          </w:pPr>
          <w:r>
            <w:rPr>
              <w:color w:val="auto"/>
            </w:rPr>
            <w:fldChar w:fldCharType="begin"/>
          </w:r>
          <w:r>
            <w:rPr>
              <w:color w:val="auto"/>
            </w:rPr>
            <w:instrText xml:space="preserve"> HYPERLINK \l "_Toc7383" </w:instrText>
          </w:r>
          <w:r>
            <w:rPr>
              <w:color w:val="auto"/>
            </w:rPr>
            <w:fldChar w:fldCharType="separate"/>
          </w:r>
          <w:r>
            <w:rPr>
              <w:rFonts w:asciiTheme="minorEastAsia" w:hAnsiTheme="minorEastAsia" w:eastAsiaTheme="minorEastAsia"/>
              <w:color w:val="auto"/>
              <w:szCs w:val="21"/>
            </w:rPr>
            <w:t xml:space="preserve">4. </w:t>
          </w:r>
          <w:r>
            <w:rPr>
              <w:rFonts w:hint="eastAsia" w:asciiTheme="minorEastAsia" w:hAnsiTheme="minorEastAsia" w:eastAsiaTheme="minorEastAsia"/>
              <w:color w:val="auto"/>
              <w:szCs w:val="21"/>
            </w:rPr>
            <w:t>竞标</w:t>
          </w:r>
          <w:r>
            <w:rPr>
              <w:color w:val="auto"/>
            </w:rPr>
            <w:tab/>
          </w:r>
          <w:r>
            <w:rPr>
              <w:color w:val="auto"/>
            </w:rPr>
            <w:fldChar w:fldCharType="begin"/>
          </w:r>
          <w:r>
            <w:rPr>
              <w:color w:val="auto"/>
            </w:rPr>
            <w:instrText xml:space="preserve"> PAGEREF _Toc7383 \h </w:instrText>
          </w:r>
          <w:r>
            <w:rPr>
              <w:color w:val="auto"/>
            </w:rPr>
            <w:fldChar w:fldCharType="separate"/>
          </w:r>
          <w:r>
            <w:rPr>
              <w:color w:val="auto"/>
            </w:rPr>
            <w:t>18</w:t>
          </w:r>
          <w:r>
            <w:rPr>
              <w:color w:val="auto"/>
            </w:rPr>
            <w:fldChar w:fldCharType="end"/>
          </w:r>
          <w:r>
            <w:rPr>
              <w:color w:val="auto"/>
            </w:rPr>
            <w:fldChar w:fldCharType="end"/>
          </w:r>
        </w:p>
        <w:p w14:paraId="22579EF7">
          <w:pPr>
            <w:pStyle w:val="20"/>
            <w:tabs>
              <w:tab w:val="right" w:leader="dot" w:pos="9469"/>
            </w:tabs>
            <w:ind w:left="840"/>
            <w:rPr>
              <w:color w:val="auto"/>
            </w:rPr>
          </w:pPr>
          <w:r>
            <w:rPr>
              <w:color w:val="auto"/>
            </w:rPr>
            <w:fldChar w:fldCharType="begin"/>
          </w:r>
          <w:r>
            <w:rPr>
              <w:color w:val="auto"/>
            </w:rPr>
            <w:instrText xml:space="preserve"> HYPERLINK \l "_Toc6572" </w:instrText>
          </w:r>
          <w:r>
            <w:rPr>
              <w:color w:val="auto"/>
            </w:rPr>
            <w:fldChar w:fldCharType="separate"/>
          </w:r>
          <w:r>
            <w:rPr>
              <w:rFonts w:asciiTheme="minorEastAsia" w:hAnsiTheme="minorEastAsia" w:eastAsiaTheme="minorEastAsia"/>
              <w:color w:val="auto"/>
              <w:szCs w:val="21"/>
            </w:rPr>
            <w:t>4.1 竞标文件</w:t>
          </w:r>
          <w:r>
            <w:rPr>
              <w:rFonts w:hint="eastAsia" w:asciiTheme="minorEastAsia" w:hAnsiTheme="minorEastAsia" w:eastAsiaTheme="minorEastAsia"/>
              <w:color w:val="auto"/>
              <w:szCs w:val="21"/>
            </w:rPr>
            <w:t>封面及</w:t>
          </w:r>
          <w:r>
            <w:rPr>
              <w:rFonts w:asciiTheme="minorEastAsia" w:hAnsiTheme="minorEastAsia" w:eastAsiaTheme="minorEastAsia"/>
              <w:color w:val="auto"/>
              <w:szCs w:val="21"/>
            </w:rPr>
            <w:t>密封</w:t>
          </w:r>
          <w:r>
            <w:rPr>
              <w:rFonts w:hint="eastAsia" w:asciiTheme="minorEastAsia" w:hAnsiTheme="minorEastAsia" w:eastAsiaTheme="minorEastAsia"/>
              <w:color w:val="auto"/>
              <w:szCs w:val="21"/>
            </w:rPr>
            <w:t>要求</w:t>
          </w:r>
          <w:r>
            <w:rPr>
              <w:color w:val="auto"/>
            </w:rPr>
            <w:tab/>
          </w:r>
          <w:r>
            <w:rPr>
              <w:color w:val="auto"/>
            </w:rPr>
            <w:fldChar w:fldCharType="begin"/>
          </w:r>
          <w:r>
            <w:rPr>
              <w:color w:val="auto"/>
            </w:rPr>
            <w:instrText xml:space="preserve"> PAGEREF _Toc6572 \h </w:instrText>
          </w:r>
          <w:r>
            <w:rPr>
              <w:color w:val="auto"/>
            </w:rPr>
            <w:fldChar w:fldCharType="separate"/>
          </w:r>
          <w:r>
            <w:rPr>
              <w:color w:val="auto"/>
            </w:rPr>
            <w:t>18</w:t>
          </w:r>
          <w:r>
            <w:rPr>
              <w:color w:val="auto"/>
            </w:rPr>
            <w:fldChar w:fldCharType="end"/>
          </w:r>
          <w:r>
            <w:rPr>
              <w:color w:val="auto"/>
            </w:rPr>
            <w:fldChar w:fldCharType="end"/>
          </w:r>
        </w:p>
        <w:p w14:paraId="167A2560">
          <w:pPr>
            <w:pStyle w:val="20"/>
            <w:tabs>
              <w:tab w:val="right" w:leader="dot" w:pos="9469"/>
            </w:tabs>
            <w:ind w:left="840"/>
            <w:rPr>
              <w:color w:val="auto"/>
            </w:rPr>
          </w:pPr>
          <w:r>
            <w:rPr>
              <w:color w:val="auto"/>
            </w:rPr>
            <w:fldChar w:fldCharType="begin"/>
          </w:r>
          <w:r>
            <w:rPr>
              <w:color w:val="auto"/>
            </w:rPr>
            <w:instrText xml:space="preserve"> HYPERLINK \l "_Toc28035" </w:instrText>
          </w:r>
          <w:r>
            <w:rPr>
              <w:color w:val="auto"/>
            </w:rPr>
            <w:fldChar w:fldCharType="separate"/>
          </w:r>
          <w:r>
            <w:rPr>
              <w:rFonts w:asciiTheme="minorEastAsia" w:hAnsiTheme="minorEastAsia" w:eastAsiaTheme="minorEastAsia"/>
              <w:color w:val="auto"/>
              <w:szCs w:val="21"/>
            </w:rPr>
            <w:t>4.2 竞标文件的递交</w:t>
          </w:r>
          <w:r>
            <w:rPr>
              <w:color w:val="auto"/>
            </w:rPr>
            <w:tab/>
          </w:r>
          <w:r>
            <w:rPr>
              <w:color w:val="auto"/>
            </w:rPr>
            <w:fldChar w:fldCharType="begin"/>
          </w:r>
          <w:r>
            <w:rPr>
              <w:color w:val="auto"/>
            </w:rPr>
            <w:instrText xml:space="preserve"> PAGEREF _Toc28035 \h </w:instrText>
          </w:r>
          <w:r>
            <w:rPr>
              <w:color w:val="auto"/>
            </w:rPr>
            <w:fldChar w:fldCharType="separate"/>
          </w:r>
          <w:r>
            <w:rPr>
              <w:color w:val="auto"/>
            </w:rPr>
            <w:t>19</w:t>
          </w:r>
          <w:r>
            <w:rPr>
              <w:color w:val="auto"/>
            </w:rPr>
            <w:fldChar w:fldCharType="end"/>
          </w:r>
          <w:r>
            <w:rPr>
              <w:color w:val="auto"/>
            </w:rPr>
            <w:fldChar w:fldCharType="end"/>
          </w:r>
        </w:p>
        <w:p w14:paraId="66F89DD4">
          <w:pPr>
            <w:pStyle w:val="20"/>
            <w:tabs>
              <w:tab w:val="right" w:leader="dot" w:pos="9469"/>
            </w:tabs>
            <w:ind w:left="840"/>
            <w:rPr>
              <w:color w:val="auto"/>
            </w:rPr>
          </w:pPr>
          <w:r>
            <w:rPr>
              <w:color w:val="auto"/>
            </w:rPr>
            <w:fldChar w:fldCharType="begin"/>
          </w:r>
          <w:r>
            <w:rPr>
              <w:color w:val="auto"/>
            </w:rPr>
            <w:instrText xml:space="preserve"> HYPERLINK \l "_Toc3308" </w:instrText>
          </w:r>
          <w:r>
            <w:rPr>
              <w:color w:val="auto"/>
            </w:rPr>
            <w:fldChar w:fldCharType="separate"/>
          </w:r>
          <w:r>
            <w:rPr>
              <w:rFonts w:asciiTheme="minorEastAsia" w:hAnsiTheme="minorEastAsia" w:eastAsiaTheme="minorEastAsia"/>
              <w:color w:val="auto"/>
              <w:szCs w:val="21"/>
            </w:rPr>
            <w:t>4.3 竞标文件的修改与撤回</w:t>
          </w:r>
          <w:r>
            <w:rPr>
              <w:color w:val="auto"/>
            </w:rPr>
            <w:tab/>
          </w:r>
          <w:r>
            <w:rPr>
              <w:color w:val="auto"/>
            </w:rPr>
            <w:fldChar w:fldCharType="begin"/>
          </w:r>
          <w:r>
            <w:rPr>
              <w:color w:val="auto"/>
            </w:rPr>
            <w:instrText xml:space="preserve"> PAGEREF _Toc3308 \h </w:instrText>
          </w:r>
          <w:r>
            <w:rPr>
              <w:color w:val="auto"/>
            </w:rPr>
            <w:fldChar w:fldCharType="separate"/>
          </w:r>
          <w:r>
            <w:rPr>
              <w:color w:val="auto"/>
            </w:rPr>
            <w:t>19</w:t>
          </w:r>
          <w:r>
            <w:rPr>
              <w:color w:val="auto"/>
            </w:rPr>
            <w:fldChar w:fldCharType="end"/>
          </w:r>
          <w:r>
            <w:rPr>
              <w:color w:val="auto"/>
            </w:rPr>
            <w:fldChar w:fldCharType="end"/>
          </w:r>
        </w:p>
        <w:p w14:paraId="6ACBB291">
          <w:pPr>
            <w:pStyle w:val="33"/>
            <w:tabs>
              <w:tab w:val="right" w:leader="dot" w:pos="9469"/>
            </w:tabs>
            <w:ind w:left="420"/>
            <w:rPr>
              <w:color w:val="auto"/>
            </w:rPr>
          </w:pPr>
          <w:r>
            <w:rPr>
              <w:color w:val="auto"/>
            </w:rPr>
            <w:fldChar w:fldCharType="begin"/>
          </w:r>
          <w:r>
            <w:rPr>
              <w:color w:val="auto"/>
            </w:rPr>
            <w:instrText xml:space="preserve"> HYPERLINK \l "_Toc12310" </w:instrText>
          </w:r>
          <w:r>
            <w:rPr>
              <w:color w:val="auto"/>
            </w:rPr>
            <w:fldChar w:fldCharType="separate"/>
          </w:r>
          <w:r>
            <w:rPr>
              <w:rFonts w:asciiTheme="minorEastAsia" w:hAnsiTheme="minorEastAsia" w:eastAsiaTheme="minorEastAsia"/>
              <w:color w:val="auto"/>
              <w:szCs w:val="21"/>
            </w:rPr>
            <w:t>5. 开标</w:t>
          </w:r>
          <w:r>
            <w:rPr>
              <w:color w:val="auto"/>
            </w:rPr>
            <w:tab/>
          </w:r>
          <w:r>
            <w:rPr>
              <w:color w:val="auto"/>
            </w:rPr>
            <w:fldChar w:fldCharType="begin"/>
          </w:r>
          <w:r>
            <w:rPr>
              <w:color w:val="auto"/>
            </w:rPr>
            <w:instrText xml:space="preserve"> PAGEREF _Toc12310 \h </w:instrText>
          </w:r>
          <w:r>
            <w:rPr>
              <w:color w:val="auto"/>
            </w:rPr>
            <w:fldChar w:fldCharType="separate"/>
          </w:r>
          <w:r>
            <w:rPr>
              <w:color w:val="auto"/>
            </w:rPr>
            <w:t>19</w:t>
          </w:r>
          <w:r>
            <w:rPr>
              <w:color w:val="auto"/>
            </w:rPr>
            <w:fldChar w:fldCharType="end"/>
          </w:r>
          <w:r>
            <w:rPr>
              <w:color w:val="auto"/>
            </w:rPr>
            <w:fldChar w:fldCharType="end"/>
          </w:r>
        </w:p>
        <w:p w14:paraId="238E5BBD">
          <w:pPr>
            <w:pStyle w:val="20"/>
            <w:tabs>
              <w:tab w:val="right" w:leader="dot" w:pos="9469"/>
            </w:tabs>
            <w:ind w:left="840"/>
            <w:rPr>
              <w:color w:val="auto"/>
            </w:rPr>
          </w:pPr>
          <w:r>
            <w:rPr>
              <w:color w:val="auto"/>
            </w:rPr>
            <w:fldChar w:fldCharType="begin"/>
          </w:r>
          <w:r>
            <w:rPr>
              <w:color w:val="auto"/>
            </w:rPr>
            <w:instrText xml:space="preserve"> HYPERLINK \l "_Toc3036" </w:instrText>
          </w:r>
          <w:r>
            <w:rPr>
              <w:color w:val="auto"/>
            </w:rPr>
            <w:fldChar w:fldCharType="separate"/>
          </w:r>
          <w:r>
            <w:rPr>
              <w:rFonts w:asciiTheme="minorEastAsia" w:hAnsiTheme="minorEastAsia" w:eastAsiaTheme="minorEastAsia"/>
              <w:color w:val="auto"/>
              <w:szCs w:val="21"/>
            </w:rPr>
            <w:t>5.1 开标时间和地点</w:t>
          </w:r>
          <w:r>
            <w:rPr>
              <w:color w:val="auto"/>
            </w:rPr>
            <w:tab/>
          </w:r>
          <w:r>
            <w:rPr>
              <w:color w:val="auto"/>
            </w:rPr>
            <w:fldChar w:fldCharType="begin"/>
          </w:r>
          <w:r>
            <w:rPr>
              <w:color w:val="auto"/>
            </w:rPr>
            <w:instrText xml:space="preserve"> PAGEREF _Toc3036 \h </w:instrText>
          </w:r>
          <w:r>
            <w:rPr>
              <w:color w:val="auto"/>
            </w:rPr>
            <w:fldChar w:fldCharType="separate"/>
          </w:r>
          <w:r>
            <w:rPr>
              <w:color w:val="auto"/>
            </w:rPr>
            <w:t>19</w:t>
          </w:r>
          <w:r>
            <w:rPr>
              <w:color w:val="auto"/>
            </w:rPr>
            <w:fldChar w:fldCharType="end"/>
          </w:r>
          <w:r>
            <w:rPr>
              <w:color w:val="auto"/>
            </w:rPr>
            <w:fldChar w:fldCharType="end"/>
          </w:r>
        </w:p>
        <w:p w14:paraId="27622D44">
          <w:pPr>
            <w:pStyle w:val="20"/>
            <w:tabs>
              <w:tab w:val="right" w:leader="dot" w:pos="9469"/>
            </w:tabs>
            <w:ind w:left="840"/>
            <w:rPr>
              <w:color w:val="auto"/>
            </w:rPr>
          </w:pPr>
          <w:r>
            <w:rPr>
              <w:color w:val="auto"/>
            </w:rPr>
            <w:fldChar w:fldCharType="begin"/>
          </w:r>
          <w:r>
            <w:rPr>
              <w:color w:val="auto"/>
            </w:rPr>
            <w:instrText xml:space="preserve"> HYPERLINK \l "_Toc3178" </w:instrText>
          </w:r>
          <w:r>
            <w:rPr>
              <w:color w:val="auto"/>
            </w:rPr>
            <w:fldChar w:fldCharType="separate"/>
          </w:r>
          <w:r>
            <w:rPr>
              <w:rFonts w:asciiTheme="minorEastAsia" w:hAnsiTheme="minorEastAsia" w:eastAsiaTheme="minorEastAsia"/>
              <w:color w:val="auto"/>
              <w:szCs w:val="21"/>
            </w:rPr>
            <w:t>5.2 开标程序</w:t>
          </w:r>
          <w:r>
            <w:rPr>
              <w:color w:val="auto"/>
            </w:rPr>
            <w:tab/>
          </w:r>
          <w:r>
            <w:rPr>
              <w:color w:val="auto"/>
            </w:rPr>
            <w:fldChar w:fldCharType="begin"/>
          </w:r>
          <w:r>
            <w:rPr>
              <w:color w:val="auto"/>
            </w:rPr>
            <w:instrText xml:space="preserve"> PAGEREF _Toc3178 \h </w:instrText>
          </w:r>
          <w:r>
            <w:rPr>
              <w:color w:val="auto"/>
            </w:rPr>
            <w:fldChar w:fldCharType="separate"/>
          </w:r>
          <w:r>
            <w:rPr>
              <w:color w:val="auto"/>
            </w:rPr>
            <w:t>19</w:t>
          </w:r>
          <w:r>
            <w:rPr>
              <w:color w:val="auto"/>
            </w:rPr>
            <w:fldChar w:fldCharType="end"/>
          </w:r>
          <w:r>
            <w:rPr>
              <w:color w:val="auto"/>
            </w:rPr>
            <w:fldChar w:fldCharType="end"/>
          </w:r>
        </w:p>
        <w:p w14:paraId="7C6F47BE">
          <w:pPr>
            <w:pStyle w:val="20"/>
            <w:tabs>
              <w:tab w:val="right" w:leader="dot" w:pos="9469"/>
            </w:tabs>
            <w:ind w:left="840"/>
            <w:rPr>
              <w:color w:val="auto"/>
            </w:rPr>
          </w:pPr>
          <w:r>
            <w:rPr>
              <w:color w:val="auto"/>
            </w:rPr>
            <w:fldChar w:fldCharType="begin"/>
          </w:r>
          <w:r>
            <w:rPr>
              <w:color w:val="auto"/>
            </w:rPr>
            <w:instrText xml:space="preserve"> HYPERLINK \l "_Toc25615" </w:instrText>
          </w:r>
          <w:r>
            <w:rPr>
              <w:color w:val="auto"/>
            </w:rPr>
            <w:fldChar w:fldCharType="separate"/>
          </w:r>
          <w:r>
            <w:rPr>
              <w:rFonts w:asciiTheme="minorEastAsia" w:hAnsiTheme="minorEastAsia" w:eastAsiaTheme="minorEastAsia"/>
              <w:color w:val="auto"/>
              <w:szCs w:val="21"/>
            </w:rPr>
            <w:t>5.3 开标异议</w:t>
          </w:r>
          <w:r>
            <w:rPr>
              <w:color w:val="auto"/>
            </w:rPr>
            <w:tab/>
          </w:r>
          <w:r>
            <w:rPr>
              <w:color w:val="auto"/>
            </w:rPr>
            <w:fldChar w:fldCharType="begin"/>
          </w:r>
          <w:r>
            <w:rPr>
              <w:color w:val="auto"/>
            </w:rPr>
            <w:instrText xml:space="preserve"> PAGEREF _Toc25615 \h </w:instrText>
          </w:r>
          <w:r>
            <w:rPr>
              <w:color w:val="auto"/>
            </w:rPr>
            <w:fldChar w:fldCharType="separate"/>
          </w:r>
          <w:r>
            <w:rPr>
              <w:color w:val="auto"/>
            </w:rPr>
            <w:t>19</w:t>
          </w:r>
          <w:r>
            <w:rPr>
              <w:color w:val="auto"/>
            </w:rPr>
            <w:fldChar w:fldCharType="end"/>
          </w:r>
          <w:r>
            <w:rPr>
              <w:color w:val="auto"/>
            </w:rPr>
            <w:fldChar w:fldCharType="end"/>
          </w:r>
        </w:p>
        <w:p w14:paraId="54202D26">
          <w:pPr>
            <w:pStyle w:val="33"/>
            <w:tabs>
              <w:tab w:val="right" w:leader="dot" w:pos="9469"/>
            </w:tabs>
            <w:ind w:left="420"/>
            <w:rPr>
              <w:color w:val="auto"/>
            </w:rPr>
          </w:pPr>
          <w:r>
            <w:rPr>
              <w:color w:val="auto"/>
            </w:rPr>
            <w:fldChar w:fldCharType="begin"/>
          </w:r>
          <w:r>
            <w:rPr>
              <w:color w:val="auto"/>
            </w:rPr>
            <w:instrText xml:space="preserve"> HYPERLINK \l "_Toc21094" </w:instrText>
          </w:r>
          <w:r>
            <w:rPr>
              <w:color w:val="auto"/>
            </w:rPr>
            <w:fldChar w:fldCharType="separate"/>
          </w:r>
          <w:r>
            <w:rPr>
              <w:rFonts w:asciiTheme="minorEastAsia" w:hAnsiTheme="minorEastAsia" w:eastAsiaTheme="minorEastAsia"/>
              <w:color w:val="auto"/>
              <w:szCs w:val="21"/>
            </w:rPr>
            <w:t>6. 评标</w:t>
          </w:r>
          <w:r>
            <w:rPr>
              <w:color w:val="auto"/>
            </w:rPr>
            <w:tab/>
          </w:r>
          <w:r>
            <w:rPr>
              <w:color w:val="auto"/>
            </w:rPr>
            <w:fldChar w:fldCharType="begin"/>
          </w:r>
          <w:r>
            <w:rPr>
              <w:color w:val="auto"/>
            </w:rPr>
            <w:instrText xml:space="preserve"> PAGEREF _Toc21094 \h </w:instrText>
          </w:r>
          <w:r>
            <w:rPr>
              <w:color w:val="auto"/>
            </w:rPr>
            <w:fldChar w:fldCharType="separate"/>
          </w:r>
          <w:r>
            <w:rPr>
              <w:color w:val="auto"/>
            </w:rPr>
            <w:t>19</w:t>
          </w:r>
          <w:r>
            <w:rPr>
              <w:color w:val="auto"/>
            </w:rPr>
            <w:fldChar w:fldCharType="end"/>
          </w:r>
          <w:r>
            <w:rPr>
              <w:color w:val="auto"/>
            </w:rPr>
            <w:fldChar w:fldCharType="end"/>
          </w:r>
        </w:p>
        <w:p w14:paraId="7170DEA6">
          <w:pPr>
            <w:pStyle w:val="20"/>
            <w:tabs>
              <w:tab w:val="right" w:leader="dot" w:pos="9469"/>
            </w:tabs>
            <w:ind w:left="840"/>
            <w:rPr>
              <w:color w:val="auto"/>
            </w:rPr>
          </w:pPr>
          <w:r>
            <w:rPr>
              <w:color w:val="auto"/>
            </w:rPr>
            <w:fldChar w:fldCharType="begin"/>
          </w:r>
          <w:r>
            <w:rPr>
              <w:color w:val="auto"/>
            </w:rPr>
            <w:instrText xml:space="preserve"> HYPERLINK \l "_Toc25603" </w:instrText>
          </w:r>
          <w:r>
            <w:rPr>
              <w:color w:val="auto"/>
            </w:rPr>
            <w:fldChar w:fldCharType="separate"/>
          </w:r>
          <w:r>
            <w:rPr>
              <w:rFonts w:asciiTheme="minorEastAsia" w:hAnsiTheme="minorEastAsia" w:eastAsiaTheme="minorEastAsia"/>
              <w:color w:val="auto"/>
              <w:szCs w:val="21"/>
            </w:rPr>
            <w:t>6.1 评标委员会</w:t>
          </w:r>
          <w:r>
            <w:rPr>
              <w:color w:val="auto"/>
            </w:rPr>
            <w:tab/>
          </w:r>
          <w:r>
            <w:rPr>
              <w:color w:val="auto"/>
            </w:rPr>
            <w:fldChar w:fldCharType="begin"/>
          </w:r>
          <w:r>
            <w:rPr>
              <w:color w:val="auto"/>
            </w:rPr>
            <w:instrText xml:space="preserve"> PAGEREF _Toc25603 \h </w:instrText>
          </w:r>
          <w:r>
            <w:rPr>
              <w:color w:val="auto"/>
            </w:rPr>
            <w:fldChar w:fldCharType="separate"/>
          </w:r>
          <w:r>
            <w:rPr>
              <w:color w:val="auto"/>
            </w:rPr>
            <w:t>19</w:t>
          </w:r>
          <w:r>
            <w:rPr>
              <w:color w:val="auto"/>
            </w:rPr>
            <w:fldChar w:fldCharType="end"/>
          </w:r>
          <w:r>
            <w:rPr>
              <w:color w:val="auto"/>
            </w:rPr>
            <w:fldChar w:fldCharType="end"/>
          </w:r>
        </w:p>
        <w:p w14:paraId="121A69F6">
          <w:pPr>
            <w:pStyle w:val="20"/>
            <w:tabs>
              <w:tab w:val="right" w:leader="dot" w:pos="9469"/>
            </w:tabs>
            <w:ind w:left="840"/>
            <w:rPr>
              <w:color w:val="auto"/>
            </w:rPr>
          </w:pPr>
          <w:r>
            <w:rPr>
              <w:color w:val="auto"/>
            </w:rPr>
            <w:fldChar w:fldCharType="begin"/>
          </w:r>
          <w:r>
            <w:rPr>
              <w:color w:val="auto"/>
            </w:rPr>
            <w:instrText xml:space="preserve"> HYPERLINK \l "_Toc9201" </w:instrText>
          </w:r>
          <w:r>
            <w:rPr>
              <w:color w:val="auto"/>
            </w:rPr>
            <w:fldChar w:fldCharType="separate"/>
          </w:r>
          <w:r>
            <w:rPr>
              <w:rFonts w:asciiTheme="minorEastAsia" w:hAnsiTheme="minorEastAsia" w:eastAsiaTheme="minorEastAsia"/>
              <w:color w:val="auto"/>
              <w:szCs w:val="21"/>
            </w:rPr>
            <w:t>6.2 评标原则</w:t>
          </w:r>
          <w:r>
            <w:rPr>
              <w:color w:val="auto"/>
            </w:rPr>
            <w:tab/>
          </w:r>
          <w:r>
            <w:rPr>
              <w:color w:val="auto"/>
            </w:rPr>
            <w:fldChar w:fldCharType="begin"/>
          </w:r>
          <w:r>
            <w:rPr>
              <w:color w:val="auto"/>
            </w:rPr>
            <w:instrText xml:space="preserve"> PAGEREF _Toc9201 \h </w:instrText>
          </w:r>
          <w:r>
            <w:rPr>
              <w:color w:val="auto"/>
            </w:rPr>
            <w:fldChar w:fldCharType="separate"/>
          </w:r>
          <w:r>
            <w:rPr>
              <w:color w:val="auto"/>
            </w:rPr>
            <w:t>20</w:t>
          </w:r>
          <w:r>
            <w:rPr>
              <w:color w:val="auto"/>
            </w:rPr>
            <w:fldChar w:fldCharType="end"/>
          </w:r>
          <w:r>
            <w:rPr>
              <w:color w:val="auto"/>
            </w:rPr>
            <w:fldChar w:fldCharType="end"/>
          </w:r>
        </w:p>
        <w:p w14:paraId="1A5FCC53">
          <w:pPr>
            <w:pStyle w:val="20"/>
            <w:tabs>
              <w:tab w:val="right" w:leader="dot" w:pos="9469"/>
            </w:tabs>
            <w:ind w:left="840"/>
            <w:rPr>
              <w:color w:val="auto"/>
            </w:rPr>
          </w:pPr>
          <w:r>
            <w:rPr>
              <w:color w:val="auto"/>
            </w:rPr>
            <w:fldChar w:fldCharType="begin"/>
          </w:r>
          <w:r>
            <w:rPr>
              <w:color w:val="auto"/>
            </w:rPr>
            <w:instrText xml:space="preserve"> HYPERLINK \l "_Toc9665" </w:instrText>
          </w:r>
          <w:r>
            <w:rPr>
              <w:color w:val="auto"/>
            </w:rPr>
            <w:fldChar w:fldCharType="separate"/>
          </w:r>
          <w:r>
            <w:rPr>
              <w:rFonts w:asciiTheme="minorEastAsia" w:hAnsiTheme="minorEastAsia" w:eastAsiaTheme="minorEastAsia"/>
              <w:color w:val="auto"/>
              <w:szCs w:val="21"/>
            </w:rPr>
            <w:t>6.3 评标</w:t>
          </w:r>
          <w:r>
            <w:rPr>
              <w:color w:val="auto"/>
            </w:rPr>
            <w:tab/>
          </w:r>
          <w:r>
            <w:rPr>
              <w:color w:val="auto"/>
            </w:rPr>
            <w:fldChar w:fldCharType="begin"/>
          </w:r>
          <w:r>
            <w:rPr>
              <w:color w:val="auto"/>
            </w:rPr>
            <w:instrText xml:space="preserve"> PAGEREF _Toc9665 \h </w:instrText>
          </w:r>
          <w:r>
            <w:rPr>
              <w:color w:val="auto"/>
            </w:rPr>
            <w:fldChar w:fldCharType="separate"/>
          </w:r>
          <w:r>
            <w:rPr>
              <w:color w:val="auto"/>
            </w:rPr>
            <w:t>20</w:t>
          </w:r>
          <w:r>
            <w:rPr>
              <w:color w:val="auto"/>
            </w:rPr>
            <w:fldChar w:fldCharType="end"/>
          </w:r>
          <w:r>
            <w:rPr>
              <w:color w:val="auto"/>
            </w:rPr>
            <w:fldChar w:fldCharType="end"/>
          </w:r>
        </w:p>
        <w:p w14:paraId="682E4A57">
          <w:pPr>
            <w:pStyle w:val="33"/>
            <w:tabs>
              <w:tab w:val="right" w:leader="dot" w:pos="9469"/>
            </w:tabs>
            <w:ind w:left="420"/>
            <w:rPr>
              <w:color w:val="auto"/>
            </w:rPr>
          </w:pPr>
          <w:r>
            <w:rPr>
              <w:color w:val="auto"/>
            </w:rPr>
            <w:fldChar w:fldCharType="begin"/>
          </w:r>
          <w:r>
            <w:rPr>
              <w:color w:val="auto"/>
            </w:rPr>
            <w:instrText xml:space="preserve"> HYPERLINK \l "_Toc15283" </w:instrText>
          </w:r>
          <w:r>
            <w:rPr>
              <w:color w:val="auto"/>
            </w:rPr>
            <w:fldChar w:fldCharType="separate"/>
          </w:r>
          <w:r>
            <w:rPr>
              <w:rFonts w:asciiTheme="minorEastAsia" w:hAnsiTheme="minorEastAsia" w:eastAsiaTheme="minorEastAsia"/>
              <w:color w:val="auto"/>
              <w:szCs w:val="21"/>
            </w:rPr>
            <w:t>7. 合同授予</w:t>
          </w:r>
          <w:r>
            <w:rPr>
              <w:color w:val="auto"/>
            </w:rPr>
            <w:tab/>
          </w:r>
          <w:r>
            <w:rPr>
              <w:color w:val="auto"/>
            </w:rPr>
            <w:fldChar w:fldCharType="begin"/>
          </w:r>
          <w:r>
            <w:rPr>
              <w:color w:val="auto"/>
            </w:rPr>
            <w:instrText xml:space="preserve"> PAGEREF _Toc15283 \h </w:instrText>
          </w:r>
          <w:r>
            <w:rPr>
              <w:color w:val="auto"/>
            </w:rPr>
            <w:fldChar w:fldCharType="separate"/>
          </w:r>
          <w:r>
            <w:rPr>
              <w:color w:val="auto"/>
            </w:rPr>
            <w:t>20</w:t>
          </w:r>
          <w:r>
            <w:rPr>
              <w:color w:val="auto"/>
            </w:rPr>
            <w:fldChar w:fldCharType="end"/>
          </w:r>
          <w:r>
            <w:rPr>
              <w:color w:val="auto"/>
            </w:rPr>
            <w:fldChar w:fldCharType="end"/>
          </w:r>
        </w:p>
        <w:p w14:paraId="52E6E2AA">
          <w:pPr>
            <w:pStyle w:val="20"/>
            <w:tabs>
              <w:tab w:val="right" w:leader="dot" w:pos="9469"/>
            </w:tabs>
            <w:ind w:left="840"/>
            <w:rPr>
              <w:color w:val="auto"/>
            </w:rPr>
          </w:pPr>
          <w:r>
            <w:rPr>
              <w:color w:val="auto"/>
            </w:rPr>
            <w:fldChar w:fldCharType="begin"/>
          </w:r>
          <w:r>
            <w:rPr>
              <w:color w:val="auto"/>
            </w:rPr>
            <w:instrText xml:space="preserve"> HYPERLINK \l "_Toc18219" </w:instrText>
          </w:r>
          <w:r>
            <w:rPr>
              <w:color w:val="auto"/>
            </w:rPr>
            <w:fldChar w:fldCharType="separate"/>
          </w:r>
          <w:r>
            <w:rPr>
              <w:rFonts w:asciiTheme="minorEastAsia" w:hAnsiTheme="minorEastAsia" w:eastAsiaTheme="minorEastAsia"/>
              <w:color w:val="auto"/>
              <w:szCs w:val="21"/>
            </w:rPr>
            <w:t>7.1 中标候选人公示</w:t>
          </w:r>
          <w:r>
            <w:rPr>
              <w:color w:val="auto"/>
            </w:rPr>
            <w:tab/>
          </w:r>
          <w:r>
            <w:rPr>
              <w:color w:val="auto"/>
            </w:rPr>
            <w:fldChar w:fldCharType="begin"/>
          </w:r>
          <w:r>
            <w:rPr>
              <w:color w:val="auto"/>
            </w:rPr>
            <w:instrText xml:space="preserve"> PAGEREF _Toc18219 \h </w:instrText>
          </w:r>
          <w:r>
            <w:rPr>
              <w:color w:val="auto"/>
            </w:rPr>
            <w:fldChar w:fldCharType="separate"/>
          </w:r>
          <w:r>
            <w:rPr>
              <w:color w:val="auto"/>
            </w:rPr>
            <w:t>20</w:t>
          </w:r>
          <w:r>
            <w:rPr>
              <w:color w:val="auto"/>
            </w:rPr>
            <w:fldChar w:fldCharType="end"/>
          </w:r>
          <w:r>
            <w:rPr>
              <w:color w:val="auto"/>
            </w:rPr>
            <w:fldChar w:fldCharType="end"/>
          </w:r>
        </w:p>
        <w:p w14:paraId="7E9285A5">
          <w:pPr>
            <w:pStyle w:val="20"/>
            <w:tabs>
              <w:tab w:val="right" w:leader="dot" w:pos="9469"/>
            </w:tabs>
            <w:ind w:left="840"/>
            <w:rPr>
              <w:color w:val="auto"/>
            </w:rPr>
          </w:pPr>
          <w:r>
            <w:rPr>
              <w:color w:val="auto"/>
            </w:rPr>
            <w:fldChar w:fldCharType="begin"/>
          </w:r>
          <w:r>
            <w:rPr>
              <w:color w:val="auto"/>
            </w:rPr>
            <w:instrText xml:space="preserve"> HYPERLINK \l "_Toc7822" </w:instrText>
          </w:r>
          <w:r>
            <w:rPr>
              <w:color w:val="auto"/>
            </w:rPr>
            <w:fldChar w:fldCharType="separate"/>
          </w:r>
          <w:r>
            <w:rPr>
              <w:rFonts w:asciiTheme="minorEastAsia" w:hAnsiTheme="minorEastAsia" w:eastAsiaTheme="minorEastAsia"/>
              <w:color w:val="auto"/>
              <w:szCs w:val="21"/>
            </w:rPr>
            <w:t>7.2 评标结果异议</w:t>
          </w:r>
          <w:r>
            <w:rPr>
              <w:color w:val="auto"/>
            </w:rPr>
            <w:tab/>
          </w:r>
          <w:r>
            <w:rPr>
              <w:color w:val="auto"/>
            </w:rPr>
            <w:fldChar w:fldCharType="begin"/>
          </w:r>
          <w:r>
            <w:rPr>
              <w:color w:val="auto"/>
            </w:rPr>
            <w:instrText xml:space="preserve"> PAGEREF _Toc7822 \h </w:instrText>
          </w:r>
          <w:r>
            <w:rPr>
              <w:color w:val="auto"/>
            </w:rPr>
            <w:fldChar w:fldCharType="separate"/>
          </w:r>
          <w:r>
            <w:rPr>
              <w:color w:val="auto"/>
            </w:rPr>
            <w:t>20</w:t>
          </w:r>
          <w:r>
            <w:rPr>
              <w:color w:val="auto"/>
            </w:rPr>
            <w:fldChar w:fldCharType="end"/>
          </w:r>
          <w:r>
            <w:rPr>
              <w:color w:val="auto"/>
            </w:rPr>
            <w:fldChar w:fldCharType="end"/>
          </w:r>
        </w:p>
        <w:p w14:paraId="561E0EBD">
          <w:pPr>
            <w:pStyle w:val="20"/>
            <w:tabs>
              <w:tab w:val="right" w:leader="dot" w:pos="9469"/>
            </w:tabs>
            <w:ind w:left="840"/>
            <w:rPr>
              <w:color w:val="auto"/>
            </w:rPr>
          </w:pPr>
          <w:r>
            <w:rPr>
              <w:color w:val="auto"/>
            </w:rPr>
            <w:fldChar w:fldCharType="begin"/>
          </w:r>
          <w:r>
            <w:rPr>
              <w:color w:val="auto"/>
            </w:rPr>
            <w:instrText xml:space="preserve"> HYPERLINK \l "_Toc17910" </w:instrText>
          </w:r>
          <w:r>
            <w:rPr>
              <w:color w:val="auto"/>
            </w:rPr>
            <w:fldChar w:fldCharType="separate"/>
          </w:r>
          <w:r>
            <w:rPr>
              <w:rFonts w:asciiTheme="minorEastAsia" w:hAnsiTheme="minorEastAsia" w:eastAsiaTheme="minorEastAsia"/>
              <w:color w:val="auto"/>
              <w:szCs w:val="21"/>
            </w:rPr>
            <w:t>7.3 中标候选人履约能力审查</w:t>
          </w:r>
          <w:r>
            <w:rPr>
              <w:color w:val="auto"/>
            </w:rPr>
            <w:tab/>
          </w:r>
          <w:r>
            <w:rPr>
              <w:color w:val="auto"/>
            </w:rPr>
            <w:fldChar w:fldCharType="begin"/>
          </w:r>
          <w:r>
            <w:rPr>
              <w:color w:val="auto"/>
            </w:rPr>
            <w:instrText xml:space="preserve"> PAGEREF _Toc17910 \h </w:instrText>
          </w:r>
          <w:r>
            <w:rPr>
              <w:color w:val="auto"/>
            </w:rPr>
            <w:fldChar w:fldCharType="separate"/>
          </w:r>
          <w:r>
            <w:rPr>
              <w:color w:val="auto"/>
            </w:rPr>
            <w:t>20</w:t>
          </w:r>
          <w:r>
            <w:rPr>
              <w:color w:val="auto"/>
            </w:rPr>
            <w:fldChar w:fldCharType="end"/>
          </w:r>
          <w:r>
            <w:rPr>
              <w:color w:val="auto"/>
            </w:rPr>
            <w:fldChar w:fldCharType="end"/>
          </w:r>
        </w:p>
        <w:p w14:paraId="5A2855FB">
          <w:pPr>
            <w:pStyle w:val="20"/>
            <w:tabs>
              <w:tab w:val="right" w:leader="dot" w:pos="9469"/>
            </w:tabs>
            <w:ind w:left="840"/>
            <w:rPr>
              <w:color w:val="auto"/>
            </w:rPr>
          </w:pPr>
          <w:r>
            <w:rPr>
              <w:color w:val="auto"/>
            </w:rPr>
            <w:fldChar w:fldCharType="begin"/>
          </w:r>
          <w:r>
            <w:rPr>
              <w:color w:val="auto"/>
            </w:rPr>
            <w:instrText xml:space="preserve"> HYPERLINK \l "_Toc13879" </w:instrText>
          </w:r>
          <w:r>
            <w:rPr>
              <w:color w:val="auto"/>
            </w:rPr>
            <w:fldChar w:fldCharType="separate"/>
          </w:r>
          <w:r>
            <w:rPr>
              <w:rFonts w:asciiTheme="minorEastAsia" w:hAnsiTheme="minorEastAsia" w:eastAsiaTheme="minorEastAsia"/>
              <w:color w:val="auto"/>
              <w:szCs w:val="21"/>
            </w:rPr>
            <w:t>7.4 定标</w:t>
          </w:r>
          <w:r>
            <w:rPr>
              <w:color w:val="auto"/>
            </w:rPr>
            <w:tab/>
          </w:r>
          <w:r>
            <w:rPr>
              <w:color w:val="auto"/>
            </w:rPr>
            <w:fldChar w:fldCharType="begin"/>
          </w:r>
          <w:r>
            <w:rPr>
              <w:color w:val="auto"/>
            </w:rPr>
            <w:instrText xml:space="preserve"> PAGEREF _Toc13879 \h </w:instrText>
          </w:r>
          <w:r>
            <w:rPr>
              <w:color w:val="auto"/>
            </w:rPr>
            <w:fldChar w:fldCharType="separate"/>
          </w:r>
          <w:r>
            <w:rPr>
              <w:color w:val="auto"/>
            </w:rPr>
            <w:t>20</w:t>
          </w:r>
          <w:r>
            <w:rPr>
              <w:color w:val="auto"/>
            </w:rPr>
            <w:fldChar w:fldCharType="end"/>
          </w:r>
          <w:r>
            <w:rPr>
              <w:color w:val="auto"/>
            </w:rPr>
            <w:fldChar w:fldCharType="end"/>
          </w:r>
        </w:p>
        <w:p w14:paraId="5877588C">
          <w:pPr>
            <w:pStyle w:val="20"/>
            <w:tabs>
              <w:tab w:val="right" w:leader="dot" w:pos="9469"/>
            </w:tabs>
            <w:ind w:left="840"/>
            <w:rPr>
              <w:color w:val="auto"/>
            </w:rPr>
          </w:pPr>
          <w:r>
            <w:rPr>
              <w:color w:val="auto"/>
            </w:rPr>
            <w:fldChar w:fldCharType="begin"/>
          </w:r>
          <w:r>
            <w:rPr>
              <w:color w:val="auto"/>
            </w:rPr>
            <w:instrText xml:space="preserve"> HYPERLINK \l "_Toc9334" </w:instrText>
          </w:r>
          <w:r>
            <w:rPr>
              <w:color w:val="auto"/>
            </w:rPr>
            <w:fldChar w:fldCharType="separate"/>
          </w:r>
          <w:r>
            <w:rPr>
              <w:rFonts w:asciiTheme="minorEastAsia" w:hAnsiTheme="minorEastAsia" w:eastAsiaTheme="minorEastAsia"/>
              <w:color w:val="auto"/>
              <w:szCs w:val="21"/>
            </w:rPr>
            <w:t>7.5 中标通知</w:t>
          </w:r>
          <w:r>
            <w:rPr>
              <w:color w:val="auto"/>
            </w:rPr>
            <w:tab/>
          </w:r>
          <w:r>
            <w:rPr>
              <w:color w:val="auto"/>
            </w:rPr>
            <w:fldChar w:fldCharType="begin"/>
          </w:r>
          <w:r>
            <w:rPr>
              <w:color w:val="auto"/>
            </w:rPr>
            <w:instrText xml:space="preserve"> PAGEREF _Toc9334 \h </w:instrText>
          </w:r>
          <w:r>
            <w:rPr>
              <w:color w:val="auto"/>
            </w:rPr>
            <w:fldChar w:fldCharType="separate"/>
          </w:r>
          <w:r>
            <w:rPr>
              <w:color w:val="auto"/>
            </w:rPr>
            <w:t>20</w:t>
          </w:r>
          <w:r>
            <w:rPr>
              <w:color w:val="auto"/>
            </w:rPr>
            <w:fldChar w:fldCharType="end"/>
          </w:r>
          <w:r>
            <w:rPr>
              <w:color w:val="auto"/>
            </w:rPr>
            <w:fldChar w:fldCharType="end"/>
          </w:r>
        </w:p>
        <w:p w14:paraId="758CCEF1">
          <w:pPr>
            <w:pStyle w:val="20"/>
            <w:tabs>
              <w:tab w:val="right" w:leader="dot" w:pos="9469"/>
            </w:tabs>
            <w:ind w:left="840"/>
            <w:rPr>
              <w:color w:val="auto"/>
            </w:rPr>
          </w:pPr>
          <w:r>
            <w:rPr>
              <w:color w:val="auto"/>
            </w:rPr>
            <w:fldChar w:fldCharType="begin"/>
          </w:r>
          <w:r>
            <w:rPr>
              <w:color w:val="auto"/>
            </w:rPr>
            <w:instrText xml:space="preserve"> HYPERLINK \l "_Toc1378" </w:instrText>
          </w:r>
          <w:r>
            <w:rPr>
              <w:color w:val="auto"/>
            </w:rPr>
            <w:fldChar w:fldCharType="separate"/>
          </w:r>
          <w:r>
            <w:rPr>
              <w:rFonts w:asciiTheme="minorEastAsia" w:hAnsiTheme="minorEastAsia" w:eastAsiaTheme="minorEastAsia"/>
              <w:color w:val="auto"/>
              <w:szCs w:val="21"/>
            </w:rPr>
            <w:t>7.</w:t>
          </w:r>
          <w:r>
            <w:rPr>
              <w:rFonts w:hint="eastAsia" w:asciiTheme="minorEastAsia" w:hAnsiTheme="minorEastAsia" w:eastAsiaTheme="minorEastAsia"/>
              <w:color w:val="auto"/>
              <w:szCs w:val="21"/>
            </w:rPr>
            <w:t>6</w:t>
          </w:r>
          <w:r>
            <w:rPr>
              <w:rFonts w:asciiTheme="minorEastAsia" w:hAnsiTheme="minorEastAsia" w:eastAsiaTheme="minorEastAsia"/>
              <w:color w:val="auto"/>
              <w:szCs w:val="21"/>
            </w:rPr>
            <w:t xml:space="preserve"> 签订合同</w:t>
          </w:r>
          <w:r>
            <w:rPr>
              <w:color w:val="auto"/>
            </w:rPr>
            <w:tab/>
          </w:r>
          <w:r>
            <w:rPr>
              <w:color w:val="auto"/>
            </w:rPr>
            <w:fldChar w:fldCharType="begin"/>
          </w:r>
          <w:r>
            <w:rPr>
              <w:color w:val="auto"/>
            </w:rPr>
            <w:instrText xml:space="preserve"> PAGEREF _Toc1378 \h </w:instrText>
          </w:r>
          <w:r>
            <w:rPr>
              <w:color w:val="auto"/>
            </w:rPr>
            <w:fldChar w:fldCharType="separate"/>
          </w:r>
          <w:r>
            <w:rPr>
              <w:color w:val="auto"/>
            </w:rPr>
            <w:t>21</w:t>
          </w:r>
          <w:r>
            <w:rPr>
              <w:color w:val="auto"/>
            </w:rPr>
            <w:fldChar w:fldCharType="end"/>
          </w:r>
          <w:r>
            <w:rPr>
              <w:color w:val="auto"/>
            </w:rPr>
            <w:fldChar w:fldCharType="end"/>
          </w:r>
        </w:p>
        <w:p w14:paraId="35EBFCD2">
          <w:pPr>
            <w:pStyle w:val="33"/>
            <w:tabs>
              <w:tab w:val="right" w:leader="dot" w:pos="9469"/>
            </w:tabs>
            <w:ind w:left="420"/>
            <w:rPr>
              <w:color w:val="auto"/>
            </w:rPr>
          </w:pPr>
          <w:r>
            <w:rPr>
              <w:color w:val="auto"/>
            </w:rPr>
            <w:fldChar w:fldCharType="begin"/>
          </w:r>
          <w:r>
            <w:rPr>
              <w:color w:val="auto"/>
            </w:rPr>
            <w:instrText xml:space="preserve"> HYPERLINK \l "_Toc26004" </w:instrText>
          </w:r>
          <w:r>
            <w:rPr>
              <w:color w:val="auto"/>
            </w:rPr>
            <w:fldChar w:fldCharType="separate"/>
          </w:r>
          <w:r>
            <w:rPr>
              <w:rFonts w:asciiTheme="minorEastAsia" w:hAnsiTheme="minorEastAsia" w:eastAsiaTheme="minorEastAsia"/>
              <w:color w:val="auto"/>
              <w:szCs w:val="21"/>
            </w:rPr>
            <w:t>8.纪律和监督</w:t>
          </w:r>
          <w:r>
            <w:rPr>
              <w:color w:val="auto"/>
            </w:rPr>
            <w:tab/>
          </w:r>
          <w:r>
            <w:rPr>
              <w:color w:val="auto"/>
            </w:rPr>
            <w:fldChar w:fldCharType="begin"/>
          </w:r>
          <w:r>
            <w:rPr>
              <w:color w:val="auto"/>
            </w:rPr>
            <w:instrText xml:space="preserve"> PAGEREF _Toc26004 \h </w:instrText>
          </w:r>
          <w:r>
            <w:rPr>
              <w:color w:val="auto"/>
            </w:rPr>
            <w:fldChar w:fldCharType="separate"/>
          </w:r>
          <w:r>
            <w:rPr>
              <w:color w:val="auto"/>
            </w:rPr>
            <w:t>21</w:t>
          </w:r>
          <w:r>
            <w:rPr>
              <w:color w:val="auto"/>
            </w:rPr>
            <w:fldChar w:fldCharType="end"/>
          </w:r>
          <w:r>
            <w:rPr>
              <w:color w:val="auto"/>
            </w:rPr>
            <w:fldChar w:fldCharType="end"/>
          </w:r>
        </w:p>
        <w:p w14:paraId="394ED523">
          <w:pPr>
            <w:pStyle w:val="20"/>
            <w:tabs>
              <w:tab w:val="right" w:leader="dot" w:pos="9469"/>
            </w:tabs>
            <w:ind w:left="840"/>
            <w:rPr>
              <w:color w:val="auto"/>
            </w:rPr>
          </w:pPr>
          <w:r>
            <w:rPr>
              <w:color w:val="auto"/>
            </w:rPr>
            <w:fldChar w:fldCharType="begin"/>
          </w:r>
          <w:r>
            <w:rPr>
              <w:color w:val="auto"/>
            </w:rPr>
            <w:instrText xml:space="preserve"> HYPERLINK \l "_Toc27212" </w:instrText>
          </w:r>
          <w:r>
            <w:rPr>
              <w:color w:val="auto"/>
            </w:rPr>
            <w:fldChar w:fldCharType="separate"/>
          </w:r>
          <w:r>
            <w:rPr>
              <w:rFonts w:asciiTheme="minorEastAsia" w:hAnsiTheme="minorEastAsia" w:eastAsiaTheme="minorEastAsia"/>
              <w:color w:val="auto"/>
              <w:szCs w:val="21"/>
            </w:rPr>
            <w:t>8.1 对</w:t>
          </w:r>
          <w:r>
            <w:rPr>
              <w:rFonts w:hint="eastAsia" w:asciiTheme="minorEastAsia" w:hAnsiTheme="minorEastAsia" w:eastAsiaTheme="minorEastAsia"/>
              <w:color w:val="auto"/>
              <w:szCs w:val="21"/>
            </w:rPr>
            <w:t>比选人</w:t>
          </w:r>
          <w:r>
            <w:rPr>
              <w:rFonts w:asciiTheme="minorEastAsia" w:hAnsiTheme="minorEastAsia" w:eastAsiaTheme="minorEastAsia"/>
              <w:color w:val="auto"/>
              <w:szCs w:val="21"/>
            </w:rPr>
            <w:t>的纪律要求</w:t>
          </w:r>
          <w:r>
            <w:rPr>
              <w:color w:val="auto"/>
            </w:rPr>
            <w:tab/>
          </w:r>
          <w:r>
            <w:rPr>
              <w:color w:val="auto"/>
            </w:rPr>
            <w:fldChar w:fldCharType="begin"/>
          </w:r>
          <w:r>
            <w:rPr>
              <w:color w:val="auto"/>
            </w:rPr>
            <w:instrText xml:space="preserve"> PAGEREF _Toc27212 \h </w:instrText>
          </w:r>
          <w:r>
            <w:rPr>
              <w:color w:val="auto"/>
            </w:rPr>
            <w:fldChar w:fldCharType="separate"/>
          </w:r>
          <w:r>
            <w:rPr>
              <w:color w:val="auto"/>
            </w:rPr>
            <w:t>21</w:t>
          </w:r>
          <w:r>
            <w:rPr>
              <w:color w:val="auto"/>
            </w:rPr>
            <w:fldChar w:fldCharType="end"/>
          </w:r>
          <w:r>
            <w:rPr>
              <w:color w:val="auto"/>
            </w:rPr>
            <w:fldChar w:fldCharType="end"/>
          </w:r>
        </w:p>
        <w:p w14:paraId="2053792E">
          <w:pPr>
            <w:pStyle w:val="20"/>
            <w:tabs>
              <w:tab w:val="right" w:leader="dot" w:pos="9469"/>
            </w:tabs>
            <w:ind w:left="840"/>
            <w:rPr>
              <w:color w:val="auto"/>
            </w:rPr>
          </w:pPr>
          <w:r>
            <w:rPr>
              <w:color w:val="auto"/>
            </w:rPr>
            <w:fldChar w:fldCharType="begin"/>
          </w:r>
          <w:r>
            <w:rPr>
              <w:color w:val="auto"/>
            </w:rPr>
            <w:instrText xml:space="preserve"> HYPERLINK \l "_Toc8618" </w:instrText>
          </w:r>
          <w:r>
            <w:rPr>
              <w:color w:val="auto"/>
            </w:rPr>
            <w:fldChar w:fldCharType="separate"/>
          </w:r>
          <w:r>
            <w:rPr>
              <w:rFonts w:asciiTheme="minorEastAsia" w:hAnsiTheme="minorEastAsia" w:eastAsiaTheme="minorEastAsia"/>
              <w:color w:val="auto"/>
              <w:szCs w:val="21"/>
            </w:rPr>
            <w:t>8.2 对竞标人的纪律要求</w:t>
          </w:r>
          <w:r>
            <w:rPr>
              <w:color w:val="auto"/>
            </w:rPr>
            <w:tab/>
          </w:r>
          <w:r>
            <w:rPr>
              <w:color w:val="auto"/>
            </w:rPr>
            <w:fldChar w:fldCharType="begin"/>
          </w:r>
          <w:r>
            <w:rPr>
              <w:color w:val="auto"/>
            </w:rPr>
            <w:instrText xml:space="preserve"> PAGEREF _Toc8618 \h </w:instrText>
          </w:r>
          <w:r>
            <w:rPr>
              <w:color w:val="auto"/>
            </w:rPr>
            <w:fldChar w:fldCharType="separate"/>
          </w:r>
          <w:r>
            <w:rPr>
              <w:color w:val="auto"/>
            </w:rPr>
            <w:t>21</w:t>
          </w:r>
          <w:r>
            <w:rPr>
              <w:color w:val="auto"/>
            </w:rPr>
            <w:fldChar w:fldCharType="end"/>
          </w:r>
          <w:r>
            <w:rPr>
              <w:color w:val="auto"/>
            </w:rPr>
            <w:fldChar w:fldCharType="end"/>
          </w:r>
        </w:p>
        <w:p w14:paraId="3D5CAEE8">
          <w:pPr>
            <w:pStyle w:val="20"/>
            <w:tabs>
              <w:tab w:val="right" w:leader="dot" w:pos="9469"/>
            </w:tabs>
            <w:ind w:left="840"/>
            <w:rPr>
              <w:color w:val="auto"/>
            </w:rPr>
          </w:pPr>
          <w:r>
            <w:rPr>
              <w:color w:val="auto"/>
            </w:rPr>
            <w:fldChar w:fldCharType="begin"/>
          </w:r>
          <w:r>
            <w:rPr>
              <w:color w:val="auto"/>
            </w:rPr>
            <w:instrText xml:space="preserve"> HYPERLINK \l "_Toc19123" </w:instrText>
          </w:r>
          <w:r>
            <w:rPr>
              <w:color w:val="auto"/>
            </w:rPr>
            <w:fldChar w:fldCharType="separate"/>
          </w:r>
          <w:r>
            <w:rPr>
              <w:rFonts w:asciiTheme="minorEastAsia" w:hAnsiTheme="minorEastAsia" w:eastAsiaTheme="minorEastAsia"/>
              <w:color w:val="auto"/>
              <w:szCs w:val="21"/>
            </w:rPr>
            <w:t>8.3 对评标委员会成员的纪律要求</w:t>
          </w:r>
          <w:r>
            <w:rPr>
              <w:color w:val="auto"/>
            </w:rPr>
            <w:tab/>
          </w:r>
          <w:r>
            <w:rPr>
              <w:color w:val="auto"/>
            </w:rPr>
            <w:fldChar w:fldCharType="begin"/>
          </w:r>
          <w:r>
            <w:rPr>
              <w:color w:val="auto"/>
            </w:rPr>
            <w:instrText xml:space="preserve"> PAGEREF _Toc19123 \h </w:instrText>
          </w:r>
          <w:r>
            <w:rPr>
              <w:color w:val="auto"/>
            </w:rPr>
            <w:fldChar w:fldCharType="separate"/>
          </w:r>
          <w:r>
            <w:rPr>
              <w:color w:val="auto"/>
            </w:rPr>
            <w:t>22</w:t>
          </w:r>
          <w:r>
            <w:rPr>
              <w:color w:val="auto"/>
            </w:rPr>
            <w:fldChar w:fldCharType="end"/>
          </w:r>
          <w:r>
            <w:rPr>
              <w:color w:val="auto"/>
            </w:rPr>
            <w:fldChar w:fldCharType="end"/>
          </w:r>
        </w:p>
        <w:p w14:paraId="27AEC1EA">
          <w:pPr>
            <w:pStyle w:val="20"/>
            <w:tabs>
              <w:tab w:val="right" w:leader="dot" w:pos="9469"/>
            </w:tabs>
            <w:ind w:left="840"/>
            <w:rPr>
              <w:color w:val="auto"/>
            </w:rPr>
          </w:pPr>
          <w:r>
            <w:rPr>
              <w:color w:val="auto"/>
            </w:rPr>
            <w:fldChar w:fldCharType="begin"/>
          </w:r>
          <w:r>
            <w:rPr>
              <w:color w:val="auto"/>
            </w:rPr>
            <w:instrText xml:space="preserve"> HYPERLINK \l "_Toc17181" </w:instrText>
          </w:r>
          <w:r>
            <w:rPr>
              <w:color w:val="auto"/>
            </w:rPr>
            <w:fldChar w:fldCharType="separate"/>
          </w:r>
          <w:r>
            <w:rPr>
              <w:rFonts w:asciiTheme="minorEastAsia" w:hAnsiTheme="minorEastAsia" w:eastAsiaTheme="minorEastAsia"/>
              <w:color w:val="auto"/>
              <w:szCs w:val="21"/>
            </w:rPr>
            <w:t>8.4 对与评标活动有关的工作人员的纪律要求</w:t>
          </w:r>
          <w:r>
            <w:rPr>
              <w:color w:val="auto"/>
            </w:rPr>
            <w:tab/>
          </w:r>
          <w:r>
            <w:rPr>
              <w:color w:val="auto"/>
            </w:rPr>
            <w:fldChar w:fldCharType="begin"/>
          </w:r>
          <w:r>
            <w:rPr>
              <w:color w:val="auto"/>
            </w:rPr>
            <w:instrText xml:space="preserve"> PAGEREF _Toc17181 \h </w:instrText>
          </w:r>
          <w:r>
            <w:rPr>
              <w:color w:val="auto"/>
            </w:rPr>
            <w:fldChar w:fldCharType="separate"/>
          </w:r>
          <w:r>
            <w:rPr>
              <w:color w:val="auto"/>
            </w:rPr>
            <w:t>22</w:t>
          </w:r>
          <w:r>
            <w:rPr>
              <w:color w:val="auto"/>
            </w:rPr>
            <w:fldChar w:fldCharType="end"/>
          </w:r>
          <w:r>
            <w:rPr>
              <w:color w:val="auto"/>
            </w:rPr>
            <w:fldChar w:fldCharType="end"/>
          </w:r>
        </w:p>
        <w:p w14:paraId="7651FA5B">
          <w:pPr>
            <w:pStyle w:val="20"/>
            <w:tabs>
              <w:tab w:val="right" w:leader="dot" w:pos="9469"/>
            </w:tabs>
            <w:ind w:left="840"/>
            <w:rPr>
              <w:color w:val="auto"/>
            </w:rPr>
          </w:pPr>
          <w:r>
            <w:rPr>
              <w:color w:val="auto"/>
            </w:rPr>
            <w:fldChar w:fldCharType="begin"/>
          </w:r>
          <w:r>
            <w:rPr>
              <w:color w:val="auto"/>
            </w:rPr>
            <w:instrText xml:space="preserve"> HYPERLINK \l "_Toc7294" </w:instrText>
          </w:r>
          <w:r>
            <w:rPr>
              <w:color w:val="auto"/>
            </w:rPr>
            <w:fldChar w:fldCharType="separate"/>
          </w:r>
          <w:r>
            <w:rPr>
              <w:rFonts w:asciiTheme="minorEastAsia" w:hAnsiTheme="minorEastAsia" w:eastAsiaTheme="minorEastAsia"/>
              <w:color w:val="auto"/>
              <w:szCs w:val="21"/>
            </w:rPr>
            <w:t>8.5 投诉</w:t>
          </w:r>
          <w:r>
            <w:rPr>
              <w:color w:val="auto"/>
            </w:rPr>
            <w:tab/>
          </w:r>
          <w:r>
            <w:rPr>
              <w:color w:val="auto"/>
            </w:rPr>
            <w:fldChar w:fldCharType="begin"/>
          </w:r>
          <w:r>
            <w:rPr>
              <w:color w:val="auto"/>
            </w:rPr>
            <w:instrText xml:space="preserve"> PAGEREF _Toc7294 \h </w:instrText>
          </w:r>
          <w:r>
            <w:rPr>
              <w:color w:val="auto"/>
            </w:rPr>
            <w:fldChar w:fldCharType="separate"/>
          </w:r>
          <w:r>
            <w:rPr>
              <w:color w:val="auto"/>
            </w:rPr>
            <w:t>22</w:t>
          </w:r>
          <w:r>
            <w:rPr>
              <w:color w:val="auto"/>
            </w:rPr>
            <w:fldChar w:fldCharType="end"/>
          </w:r>
          <w:r>
            <w:rPr>
              <w:color w:val="auto"/>
            </w:rPr>
            <w:fldChar w:fldCharType="end"/>
          </w:r>
        </w:p>
        <w:p w14:paraId="41FE78C8">
          <w:pPr>
            <w:pStyle w:val="33"/>
            <w:tabs>
              <w:tab w:val="right" w:leader="dot" w:pos="9469"/>
            </w:tabs>
            <w:ind w:left="420"/>
            <w:rPr>
              <w:color w:val="auto"/>
            </w:rPr>
          </w:pPr>
          <w:r>
            <w:rPr>
              <w:color w:val="auto"/>
            </w:rPr>
            <w:fldChar w:fldCharType="begin"/>
          </w:r>
          <w:r>
            <w:rPr>
              <w:color w:val="auto"/>
            </w:rPr>
            <w:instrText xml:space="preserve"> HYPERLINK \l "_Toc12524" </w:instrText>
          </w:r>
          <w:r>
            <w:rPr>
              <w:color w:val="auto"/>
            </w:rPr>
            <w:fldChar w:fldCharType="separate"/>
          </w:r>
          <w:r>
            <w:rPr>
              <w:rFonts w:hint="eastAsia" w:asciiTheme="minorEastAsia" w:hAnsiTheme="minorEastAsia" w:eastAsiaTheme="minorEastAsia"/>
              <w:color w:val="auto"/>
              <w:szCs w:val="21"/>
            </w:rPr>
            <w:t>9</w:t>
          </w:r>
          <w:r>
            <w:rPr>
              <w:rFonts w:asciiTheme="minorEastAsia" w:hAnsiTheme="minorEastAsia" w:eastAsiaTheme="minorEastAsia"/>
              <w:color w:val="auto"/>
              <w:szCs w:val="21"/>
            </w:rPr>
            <w:t>. 需要补充的其他内容</w:t>
          </w:r>
          <w:r>
            <w:rPr>
              <w:color w:val="auto"/>
            </w:rPr>
            <w:tab/>
          </w:r>
          <w:r>
            <w:rPr>
              <w:color w:val="auto"/>
            </w:rPr>
            <w:fldChar w:fldCharType="begin"/>
          </w:r>
          <w:r>
            <w:rPr>
              <w:color w:val="auto"/>
            </w:rPr>
            <w:instrText xml:space="preserve"> PAGEREF _Toc12524 \h </w:instrText>
          </w:r>
          <w:r>
            <w:rPr>
              <w:color w:val="auto"/>
            </w:rPr>
            <w:fldChar w:fldCharType="separate"/>
          </w:r>
          <w:r>
            <w:rPr>
              <w:color w:val="auto"/>
            </w:rPr>
            <w:t>22</w:t>
          </w:r>
          <w:r>
            <w:rPr>
              <w:color w:val="auto"/>
            </w:rPr>
            <w:fldChar w:fldCharType="end"/>
          </w:r>
          <w:r>
            <w:rPr>
              <w:color w:val="auto"/>
            </w:rPr>
            <w:fldChar w:fldCharType="end"/>
          </w:r>
        </w:p>
        <w:p w14:paraId="5A6C7715">
          <w:pPr>
            <w:pStyle w:val="28"/>
            <w:tabs>
              <w:tab w:val="right" w:leader="dot" w:pos="9469"/>
            </w:tabs>
            <w:rPr>
              <w:color w:val="auto"/>
            </w:rPr>
          </w:pPr>
          <w:r>
            <w:rPr>
              <w:color w:val="auto"/>
            </w:rPr>
            <w:fldChar w:fldCharType="begin"/>
          </w:r>
          <w:r>
            <w:rPr>
              <w:color w:val="auto"/>
            </w:rPr>
            <w:instrText xml:space="preserve"> HYPERLINK \l "_Toc6300" </w:instrText>
          </w:r>
          <w:r>
            <w:rPr>
              <w:color w:val="auto"/>
            </w:rPr>
            <w:fldChar w:fldCharType="separate"/>
          </w:r>
          <w:r>
            <w:rPr>
              <w:rFonts w:asciiTheme="minorEastAsia" w:hAnsiTheme="minorEastAsia" w:eastAsiaTheme="minorEastAsia"/>
              <w:color w:val="auto"/>
              <w:szCs w:val="21"/>
            </w:rPr>
            <w:t xml:space="preserve">第三章 </w:t>
          </w:r>
          <w:r>
            <w:rPr>
              <w:rFonts w:hint="eastAsia" w:asciiTheme="minorEastAsia" w:hAnsiTheme="minorEastAsia" w:eastAsiaTheme="minorEastAsia"/>
              <w:color w:val="auto"/>
              <w:szCs w:val="21"/>
            </w:rPr>
            <w:t xml:space="preserve"> </w:t>
          </w:r>
          <w:r>
            <w:rPr>
              <w:rFonts w:asciiTheme="minorEastAsia" w:hAnsiTheme="minorEastAsia" w:eastAsiaTheme="minorEastAsia"/>
              <w:color w:val="auto"/>
              <w:szCs w:val="21"/>
            </w:rPr>
            <w:t>评标办法（综合评估法）</w:t>
          </w:r>
          <w:r>
            <w:rPr>
              <w:color w:val="auto"/>
            </w:rPr>
            <w:tab/>
          </w:r>
          <w:r>
            <w:rPr>
              <w:color w:val="auto"/>
            </w:rPr>
            <w:fldChar w:fldCharType="begin"/>
          </w:r>
          <w:r>
            <w:rPr>
              <w:color w:val="auto"/>
            </w:rPr>
            <w:instrText xml:space="preserve"> PAGEREF _Toc6300 \h </w:instrText>
          </w:r>
          <w:r>
            <w:rPr>
              <w:color w:val="auto"/>
            </w:rPr>
            <w:fldChar w:fldCharType="separate"/>
          </w:r>
          <w:r>
            <w:rPr>
              <w:color w:val="auto"/>
            </w:rPr>
            <w:t>23</w:t>
          </w:r>
          <w:r>
            <w:rPr>
              <w:color w:val="auto"/>
            </w:rPr>
            <w:fldChar w:fldCharType="end"/>
          </w:r>
          <w:r>
            <w:rPr>
              <w:color w:val="auto"/>
            </w:rPr>
            <w:fldChar w:fldCharType="end"/>
          </w:r>
        </w:p>
        <w:p w14:paraId="0E214616">
          <w:pPr>
            <w:pStyle w:val="28"/>
            <w:tabs>
              <w:tab w:val="right" w:leader="dot" w:pos="9469"/>
            </w:tabs>
            <w:rPr>
              <w:color w:val="auto"/>
            </w:rPr>
          </w:pPr>
          <w:r>
            <w:rPr>
              <w:color w:val="auto"/>
            </w:rPr>
            <w:fldChar w:fldCharType="begin"/>
          </w:r>
          <w:r>
            <w:rPr>
              <w:color w:val="auto"/>
            </w:rPr>
            <w:instrText xml:space="preserve"> HYPERLINK \l "_Toc7244" </w:instrText>
          </w:r>
          <w:r>
            <w:rPr>
              <w:color w:val="auto"/>
            </w:rPr>
            <w:fldChar w:fldCharType="separate"/>
          </w:r>
          <w:r>
            <w:rPr>
              <w:rFonts w:hint="eastAsia" w:ascii="宋体" w:hAnsi="宋体"/>
              <w:color w:val="auto"/>
              <w:kern w:val="0"/>
              <w:szCs w:val="21"/>
            </w:rPr>
            <w:t>第四章  合同条款及格式</w:t>
          </w:r>
          <w:r>
            <w:rPr>
              <w:color w:val="auto"/>
            </w:rPr>
            <w:tab/>
          </w:r>
          <w:r>
            <w:rPr>
              <w:color w:val="auto"/>
            </w:rPr>
            <w:fldChar w:fldCharType="begin"/>
          </w:r>
          <w:r>
            <w:rPr>
              <w:color w:val="auto"/>
            </w:rPr>
            <w:instrText xml:space="preserve"> PAGEREF _Toc7244 \h </w:instrText>
          </w:r>
          <w:r>
            <w:rPr>
              <w:color w:val="auto"/>
            </w:rPr>
            <w:fldChar w:fldCharType="separate"/>
          </w:r>
          <w:r>
            <w:rPr>
              <w:color w:val="auto"/>
            </w:rPr>
            <w:t>31</w:t>
          </w:r>
          <w:r>
            <w:rPr>
              <w:color w:val="auto"/>
            </w:rPr>
            <w:fldChar w:fldCharType="end"/>
          </w:r>
          <w:r>
            <w:rPr>
              <w:color w:val="auto"/>
            </w:rPr>
            <w:fldChar w:fldCharType="end"/>
          </w:r>
        </w:p>
        <w:p w14:paraId="2D8A6B39">
          <w:pPr>
            <w:pStyle w:val="28"/>
            <w:tabs>
              <w:tab w:val="right" w:leader="dot" w:pos="9469"/>
            </w:tabs>
            <w:rPr>
              <w:color w:val="auto"/>
            </w:rPr>
          </w:pPr>
          <w:r>
            <w:rPr>
              <w:color w:val="auto"/>
            </w:rPr>
            <w:fldChar w:fldCharType="begin"/>
          </w:r>
          <w:r>
            <w:rPr>
              <w:color w:val="auto"/>
            </w:rPr>
            <w:instrText xml:space="preserve"> HYPERLINK \l "_Toc20225" </w:instrText>
          </w:r>
          <w:r>
            <w:rPr>
              <w:color w:val="auto"/>
            </w:rPr>
            <w:fldChar w:fldCharType="separate"/>
          </w:r>
          <w:r>
            <w:rPr>
              <w:rFonts w:hint="eastAsia" w:ascii="宋体" w:hAnsi="宋体"/>
              <w:color w:val="auto"/>
              <w:szCs w:val="21"/>
            </w:rPr>
            <w:t>第五章  竞标文件格式</w:t>
          </w:r>
          <w:r>
            <w:rPr>
              <w:color w:val="auto"/>
            </w:rPr>
            <w:tab/>
          </w:r>
          <w:r>
            <w:rPr>
              <w:color w:val="auto"/>
            </w:rPr>
            <w:fldChar w:fldCharType="begin"/>
          </w:r>
          <w:r>
            <w:rPr>
              <w:color w:val="auto"/>
            </w:rPr>
            <w:instrText xml:space="preserve"> PAGEREF _Toc20225 \h </w:instrText>
          </w:r>
          <w:r>
            <w:rPr>
              <w:color w:val="auto"/>
            </w:rPr>
            <w:fldChar w:fldCharType="separate"/>
          </w:r>
          <w:r>
            <w:rPr>
              <w:color w:val="auto"/>
            </w:rPr>
            <w:t>44</w:t>
          </w:r>
          <w:r>
            <w:rPr>
              <w:color w:val="auto"/>
            </w:rPr>
            <w:fldChar w:fldCharType="end"/>
          </w:r>
          <w:r>
            <w:rPr>
              <w:color w:val="auto"/>
            </w:rPr>
            <w:fldChar w:fldCharType="end"/>
          </w:r>
        </w:p>
        <w:p w14:paraId="32402A26">
          <w:pPr>
            <w:pStyle w:val="33"/>
            <w:tabs>
              <w:tab w:val="right" w:leader="dot" w:pos="9469"/>
            </w:tabs>
            <w:ind w:left="420"/>
            <w:rPr>
              <w:color w:val="auto"/>
            </w:rPr>
          </w:pPr>
          <w:r>
            <w:rPr>
              <w:color w:val="auto"/>
            </w:rPr>
            <w:fldChar w:fldCharType="begin"/>
          </w:r>
          <w:r>
            <w:rPr>
              <w:color w:val="auto"/>
            </w:rPr>
            <w:instrText xml:space="preserve"> HYPERLINK \l "_Toc26240" </w:instrText>
          </w:r>
          <w:r>
            <w:rPr>
              <w:color w:val="auto"/>
            </w:rPr>
            <w:fldChar w:fldCharType="separate"/>
          </w:r>
          <w:r>
            <w:rPr>
              <w:rFonts w:hint="eastAsia" w:asciiTheme="minorEastAsia" w:hAnsiTheme="minorEastAsia" w:eastAsiaTheme="minorEastAsia" w:cstheme="minorEastAsia"/>
              <w:color w:val="auto"/>
              <w:szCs w:val="21"/>
            </w:rPr>
            <w:t>目  录</w:t>
          </w:r>
          <w:r>
            <w:rPr>
              <w:color w:val="auto"/>
            </w:rPr>
            <w:tab/>
          </w:r>
          <w:r>
            <w:rPr>
              <w:color w:val="auto"/>
            </w:rPr>
            <w:fldChar w:fldCharType="begin"/>
          </w:r>
          <w:r>
            <w:rPr>
              <w:color w:val="auto"/>
            </w:rPr>
            <w:instrText xml:space="preserve"> PAGEREF _Toc26240 \h </w:instrText>
          </w:r>
          <w:r>
            <w:rPr>
              <w:color w:val="auto"/>
            </w:rPr>
            <w:fldChar w:fldCharType="separate"/>
          </w:r>
          <w:r>
            <w:rPr>
              <w:color w:val="auto"/>
            </w:rPr>
            <w:t>46</w:t>
          </w:r>
          <w:r>
            <w:rPr>
              <w:color w:val="auto"/>
            </w:rPr>
            <w:fldChar w:fldCharType="end"/>
          </w:r>
          <w:r>
            <w:rPr>
              <w:color w:val="auto"/>
            </w:rPr>
            <w:fldChar w:fldCharType="end"/>
          </w:r>
        </w:p>
        <w:p w14:paraId="629DAF5F">
          <w:pPr>
            <w:pStyle w:val="20"/>
            <w:tabs>
              <w:tab w:val="right" w:leader="dot" w:pos="9469"/>
            </w:tabs>
            <w:ind w:left="840"/>
            <w:rPr>
              <w:color w:val="auto"/>
            </w:rPr>
          </w:pPr>
          <w:r>
            <w:rPr>
              <w:color w:val="auto"/>
            </w:rPr>
            <w:fldChar w:fldCharType="begin"/>
          </w:r>
          <w:r>
            <w:rPr>
              <w:color w:val="auto"/>
            </w:rPr>
            <w:instrText xml:space="preserve"> HYPERLINK \l "_Toc3346" </w:instrText>
          </w:r>
          <w:r>
            <w:rPr>
              <w:color w:val="auto"/>
            </w:rPr>
            <w:fldChar w:fldCharType="separate"/>
          </w:r>
          <w:r>
            <w:rPr>
              <w:rFonts w:hint="eastAsia"/>
              <w:color w:val="auto"/>
              <w:szCs w:val="36"/>
            </w:rPr>
            <w:t>（一）竞</w:t>
          </w:r>
          <w:r>
            <w:rPr>
              <w:color w:val="auto"/>
              <w:szCs w:val="36"/>
            </w:rPr>
            <w:t>标函</w:t>
          </w:r>
          <w:r>
            <w:rPr>
              <w:color w:val="auto"/>
            </w:rPr>
            <w:tab/>
          </w:r>
          <w:r>
            <w:rPr>
              <w:color w:val="auto"/>
            </w:rPr>
            <w:fldChar w:fldCharType="begin"/>
          </w:r>
          <w:r>
            <w:rPr>
              <w:color w:val="auto"/>
            </w:rPr>
            <w:instrText xml:space="preserve"> PAGEREF _Toc3346 \h </w:instrText>
          </w:r>
          <w:r>
            <w:rPr>
              <w:color w:val="auto"/>
            </w:rPr>
            <w:fldChar w:fldCharType="separate"/>
          </w:r>
          <w:r>
            <w:rPr>
              <w:color w:val="auto"/>
            </w:rPr>
            <w:t>47</w:t>
          </w:r>
          <w:r>
            <w:rPr>
              <w:color w:val="auto"/>
            </w:rPr>
            <w:fldChar w:fldCharType="end"/>
          </w:r>
          <w:r>
            <w:rPr>
              <w:color w:val="auto"/>
            </w:rPr>
            <w:fldChar w:fldCharType="end"/>
          </w:r>
        </w:p>
        <w:p w14:paraId="565DB8DC">
          <w:pPr>
            <w:pStyle w:val="20"/>
            <w:tabs>
              <w:tab w:val="right" w:leader="dot" w:pos="9469"/>
            </w:tabs>
            <w:ind w:left="840"/>
            <w:rPr>
              <w:color w:val="auto"/>
            </w:rPr>
          </w:pPr>
          <w:r>
            <w:rPr>
              <w:color w:val="auto"/>
            </w:rPr>
            <w:fldChar w:fldCharType="begin"/>
          </w:r>
          <w:r>
            <w:rPr>
              <w:color w:val="auto"/>
            </w:rPr>
            <w:instrText xml:space="preserve"> HYPERLINK \l "_Toc28171" </w:instrText>
          </w:r>
          <w:r>
            <w:rPr>
              <w:color w:val="auto"/>
            </w:rPr>
            <w:fldChar w:fldCharType="separate"/>
          </w:r>
          <w:r>
            <w:rPr>
              <w:rFonts w:hint="eastAsia"/>
              <w:color w:val="auto"/>
              <w:szCs w:val="36"/>
            </w:rPr>
            <w:t>（二）法定代表人身份证明或附有法定代表人身份证明的授权委托书</w:t>
          </w:r>
          <w:r>
            <w:rPr>
              <w:color w:val="auto"/>
            </w:rPr>
            <w:tab/>
          </w:r>
          <w:r>
            <w:rPr>
              <w:color w:val="auto"/>
            </w:rPr>
            <w:fldChar w:fldCharType="begin"/>
          </w:r>
          <w:r>
            <w:rPr>
              <w:color w:val="auto"/>
            </w:rPr>
            <w:instrText xml:space="preserve"> PAGEREF _Toc28171 \h </w:instrText>
          </w:r>
          <w:r>
            <w:rPr>
              <w:color w:val="auto"/>
            </w:rPr>
            <w:fldChar w:fldCharType="separate"/>
          </w:r>
          <w:r>
            <w:rPr>
              <w:color w:val="auto"/>
            </w:rPr>
            <w:t>48</w:t>
          </w:r>
          <w:r>
            <w:rPr>
              <w:color w:val="auto"/>
            </w:rPr>
            <w:fldChar w:fldCharType="end"/>
          </w:r>
          <w:r>
            <w:rPr>
              <w:color w:val="auto"/>
            </w:rPr>
            <w:fldChar w:fldCharType="end"/>
          </w:r>
        </w:p>
        <w:p w14:paraId="6489B898">
          <w:pPr>
            <w:pStyle w:val="20"/>
            <w:tabs>
              <w:tab w:val="right" w:leader="dot" w:pos="9469"/>
            </w:tabs>
            <w:ind w:left="840"/>
            <w:rPr>
              <w:color w:val="auto"/>
            </w:rPr>
          </w:pPr>
          <w:r>
            <w:rPr>
              <w:color w:val="auto"/>
            </w:rPr>
            <w:fldChar w:fldCharType="begin"/>
          </w:r>
          <w:r>
            <w:rPr>
              <w:color w:val="auto"/>
            </w:rPr>
            <w:instrText xml:space="preserve"> HYPERLINK \l "_Toc6017" </w:instrText>
          </w:r>
          <w:r>
            <w:rPr>
              <w:color w:val="auto"/>
            </w:rPr>
            <w:fldChar w:fldCharType="separate"/>
          </w:r>
          <w:r>
            <w:rPr>
              <w:rFonts w:hint="eastAsia" w:asciiTheme="minorEastAsia" w:hAnsiTheme="minorEastAsia" w:eastAsiaTheme="minorEastAsia"/>
              <w:color w:val="auto"/>
              <w:szCs w:val="21"/>
            </w:rPr>
            <w:t>1.</w:t>
          </w:r>
          <w:r>
            <w:rPr>
              <w:rFonts w:asciiTheme="minorEastAsia" w:hAnsiTheme="minorEastAsia" w:eastAsiaTheme="minorEastAsia"/>
              <w:color w:val="auto"/>
              <w:szCs w:val="21"/>
            </w:rPr>
            <w:t>法定代表人身份证明</w:t>
          </w:r>
          <w:r>
            <w:rPr>
              <w:color w:val="auto"/>
            </w:rPr>
            <w:tab/>
          </w:r>
          <w:r>
            <w:rPr>
              <w:color w:val="auto"/>
            </w:rPr>
            <w:fldChar w:fldCharType="begin"/>
          </w:r>
          <w:r>
            <w:rPr>
              <w:color w:val="auto"/>
            </w:rPr>
            <w:instrText xml:space="preserve"> PAGEREF _Toc6017 \h </w:instrText>
          </w:r>
          <w:r>
            <w:rPr>
              <w:color w:val="auto"/>
            </w:rPr>
            <w:fldChar w:fldCharType="separate"/>
          </w:r>
          <w:r>
            <w:rPr>
              <w:color w:val="auto"/>
            </w:rPr>
            <w:t>48</w:t>
          </w:r>
          <w:r>
            <w:rPr>
              <w:color w:val="auto"/>
            </w:rPr>
            <w:fldChar w:fldCharType="end"/>
          </w:r>
          <w:r>
            <w:rPr>
              <w:color w:val="auto"/>
            </w:rPr>
            <w:fldChar w:fldCharType="end"/>
          </w:r>
        </w:p>
        <w:p w14:paraId="127B95E9">
          <w:pPr>
            <w:pStyle w:val="20"/>
            <w:tabs>
              <w:tab w:val="right" w:leader="dot" w:pos="9469"/>
            </w:tabs>
            <w:ind w:left="840"/>
            <w:rPr>
              <w:color w:val="auto"/>
            </w:rPr>
          </w:pPr>
          <w:r>
            <w:rPr>
              <w:color w:val="auto"/>
            </w:rPr>
            <w:fldChar w:fldCharType="begin"/>
          </w:r>
          <w:r>
            <w:rPr>
              <w:color w:val="auto"/>
            </w:rPr>
            <w:instrText xml:space="preserve"> HYPERLINK \l "_Toc5806" </w:instrText>
          </w:r>
          <w:r>
            <w:rPr>
              <w:color w:val="auto"/>
            </w:rPr>
            <w:fldChar w:fldCharType="separate"/>
          </w:r>
          <w:r>
            <w:rPr>
              <w:rFonts w:hint="eastAsia" w:asciiTheme="minorEastAsia" w:hAnsiTheme="minorEastAsia" w:eastAsiaTheme="minorEastAsia"/>
              <w:color w:val="auto"/>
              <w:szCs w:val="21"/>
            </w:rPr>
            <w:t>2.</w:t>
          </w:r>
          <w:r>
            <w:rPr>
              <w:rFonts w:asciiTheme="minorEastAsia" w:hAnsiTheme="minorEastAsia" w:eastAsiaTheme="minorEastAsia"/>
              <w:color w:val="auto"/>
              <w:szCs w:val="21"/>
            </w:rPr>
            <w:t>授权委托书</w:t>
          </w:r>
          <w:r>
            <w:rPr>
              <w:color w:val="auto"/>
            </w:rPr>
            <w:tab/>
          </w:r>
          <w:r>
            <w:rPr>
              <w:color w:val="auto"/>
            </w:rPr>
            <w:fldChar w:fldCharType="begin"/>
          </w:r>
          <w:r>
            <w:rPr>
              <w:color w:val="auto"/>
            </w:rPr>
            <w:instrText xml:space="preserve"> PAGEREF _Toc5806 \h </w:instrText>
          </w:r>
          <w:r>
            <w:rPr>
              <w:color w:val="auto"/>
            </w:rPr>
            <w:fldChar w:fldCharType="separate"/>
          </w:r>
          <w:r>
            <w:rPr>
              <w:color w:val="auto"/>
            </w:rPr>
            <w:t>49</w:t>
          </w:r>
          <w:r>
            <w:rPr>
              <w:color w:val="auto"/>
            </w:rPr>
            <w:fldChar w:fldCharType="end"/>
          </w:r>
          <w:r>
            <w:rPr>
              <w:color w:val="auto"/>
            </w:rPr>
            <w:fldChar w:fldCharType="end"/>
          </w:r>
        </w:p>
        <w:p w14:paraId="2A32B455">
          <w:pPr>
            <w:pStyle w:val="33"/>
            <w:tabs>
              <w:tab w:val="right" w:leader="dot" w:pos="9469"/>
            </w:tabs>
            <w:ind w:left="420"/>
            <w:rPr>
              <w:color w:val="auto"/>
            </w:rPr>
          </w:pPr>
          <w:r>
            <w:rPr>
              <w:color w:val="auto"/>
            </w:rPr>
            <w:fldChar w:fldCharType="begin"/>
          </w:r>
          <w:r>
            <w:rPr>
              <w:color w:val="auto"/>
            </w:rPr>
            <w:instrText xml:space="preserve"> HYPERLINK \l "_Toc17514" </w:instrText>
          </w:r>
          <w:r>
            <w:rPr>
              <w:color w:val="auto"/>
            </w:rPr>
            <w:fldChar w:fldCharType="separate"/>
          </w:r>
          <w:r>
            <w:rPr>
              <w:rFonts w:hint="eastAsia" w:asciiTheme="minorEastAsia" w:hAnsiTheme="minorEastAsia" w:eastAsiaTheme="minorEastAsia"/>
              <w:color w:val="auto"/>
              <w:szCs w:val="21"/>
            </w:rPr>
            <w:t>（三）业绩证明材料</w:t>
          </w:r>
          <w:r>
            <w:rPr>
              <w:color w:val="auto"/>
            </w:rPr>
            <w:tab/>
          </w:r>
          <w:r>
            <w:rPr>
              <w:color w:val="auto"/>
            </w:rPr>
            <w:fldChar w:fldCharType="begin"/>
          </w:r>
          <w:r>
            <w:rPr>
              <w:color w:val="auto"/>
            </w:rPr>
            <w:instrText xml:space="preserve"> PAGEREF _Toc17514 \h </w:instrText>
          </w:r>
          <w:r>
            <w:rPr>
              <w:color w:val="auto"/>
            </w:rPr>
            <w:fldChar w:fldCharType="separate"/>
          </w:r>
          <w:r>
            <w:rPr>
              <w:color w:val="auto"/>
            </w:rPr>
            <w:t>50</w:t>
          </w:r>
          <w:r>
            <w:rPr>
              <w:color w:val="auto"/>
            </w:rPr>
            <w:fldChar w:fldCharType="end"/>
          </w:r>
          <w:r>
            <w:rPr>
              <w:color w:val="auto"/>
            </w:rPr>
            <w:fldChar w:fldCharType="end"/>
          </w:r>
        </w:p>
        <w:p w14:paraId="763CEC8E">
          <w:pPr>
            <w:pStyle w:val="33"/>
            <w:tabs>
              <w:tab w:val="right" w:leader="dot" w:pos="9469"/>
            </w:tabs>
            <w:ind w:left="420"/>
            <w:rPr>
              <w:color w:val="auto"/>
            </w:rPr>
          </w:pPr>
          <w:r>
            <w:rPr>
              <w:color w:val="auto"/>
            </w:rPr>
            <w:fldChar w:fldCharType="begin"/>
          </w:r>
          <w:r>
            <w:rPr>
              <w:color w:val="auto"/>
            </w:rPr>
            <w:instrText xml:space="preserve"> HYPERLINK \l "_Toc8093" </w:instrText>
          </w:r>
          <w:r>
            <w:rPr>
              <w:color w:val="auto"/>
            </w:rPr>
            <w:fldChar w:fldCharType="separate"/>
          </w:r>
          <w:r>
            <w:rPr>
              <w:rFonts w:hint="eastAsia" w:asciiTheme="minorEastAsia" w:hAnsiTheme="minorEastAsia" w:eastAsiaTheme="minorEastAsia"/>
              <w:bCs/>
              <w:color w:val="auto"/>
              <w:szCs w:val="21"/>
            </w:rPr>
            <w:t>（四）基本情况表</w:t>
          </w:r>
          <w:r>
            <w:rPr>
              <w:color w:val="auto"/>
            </w:rPr>
            <w:tab/>
          </w:r>
          <w:r>
            <w:rPr>
              <w:color w:val="auto"/>
            </w:rPr>
            <w:fldChar w:fldCharType="begin"/>
          </w:r>
          <w:r>
            <w:rPr>
              <w:color w:val="auto"/>
            </w:rPr>
            <w:instrText xml:space="preserve"> PAGEREF _Toc8093 \h </w:instrText>
          </w:r>
          <w:r>
            <w:rPr>
              <w:color w:val="auto"/>
            </w:rPr>
            <w:fldChar w:fldCharType="separate"/>
          </w:r>
          <w:r>
            <w:rPr>
              <w:color w:val="auto"/>
            </w:rPr>
            <w:t>51</w:t>
          </w:r>
          <w:r>
            <w:rPr>
              <w:color w:val="auto"/>
            </w:rPr>
            <w:fldChar w:fldCharType="end"/>
          </w:r>
          <w:r>
            <w:rPr>
              <w:color w:val="auto"/>
            </w:rPr>
            <w:fldChar w:fldCharType="end"/>
          </w:r>
        </w:p>
        <w:p w14:paraId="1A4BEEF6">
          <w:pPr>
            <w:pStyle w:val="33"/>
            <w:tabs>
              <w:tab w:val="right" w:leader="dot" w:pos="9469"/>
            </w:tabs>
            <w:ind w:left="420"/>
            <w:rPr>
              <w:color w:val="auto"/>
            </w:rPr>
          </w:pPr>
          <w:r>
            <w:rPr>
              <w:color w:val="auto"/>
            </w:rPr>
            <w:fldChar w:fldCharType="begin"/>
          </w:r>
          <w:r>
            <w:rPr>
              <w:color w:val="auto"/>
            </w:rPr>
            <w:instrText xml:space="preserve"> HYPERLINK \l "_Toc28230" </w:instrText>
          </w:r>
          <w:r>
            <w:rPr>
              <w:color w:val="auto"/>
            </w:rPr>
            <w:fldChar w:fldCharType="separate"/>
          </w:r>
          <w:r>
            <w:rPr>
              <w:rFonts w:hint="eastAsia" w:asciiTheme="minorEastAsia" w:hAnsiTheme="minorEastAsia" w:eastAsiaTheme="minorEastAsia"/>
              <w:bCs/>
              <w:color w:val="auto"/>
              <w:szCs w:val="21"/>
            </w:rPr>
            <w:t>（五）拟委任的跟踪审计项目人员汇总表</w:t>
          </w:r>
          <w:r>
            <w:rPr>
              <w:color w:val="auto"/>
            </w:rPr>
            <w:tab/>
          </w:r>
          <w:r>
            <w:rPr>
              <w:color w:val="auto"/>
            </w:rPr>
            <w:fldChar w:fldCharType="begin"/>
          </w:r>
          <w:r>
            <w:rPr>
              <w:color w:val="auto"/>
            </w:rPr>
            <w:instrText xml:space="preserve"> PAGEREF _Toc28230 \h </w:instrText>
          </w:r>
          <w:r>
            <w:rPr>
              <w:color w:val="auto"/>
            </w:rPr>
            <w:fldChar w:fldCharType="separate"/>
          </w:r>
          <w:r>
            <w:rPr>
              <w:color w:val="auto"/>
            </w:rPr>
            <w:t>52</w:t>
          </w:r>
          <w:r>
            <w:rPr>
              <w:color w:val="auto"/>
            </w:rPr>
            <w:fldChar w:fldCharType="end"/>
          </w:r>
          <w:r>
            <w:rPr>
              <w:color w:val="auto"/>
            </w:rPr>
            <w:fldChar w:fldCharType="end"/>
          </w:r>
        </w:p>
        <w:p w14:paraId="6E1B1214">
          <w:pPr>
            <w:pStyle w:val="33"/>
            <w:tabs>
              <w:tab w:val="right" w:leader="dot" w:pos="9469"/>
            </w:tabs>
            <w:ind w:left="420"/>
            <w:rPr>
              <w:bCs/>
              <w:color w:val="auto"/>
              <w:lang w:val="zh-CN"/>
            </w:rPr>
          </w:pPr>
          <w:r>
            <w:rPr>
              <w:color w:val="auto"/>
            </w:rPr>
            <w:fldChar w:fldCharType="begin"/>
          </w:r>
          <w:r>
            <w:rPr>
              <w:color w:val="auto"/>
            </w:rPr>
            <w:instrText xml:space="preserve"> HYPERLINK \l "_Toc28230" </w:instrText>
          </w:r>
          <w:r>
            <w:rPr>
              <w:color w:val="auto"/>
            </w:rPr>
            <w:fldChar w:fldCharType="separate"/>
          </w:r>
          <w:r>
            <w:rPr>
              <w:rFonts w:hint="eastAsia" w:asciiTheme="minorEastAsia" w:hAnsiTheme="minorEastAsia" w:eastAsiaTheme="minorEastAsia"/>
              <w:bCs/>
              <w:color w:val="auto"/>
              <w:szCs w:val="21"/>
            </w:rPr>
            <w:t>（六）主要人员简历表</w:t>
          </w:r>
          <w:r>
            <w:rPr>
              <w:color w:val="auto"/>
            </w:rPr>
            <w:tab/>
          </w:r>
          <w:r>
            <w:rPr>
              <w:color w:val="auto"/>
            </w:rPr>
            <w:fldChar w:fldCharType="begin"/>
          </w:r>
          <w:r>
            <w:rPr>
              <w:color w:val="auto"/>
            </w:rPr>
            <w:instrText xml:space="preserve"> PAGEREF _Toc28230 \h </w:instrText>
          </w:r>
          <w:r>
            <w:rPr>
              <w:color w:val="auto"/>
            </w:rPr>
            <w:fldChar w:fldCharType="separate"/>
          </w:r>
          <w:r>
            <w:rPr>
              <w:color w:val="auto"/>
            </w:rPr>
            <w:t>52</w:t>
          </w:r>
          <w:r>
            <w:rPr>
              <w:color w:val="auto"/>
            </w:rPr>
            <w:fldChar w:fldCharType="end"/>
          </w:r>
          <w:r>
            <w:rPr>
              <w:color w:val="auto"/>
            </w:rPr>
            <w:fldChar w:fldCharType="end"/>
          </w:r>
        </w:p>
        <w:p w14:paraId="1F918ABE">
          <w:pPr>
            <w:pStyle w:val="33"/>
            <w:tabs>
              <w:tab w:val="right" w:leader="dot" w:pos="9469"/>
            </w:tabs>
            <w:ind w:left="420"/>
            <w:rPr>
              <w:color w:val="auto"/>
            </w:rPr>
          </w:pPr>
          <w:r>
            <w:rPr>
              <w:color w:val="auto"/>
            </w:rPr>
            <w:fldChar w:fldCharType="begin"/>
          </w:r>
          <w:r>
            <w:rPr>
              <w:color w:val="auto"/>
            </w:rPr>
            <w:instrText xml:space="preserve"> HYPERLINK \l "_Toc31027" </w:instrText>
          </w:r>
          <w:r>
            <w:rPr>
              <w:color w:val="auto"/>
            </w:rPr>
            <w:fldChar w:fldCharType="separate"/>
          </w:r>
          <w:r>
            <w:rPr>
              <w:rFonts w:hint="eastAsia" w:asciiTheme="minorEastAsia" w:hAnsiTheme="minorEastAsia" w:eastAsiaTheme="minorEastAsia"/>
              <w:bCs/>
              <w:color w:val="auto"/>
              <w:szCs w:val="21"/>
            </w:rPr>
            <w:t>（七）其他资料</w:t>
          </w:r>
          <w:r>
            <w:rPr>
              <w:color w:val="auto"/>
            </w:rPr>
            <w:tab/>
          </w:r>
          <w:r>
            <w:rPr>
              <w:color w:val="auto"/>
            </w:rPr>
            <w:fldChar w:fldCharType="begin"/>
          </w:r>
          <w:r>
            <w:rPr>
              <w:color w:val="auto"/>
            </w:rPr>
            <w:instrText xml:space="preserve"> PAGEREF _Toc31027 \h </w:instrText>
          </w:r>
          <w:r>
            <w:rPr>
              <w:color w:val="auto"/>
            </w:rPr>
            <w:fldChar w:fldCharType="separate"/>
          </w:r>
          <w:r>
            <w:rPr>
              <w:color w:val="auto"/>
            </w:rPr>
            <w:t>53</w:t>
          </w:r>
          <w:r>
            <w:rPr>
              <w:color w:val="auto"/>
            </w:rPr>
            <w:fldChar w:fldCharType="end"/>
          </w:r>
          <w:r>
            <w:rPr>
              <w:color w:val="auto"/>
            </w:rPr>
            <w:fldChar w:fldCharType="end"/>
          </w:r>
        </w:p>
        <w:p w14:paraId="2D847012">
          <w:pPr>
            <w:rPr>
              <w:color w:val="auto"/>
              <w:sz w:val="22"/>
              <w:szCs w:val="24"/>
            </w:rPr>
          </w:pPr>
          <w:r>
            <w:rPr>
              <w:bCs/>
              <w:color w:val="auto"/>
              <w:lang w:val="zh-CN"/>
            </w:rPr>
            <w:fldChar w:fldCharType="end"/>
          </w:r>
        </w:p>
      </w:sdtContent>
    </w:sdt>
    <w:p w14:paraId="4CCC1C3C">
      <w:pPr>
        <w:ind w:firstLine="1120"/>
        <w:rPr>
          <w:rFonts w:hint="eastAsia" w:ascii="宋体" w:hAnsi="宋体"/>
          <w:color w:val="auto"/>
          <w:sz w:val="56"/>
          <w:szCs w:val="56"/>
        </w:rPr>
      </w:pPr>
      <w:bookmarkStart w:id="8" w:name="_Toc57820540"/>
      <w:bookmarkStart w:id="9" w:name="_Toc509218690"/>
      <w:r>
        <w:rPr>
          <w:rFonts w:hint="eastAsia" w:ascii="宋体" w:hAnsi="宋体"/>
          <w:color w:val="auto"/>
          <w:sz w:val="56"/>
          <w:szCs w:val="56"/>
        </w:rPr>
        <w:br w:type="page"/>
      </w:r>
    </w:p>
    <w:bookmarkEnd w:id="8"/>
    <w:bookmarkEnd w:id="9"/>
    <w:p w14:paraId="4D63FE64">
      <w:pPr>
        <w:autoSpaceDE w:val="0"/>
        <w:autoSpaceDN w:val="0"/>
        <w:adjustRightInd w:val="0"/>
        <w:snapToGrid w:val="0"/>
        <w:ind w:firstLine="553"/>
        <w:jc w:val="center"/>
        <w:rPr>
          <w:rFonts w:hint="eastAsia" w:asciiTheme="minorEastAsia" w:hAnsiTheme="minorEastAsia" w:eastAsiaTheme="minorEastAsia"/>
          <w:b/>
          <w:bCs/>
          <w:snapToGrid w:val="0"/>
          <w:color w:val="auto"/>
          <w:w w:val="99"/>
          <w:kern w:val="0"/>
          <w:sz w:val="28"/>
          <w:szCs w:val="28"/>
        </w:rPr>
      </w:pPr>
      <w:bookmarkStart w:id="10" w:name="_Toc287607727"/>
      <w:bookmarkStart w:id="11" w:name="_Toc224103298"/>
      <w:bookmarkStart w:id="12" w:name="_Toc28554"/>
      <w:bookmarkStart w:id="13" w:name="_Toc430530415"/>
      <w:bookmarkStart w:id="14" w:name="_Toc509218691"/>
      <w:bookmarkStart w:id="15" w:name="_Toc287620666"/>
      <w:bookmarkStart w:id="16" w:name="_Toc277082535"/>
      <w:bookmarkStart w:id="17" w:name="_Toc57820541"/>
      <w:r>
        <w:rPr>
          <w:rFonts w:asciiTheme="minorEastAsia" w:hAnsiTheme="minorEastAsia" w:eastAsiaTheme="minorEastAsia"/>
          <w:snapToGrid w:val="0"/>
          <w:color w:val="auto"/>
          <w:kern w:val="0"/>
          <w:sz w:val="48"/>
          <w:szCs w:val="21"/>
        </w:rPr>
        <w:t>第一章</w:t>
      </w:r>
      <w:r>
        <w:rPr>
          <w:rFonts w:hint="eastAsia" w:asciiTheme="minorEastAsia" w:hAnsiTheme="minorEastAsia" w:eastAsiaTheme="minorEastAsia"/>
          <w:snapToGrid w:val="0"/>
          <w:color w:val="auto"/>
          <w:kern w:val="0"/>
          <w:sz w:val="48"/>
          <w:szCs w:val="21"/>
        </w:rPr>
        <w:t xml:space="preserve">  比选</w:t>
      </w:r>
      <w:r>
        <w:rPr>
          <w:rFonts w:asciiTheme="minorEastAsia" w:hAnsiTheme="minorEastAsia" w:eastAsiaTheme="minorEastAsia"/>
          <w:snapToGrid w:val="0"/>
          <w:color w:val="auto"/>
          <w:kern w:val="0"/>
          <w:sz w:val="48"/>
          <w:szCs w:val="21"/>
        </w:rPr>
        <w:t>公告</w:t>
      </w:r>
      <w:bookmarkEnd w:id="10"/>
      <w:bookmarkEnd w:id="11"/>
      <w:bookmarkEnd w:id="12"/>
      <w:bookmarkEnd w:id="13"/>
      <w:bookmarkEnd w:id="14"/>
      <w:bookmarkEnd w:id="15"/>
      <w:bookmarkEnd w:id="16"/>
      <w:bookmarkEnd w:id="17"/>
    </w:p>
    <w:p w14:paraId="10231EF1">
      <w:pPr>
        <w:autoSpaceDE w:val="0"/>
        <w:autoSpaceDN w:val="0"/>
        <w:adjustRightInd w:val="0"/>
        <w:snapToGrid w:val="0"/>
        <w:ind w:firstLine="553"/>
        <w:jc w:val="center"/>
        <w:rPr>
          <w:rFonts w:hint="eastAsia" w:asciiTheme="minorEastAsia" w:hAnsiTheme="minorEastAsia" w:eastAsiaTheme="minorEastAsia"/>
          <w:b/>
          <w:bCs/>
          <w:snapToGrid w:val="0"/>
          <w:color w:val="auto"/>
          <w:w w:val="99"/>
          <w:kern w:val="0"/>
          <w:sz w:val="28"/>
          <w:szCs w:val="28"/>
        </w:rPr>
      </w:pPr>
      <w:bookmarkStart w:id="18" w:name="OLE_LINK1"/>
      <w:r>
        <w:rPr>
          <w:rFonts w:hint="eastAsia" w:asciiTheme="minorEastAsia" w:hAnsiTheme="minorEastAsia" w:eastAsiaTheme="minorEastAsia"/>
          <w:b/>
          <w:bCs/>
          <w:snapToGrid w:val="0"/>
          <w:color w:val="auto"/>
          <w:w w:val="99"/>
          <w:kern w:val="0"/>
          <w:sz w:val="28"/>
          <w:szCs w:val="28"/>
        </w:rPr>
        <w:t>重庆文理学院红河A区学生（研究生）公寓建设项目跟踪审计咨询服务</w:t>
      </w:r>
      <w:bookmarkEnd w:id="18"/>
      <w:r>
        <w:rPr>
          <w:rFonts w:hint="eastAsia" w:asciiTheme="minorEastAsia" w:hAnsiTheme="minorEastAsia" w:eastAsiaTheme="minorEastAsia"/>
          <w:b/>
          <w:bCs/>
          <w:snapToGrid w:val="0"/>
          <w:color w:val="auto"/>
          <w:w w:val="99"/>
          <w:kern w:val="0"/>
          <w:sz w:val="28"/>
          <w:szCs w:val="28"/>
        </w:rPr>
        <w:t>比选公告</w:t>
      </w:r>
    </w:p>
    <w:p w14:paraId="2E66CA82">
      <w:pPr>
        <w:pStyle w:val="4"/>
        <w:spacing w:before="0" w:after="0" w:line="240" w:lineRule="auto"/>
        <w:ind w:firstLine="137"/>
        <w:rPr>
          <w:color w:val="auto"/>
        </w:rPr>
      </w:pPr>
    </w:p>
    <w:p w14:paraId="3873B797">
      <w:pPr>
        <w:pStyle w:val="3"/>
        <w:spacing w:before="0" w:after="0" w:line="360" w:lineRule="auto"/>
        <w:ind w:firstLine="643"/>
        <w:rPr>
          <w:rFonts w:hint="eastAsia" w:asciiTheme="minorEastAsia" w:hAnsiTheme="minorEastAsia" w:eastAsiaTheme="minorEastAsia"/>
          <w:color w:val="auto"/>
          <w:szCs w:val="32"/>
        </w:rPr>
      </w:pPr>
      <w:bookmarkStart w:id="19" w:name="_Toc3825"/>
      <w:bookmarkStart w:id="20" w:name="_Toc492300546"/>
      <w:r>
        <w:rPr>
          <w:rFonts w:asciiTheme="minorEastAsia" w:hAnsiTheme="minorEastAsia" w:eastAsiaTheme="minorEastAsia"/>
          <w:color w:val="auto"/>
          <w:szCs w:val="32"/>
        </w:rPr>
        <w:t xml:space="preserve">1. </w:t>
      </w:r>
      <w:r>
        <w:rPr>
          <w:rFonts w:hint="eastAsia" w:asciiTheme="minorEastAsia" w:hAnsiTheme="minorEastAsia" w:eastAsiaTheme="minorEastAsia"/>
          <w:color w:val="auto"/>
          <w:szCs w:val="32"/>
        </w:rPr>
        <w:t>比选</w:t>
      </w:r>
      <w:r>
        <w:rPr>
          <w:rFonts w:asciiTheme="minorEastAsia" w:hAnsiTheme="minorEastAsia" w:eastAsiaTheme="minorEastAsia"/>
          <w:color w:val="auto"/>
          <w:szCs w:val="32"/>
        </w:rPr>
        <w:t>条件</w:t>
      </w:r>
      <w:bookmarkEnd w:id="19"/>
      <w:bookmarkEnd w:id="20"/>
    </w:p>
    <w:p w14:paraId="4A56F7F1">
      <w:pPr>
        <w:tabs>
          <w:tab w:val="left" w:pos="3315"/>
          <w:tab w:val="left" w:pos="3390"/>
          <w:tab w:val="left" w:pos="6120"/>
          <w:tab w:val="left" w:pos="8850"/>
        </w:tabs>
        <w:autoSpaceDE w:val="0"/>
        <w:autoSpaceDN w:val="0"/>
        <w:adjustRightInd w:val="0"/>
        <w:snapToGrid w:val="0"/>
        <w:spacing w:line="360" w:lineRule="auto"/>
        <w:ind w:firstLine="440" w:firstLineChars="200"/>
        <w:jc w:val="left"/>
        <w:rPr>
          <w:rFonts w:hint="eastAsia" w:asciiTheme="minorEastAsia" w:hAnsiTheme="minorEastAsia" w:eastAsiaTheme="minorEastAsia"/>
          <w:snapToGrid w:val="0"/>
          <w:color w:val="auto"/>
          <w:kern w:val="0"/>
          <w:sz w:val="22"/>
        </w:rPr>
      </w:pPr>
      <w:bookmarkStart w:id="21" w:name="OLE_LINK4"/>
      <w:r>
        <w:rPr>
          <w:rFonts w:ascii="宋体" w:hAnsi="宋体"/>
          <w:snapToGrid w:val="0"/>
          <w:color w:val="auto"/>
          <w:kern w:val="0"/>
          <w:sz w:val="22"/>
        </w:rPr>
        <w:t>本招标项目</w:t>
      </w:r>
      <w:r>
        <w:rPr>
          <w:rFonts w:hint="eastAsia" w:ascii="宋体" w:hAnsi="宋体"/>
          <w:snapToGrid w:val="0"/>
          <w:color w:val="auto"/>
          <w:kern w:val="0"/>
          <w:sz w:val="22"/>
          <w:u w:val="single"/>
        </w:rPr>
        <w:t xml:space="preserve">  </w:t>
      </w:r>
      <w:r>
        <w:rPr>
          <w:rFonts w:hint="eastAsia" w:asciiTheme="minorEastAsia" w:hAnsiTheme="minorEastAsia" w:eastAsiaTheme="minorEastAsia"/>
          <w:snapToGrid w:val="0"/>
          <w:color w:val="auto"/>
          <w:kern w:val="0"/>
          <w:szCs w:val="21"/>
          <w:u w:val="single"/>
        </w:rPr>
        <w:t>重庆文理学院红河A区学生（研究生）公寓建设项目</w:t>
      </w:r>
      <w:r>
        <w:rPr>
          <w:rFonts w:asciiTheme="minorEastAsia" w:hAnsiTheme="minorEastAsia" w:eastAsiaTheme="minorEastAsia"/>
          <w:snapToGrid w:val="0"/>
          <w:color w:val="auto"/>
          <w:kern w:val="0"/>
          <w:szCs w:val="21"/>
        </w:rPr>
        <w:t>已由</w:t>
      </w:r>
      <w:r>
        <w:rPr>
          <w:rFonts w:hint="eastAsia" w:asciiTheme="minorEastAsia" w:hAnsiTheme="minorEastAsia" w:eastAsiaTheme="minorEastAsia"/>
          <w:snapToGrid w:val="0"/>
          <w:color w:val="auto"/>
          <w:kern w:val="0"/>
          <w:szCs w:val="21"/>
          <w:u w:val="single"/>
        </w:rPr>
        <w:t xml:space="preserve">  重庆市发展和改革委员会</w:t>
      </w:r>
      <w:r>
        <w:rPr>
          <w:rFonts w:asciiTheme="minorEastAsia" w:hAnsiTheme="minorEastAsia" w:eastAsiaTheme="minorEastAsia"/>
          <w:snapToGrid w:val="0"/>
          <w:color w:val="auto"/>
          <w:kern w:val="0"/>
          <w:szCs w:val="21"/>
        </w:rPr>
        <w:t>以</w:t>
      </w:r>
      <w:r>
        <w:rPr>
          <w:rFonts w:hint="eastAsia" w:asciiTheme="minorEastAsia" w:hAnsiTheme="minorEastAsia" w:eastAsiaTheme="minorEastAsia"/>
          <w:snapToGrid w:val="0"/>
          <w:color w:val="auto"/>
          <w:kern w:val="0"/>
          <w:szCs w:val="21"/>
          <w:u w:val="single"/>
        </w:rPr>
        <w:t xml:space="preserve">  渝发改社会（2025）18号</w:t>
      </w:r>
      <w:r>
        <w:rPr>
          <w:rFonts w:asciiTheme="minorEastAsia" w:hAnsiTheme="minorEastAsia" w:eastAsiaTheme="minorEastAsia"/>
          <w:snapToGrid w:val="0"/>
          <w:color w:val="auto"/>
          <w:kern w:val="0"/>
          <w:szCs w:val="21"/>
        </w:rPr>
        <w:t>批准建设</w:t>
      </w:r>
      <w:r>
        <w:rPr>
          <w:rFonts w:ascii="宋体" w:hAnsi="宋体"/>
          <w:snapToGrid w:val="0"/>
          <w:color w:val="auto"/>
          <w:kern w:val="0"/>
          <w:sz w:val="22"/>
        </w:rPr>
        <w:t>，项目业主为</w:t>
      </w:r>
      <w:r>
        <w:rPr>
          <w:rFonts w:hint="eastAsia" w:ascii="宋体" w:hAnsi="宋体"/>
          <w:snapToGrid w:val="0"/>
          <w:color w:val="auto"/>
          <w:kern w:val="0"/>
          <w:sz w:val="22"/>
          <w:u w:val="single"/>
        </w:rPr>
        <w:t xml:space="preserve">  </w:t>
      </w:r>
      <w:r>
        <w:rPr>
          <w:rFonts w:hint="eastAsia" w:ascii="宋体" w:hAnsi="宋体" w:cs="宋体"/>
          <w:bCs/>
          <w:color w:val="auto"/>
          <w:sz w:val="22"/>
          <w:u w:val="single"/>
          <w:shd w:val="clear" w:color="auto" w:fill="FFFFFF"/>
        </w:rPr>
        <w:t>重庆文理学院</w:t>
      </w:r>
      <w:r>
        <w:rPr>
          <w:rFonts w:hint="eastAsia" w:ascii="宋体" w:hAnsi="宋体"/>
          <w:snapToGrid w:val="0"/>
          <w:color w:val="auto"/>
          <w:kern w:val="0"/>
          <w:sz w:val="22"/>
          <w:u w:val="single"/>
        </w:rPr>
        <w:t xml:space="preserve"> </w:t>
      </w:r>
      <w:r>
        <w:rPr>
          <w:rFonts w:ascii="宋体" w:hAnsi="宋体"/>
          <w:snapToGrid w:val="0"/>
          <w:color w:val="auto"/>
          <w:kern w:val="0"/>
          <w:sz w:val="22"/>
        </w:rPr>
        <w:t>，建设资金来自</w:t>
      </w:r>
      <w:r>
        <w:rPr>
          <w:rFonts w:hint="eastAsia" w:ascii="宋体" w:hAnsi="宋体"/>
          <w:snapToGrid w:val="0"/>
          <w:color w:val="auto"/>
          <w:kern w:val="0"/>
          <w:sz w:val="22"/>
          <w:u w:val="single"/>
        </w:rPr>
        <w:t>财政预算资金</w:t>
      </w:r>
      <w:r>
        <w:rPr>
          <w:rFonts w:ascii="宋体" w:hAnsi="宋体"/>
          <w:snapToGrid w:val="0"/>
          <w:color w:val="auto"/>
          <w:kern w:val="0"/>
          <w:sz w:val="22"/>
        </w:rPr>
        <w:t>，项目出资比例为</w:t>
      </w:r>
      <w:r>
        <w:rPr>
          <w:rFonts w:hint="eastAsia" w:ascii="宋体" w:hAnsi="宋体"/>
          <w:snapToGrid w:val="0"/>
          <w:color w:val="auto"/>
          <w:kern w:val="0"/>
          <w:sz w:val="22"/>
          <w:u w:val="single"/>
        </w:rPr>
        <w:t xml:space="preserve">  100%  </w:t>
      </w:r>
      <w:r>
        <w:rPr>
          <w:rFonts w:ascii="宋体" w:hAnsi="宋体"/>
          <w:snapToGrid w:val="0"/>
          <w:color w:val="auto"/>
          <w:kern w:val="0"/>
          <w:sz w:val="22"/>
        </w:rPr>
        <w:t>，招标人为</w:t>
      </w:r>
      <w:r>
        <w:rPr>
          <w:rFonts w:hint="eastAsia" w:ascii="宋体" w:hAnsi="宋体"/>
          <w:snapToGrid w:val="0"/>
          <w:color w:val="auto"/>
          <w:kern w:val="0"/>
          <w:sz w:val="22"/>
          <w:u w:val="single"/>
        </w:rPr>
        <w:t xml:space="preserve">  </w:t>
      </w:r>
      <w:r>
        <w:rPr>
          <w:rFonts w:hint="eastAsia" w:ascii="宋体" w:hAnsi="宋体" w:cs="宋体"/>
          <w:bCs/>
          <w:color w:val="auto"/>
          <w:sz w:val="22"/>
          <w:u w:val="single"/>
          <w:shd w:val="clear" w:color="auto" w:fill="FFFFFF"/>
        </w:rPr>
        <w:t>重庆文理学院</w:t>
      </w:r>
      <w:r>
        <w:rPr>
          <w:rFonts w:hint="eastAsia" w:ascii="宋体" w:hAnsi="宋体"/>
          <w:snapToGrid w:val="0"/>
          <w:color w:val="auto"/>
          <w:kern w:val="0"/>
          <w:sz w:val="22"/>
          <w:u w:val="single"/>
        </w:rPr>
        <w:t xml:space="preserve"> </w:t>
      </w:r>
      <w:r>
        <w:rPr>
          <w:rFonts w:ascii="宋体" w:hAnsi="宋体"/>
          <w:snapToGrid w:val="0"/>
          <w:color w:val="auto"/>
          <w:kern w:val="0"/>
          <w:position w:val="-2"/>
          <w:sz w:val="22"/>
        </w:rPr>
        <w:t>。项目已具备</w:t>
      </w:r>
      <w:r>
        <w:rPr>
          <w:rFonts w:hint="eastAsia" w:ascii="宋体" w:hAnsi="宋体"/>
          <w:snapToGrid w:val="0"/>
          <w:color w:val="auto"/>
          <w:kern w:val="0"/>
          <w:position w:val="-2"/>
          <w:sz w:val="22"/>
        </w:rPr>
        <w:t>比选</w:t>
      </w:r>
      <w:r>
        <w:rPr>
          <w:rFonts w:ascii="宋体" w:hAnsi="宋体"/>
          <w:snapToGrid w:val="0"/>
          <w:color w:val="auto"/>
          <w:kern w:val="0"/>
          <w:position w:val="-2"/>
          <w:sz w:val="22"/>
        </w:rPr>
        <w:t>条件，现对</w:t>
      </w:r>
      <w:r>
        <w:rPr>
          <w:rFonts w:hint="eastAsia" w:ascii="宋体" w:hAnsi="宋体"/>
          <w:snapToGrid w:val="0"/>
          <w:color w:val="auto"/>
          <w:kern w:val="0"/>
          <w:position w:val="-2"/>
          <w:sz w:val="22"/>
        </w:rPr>
        <w:t>该项目的</w:t>
      </w:r>
      <w:r>
        <w:rPr>
          <w:rFonts w:hint="eastAsia" w:ascii="宋体" w:hAnsi="宋体"/>
          <w:snapToGrid w:val="0"/>
          <w:color w:val="auto"/>
          <w:kern w:val="0"/>
          <w:position w:val="-2"/>
          <w:sz w:val="22"/>
          <w:u w:val="single"/>
        </w:rPr>
        <w:t>跟踪审计</w:t>
      </w:r>
      <w:r>
        <w:rPr>
          <w:rFonts w:ascii="宋体" w:hAnsi="宋体"/>
          <w:snapToGrid w:val="0"/>
          <w:color w:val="auto"/>
          <w:kern w:val="0"/>
          <w:position w:val="-2"/>
          <w:sz w:val="22"/>
        </w:rPr>
        <w:t>进行公开</w:t>
      </w:r>
      <w:bookmarkEnd w:id="21"/>
      <w:r>
        <w:rPr>
          <w:rFonts w:hint="eastAsia" w:ascii="宋体" w:hAnsi="宋体"/>
          <w:snapToGrid w:val="0"/>
          <w:color w:val="auto"/>
          <w:kern w:val="0"/>
          <w:position w:val="-2"/>
          <w:sz w:val="22"/>
        </w:rPr>
        <w:t>比选</w:t>
      </w:r>
      <w:r>
        <w:rPr>
          <w:rFonts w:asciiTheme="minorEastAsia" w:hAnsiTheme="minorEastAsia" w:eastAsiaTheme="minorEastAsia"/>
          <w:color w:val="auto"/>
          <w:sz w:val="22"/>
          <w:szCs w:val="24"/>
        </w:rPr>
        <w:t>。</w:t>
      </w:r>
    </w:p>
    <w:p w14:paraId="0572BB76">
      <w:pPr>
        <w:pStyle w:val="3"/>
        <w:spacing w:before="0" w:after="0" w:line="360" w:lineRule="auto"/>
        <w:ind w:firstLine="643"/>
        <w:rPr>
          <w:rFonts w:hint="eastAsia" w:asciiTheme="minorEastAsia" w:hAnsiTheme="minorEastAsia" w:eastAsiaTheme="minorEastAsia"/>
          <w:color w:val="auto"/>
          <w:szCs w:val="32"/>
        </w:rPr>
      </w:pPr>
      <w:bookmarkStart w:id="22" w:name="_Toc492300547"/>
      <w:bookmarkStart w:id="23" w:name="_Toc19771"/>
      <w:r>
        <w:rPr>
          <w:rFonts w:asciiTheme="minorEastAsia" w:hAnsiTheme="minorEastAsia" w:eastAsiaTheme="minorEastAsia"/>
          <w:color w:val="auto"/>
          <w:szCs w:val="32"/>
        </w:rPr>
        <w:t>2. 项目概况与</w:t>
      </w:r>
      <w:r>
        <w:rPr>
          <w:rFonts w:hint="eastAsia" w:asciiTheme="minorEastAsia" w:hAnsiTheme="minorEastAsia" w:eastAsiaTheme="minorEastAsia"/>
          <w:color w:val="auto"/>
          <w:szCs w:val="32"/>
        </w:rPr>
        <w:t>比选范围</w:t>
      </w:r>
      <w:bookmarkEnd w:id="22"/>
      <w:bookmarkEnd w:id="23"/>
    </w:p>
    <w:p w14:paraId="1D8E485B">
      <w:pPr>
        <w:spacing w:line="360" w:lineRule="auto"/>
        <w:ind w:firstLine="440" w:firstLineChars="200"/>
        <w:rPr>
          <w:rFonts w:hint="eastAsia" w:asciiTheme="minorEastAsia" w:hAnsiTheme="minorEastAsia" w:eastAsiaTheme="minorEastAsia"/>
          <w:color w:val="auto"/>
          <w:sz w:val="22"/>
          <w:u w:val="single"/>
        </w:rPr>
      </w:pPr>
      <w:bookmarkStart w:id="24" w:name="_Hlk536432704"/>
      <w:r>
        <w:rPr>
          <w:rFonts w:hint="eastAsia" w:asciiTheme="minorEastAsia" w:hAnsiTheme="minorEastAsia" w:eastAsiaTheme="minorEastAsia"/>
          <w:color w:val="auto"/>
          <w:sz w:val="22"/>
        </w:rPr>
        <w:t>2.1 建设地点：</w:t>
      </w:r>
      <w:r>
        <w:rPr>
          <w:rFonts w:hint="eastAsia" w:ascii="宋体" w:hAnsi="宋体"/>
          <w:snapToGrid w:val="0"/>
          <w:color w:val="auto"/>
          <w:kern w:val="0"/>
          <w:sz w:val="22"/>
          <w:u w:val="single"/>
        </w:rPr>
        <w:t xml:space="preserve"> </w:t>
      </w:r>
      <w:r>
        <w:rPr>
          <w:rFonts w:hint="eastAsia" w:asciiTheme="minorEastAsia" w:hAnsiTheme="minorEastAsia" w:eastAsiaTheme="minorEastAsia" w:cstheme="minorEastAsia"/>
          <w:color w:val="auto"/>
          <w:szCs w:val="21"/>
          <w:u w:val="single"/>
        </w:rPr>
        <w:t>重庆文理学院红河校区A区内东北角地块，重庆市永川区红河大道319号。</w:t>
      </w:r>
      <w:r>
        <w:rPr>
          <w:rFonts w:hint="eastAsia" w:ascii="宋体" w:hAnsi="宋体"/>
          <w:snapToGrid w:val="0"/>
          <w:color w:val="auto"/>
          <w:kern w:val="0"/>
          <w:sz w:val="22"/>
          <w:u w:val="single"/>
        </w:rPr>
        <w:t xml:space="preserve">  </w:t>
      </w:r>
    </w:p>
    <w:p w14:paraId="767A7E28">
      <w:pPr>
        <w:spacing w:line="360" w:lineRule="auto"/>
        <w:ind w:firstLine="440" w:firstLineChars="200"/>
        <w:rPr>
          <w:rFonts w:hint="eastAsia" w:ascii="宋体" w:hAnsi="宋体"/>
          <w:snapToGrid w:val="0"/>
          <w:color w:val="auto"/>
          <w:kern w:val="0"/>
          <w:sz w:val="22"/>
          <w:u w:val="single"/>
        </w:rPr>
      </w:pPr>
      <w:r>
        <w:rPr>
          <w:rFonts w:hint="eastAsia" w:asciiTheme="minorEastAsia" w:hAnsiTheme="minorEastAsia" w:eastAsiaTheme="minorEastAsia"/>
          <w:color w:val="auto"/>
          <w:sz w:val="22"/>
        </w:rPr>
        <w:t xml:space="preserve">2.2 </w:t>
      </w:r>
      <w:r>
        <w:rPr>
          <w:rFonts w:hint="eastAsia" w:asciiTheme="minorEastAsia" w:hAnsiTheme="minorEastAsia" w:eastAsiaTheme="minorEastAsia"/>
          <w:snapToGrid w:val="0"/>
          <w:color w:val="auto"/>
          <w:kern w:val="0"/>
          <w:sz w:val="22"/>
        </w:rPr>
        <w:t>项目概况与建设规模：</w:t>
      </w:r>
      <w:r>
        <w:rPr>
          <w:rFonts w:hint="eastAsia" w:ascii="宋体" w:hAnsi="宋体"/>
          <w:snapToGrid w:val="0"/>
          <w:color w:val="auto"/>
          <w:kern w:val="0"/>
          <w:sz w:val="22"/>
          <w:u w:val="single"/>
        </w:rPr>
        <w:t>建设用地面积8448平方米，总建筑面积25906.47平方米，其中地上建筑面积为19928.85平方米，地下建筑面积为5977.62平方米。主要建设内容包含建筑主体工程（含装配式）、建筑安装工程、设备采购与安装工程、室内装修、土石方工程、室外综合管网、绿化工程、道路及地面铺装工程、绿化及景观工程、海绵工程、配电室室外外线安装工程、污水处理及生化设备工程。</w:t>
      </w:r>
    </w:p>
    <w:p w14:paraId="5446C016">
      <w:pPr>
        <w:snapToGrid w:val="0"/>
        <w:spacing w:line="360" w:lineRule="auto"/>
        <w:ind w:firstLine="440" w:firstLineChars="200"/>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2.3投资金额：本项目工程总投资11922万元，其中工程总承包EPC中标金额为98322543.48元。</w:t>
      </w:r>
    </w:p>
    <w:p w14:paraId="3943FA10">
      <w:pPr>
        <w:snapToGrid w:val="0"/>
        <w:spacing w:line="360" w:lineRule="auto"/>
        <w:ind w:firstLine="440" w:firstLineChars="200"/>
        <w:rPr>
          <w:rStyle w:val="123"/>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2.4 比选范围及内容：</w:t>
      </w:r>
      <w:bookmarkStart w:id="25" w:name="_Toc68874417"/>
      <w:r>
        <w:rPr>
          <w:rFonts w:hint="eastAsia" w:asciiTheme="minorEastAsia" w:hAnsiTheme="minorEastAsia" w:eastAsiaTheme="minorEastAsia"/>
          <w:color w:val="auto"/>
          <w:sz w:val="22"/>
        </w:rPr>
        <w:t>建设项目EPC实施阶段全过程跟踪审计（具体内容包括但不限于：1、参与施工合同谈判；2、施工图设计完成后，根据合同条款全面审核本项目报送的工程量清单及施工图预算（包含经济指标分析及评价），并与建设单位基建管理部门委托的咨询单位达成共识后出具施工图预算审核意见书；3、建设程序审计；4、工程管理情况的审计；5、合同履约管理；6、内控制度建设及执行情况的审计；7、施工过程造价控制；8、新增项、缺漏项及零星工程分项的造价确定与控制；9、进度款支付审核；1</w:t>
      </w:r>
      <w:r>
        <w:rPr>
          <w:rFonts w:asciiTheme="minorEastAsia" w:hAnsiTheme="minorEastAsia" w:eastAsiaTheme="minorEastAsia"/>
          <w:color w:val="auto"/>
          <w:sz w:val="22"/>
        </w:rPr>
        <w:t>0</w:t>
      </w:r>
      <w:r>
        <w:rPr>
          <w:rFonts w:hint="eastAsia" w:asciiTheme="minorEastAsia" w:hAnsiTheme="minorEastAsia" w:eastAsiaTheme="minorEastAsia"/>
          <w:color w:val="auto"/>
          <w:sz w:val="22"/>
        </w:rPr>
        <w:t>、施工方案的经济评价、设计变更的经济分析；1</w:t>
      </w:r>
      <w:r>
        <w:rPr>
          <w:rFonts w:asciiTheme="minorEastAsia" w:hAnsiTheme="minorEastAsia" w:eastAsiaTheme="minorEastAsia"/>
          <w:color w:val="auto"/>
          <w:sz w:val="22"/>
        </w:rPr>
        <w:t>1</w:t>
      </w:r>
      <w:r>
        <w:rPr>
          <w:rFonts w:hint="eastAsia" w:asciiTheme="minorEastAsia" w:hAnsiTheme="minorEastAsia" w:eastAsiaTheme="minorEastAsia"/>
          <w:color w:val="auto"/>
          <w:sz w:val="22"/>
        </w:rPr>
        <w:t>、设计变更、现场收方、现场签证及材料价格的审核与管理；1</w:t>
      </w:r>
      <w:r>
        <w:rPr>
          <w:rFonts w:asciiTheme="minorEastAsia" w:hAnsiTheme="minorEastAsia" w:eastAsiaTheme="minorEastAsia"/>
          <w:color w:val="auto"/>
          <w:sz w:val="22"/>
        </w:rPr>
        <w:t>2</w:t>
      </w:r>
      <w:r>
        <w:rPr>
          <w:rFonts w:hint="eastAsia" w:asciiTheme="minorEastAsia" w:hAnsiTheme="minorEastAsia" w:eastAsiaTheme="minorEastAsia"/>
          <w:color w:val="auto"/>
          <w:sz w:val="22"/>
        </w:rPr>
        <w:t>、对施工现场使用的材料与施工图和比选人确认的品牌、规格、型号、质量标准等进行符合度审核；1</w:t>
      </w:r>
      <w:r>
        <w:rPr>
          <w:rFonts w:asciiTheme="minorEastAsia" w:hAnsiTheme="minorEastAsia" w:eastAsiaTheme="minorEastAsia"/>
          <w:color w:val="auto"/>
          <w:sz w:val="22"/>
        </w:rPr>
        <w:t>3</w:t>
      </w:r>
      <w:r>
        <w:rPr>
          <w:rFonts w:hint="eastAsia" w:asciiTheme="minorEastAsia" w:hAnsiTheme="minorEastAsia" w:eastAsiaTheme="minorEastAsia"/>
          <w:color w:val="auto"/>
          <w:sz w:val="22"/>
        </w:rPr>
        <w:t>、专业分包造价控制；工程索赔和反索赔咨询、有关工程造价信息及法规咨询；对竣工图的完整性、正确性及合规性进行全面检查与审核并出具审核意见书；1</w:t>
      </w:r>
      <w:r>
        <w:rPr>
          <w:rFonts w:asciiTheme="minorEastAsia" w:hAnsiTheme="minorEastAsia" w:eastAsiaTheme="minorEastAsia"/>
          <w:color w:val="auto"/>
          <w:sz w:val="22"/>
        </w:rPr>
        <w:t>4</w:t>
      </w:r>
      <w:r>
        <w:rPr>
          <w:rFonts w:hint="eastAsia" w:asciiTheme="minorEastAsia" w:hAnsiTheme="minorEastAsia" w:eastAsiaTheme="minorEastAsia"/>
          <w:color w:val="auto"/>
          <w:sz w:val="22"/>
        </w:rPr>
        <w:t>、对竣工结算资料的完整性与正确性进行检查、复核并把关，确保本工程结算资料的闭合性，避免比选人因结算资料缺陷在结算审核过程中出现补充资料或结算争议问题；1</w:t>
      </w:r>
      <w:r>
        <w:rPr>
          <w:rFonts w:asciiTheme="minorEastAsia" w:hAnsiTheme="minorEastAsia" w:eastAsiaTheme="minorEastAsia"/>
          <w:color w:val="auto"/>
          <w:sz w:val="22"/>
        </w:rPr>
        <w:t>5</w:t>
      </w:r>
      <w:r>
        <w:rPr>
          <w:rFonts w:hint="eastAsia" w:asciiTheme="minorEastAsia" w:hAnsiTheme="minorEastAsia" w:eastAsiaTheme="minorEastAsia"/>
          <w:color w:val="auto"/>
          <w:sz w:val="22"/>
        </w:rPr>
        <w:t>、根据合同条款全面审核本项目报送的竣工结算，并与建设单位基建管理部门委托的咨询单位达成共识后出具竣工结算跟踪审计意见书。</w:t>
      </w:r>
    </w:p>
    <w:bookmarkEnd w:id="25"/>
    <w:p w14:paraId="7FDD0B21">
      <w:pPr>
        <w:tabs>
          <w:tab w:val="left" w:pos="3840"/>
          <w:tab w:val="left" w:pos="5300"/>
        </w:tabs>
        <w:autoSpaceDE w:val="0"/>
        <w:autoSpaceDN w:val="0"/>
        <w:adjustRightInd w:val="0"/>
        <w:snapToGrid w:val="0"/>
        <w:spacing w:line="460" w:lineRule="exact"/>
        <w:ind w:firstLine="440" w:firstLineChars="200"/>
        <w:jc w:val="left"/>
        <w:rPr>
          <w:rFonts w:hint="eastAsia" w:ascii="宋体" w:hAnsi="宋体" w:cs="宋体"/>
          <w:snapToGrid w:val="0"/>
          <w:color w:val="auto"/>
          <w:sz w:val="22"/>
          <w:lang w:val="zh-TW" w:eastAsia="zh-TW"/>
        </w:rPr>
      </w:pPr>
      <w:r>
        <w:rPr>
          <w:rFonts w:hint="eastAsia" w:asciiTheme="minorEastAsia" w:hAnsiTheme="minorEastAsia" w:eastAsiaTheme="minorEastAsia"/>
          <w:color w:val="auto"/>
          <w:sz w:val="22"/>
        </w:rPr>
        <w:t xml:space="preserve">2.5 </w:t>
      </w:r>
      <w:r>
        <w:rPr>
          <w:rFonts w:hint="eastAsia" w:asciiTheme="minorEastAsia" w:hAnsiTheme="minorEastAsia" w:eastAsiaTheme="minorEastAsia" w:cstheme="minorEastAsia"/>
          <w:color w:val="auto"/>
          <w:sz w:val="22"/>
        </w:rPr>
        <w:t>服务期限</w:t>
      </w:r>
      <w:r>
        <w:rPr>
          <w:rFonts w:hint="eastAsia" w:asciiTheme="minorEastAsia" w:hAnsiTheme="minorEastAsia" w:eastAsiaTheme="minorEastAsia"/>
          <w:color w:val="auto"/>
          <w:sz w:val="22"/>
        </w:rPr>
        <w:t>：</w:t>
      </w:r>
      <w:bookmarkStart w:id="26" w:name="_Hlk219714541"/>
      <w:r>
        <w:rPr>
          <w:rFonts w:hint="eastAsia" w:asciiTheme="minorEastAsia" w:hAnsiTheme="minorEastAsia" w:eastAsiaTheme="minorEastAsia"/>
          <w:color w:val="auto"/>
          <w:sz w:val="22"/>
        </w:rPr>
        <w:t>本项目服务周期自中标通知书发出之日开始至出具工程竣工结算跟踪审计意见书并经建设单位内部审计部门委托的结算审核咨询单位审核后出具竣工结算审核报告之日（其中：1、审核工程量清单及施工图预算的完成时间：工程量清单及施工图预算资料送审资料接收后，45天内提交本工程工程量清单及施工图预算审核结果初稿；提交工程量清单及施工图预算审核结果初稿后，15天内与建设单位基建管理部门委托的咨询单位完成施工图预算金额核对工作并达成共识后出具预算审核意见书；2、竣工结算跟踪审计意见书的完成时间：</w:t>
      </w:r>
      <w:bookmarkStart w:id="27" w:name="OLE_LINK3"/>
      <w:r>
        <w:rPr>
          <w:rFonts w:hint="eastAsia" w:asciiTheme="minorEastAsia" w:hAnsiTheme="minorEastAsia" w:eastAsiaTheme="minorEastAsia"/>
          <w:color w:val="auto"/>
          <w:sz w:val="22"/>
        </w:rPr>
        <w:t>工程竣工结算资料收齐后原则上</w:t>
      </w:r>
      <w:bookmarkStart w:id="28" w:name="OLE_LINK2"/>
      <w:r>
        <w:rPr>
          <w:rFonts w:hint="eastAsia" w:asciiTheme="minorEastAsia" w:hAnsiTheme="minorEastAsia" w:eastAsiaTheme="minorEastAsia"/>
          <w:color w:val="auto"/>
          <w:sz w:val="22"/>
        </w:rPr>
        <w:t>2个月内出具本</w:t>
      </w:r>
      <w:bookmarkEnd w:id="28"/>
      <w:r>
        <w:rPr>
          <w:rFonts w:hint="eastAsia" w:asciiTheme="minorEastAsia" w:hAnsiTheme="minorEastAsia" w:eastAsiaTheme="minorEastAsia"/>
          <w:color w:val="auto"/>
          <w:sz w:val="22"/>
        </w:rPr>
        <w:t>建设项目竣工结算跟踪审计意见书）为止，特殊情况以采购人要求的完成时间为准</w:t>
      </w:r>
      <w:r>
        <w:rPr>
          <w:rFonts w:hint="eastAsia" w:ascii="宋体" w:hAnsi="宋体" w:cs="宋体"/>
          <w:snapToGrid w:val="0"/>
          <w:color w:val="auto"/>
          <w:sz w:val="22"/>
          <w:lang w:val="zh-TW" w:eastAsia="zh-TW"/>
        </w:rPr>
        <w:t>。</w:t>
      </w:r>
      <w:bookmarkEnd w:id="26"/>
      <w:bookmarkEnd w:id="27"/>
    </w:p>
    <w:p w14:paraId="5E00F097">
      <w:pPr>
        <w:spacing w:line="360" w:lineRule="auto"/>
        <w:ind w:firstLine="440" w:firstLineChars="200"/>
        <w:rPr>
          <w:rFonts w:hint="eastAsia" w:asciiTheme="minorEastAsia" w:hAnsiTheme="minorEastAsia" w:eastAsiaTheme="minorEastAsia"/>
          <w:color w:val="auto"/>
          <w:sz w:val="22"/>
          <w:u w:val="single"/>
        </w:rPr>
      </w:pPr>
    </w:p>
    <w:bookmarkEnd w:id="24"/>
    <w:p w14:paraId="651AB795">
      <w:pPr>
        <w:pStyle w:val="3"/>
        <w:spacing w:before="0" w:after="0" w:line="360" w:lineRule="auto"/>
        <w:ind w:firstLine="643"/>
        <w:rPr>
          <w:rFonts w:hint="eastAsia" w:asciiTheme="minorEastAsia" w:hAnsiTheme="minorEastAsia" w:eastAsiaTheme="minorEastAsia"/>
          <w:color w:val="auto"/>
          <w:szCs w:val="32"/>
        </w:rPr>
      </w:pPr>
      <w:bookmarkStart w:id="29" w:name="_Toc6222"/>
      <w:bookmarkStart w:id="30" w:name="_Toc492300548"/>
      <w:r>
        <w:rPr>
          <w:rFonts w:asciiTheme="minorEastAsia" w:hAnsiTheme="minorEastAsia" w:eastAsiaTheme="minorEastAsia"/>
          <w:color w:val="auto"/>
          <w:szCs w:val="32"/>
        </w:rPr>
        <w:t xml:space="preserve">3. </w:t>
      </w:r>
      <w:r>
        <w:rPr>
          <w:rFonts w:hint="eastAsia" w:asciiTheme="minorEastAsia" w:hAnsiTheme="minorEastAsia" w:eastAsiaTheme="minorEastAsia"/>
          <w:color w:val="auto"/>
          <w:szCs w:val="32"/>
        </w:rPr>
        <w:t>竞标人</w:t>
      </w:r>
      <w:r>
        <w:rPr>
          <w:rFonts w:asciiTheme="minorEastAsia" w:hAnsiTheme="minorEastAsia" w:eastAsiaTheme="minorEastAsia"/>
          <w:color w:val="auto"/>
          <w:szCs w:val="32"/>
        </w:rPr>
        <w:t>资格要求</w:t>
      </w:r>
      <w:bookmarkEnd w:id="29"/>
      <w:bookmarkEnd w:id="30"/>
    </w:p>
    <w:p w14:paraId="4D01AA17">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3.</w:t>
      </w:r>
      <w:r>
        <w:rPr>
          <w:rFonts w:hint="eastAsia" w:asciiTheme="minorEastAsia" w:hAnsiTheme="minorEastAsia" w:eastAsiaTheme="minorEastAsia"/>
          <w:color w:val="auto"/>
          <w:sz w:val="22"/>
        </w:rPr>
        <w:t>1</w:t>
      </w:r>
      <w:r>
        <w:rPr>
          <w:rFonts w:hint="eastAsia" w:asciiTheme="minorEastAsia" w:hAnsiTheme="minorEastAsia" w:eastAsiaTheme="minorEastAsia"/>
          <w:snapToGrid w:val="0"/>
          <w:color w:val="auto"/>
          <w:kern w:val="0"/>
          <w:sz w:val="22"/>
        </w:rPr>
        <w:t>竞标人在人员、设备、资金等方面具有相应的服务能力，详见比选文件第二章竞标人须知前附表第</w:t>
      </w:r>
      <w:r>
        <w:rPr>
          <w:rFonts w:asciiTheme="minorEastAsia" w:hAnsiTheme="minorEastAsia" w:eastAsiaTheme="minorEastAsia"/>
          <w:snapToGrid w:val="0"/>
          <w:color w:val="auto"/>
          <w:kern w:val="0"/>
          <w:sz w:val="22"/>
        </w:rPr>
        <w:t>1.4.1</w:t>
      </w:r>
      <w:r>
        <w:rPr>
          <w:rFonts w:hint="eastAsia" w:asciiTheme="minorEastAsia" w:hAnsiTheme="minorEastAsia" w:eastAsiaTheme="minorEastAsia"/>
          <w:snapToGrid w:val="0"/>
          <w:color w:val="auto"/>
          <w:kern w:val="0"/>
          <w:sz w:val="22"/>
        </w:rPr>
        <w:t>项</w:t>
      </w:r>
      <w:r>
        <w:rPr>
          <w:rFonts w:asciiTheme="minorEastAsia" w:hAnsiTheme="minorEastAsia" w:eastAsiaTheme="minorEastAsia"/>
          <w:snapToGrid w:val="0"/>
          <w:color w:val="auto"/>
          <w:kern w:val="0"/>
          <w:sz w:val="22"/>
        </w:rPr>
        <w:t>内容。</w:t>
      </w:r>
    </w:p>
    <w:p w14:paraId="53E721D3">
      <w:pPr>
        <w:widowControl/>
        <w:spacing w:after="196" w:line="440" w:lineRule="exact"/>
        <w:ind w:firstLine="440" w:firstLineChars="200"/>
        <w:jc w:val="left"/>
        <w:rPr>
          <w:rFonts w:hint="eastAsia" w:ascii="宋体" w:hAnsi="宋体"/>
          <w:b/>
          <w:bCs/>
          <w:snapToGrid w:val="0"/>
          <w:color w:val="auto"/>
          <w:kern w:val="0"/>
          <w:sz w:val="22"/>
        </w:rPr>
      </w:pPr>
      <w:r>
        <w:rPr>
          <w:rFonts w:hint="eastAsia" w:asciiTheme="minorEastAsia" w:hAnsiTheme="minorEastAsia" w:eastAsiaTheme="minorEastAsia"/>
          <w:color w:val="auto"/>
          <w:sz w:val="22"/>
        </w:rPr>
        <w:t>3.2</w:t>
      </w:r>
      <w:r>
        <w:rPr>
          <w:rFonts w:ascii="宋体" w:hAnsi="宋体"/>
          <w:snapToGrid w:val="0"/>
          <w:color w:val="auto"/>
          <w:kern w:val="0"/>
          <w:sz w:val="22"/>
        </w:rPr>
        <w:t>本次</w:t>
      </w:r>
      <w:r>
        <w:rPr>
          <w:rFonts w:hint="eastAsia" w:ascii="宋体" w:hAnsi="宋体"/>
          <w:snapToGrid w:val="0"/>
          <w:color w:val="auto"/>
          <w:kern w:val="0"/>
          <w:sz w:val="22"/>
        </w:rPr>
        <w:t>比选不接受</w:t>
      </w:r>
      <w:r>
        <w:rPr>
          <w:rFonts w:ascii="宋体" w:hAnsi="宋体"/>
          <w:snapToGrid w:val="0"/>
          <w:color w:val="auto"/>
          <w:kern w:val="0"/>
          <w:sz w:val="22"/>
        </w:rPr>
        <w:t>联合体</w:t>
      </w:r>
      <w:r>
        <w:rPr>
          <w:rFonts w:hint="eastAsia" w:ascii="宋体" w:hAnsi="宋体"/>
          <w:snapToGrid w:val="0"/>
          <w:color w:val="auto"/>
          <w:kern w:val="0"/>
          <w:sz w:val="22"/>
        </w:rPr>
        <w:t>竞标。</w:t>
      </w:r>
    </w:p>
    <w:p w14:paraId="650983F3">
      <w:pPr>
        <w:pStyle w:val="3"/>
        <w:spacing w:before="0" w:after="0" w:line="360" w:lineRule="auto"/>
        <w:ind w:firstLine="643"/>
        <w:rPr>
          <w:rFonts w:hint="eastAsia" w:asciiTheme="minorEastAsia" w:hAnsiTheme="minorEastAsia" w:eastAsiaTheme="minorEastAsia"/>
          <w:color w:val="auto"/>
          <w:szCs w:val="32"/>
        </w:rPr>
      </w:pPr>
      <w:bookmarkStart w:id="31" w:name="_Toc492300549"/>
      <w:bookmarkStart w:id="32" w:name="_Toc21237"/>
      <w:r>
        <w:rPr>
          <w:rFonts w:asciiTheme="minorEastAsia" w:hAnsiTheme="minorEastAsia" w:eastAsiaTheme="minorEastAsia"/>
          <w:color w:val="auto"/>
          <w:szCs w:val="32"/>
        </w:rPr>
        <w:t xml:space="preserve">4. </w:t>
      </w:r>
      <w:r>
        <w:rPr>
          <w:rFonts w:hint="eastAsia" w:asciiTheme="minorEastAsia" w:hAnsiTheme="minorEastAsia" w:eastAsiaTheme="minorEastAsia"/>
          <w:color w:val="auto"/>
          <w:szCs w:val="32"/>
        </w:rPr>
        <w:t>比选文件的获取</w:t>
      </w:r>
      <w:bookmarkEnd w:id="31"/>
      <w:bookmarkEnd w:id="32"/>
    </w:p>
    <w:p w14:paraId="3917FB7C">
      <w:pPr>
        <w:spacing w:line="360" w:lineRule="auto"/>
        <w:ind w:firstLine="440" w:firstLineChars="200"/>
        <w:rPr>
          <w:rFonts w:hint="eastAsia" w:ascii="宋体" w:hAnsi="宋体"/>
          <w:snapToGrid w:val="0"/>
          <w:color w:val="auto"/>
          <w:kern w:val="0"/>
          <w:sz w:val="22"/>
        </w:rPr>
      </w:pPr>
      <w:r>
        <w:rPr>
          <w:rFonts w:hint="eastAsia" w:ascii="宋体" w:hAnsi="宋体"/>
          <w:snapToGrid w:val="0"/>
          <w:color w:val="auto"/>
          <w:kern w:val="0"/>
          <w:sz w:val="22"/>
        </w:rPr>
        <w:t>4.1报名和比选文件</w:t>
      </w:r>
      <w:r>
        <w:rPr>
          <w:rFonts w:hint="eastAsia" w:ascii="宋体" w:hAnsi="宋体"/>
          <w:snapToGrid w:val="0"/>
          <w:color w:val="auto"/>
          <w:kern w:val="0"/>
          <w:sz w:val="22"/>
        </w:rPr>
        <w:t>获取时间：</w:t>
      </w:r>
      <w:r>
        <w:rPr>
          <w:rFonts w:hint="eastAsia" w:ascii="宋体" w:hAnsi="宋体"/>
          <w:snapToGrid w:val="0"/>
          <w:color w:val="auto"/>
          <w:kern w:val="0"/>
          <w:sz w:val="22"/>
        </w:rPr>
        <w:t>2026年</w:t>
      </w:r>
      <w:r>
        <w:rPr>
          <w:rFonts w:hint="eastAsia" w:ascii="宋体" w:hAnsi="宋体"/>
          <w:snapToGrid w:val="0"/>
          <w:color w:val="auto"/>
          <w:kern w:val="0"/>
          <w:sz w:val="22"/>
          <w:lang w:val="en-US" w:eastAsia="zh-CN"/>
        </w:rPr>
        <w:t>3</w:t>
      </w:r>
      <w:r>
        <w:rPr>
          <w:rFonts w:hint="eastAsia" w:ascii="宋体" w:hAnsi="宋体"/>
          <w:snapToGrid w:val="0"/>
          <w:color w:val="auto"/>
          <w:kern w:val="0"/>
          <w:sz w:val="22"/>
        </w:rPr>
        <w:t>月</w:t>
      </w:r>
      <w:r>
        <w:rPr>
          <w:rFonts w:hint="eastAsia" w:ascii="宋体" w:hAnsi="宋体"/>
          <w:snapToGrid w:val="0"/>
          <w:color w:val="auto"/>
          <w:kern w:val="0"/>
          <w:sz w:val="22"/>
          <w:lang w:val="en-US" w:eastAsia="zh-CN"/>
        </w:rPr>
        <w:t>11</w:t>
      </w:r>
      <w:r>
        <w:rPr>
          <w:rFonts w:hint="eastAsia" w:ascii="宋体" w:hAnsi="宋体"/>
          <w:snapToGrid w:val="0"/>
          <w:color w:val="auto"/>
          <w:kern w:val="0"/>
          <w:sz w:val="22"/>
        </w:rPr>
        <w:t>日-2026年</w:t>
      </w:r>
      <w:r>
        <w:rPr>
          <w:rFonts w:hint="eastAsia" w:ascii="宋体" w:hAnsi="宋体"/>
          <w:snapToGrid w:val="0"/>
          <w:color w:val="auto"/>
          <w:kern w:val="0"/>
          <w:sz w:val="22"/>
          <w:lang w:val="en-US" w:eastAsia="zh-CN"/>
        </w:rPr>
        <w:t>3</w:t>
      </w:r>
      <w:r>
        <w:rPr>
          <w:rFonts w:hint="eastAsia" w:ascii="宋体" w:hAnsi="宋体"/>
          <w:snapToGrid w:val="0"/>
          <w:color w:val="auto"/>
          <w:kern w:val="0"/>
          <w:sz w:val="22"/>
        </w:rPr>
        <w:t>月</w:t>
      </w:r>
      <w:r>
        <w:rPr>
          <w:rFonts w:hint="eastAsia" w:ascii="宋体" w:hAnsi="宋体"/>
          <w:snapToGrid w:val="0"/>
          <w:color w:val="auto"/>
          <w:kern w:val="0"/>
          <w:sz w:val="22"/>
          <w:lang w:val="en-US" w:eastAsia="zh-CN"/>
        </w:rPr>
        <w:t>15</w:t>
      </w:r>
      <w:r>
        <w:rPr>
          <w:rFonts w:hint="eastAsia" w:ascii="宋体" w:hAnsi="宋体"/>
          <w:snapToGrid w:val="0"/>
          <w:color w:val="auto"/>
          <w:kern w:val="0"/>
          <w:sz w:val="22"/>
        </w:rPr>
        <w:t>日</w:t>
      </w:r>
      <w:r>
        <w:rPr>
          <w:rFonts w:hint="eastAsia" w:ascii="宋体" w:hAnsi="宋体"/>
          <w:snapToGrid w:val="0"/>
          <w:color w:val="auto"/>
          <w:kern w:val="0"/>
          <w:sz w:val="22"/>
          <w:lang w:val="en-US" w:eastAsia="zh-CN"/>
        </w:rPr>
        <w:t>18：00时前</w:t>
      </w:r>
      <w:r>
        <w:rPr>
          <w:rFonts w:hint="eastAsia" w:ascii="宋体" w:hAnsi="宋体"/>
          <w:snapToGrid w:val="0"/>
          <w:color w:val="auto"/>
          <w:kern w:val="0"/>
          <w:sz w:val="22"/>
        </w:rPr>
        <w:t xml:space="preserve"> </w:t>
      </w:r>
    </w:p>
    <w:p w14:paraId="6817A7B3">
      <w:pPr>
        <w:spacing w:line="360" w:lineRule="auto"/>
        <w:ind w:firstLine="440" w:firstLineChars="200"/>
        <w:rPr>
          <w:rFonts w:hint="eastAsia" w:ascii="宋体" w:hAnsi="宋体"/>
          <w:snapToGrid w:val="0"/>
          <w:color w:val="auto"/>
          <w:kern w:val="0"/>
          <w:sz w:val="22"/>
        </w:rPr>
      </w:pPr>
      <w:r>
        <w:rPr>
          <w:rFonts w:hint="eastAsia" w:ascii="宋体" w:hAnsi="宋体"/>
          <w:snapToGrid w:val="0"/>
          <w:color w:val="auto"/>
          <w:kern w:val="0"/>
          <w:sz w:val="22"/>
        </w:rPr>
        <w:t>4.2在竞争性比选文件获取时间内，竞标人将附件一《报名登记表》（加盖供应商公章）扫描后发送至93441653@qq.com（邮箱）。</w:t>
      </w:r>
    </w:p>
    <w:p w14:paraId="6E896E31">
      <w:pPr>
        <w:spacing w:line="360" w:lineRule="auto"/>
        <w:ind w:firstLine="440" w:firstLineChars="200"/>
        <w:rPr>
          <w:rFonts w:hint="eastAsia" w:ascii="宋体" w:hAnsi="宋体"/>
          <w:snapToGrid w:val="0"/>
          <w:color w:val="auto"/>
          <w:kern w:val="0"/>
          <w:sz w:val="22"/>
        </w:rPr>
      </w:pPr>
      <w:r>
        <w:rPr>
          <w:rFonts w:hint="eastAsia" w:ascii="宋体" w:hAnsi="宋体"/>
          <w:snapToGrid w:val="0"/>
          <w:color w:val="auto"/>
          <w:kern w:val="0"/>
          <w:sz w:val="22"/>
        </w:rPr>
        <w:t>注：在竞争性比选文件发售期限内报名的供应商，其递交响应文件时才能被接收。</w:t>
      </w:r>
    </w:p>
    <w:p w14:paraId="29554AC8">
      <w:pPr>
        <w:pStyle w:val="3"/>
        <w:spacing w:before="0" w:after="0" w:line="360" w:lineRule="auto"/>
        <w:ind w:firstLine="643"/>
        <w:rPr>
          <w:rFonts w:hint="eastAsia" w:asciiTheme="minorEastAsia" w:hAnsiTheme="minorEastAsia" w:eastAsiaTheme="minorEastAsia"/>
          <w:color w:val="auto"/>
          <w:szCs w:val="32"/>
        </w:rPr>
      </w:pPr>
      <w:bookmarkStart w:id="33" w:name="_Toc1612"/>
      <w:bookmarkStart w:id="34" w:name="_Toc492300550"/>
      <w:r>
        <w:rPr>
          <w:rFonts w:asciiTheme="minorEastAsia" w:hAnsiTheme="minorEastAsia" w:eastAsiaTheme="minorEastAsia"/>
          <w:color w:val="auto"/>
          <w:szCs w:val="32"/>
        </w:rPr>
        <w:t xml:space="preserve">5. </w:t>
      </w:r>
      <w:r>
        <w:rPr>
          <w:rFonts w:hint="eastAsia" w:asciiTheme="minorEastAsia" w:hAnsiTheme="minorEastAsia" w:eastAsiaTheme="minorEastAsia"/>
          <w:color w:val="auto"/>
          <w:szCs w:val="32"/>
        </w:rPr>
        <w:t>竞标文件的递交</w:t>
      </w:r>
      <w:bookmarkEnd w:id="33"/>
      <w:bookmarkEnd w:id="34"/>
    </w:p>
    <w:p w14:paraId="4822B399">
      <w:pPr>
        <w:spacing w:line="360" w:lineRule="auto"/>
        <w:ind w:firstLine="440" w:firstLineChars="200"/>
        <w:rPr>
          <w:rFonts w:hint="eastAsia" w:ascii="宋体" w:hAnsi="宋体"/>
          <w:snapToGrid w:val="0"/>
          <w:color w:val="auto"/>
          <w:kern w:val="0"/>
          <w:sz w:val="22"/>
        </w:rPr>
      </w:pPr>
      <w:r>
        <w:rPr>
          <w:rFonts w:hint="eastAsia" w:ascii="宋体" w:hAnsi="宋体"/>
          <w:snapToGrid w:val="0"/>
          <w:color w:val="auto"/>
          <w:kern w:val="0"/>
          <w:sz w:val="22"/>
        </w:rPr>
        <w:t>5.1递交响应文件地点：重庆文理学院恪勤楼203室（重庆市永川区红河大道319号）</w:t>
      </w:r>
    </w:p>
    <w:p w14:paraId="7650BF5C">
      <w:pPr>
        <w:pStyle w:val="3"/>
        <w:spacing w:before="0" w:after="0" w:line="360" w:lineRule="auto"/>
        <w:ind w:firstLine="440" w:firstLineChars="200"/>
        <w:rPr>
          <w:rFonts w:hint="eastAsia" w:asciiTheme="minorEastAsia" w:hAnsiTheme="minorEastAsia" w:eastAsiaTheme="minorEastAsia" w:cstheme="minorEastAsia"/>
          <w:b w:val="0"/>
          <w:color w:val="auto"/>
          <w:sz w:val="22"/>
          <w:szCs w:val="22"/>
        </w:rPr>
      </w:pPr>
      <w:bookmarkStart w:id="35" w:name="_Toc23953"/>
      <w:bookmarkStart w:id="36" w:name="_Toc492300551"/>
      <w:r>
        <w:rPr>
          <w:rFonts w:hint="eastAsia" w:asciiTheme="minorEastAsia" w:hAnsiTheme="minorEastAsia" w:eastAsiaTheme="minorEastAsia" w:cstheme="minorEastAsia"/>
          <w:b w:val="0"/>
          <w:color w:val="auto"/>
          <w:sz w:val="22"/>
          <w:szCs w:val="22"/>
        </w:rPr>
        <w:t>5.2竞标文件递交开始时间：2026年</w:t>
      </w:r>
      <w:r>
        <w:rPr>
          <w:rFonts w:hint="eastAsia" w:asciiTheme="minorEastAsia" w:hAnsiTheme="minorEastAsia" w:eastAsiaTheme="minorEastAsia" w:cstheme="minorEastAsia"/>
          <w:b w:val="0"/>
          <w:color w:val="auto"/>
          <w:sz w:val="22"/>
          <w:szCs w:val="22"/>
          <w:lang w:val="en-US" w:eastAsia="zh-CN"/>
        </w:rPr>
        <w:t>3</w:t>
      </w:r>
      <w:r>
        <w:rPr>
          <w:rFonts w:hint="eastAsia" w:asciiTheme="minorEastAsia" w:hAnsiTheme="minorEastAsia" w:eastAsiaTheme="minorEastAsia" w:cstheme="minorEastAsia"/>
          <w:b w:val="0"/>
          <w:color w:val="auto"/>
          <w:sz w:val="22"/>
          <w:szCs w:val="22"/>
        </w:rPr>
        <w:t>月</w:t>
      </w:r>
      <w:r>
        <w:rPr>
          <w:rFonts w:hint="eastAsia" w:asciiTheme="minorEastAsia" w:hAnsiTheme="minorEastAsia" w:eastAsiaTheme="minorEastAsia" w:cstheme="minorEastAsia"/>
          <w:b w:val="0"/>
          <w:color w:val="auto"/>
          <w:sz w:val="22"/>
          <w:szCs w:val="22"/>
          <w:lang w:val="en-US" w:eastAsia="zh-CN"/>
        </w:rPr>
        <w:t>23</w:t>
      </w:r>
      <w:r>
        <w:rPr>
          <w:rFonts w:hint="eastAsia" w:asciiTheme="minorEastAsia" w:hAnsiTheme="minorEastAsia" w:eastAsiaTheme="minorEastAsia" w:cstheme="minorEastAsia"/>
          <w:b w:val="0"/>
          <w:color w:val="auto"/>
          <w:sz w:val="22"/>
          <w:szCs w:val="22"/>
        </w:rPr>
        <w:t>日北京时间09:</w:t>
      </w:r>
      <w:bookmarkEnd w:id="35"/>
      <w:r>
        <w:rPr>
          <w:rFonts w:hint="eastAsia" w:asciiTheme="minorEastAsia" w:hAnsiTheme="minorEastAsia" w:eastAsiaTheme="minorEastAsia" w:cstheme="minorEastAsia"/>
          <w:b w:val="0"/>
          <w:color w:val="auto"/>
          <w:sz w:val="22"/>
          <w:szCs w:val="22"/>
        </w:rPr>
        <w:t>00</w:t>
      </w:r>
    </w:p>
    <w:p w14:paraId="12CA10E7">
      <w:pPr>
        <w:pStyle w:val="3"/>
        <w:spacing w:before="0" w:after="0" w:line="360" w:lineRule="auto"/>
        <w:ind w:firstLine="440" w:firstLineChars="200"/>
        <w:rPr>
          <w:rFonts w:hint="eastAsia" w:asciiTheme="minorEastAsia" w:hAnsiTheme="minorEastAsia" w:eastAsiaTheme="minorEastAsia" w:cstheme="minorEastAsia"/>
          <w:b w:val="0"/>
          <w:color w:val="auto"/>
          <w:sz w:val="22"/>
          <w:szCs w:val="22"/>
        </w:rPr>
      </w:pPr>
      <w:bookmarkStart w:id="37" w:name="_Toc29271"/>
      <w:r>
        <w:rPr>
          <w:rFonts w:hint="eastAsia" w:asciiTheme="minorEastAsia" w:hAnsiTheme="minorEastAsia" w:eastAsiaTheme="minorEastAsia" w:cstheme="minorEastAsia"/>
          <w:b w:val="0"/>
          <w:color w:val="auto"/>
          <w:sz w:val="22"/>
          <w:szCs w:val="22"/>
        </w:rPr>
        <w:t>5.3竞标文件递交截止时间：2026年</w:t>
      </w:r>
      <w:r>
        <w:rPr>
          <w:rFonts w:hint="eastAsia" w:asciiTheme="minorEastAsia" w:hAnsiTheme="minorEastAsia" w:eastAsiaTheme="minorEastAsia" w:cstheme="minorEastAsia"/>
          <w:b w:val="0"/>
          <w:color w:val="auto"/>
          <w:sz w:val="22"/>
          <w:szCs w:val="22"/>
          <w:lang w:val="en-US" w:eastAsia="zh-CN"/>
        </w:rPr>
        <w:t>3</w:t>
      </w:r>
      <w:r>
        <w:rPr>
          <w:rFonts w:hint="eastAsia" w:asciiTheme="minorEastAsia" w:hAnsiTheme="minorEastAsia" w:eastAsiaTheme="minorEastAsia" w:cstheme="minorEastAsia"/>
          <w:b w:val="0"/>
          <w:color w:val="auto"/>
          <w:sz w:val="22"/>
          <w:szCs w:val="22"/>
        </w:rPr>
        <w:t>月</w:t>
      </w:r>
      <w:r>
        <w:rPr>
          <w:rFonts w:hint="eastAsia" w:asciiTheme="minorEastAsia" w:hAnsiTheme="minorEastAsia" w:eastAsiaTheme="minorEastAsia" w:cstheme="minorEastAsia"/>
          <w:b w:val="0"/>
          <w:color w:val="auto"/>
          <w:sz w:val="22"/>
          <w:szCs w:val="22"/>
          <w:lang w:val="en-US" w:eastAsia="zh-CN"/>
        </w:rPr>
        <w:t>23</w:t>
      </w:r>
      <w:r>
        <w:rPr>
          <w:rFonts w:hint="eastAsia" w:asciiTheme="minorEastAsia" w:hAnsiTheme="minorEastAsia" w:eastAsiaTheme="minorEastAsia" w:cstheme="minorEastAsia"/>
          <w:b w:val="0"/>
          <w:color w:val="auto"/>
          <w:sz w:val="22"/>
          <w:szCs w:val="22"/>
        </w:rPr>
        <w:t>日北京时间10:00</w:t>
      </w:r>
      <w:bookmarkEnd w:id="37"/>
    </w:p>
    <w:p w14:paraId="6CF737B8">
      <w:pPr>
        <w:pStyle w:val="3"/>
        <w:spacing w:before="0" w:after="0" w:line="360" w:lineRule="auto"/>
        <w:ind w:firstLine="643"/>
        <w:rPr>
          <w:rFonts w:hint="eastAsia" w:asciiTheme="minorEastAsia" w:hAnsiTheme="minorEastAsia" w:eastAsiaTheme="minorEastAsia"/>
          <w:color w:val="auto"/>
          <w:szCs w:val="32"/>
        </w:rPr>
      </w:pPr>
      <w:bookmarkStart w:id="38" w:name="_Toc6209"/>
      <w:r>
        <w:rPr>
          <w:rFonts w:asciiTheme="minorEastAsia" w:hAnsiTheme="minorEastAsia" w:eastAsiaTheme="minorEastAsia"/>
          <w:color w:val="auto"/>
          <w:szCs w:val="32"/>
        </w:rPr>
        <w:t xml:space="preserve">6. </w:t>
      </w:r>
      <w:r>
        <w:rPr>
          <w:rFonts w:hint="eastAsia" w:asciiTheme="minorEastAsia" w:hAnsiTheme="minorEastAsia" w:eastAsiaTheme="minorEastAsia"/>
          <w:color w:val="auto"/>
          <w:szCs w:val="32"/>
        </w:rPr>
        <w:t>发布公告的媒介</w:t>
      </w:r>
      <w:bookmarkEnd w:id="36"/>
      <w:bookmarkEnd w:id="38"/>
    </w:p>
    <w:p w14:paraId="63218AD3">
      <w:pPr>
        <w:tabs>
          <w:tab w:val="left" w:pos="4950"/>
        </w:tabs>
        <w:autoSpaceDE w:val="0"/>
        <w:autoSpaceDN w:val="0"/>
        <w:adjustRightInd w:val="0"/>
        <w:snapToGrid w:val="0"/>
        <w:spacing w:line="360" w:lineRule="auto"/>
        <w:ind w:firstLine="440" w:firstLineChars="200"/>
        <w:rPr>
          <w:rFonts w:hint="eastAsia" w:ascii="宋体" w:hAnsi="宋体"/>
          <w:snapToGrid w:val="0"/>
          <w:color w:val="auto"/>
          <w:kern w:val="0"/>
          <w:sz w:val="22"/>
        </w:rPr>
      </w:pPr>
      <w:r>
        <w:rPr>
          <w:rFonts w:ascii="宋体" w:hAnsi="宋体"/>
          <w:snapToGrid w:val="0"/>
          <w:color w:val="auto"/>
          <w:kern w:val="0"/>
          <w:sz w:val="22"/>
        </w:rPr>
        <w:t>本次</w:t>
      </w:r>
      <w:r>
        <w:rPr>
          <w:rFonts w:hint="eastAsia" w:ascii="宋体" w:hAnsi="宋体"/>
          <w:snapToGrid w:val="0"/>
          <w:color w:val="auto"/>
          <w:kern w:val="0"/>
          <w:sz w:val="22"/>
        </w:rPr>
        <w:t>比选</w:t>
      </w:r>
      <w:r>
        <w:rPr>
          <w:rFonts w:ascii="宋体" w:hAnsi="宋体"/>
          <w:snapToGrid w:val="0"/>
          <w:color w:val="auto"/>
          <w:kern w:val="0"/>
          <w:sz w:val="22"/>
        </w:rPr>
        <w:t>公告在</w:t>
      </w:r>
      <w:r>
        <w:rPr>
          <w:rFonts w:hint="eastAsia" w:ascii="宋体" w:hAnsi="宋体"/>
          <w:snapToGrid w:val="0"/>
          <w:color w:val="auto"/>
          <w:kern w:val="0"/>
          <w:sz w:val="22"/>
          <w:u w:val="single"/>
        </w:rPr>
        <w:t>行采家（https://www.gec123.com/）</w:t>
      </w:r>
      <w:r>
        <w:rPr>
          <w:rFonts w:ascii="宋体" w:hAnsi="宋体"/>
          <w:snapToGrid w:val="0"/>
          <w:color w:val="auto"/>
          <w:kern w:val="0"/>
          <w:sz w:val="22"/>
        </w:rPr>
        <w:t>上发布。</w:t>
      </w:r>
    </w:p>
    <w:p w14:paraId="18D79998">
      <w:pPr>
        <w:pStyle w:val="3"/>
        <w:spacing w:before="0" w:after="0" w:line="360" w:lineRule="auto"/>
        <w:ind w:firstLine="643"/>
        <w:rPr>
          <w:rFonts w:hint="eastAsia" w:asciiTheme="minorEastAsia" w:hAnsiTheme="minorEastAsia" w:eastAsiaTheme="minorEastAsia"/>
          <w:color w:val="auto"/>
          <w:szCs w:val="32"/>
        </w:rPr>
      </w:pPr>
      <w:bookmarkStart w:id="39" w:name="_Toc6950"/>
      <w:bookmarkStart w:id="40" w:name="_Toc492300552"/>
      <w:r>
        <w:rPr>
          <w:rFonts w:asciiTheme="minorEastAsia" w:hAnsiTheme="minorEastAsia" w:eastAsiaTheme="minorEastAsia"/>
          <w:color w:val="auto"/>
          <w:szCs w:val="32"/>
        </w:rPr>
        <w:t xml:space="preserve">7. </w:t>
      </w:r>
      <w:r>
        <w:rPr>
          <w:rFonts w:hint="eastAsia" w:asciiTheme="minorEastAsia" w:hAnsiTheme="minorEastAsia" w:eastAsiaTheme="minorEastAsia"/>
          <w:color w:val="auto"/>
          <w:szCs w:val="32"/>
        </w:rPr>
        <w:t>联系方式</w:t>
      </w:r>
      <w:bookmarkEnd w:id="39"/>
      <w:bookmarkEnd w:id="40"/>
    </w:p>
    <w:bookmarkEnd w:id="5"/>
    <w:bookmarkEnd w:id="6"/>
    <w:bookmarkEnd w:id="7"/>
    <w:tbl>
      <w:tblPr>
        <w:tblStyle w:val="40"/>
        <w:tblW w:w="10264" w:type="dxa"/>
        <w:tblInd w:w="-106" w:type="dxa"/>
        <w:tblLayout w:type="fixed"/>
        <w:tblCellMar>
          <w:top w:w="0" w:type="dxa"/>
          <w:left w:w="108" w:type="dxa"/>
          <w:bottom w:w="0" w:type="dxa"/>
          <w:right w:w="108" w:type="dxa"/>
        </w:tblCellMar>
      </w:tblPr>
      <w:tblGrid>
        <w:gridCol w:w="4811"/>
        <w:gridCol w:w="5453"/>
      </w:tblGrid>
      <w:tr w14:paraId="595BEDA0">
        <w:tblPrEx>
          <w:tblCellMar>
            <w:top w:w="0" w:type="dxa"/>
            <w:left w:w="108" w:type="dxa"/>
            <w:bottom w:w="0" w:type="dxa"/>
            <w:right w:w="108" w:type="dxa"/>
          </w:tblCellMar>
        </w:tblPrEx>
        <w:trPr>
          <w:cantSplit/>
          <w:trHeight w:val="340" w:hRule="atLeast"/>
        </w:trPr>
        <w:tc>
          <w:tcPr>
            <w:tcW w:w="4811" w:type="dxa"/>
            <w:vAlign w:val="center"/>
          </w:tcPr>
          <w:p w14:paraId="222C2700">
            <w:pPr>
              <w:snapToGrid w:val="0"/>
              <w:spacing w:line="360" w:lineRule="auto"/>
              <w:ind w:firstLine="440"/>
              <w:rPr>
                <w:rFonts w:hint="eastAsia" w:ascii="宋体" w:hAnsi="宋体" w:cs="宋体"/>
                <w:color w:val="auto"/>
                <w:sz w:val="22"/>
                <w:szCs w:val="24"/>
              </w:rPr>
            </w:pPr>
            <w:bookmarkStart w:id="41" w:name="_Toc247527536"/>
            <w:bookmarkEnd w:id="41"/>
            <w:bookmarkStart w:id="42" w:name="_Toc247513934"/>
            <w:bookmarkEnd w:id="42"/>
            <w:bookmarkStart w:id="43" w:name="_Toc17972"/>
            <w:bookmarkEnd w:id="43"/>
            <w:bookmarkStart w:id="44" w:name="_Toc361508563"/>
            <w:bookmarkEnd w:id="44"/>
            <w:bookmarkStart w:id="45" w:name="_Toc144974480"/>
            <w:bookmarkEnd w:id="45"/>
            <w:bookmarkStart w:id="46" w:name="_Toc369531495"/>
            <w:bookmarkEnd w:id="46"/>
            <w:bookmarkStart w:id="47" w:name="_Toc361508560"/>
            <w:bookmarkEnd w:id="47"/>
            <w:bookmarkStart w:id="48" w:name="_Toc152045512"/>
            <w:bookmarkEnd w:id="48"/>
            <w:bookmarkStart w:id="49" w:name="_Toc247513935"/>
            <w:bookmarkEnd w:id="49"/>
            <w:bookmarkStart w:id="50" w:name="_Toc384308185"/>
            <w:bookmarkEnd w:id="50"/>
            <w:bookmarkStart w:id="51" w:name="_Toc369531497"/>
            <w:bookmarkEnd w:id="51"/>
            <w:bookmarkStart w:id="52" w:name="_Toc152042289"/>
            <w:bookmarkEnd w:id="52"/>
            <w:bookmarkStart w:id="53" w:name="_Toc10785"/>
            <w:bookmarkEnd w:id="53"/>
            <w:bookmarkStart w:id="54" w:name="_Toc247527535"/>
            <w:bookmarkEnd w:id="54"/>
            <w:bookmarkStart w:id="55" w:name="_Toc352691455"/>
            <w:bookmarkEnd w:id="55"/>
            <w:bookmarkStart w:id="56" w:name="_Toc152042288"/>
            <w:bookmarkEnd w:id="56"/>
            <w:bookmarkStart w:id="57" w:name="_Toc300834930"/>
            <w:bookmarkEnd w:id="57"/>
            <w:bookmarkStart w:id="58" w:name="_Toc384308187"/>
            <w:bookmarkEnd w:id="58"/>
            <w:bookmarkStart w:id="59" w:name="_Toc352691453"/>
            <w:bookmarkEnd w:id="59"/>
            <w:bookmarkStart w:id="60" w:name="_Toc361508562"/>
            <w:bookmarkEnd w:id="60"/>
            <w:bookmarkStart w:id="61" w:name="_Toc144974481"/>
            <w:bookmarkEnd w:id="61"/>
            <w:bookmarkStart w:id="62" w:name="_Toc300834929"/>
            <w:bookmarkEnd w:id="62"/>
            <w:bookmarkStart w:id="63" w:name="_Toc369531498"/>
            <w:bookmarkEnd w:id="63"/>
            <w:bookmarkStart w:id="64" w:name="_Toc30817"/>
            <w:bookmarkEnd w:id="64"/>
            <w:bookmarkStart w:id="65" w:name="_Toc384308188"/>
            <w:bookmarkEnd w:id="65"/>
            <w:bookmarkStart w:id="66" w:name="_Toc300834927"/>
            <w:bookmarkEnd w:id="66"/>
            <w:bookmarkStart w:id="67" w:name="_Toc152045513"/>
            <w:bookmarkEnd w:id="67"/>
            <w:bookmarkStart w:id="68" w:name="_Toc352691456"/>
            <w:bookmarkEnd w:id="68"/>
            <w:r>
              <w:rPr>
                <w:rFonts w:hint="eastAsia" w:ascii="宋体" w:hAnsi="宋体" w:cs="宋体"/>
                <w:color w:val="auto"/>
                <w:sz w:val="22"/>
                <w:szCs w:val="24"/>
              </w:rPr>
              <w:t>比选人：重庆文理学院</w:t>
            </w:r>
          </w:p>
        </w:tc>
        <w:tc>
          <w:tcPr>
            <w:tcW w:w="5453" w:type="dxa"/>
            <w:vAlign w:val="center"/>
          </w:tcPr>
          <w:p w14:paraId="12E0E91E">
            <w:pPr>
              <w:pStyle w:val="21"/>
              <w:snapToGrid w:val="0"/>
              <w:spacing w:line="360" w:lineRule="auto"/>
              <w:ind w:left="1100" w:hanging="1100" w:hangingChars="500"/>
              <w:rPr>
                <w:rFonts w:hint="eastAsia" w:hAnsi="宋体" w:cs="宋体"/>
                <w:color w:val="auto"/>
                <w:kern w:val="0"/>
                <w:sz w:val="22"/>
                <w:szCs w:val="24"/>
              </w:rPr>
            </w:pPr>
            <w:r>
              <w:rPr>
                <w:rFonts w:hint="eastAsia" w:hAnsi="宋体" w:cs="宋体"/>
                <w:color w:val="auto"/>
                <w:kern w:val="0"/>
                <w:sz w:val="22"/>
                <w:szCs w:val="24"/>
              </w:rPr>
              <w:t xml:space="preserve">比选代理机构：重庆渝强工程项目管理有限公司 </w:t>
            </w:r>
          </w:p>
        </w:tc>
      </w:tr>
      <w:tr w14:paraId="2CE47CB3">
        <w:tblPrEx>
          <w:tblCellMar>
            <w:top w:w="0" w:type="dxa"/>
            <w:left w:w="108" w:type="dxa"/>
            <w:bottom w:w="0" w:type="dxa"/>
            <w:right w:w="108" w:type="dxa"/>
          </w:tblCellMar>
        </w:tblPrEx>
        <w:trPr>
          <w:cantSplit/>
          <w:trHeight w:val="340" w:hRule="atLeast"/>
        </w:trPr>
        <w:tc>
          <w:tcPr>
            <w:tcW w:w="4811" w:type="dxa"/>
            <w:vAlign w:val="center"/>
          </w:tcPr>
          <w:p w14:paraId="36B80923">
            <w:pPr>
              <w:snapToGrid w:val="0"/>
              <w:spacing w:line="360" w:lineRule="auto"/>
              <w:ind w:firstLine="440"/>
              <w:rPr>
                <w:rFonts w:hint="eastAsia" w:ascii="宋体" w:hAnsi="宋体" w:cs="宋体"/>
                <w:color w:val="auto"/>
                <w:sz w:val="22"/>
                <w:szCs w:val="24"/>
              </w:rPr>
            </w:pPr>
            <w:r>
              <w:rPr>
                <w:rFonts w:hint="eastAsia" w:ascii="宋体" w:hAnsi="宋体" w:cs="宋体"/>
                <w:color w:val="auto"/>
                <w:sz w:val="22"/>
                <w:szCs w:val="24"/>
              </w:rPr>
              <w:t>地址：重庆市永川区红河大道319号</w:t>
            </w:r>
            <w:r>
              <w:rPr>
                <w:rFonts w:hint="eastAsia" w:ascii="宋体" w:hAnsi="宋体" w:cs="宋体"/>
                <w:color w:val="auto"/>
                <w:kern w:val="0"/>
                <w:sz w:val="22"/>
              </w:rPr>
              <w:t xml:space="preserve"> </w:t>
            </w:r>
          </w:p>
        </w:tc>
        <w:tc>
          <w:tcPr>
            <w:tcW w:w="5453" w:type="dxa"/>
            <w:vAlign w:val="center"/>
          </w:tcPr>
          <w:p w14:paraId="4D4360C6">
            <w:pPr>
              <w:pStyle w:val="21"/>
              <w:snapToGrid w:val="0"/>
              <w:spacing w:line="360" w:lineRule="auto"/>
              <w:ind w:left="1100" w:hanging="1100" w:hangingChars="500"/>
              <w:rPr>
                <w:rFonts w:hint="eastAsia" w:hAnsi="宋体" w:cs="宋体"/>
                <w:color w:val="auto"/>
                <w:kern w:val="0"/>
                <w:sz w:val="22"/>
                <w:szCs w:val="24"/>
              </w:rPr>
            </w:pPr>
            <w:r>
              <w:rPr>
                <w:rFonts w:hint="eastAsia" w:hAnsi="宋体" w:cs="宋体"/>
                <w:color w:val="auto"/>
                <w:kern w:val="0"/>
                <w:sz w:val="22"/>
                <w:szCs w:val="24"/>
              </w:rPr>
              <w:t>地址：重庆市两江新区金开大道协信星光天地4幢15-3</w:t>
            </w:r>
          </w:p>
        </w:tc>
      </w:tr>
      <w:tr w14:paraId="34BBFE7F">
        <w:tblPrEx>
          <w:tblCellMar>
            <w:top w:w="0" w:type="dxa"/>
            <w:left w:w="108" w:type="dxa"/>
            <w:bottom w:w="0" w:type="dxa"/>
            <w:right w:w="108" w:type="dxa"/>
          </w:tblCellMar>
        </w:tblPrEx>
        <w:trPr>
          <w:cantSplit/>
          <w:trHeight w:val="340" w:hRule="atLeast"/>
        </w:trPr>
        <w:tc>
          <w:tcPr>
            <w:tcW w:w="4811" w:type="dxa"/>
            <w:vAlign w:val="center"/>
          </w:tcPr>
          <w:p w14:paraId="5490A0AA">
            <w:pPr>
              <w:snapToGrid w:val="0"/>
              <w:spacing w:line="360" w:lineRule="auto"/>
              <w:ind w:firstLine="440"/>
              <w:rPr>
                <w:rFonts w:hint="eastAsia" w:ascii="宋体" w:hAnsi="宋体" w:cs="宋体"/>
                <w:color w:val="auto"/>
                <w:sz w:val="22"/>
                <w:szCs w:val="24"/>
              </w:rPr>
            </w:pPr>
            <w:r>
              <w:rPr>
                <w:rFonts w:hint="eastAsia" w:ascii="宋体" w:hAnsi="宋体" w:cs="宋体"/>
                <w:color w:val="auto"/>
                <w:sz w:val="22"/>
                <w:szCs w:val="24"/>
              </w:rPr>
              <w:t>联系人：宫老师 宋</w:t>
            </w:r>
            <w:r>
              <w:rPr>
                <w:rFonts w:hint="eastAsia" w:ascii="宋体" w:hAnsi="宋体"/>
                <w:color w:val="auto"/>
                <w:sz w:val="22"/>
                <w:szCs w:val="24"/>
              </w:rPr>
              <w:t>老师</w:t>
            </w:r>
          </w:p>
        </w:tc>
        <w:tc>
          <w:tcPr>
            <w:tcW w:w="5453" w:type="dxa"/>
            <w:vAlign w:val="center"/>
          </w:tcPr>
          <w:p w14:paraId="4B707818">
            <w:pPr>
              <w:pStyle w:val="21"/>
              <w:snapToGrid w:val="0"/>
              <w:spacing w:line="360" w:lineRule="auto"/>
              <w:ind w:left="1100" w:hanging="1100" w:hangingChars="500"/>
              <w:rPr>
                <w:rFonts w:hint="eastAsia" w:hAnsi="宋体" w:cs="宋体"/>
                <w:color w:val="auto"/>
                <w:kern w:val="0"/>
                <w:sz w:val="22"/>
                <w:szCs w:val="24"/>
              </w:rPr>
            </w:pPr>
            <w:r>
              <w:rPr>
                <w:rFonts w:hint="eastAsia" w:hAnsi="宋体" w:cs="宋体"/>
                <w:color w:val="auto"/>
                <w:kern w:val="0"/>
                <w:sz w:val="22"/>
                <w:szCs w:val="24"/>
              </w:rPr>
              <w:t>联系人：张老师</w:t>
            </w:r>
          </w:p>
        </w:tc>
      </w:tr>
      <w:tr w14:paraId="1AF7B7C0">
        <w:tblPrEx>
          <w:tblCellMar>
            <w:top w:w="0" w:type="dxa"/>
            <w:left w:w="108" w:type="dxa"/>
            <w:bottom w:w="0" w:type="dxa"/>
            <w:right w:w="108" w:type="dxa"/>
          </w:tblCellMar>
        </w:tblPrEx>
        <w:trPr>
          <w:cantSplit/>
          <w:trHeight w:val="340" w:hRule="atLeast"/>
        </w:trPr>
        <w:tc>
          <w:tcPr>
            <w:tcW w:w="4811" w:type="dxa"/>
            <w:vAlign w:val="center"/>
          </w:tcPr>
          <w:p w14:paraId="2B1F1672">
            <w:pPr>
              <w:snapToGrid w:val="0"/>
              <w:spacing w:line="360" w:lineRule="auto"/>
              <w:ind w:firstLine="440"/>
              <w:rPr>
                <w:rFonts w:hint="eastAsia" w:ascii="宋体" w:hAnsi="宋体" w:cs="宋体"/>
                <w:color w:val="auto"/>
                <w:sz w:val="22"/>
                <w:szCs w:val="24"/>
              </w:rPr>
            </w:pPr>
            <w:r>
              <w:rPr>
                <w:rFonts w:hint="eastAsia" w:ascii="宋体" w:hAnsi="宋体" w:cs="宋体"/>
                <w:color w:val="auto"/>
                <w:sz w:val="22"/>
                <w:szCs w:val="24"/>
              </w:rPr>
              <w:t xml:space="preserve">电  话：023-49891783 </w:t>
            </w:r>
          </w:p>
        </w:tc>
        <w:tc>
          <w:tcPr>
            <w:tcW w:w="5453" w:type="dxa"/>
            <w:vAlign w:val="center"/>
          </w:tcPr>
          <w:p w14:paraId="62ACD1C1">
            <w:pPr>
              <w:pStyle w:val="21"/>
              <w:snapToGrid w:val="0"/>
              <w:spacing w:line="360" w:lineRule="auto"/>
              <w:ind w:left="1100" w:hanging="1100" w:hangingChars="500"/>
              <w:rPr>
                <w:rFonts w:hint="eastAsia" w:hAnsi="宋体" w:cs="宋体"/>
                <w:color w:val="auto"/>
                <w:kern w:val="0"/>
                <w:sz w:val="22"/>
                <w:szCs w:val="24"/>
              </w:rPr>
            </w:pPr>
            <w:r>
              <w:rPr>
                <w:rFonts w:hint="eastAsia" w:hAnsi="宋体" w:cs="宋体"/>
                <w:color w:val="auto"/>
                <w:kern w:val="0"/>
                <w:sz w:val="22"/>
                <w:szCs w:val="24"/>
              </w:rPr>
              <w:t>电话：023-67721286</w:t>
            </w:r>
          </w:p>
        </w:tc>
      </w:tr>
    </w:tbl>
    <w:p w14:paraId="2C51040A">
      <w:pPr>
        <w:tabs>
          <w:tab w:val="left" w:pos="5140"/>
          <w:tab w:val="left" w:pos="8420"/>
        </w:tabs>
        <w:autoSpaceDE w:val="0"/>
        <w:autoSpaceDN w:val="0"/>
        <w:adjustRightInd w:val="0"/>
        <w:snapToGrid w:val="0"/>
        <w:spacing w:line="360" w:lineRule="auto"/>
        <w:ind w:firstLine="440"/>
        <w:jc w:val="left"/>
        <w:rPr>
          <w:rFonts w:hint="eastAsia" w:ascii="宋体" w:hAnsi="宋体"/>
          <w:snapToGrid w:val="0"/>
          <w:color w:val="auto"/>
          <w:kern w:val="0"/>
          <w:sz w:val="22"/>
          <w:u w:val="single"/>
        </w:rPr>
      </w:pPr>
    </w:p>
    <w:p w14:paraId="3B14AB74">
      <w:pPr>
        <w:ind w:firstLine="440"/>
        <w:rPr>
          <w:rFonts w:hint="eastAsia" w:asciiTheme="minorEastAsia" w:hAnsiTheme="minorEastAsia" w:eastAsiaTheme="minorEastAsia"/>
          <w:snapToGrid w:val="0"/>
          <w:color w:val="auto"/>
          <w:kern w:val="0"/>
          <w:sz w:val="22"/>
          <w:szCs w:val="24"/>
        </w:rPr>
      </w:pPr>
      <w:bookmarkStart w:id="69" w:name="_Toc57820558"/>
      <w:r>
        <w:rPr>
          <w:rFonts w:asciiTheme="minorEastAsia" w:hAnsiTheme="minorEastAsia" w:eastAsiaTheme="minorEastAsia"/>
          <w:snapToGrid w:val="0"/>
          <w:color w:val="auto"/>
          <w:kern w:val="0"/>
          <w:sz w:val="22"/>
          <w:szCs w:val="24"/>
        </w:rPr>
        <w:br w:type="page"/>
      </w:r>
      <w:bookmarkStart w:id="538" w:name="_GoBack"/>
      <w:bookmarkEnd w:id="538"/>
    </w:p>
    <w:p w14:paraId="23026758">
      <w:pPr>
        <w:pStyle w:val="2"/>
        <w:spacing w:before="0" w:after="0" w:line="360" w:lineRule="auto"/>
        <w:ind w:firstLine="964"/>
        <w:jc w:val="center"/>
        <w:rPr>
          <w:rFonts w:hint="eastAsia" w:asciiTheme="minorEastAsia" w:hAnsiTheme="minorEastAsia" w:eastAsiaTheme="minorEastAsia"/>
          <w:color w:val="auto"/>
          <w:sz w:val="48"/>
          <w:szCs w:val="21"/>
        </w:rPr>
      </w:pPr>
      <w:bookmarkStart w:id="70" w:name="_Toc16764"/>
      <w:r>
        <w:rPr>
          <w:rFonts w:asciiTheme="minorEastAsia" w:hAnsiTheme="minorEastAsia" w:eastAsiaTheme="minorEastAsia"/>
          <w:snapToGrid w:val="0"/>
          <w:color w:val="auto"/>
          <w:kern w:val="0"/>
          <w:sz w:val="48"/>
          <w:szCs w:val="21"/>
        </w:rPr>
        <w:t>第二章</w:t>
      </w:r>
      <w:r>
        <w:rPr>
          <w:rFonts w:hint="eastAsia" w:asciiTheme="minorEastAsia" w:hAnsiTheme="minorEastAsia" w:eastAsiaTheme="minorEastAsia"/>
          <w:snapToGrid w:val="0"/>
          <w:color w:val="auto"/>
          <w:kern w:val="0"/>
          <w:sz w:val="48"/>
          <w:szCs w:val="21"/>
        </w:rPr>
        <w:t xml:space="preserve">  </w:t>
      </w:r>
      <w:r>
        <w:rPr>
          <w:rFonts w:asciiTheme="minorEastAsia" w:hAnsiTheme="minorEastAsia" w:eastAsiaTheme="minorEastAsia"/>
          <w:snapToGrid w:val="0"/>
          <w:color w:val="auto"/>
          <w:kern w:val="0"/>
          <w:sz w:val="48"/>
          <w:szCs w:val="21"/>
        </w:rPr>
        <w:t>竞标人须知</w:t>
      </w:r>
      <w:bookmarkEnd w:id="69"/>
      <w:bookmarkEnd w:id="70"/>
    </w:p>
    <w:p w14:paraId="2E436B85">
      <w:pPr>
        <w:pStyle w:val="3"/>
        <w:spacing w:before="0" w:after="0" w:line="360" w:lineRule="auto"/>
        <w:ind w:firstLine="723"/>
        <w:rPr>
          <w:rFonts w:hint="eastAsia" w:ascii="宋体" w:hAnsi="宋体" w:eastAsia="宋体"/>
          <w:bCs/>
          <w:color w:val="auto"/>
          <w:sz w:val="36"/>
          <w:szCs w:val="36"/>
        </w:rPr>
      </w:pPr>
      <w:bookmarkStart w:id="71" w:name="_Toc492300563"/>
      <w:bookmarkStart w:id="72" w:name="_Toc11542"/>
      <w:r>
        <w:rPr>
          <w:rFonts w:ascii="宋体" w:hAnsi="宋体" w:eastAsia="宋体"/>
          <w:bCs/>
          <w:color w:val="auto"/>
          <w:sz w:val="36"/>
          <w:szCs w:val="36"/>
        </w:rPr>
        <w:t>竞标人须知前附表</w:t>
      </w:r>
      <w:bookmarkEnd w:id="71"/>
      <w:bookmarkEnd w:id="72"/>
    </w:p>
    <w:tbl>
      <w:tblPr>
        <w:tblStyle w:val="40"/>
        <w:tblW w:w="10068" w:type="dxa"/>
        <w:jc w:val="center"/>
        <w:tblLayout w:type="autofit"/>
        <w:tblCellMar>
          <w:top w:w="0" w:type="dxa"/>
          <w:left w:w="108" w:type="dxa"/>
          <w:bottom w:w="0" w:type="dxa"/>
          <w:right w:w="108" w:type="dxa"/>
        </w:tblCellMar>
      </w:tblPr>
      <w:tblGrid>
        <w:gridCol w:w="1111"/>
        <w:gridCol w:w="1491"/>
        <w:gridCol w:w="7466"/>
      </w:tblGrid>
      <w:tr w14:paraId="3CE082CF">
        <w:tblPrEx>
          <w:tblCellMar>
            <w:top w:w="0" w:type="dxa"/>
            <w:left w:w="108" w:type="dxa"/>
            <w:bottom w:w="0" w:type="dxa"/>
            <w:right w:w="108" w:type="dxa"/>
          </w:tblCellMar>
        </w:tblPrEx>
        <w:trPr>
          <w:tblHeader/>
          <w:jc w:val="center"/>
        </w:trPr>
        <w:tc>
          <w:tcPr>
            <w:tcW w:w="1111" w:type="dxa"/>
            <w:tcBorders>
              <w:top w:val="single" w:color="auto" w:sz="4" w:space="0"/>
              <w:left w:val="single" w:color="auto" w:sz="4" w:space="0"/>
              <w:bottom w:val="single" w:color="auto" w:sz="4" w:space="0"/>
              <w:right w:val="single" w:color="auto" w:sz="4" w:space="0"/>
            </w:tcBorders>
            <w:vAlign w:val="center"/>
          </w:tcPr>
          <w:p w14:paraId="6B808AE8">
            <w:pPr>
              <w:snapToGrid w:val="0"/>
              <w:spacing w:line="360" w:lineRule="auto"/>
              <w:jc w:val="center"/>
              <w:rPr>
                <w:rFonts w:hint="eastAsia" w:ascii="宋体" w:hAnsi="宋体" w:cs="宋体"/>
                <w:b/>
                <w:color w:val="auto"/>
                <w:sz w:val="22"/>
              </w:rPr>
            </w:pPr>
            <w:r>
              <w:rPr>
                <w:rFonts w:hint="eastAsia" w:ascii="宋体" w:hAnsi="宋体" w:cs="宋体"/>
                <w:b/>
                <w:color w:val="auto"/>
                <w:sz w:val="22"/>
              </w:rPr>
              <w:t>条款号</w:t>
            </w:r>
          </w:p>
        </w:tc>
        <w:tc>
          <w:tcPr>
            <w:tcW w:w="1491" w:type="dxa"/>
            <w:tcBorders>
              <w:top w:val="single" w:color="auto" w:sz="4" w:space="0"/>
              <w:left w:val="single" w:color="auto" w:sz="4" w:space="0"/>
              <w:bottom w:val="single" w:color="auto" w:sz="4" w:space="0"/>
              <w:right w:val="single" w:color="auto" w:sz="4" w:space="0"/>
            </w:tcBorders>
            <w:vAlign w:val="center"/>
          </w:tcPr>
          <w:p w14:paraId="3D5DCBF6">
            <w:pPr>
              <w:snapToGrid w:val="0"/>
              <w:jc w:val="center"/>
              <w:rPr>
                <w:rFonts w:hint="eastAsia" w:ascii="宋体" w:hAnsi="宋体" w:cs="宋体"/>
                <w:b/>
                <w:color w:val="auto"/>
                <w:sz w:val="22"/>
              </w:rPr>
            </w:pPr>
            <w:r>
              <w:rPr>
                <w:rFonts w:hint="eastAsia" w:ascii="宋体" w:hAnsi="宋体" w:cs="宋体"/>
                <w:b/>
                <w:color w:val="auto"/>
                <w:sz w:val="22"/>
              </w:rPr>
              <w:t>条款名称</w:t>
            </w:r>
          </w:p>
        </w:tc>
        <w:tc>
          <w:tcPr>
            <w:tcW w:w="7466" w:type="dxa"/>
            <w:tcBorders>
              <w:top w:val="single" w:color="auto" w:sz="4" w:space="0"/>
              <w:left w:val="single" w:color="auto" w:sz="4" w:space="0"/>
              <w:bottom w:val="single" w:color="auto" w:sz="4" w:space="0"/>
              <w:right w:val="single" w:color="auto" w:sz="4" w:space="0"/>
            </w:tcBorders>
            <w:vAlign w:val="center"/>
          </w:tcPr>
          <w:p w14:paraId="52666293">
            <w:pPr>
              <w:snapToGrid w:val="0"/>
              <w:spacing w:line="360" w:lineRule="auto"/>
              <w:ind w:firstLine="442" w:firstLineChars="200"/>
              <w:jc w:val="center"/>
              <w:rPr>
                <w:rFonts w:hint="eastAsia" w:ascii="宋体" w:hAnsi="宋体" w:cs="宋体"/>
                <w:b/>
                <w:color w:val="auto"/>
                <w:sz w:val="22"/>
              </w:rPr>
            </w:pPr>
            <w:r>
              <w:rPr>
                <w:rFonts w:hint="eastAsia" w:ascii="宋体" w:hAnsi="宋体" w:cs="宋体"/>
                <w:b/>
                <w:color w:val="auto"/>
                <w:sz w:val="22"/>
              </w:rPr>
              <w:t>编列内容</w:t>
            </w:r>
          </w:p>
        </w:tc>
      </w:tr>
      <w:tr w14:paraId="4891A4BA">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0C071E23">
            <w:pPr>
              <w:snapToGrid w:val="0"/>
              <w:spacing w:line="360" w:lineRule="auto"/>
              <w:jc w:val="center"/>
              <w:rPr>
                <w:rFonts w:hint="eastAsia" w:ascii="宋体" w:hAnsi="宋体" w:cs="宋体"/>
                <w:color w:val="auto"/>
                <w:sz w:val="22"/>
              </w:rPr>
            </w:pPr>
            <w:r>
              <w:rPr>
                <w:rFonts w:hint="eastAsia" w:ascii="宋体" w:hAnsi="宋体" w:cs="宋体"/>
                <w:color w:val="auto"/>
                <w:sz w:val="22"/>
              </w:rPr>
              <w:t>1.1.2</w:t>
            </w:r>
          </w:p>
        </w:tc>
        <w:tc>
          <w:tcPr>
            <w:tcW w:w="1491" w:type="dxa"/>
            <w:tcBorders>
              <w:top w:val="single" w:color="auto" w:sz="4" w:space="0"/>
              <w:left w:val="single" w:color="auto" w:sz="4" w:space="0"/>
              <w:bottom w:val="single" w:color="auto" w:sz="4" w:space="0"/>
              <w:right w:val="single" w:color="auto" w:sz="4" w:space="0"/>
            </w:tcBorders>
            <w:vAlign w:val="center"/>
          </w:tcPr>
          <w:p w14:paraId="081BDD84">
            <w:pPr>
              <w:snapToGrid w:val="0"/>
              <w:jc w:val="center"/>
              <w:rPr>
                <w:rFonts w:hint="eastAsia" w:ascii="宋体" w:hAnsi="宋体" w:cs="宋体"/>
                <w:color w:val="auto"/>
                <w:sz w:val="22"/>
              </w:rPr>
            </w:pPr>
            <w:r>
              <w:rPr>
                <w:rFonts w:hint="eastAsia" w:ascii="宋体" w:hAnsi="宋体" w:cs="宋体"/>
                <w:color w:val="auto"/>
                <w:sz w:val="22"/>
              </w:rPr>
              <w:t>比选人</w:t>
            </w:r>
          </w:p>
        </w:tc>
        <w:tc>
          <w:tcPr>
            <w:tcW w:w="7466" w:type="dxa"/>
            <w:tcBorders>
              <w:top w:val="single" w:color="auto" w:sz="4" w:space="0"/>
              <w:left w:val="single" w:color="auto" w:sz="4" w:space="0"/>
              <w:bottom w:val="single" w:color="auto" w:sz="4" w:space="0"/>
              <w:right w:val="single" w:color="auto" w:sz="4" w:space="0"/>
            </w:tcBorders>
            <w:vAlign w:val="center"/>
          </w:tcPr>
          <w:p w14:paraId="300DB84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名称：重庆文理学院</w:t>
            </w:r>
          </w:p>
          <w:p w14:paraId="1963D696">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地址：重庆市永川区红河大道319号</w:t>
            </w:r>
          </w:p>
          <w:p w14:paraId="262BFAF5">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联系人：宫老师  宋老师</w:t>
            </w:r>
          </w:p>
          <w:p w14:paraId="004740E8">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 xml:space="preserve">电话：023-49891783 </w:t>
            </w:r>
          </w:p>
        </w:tc>
      </w:tr>
      <w:tr w14:paraId="08912271">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16694000">
            <w:pPr>
              <w:snapToGrid w:val="0"/>
              <w:spacing w:line="360" w:lineRule="auto"/>
              <w:jc w:val="center"/>
              <w:rPr>
                <w:rFonts w:hint="eastAsia" w:ascii="宋体" w:hAnsi="宋体" w:cs="宋体"/>
                <w:color w:val="auto"/>
                <w:sz w:val="22"/>
              </w:rPr>
            </w:pPr>
            <w:r>
              <w:rPr>
                <w:rFonts w:hint="eastAsia" w:ascii="宋体" w:hAnsi="宋体" w:cs="宋体"/>
                <w:color w:val="auto"/>
                <w:sz w:val="22"/>
              </w:rPr>
              <w:t>1.1.3</w:t>
            </w:r>
          </w:p>
        </w:tc>
        <w:tc>
          <w:tcPr>
            <w:tcW w:w="1491" w:type="dxa"/>
            <w:tcBorders>
              <w:top w:val="single" w:color="auto" w:sz="4" w:space="0"/>
              <w:left w:val="single" w:color="auto" w:sz="4" w:space="0"/>
              <w:bottom w:val="single" w:color="auto" w:sz="4" w:space="0"/>
              <w:right w:val="single" w:color="auto" w:sz="4" w:space="0"/>
            </w:tcBorders>
            <w:vAlign w:val="center"/>
          </w:tcPr>
          <w:p w14:paraId="5EC90C5A">
            <w:pPr>
              <w:snapToGrid w:val="0"/>
              <w:jc w:val="center"/>
              <w:rPr>
                <w:rFonts w:hint="eastAsia" w:ascii="宋体" w:hAnsi="宋体" w:cs="宋体"/>
                <w:color w:val="auto"/>
                <w:sz w:val="22"/>
              </w:rPr>
            </w:pPr>
            <w:r>
              <w:rPr>
                <w:rFonts w:hint="eastAsia" w:ascii="宋体" w:hAnsi="宋体" w:cs="宋体"/>
                <w:color w:val="auto"/>
                <w:sz w:val="22"/>
              </w:rPr>
              <w:t>比选代理</w:t>
            </w:r>
          </w:p>
          <w:p w14:paraId="61EBB60E">
            <w:pPr>
              <w:snapToGrid w:val="0"/>
              <w:jc w:val="center"/>
              <w:rPr>
                <w:rFonts w:hint="eastAsia" w:ascii="宋体" w:hAnsi="宋体" w:cs="宋体"/>
                <w:color w:val="auto"/>
                <w:sz w:val="22"/>
              </w:rPr>
            </w:pPr>
            <w:r>
              <w:rPr>
                <w:rFonts w:hint="eastAsia" w:ascii="宋体" w:hAnsi="宋体" w:cs="宋体"/>
                <w:color w:val="auto"/>
                <w:sz w:val="22"/>
              </w:rPr>
              <w:t>机构</w:t>
            </w:r>
          </w:p>
        </w:tc>
        <w:tc>
          <w:tcPr>
            <w:tcW w:w="7466" w:type="dxa"/>
            <w:tcBorders>
              <w:top w:val="single" w:color="auto" w:sz="4" w:space="0"/>
              <w:left w:val="single" w:color="auto" w:sz="4" w:space="0"/>
              <w:bottom w:val="single" w:color="auto" w:sz="4" w:space="0"/>
              <w:right w:val="single" w:color="auto" w:sz="4" w:space="0"/>
            </w:tcBorders>
            <w:vAlign w:val="center"/>
          </w:tcPr>
          <w:p w14:paraId="2AB41D5D">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 xml:space="preserve">名称：重庆渝强工程项目管理有限公司 </w:t>
            </w:r>
          </w:p>
          <w:p w14:paraId="5AD7504D">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kern w:val="0"/>
                <w:sz w:val="22"/>
              </w:rPr>
              <w:t>地址： 重庆市两江金开大道协信星光天地4幢15-3</w:t>
            </w:r>
          </w:p>
          <w:p w14:paraId="113079CF">
            <w:pPr>
              <w:pStyle w:val="16"/>
              <w:snapToGrid w:val="0"/>
              <w:spacing w:after="0" w:line="360" w:lineRule="auto"/>
              <w:ind w:firstLine="440" w:firstLineChars="200"/>
              <w:jc w:val="left"/>
              <w:rPr>
                <w:rFonts w:hint="eastAsia" w:ascii="宋体" w:hAnsi="宋体" w:cs="宋体"/>
                <w:color w:val="auto"/>
                <w:sz w:val="22"/>
                <w:szCs w:val="22"/>
              </w:rPr>
            </w:pPr>
            <w:r>
              <w:rPr>
                <w:rFonts w:hint="eastAsia" w:ascii="宋体" w:hAnsi="宋体" w:cs="宋体"/>
                <w:color w:val="auto"/>
                <w:kern w:val="0"/>
                <w:sz w:val="22"/>
                <w:szCs w:val="22"/>
              </w:rPr>
              <w:t>联系人：张老师</w:t>
            </w:r>
          </w:p>
          <w:p w14:paraId="0BBDB9E4">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kern w:val="0"/>
                <w:sz w:val="22"/>
              </w:rPr>
              <w:t>电话：023-67721286</w:t>
            </w:r>
          </w:p>
        </w:tc>
      </w:tr>
      <w:tr w14:paraId="638CE751">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42E30EE2">
            <w:pPr>
              <w:snapToGrid w:val="0"/>
              <w:spacing w:line="360" w:lineRule="auto"/>
              <w:jc w:val="center"/>
              <w:rPr>
                <w:rFonts w:hint="eastAsia" w:ascii="宋体" w:hAnsi="宋体" w:cs="宋体"/>
                <w:color w:val="auto"/>
                <w:sz w:val="22"/>
              </w:rPr>
            </w:pPr>
            <w:r>
              <w:rPr>
                <w:rFonts w:hint="eastAsia" w:ascii="宋体" w:hAnsi="宋体" w:cs="宋体"/>
                <w:color w:val="auto"/>
                <w:sz w:val="22"/>
              </w:rPr>
              <w:t>1.1.4</w:t>
            </w:r>
          </w:p>
        </w:tc>
        <w:tc>
          <w:tcPr>
            <w:tcW w:w="1491" w:type="dxa"/>
            <w:tcBorders>
              <w:top w:val="single" w:color="auto" w:sz="4" w:space="0"/>
              <w:left w:val="single" w:color="auto" w:sz="4" w:space="0"/>
              <w:bottom w:val="single" w:color="auto" w:sz="4" w:space="0"/>
              <w:right w:val="single" w:color="auto" w:sz="4" w:space="0"/>
            </w:tcBorders>
            <w:vAlign w:val="center"/>
          </w:tcPr>
          <w:p w14:paraId="1BBED908">
            <w:pPr>
              <w:snapToGrid w:val="0"/>
              <w:jc w:val="center"/>
              <w:rPr>
                <w:rFonts w:hint="eastAsia" w:ascii="宋体" w:hAnsi="宋体" w:cs="宋体"/>
                <w:color w:val="auto"/>
                <w:sz w:val="22"/>
              </w:rPr>
            </w:pPr>
            <w:r>
              <w:rPr>
                <w:rFonts w:hint="eastAsia" w:ascii="宋体" w:hAnsi="宋体" w:cs="宋体"/>
                <w:color w:val="auto"/>
                <w:sz w:val="22"/>
              </w:rPr>
              <w:t>比选项目</w:t>
            </w:r>
          </w:p>
          <w:p w14:paraId="0398D516">
            <w:pPr>
              <w:snapToGrid w:val="0"/>
              <w:jc w:val="center"/>
              <w:rPr>
                <w:rFonts w:hint="eastAsia" w:ascii="宋体" w:hAnsi="宋体" w:cs="宋体"/>
                <w:color w:val="auto"/>
                <w:sz w:val="22"/>
              </w:rPr>
            </w:pPr>
            <w:r>
              <w:rPr>
                <w:rFonts w:hint="eastAsia" w:ascii="宋体" w:hAnsi="宋体" w:cs="宋体"/>
                <w:color w:val="auto"/>
                <w:sz w:val="22"/>
              </w:rPr>
              <w:t>名称</w:t>
            </w:r>
          </w:p>
        </w:tc>
        <w:tc>
          <w:tcPr>
            <w:tcW w:w="7466" w:type="dxa"/>
            <w:tcBorders>
              <w:top w:val="single" w:color="auto" w:sz="4" w:space="0"/>
              <w:left w:val="single" w:color="auto" w:sz="4" w:space="0"/>
              <w:bottom w:val="single" w:color="auto" w:sz="4" w:space="0"/>
              <w:right w:val="single" w:color="auto" w:sz="4" w:space="0"/>
            </w:tcBorders>
            <w:vAlign w:val="center"/>
          </w:tcPr>
          <w:p w14:paraId="193363E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重庆文理学院红河A区学生（研究生）公寓建设项目跟踪审计咨询服务</w:t>
            </w:r>
          </w:p>
        </w:tc>
      </w:tr>
      <w:tr w14:paraId="3C4B7B12">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2F92EA10">
            <w:pPr>
              <w:snapToGrid w:val="0"/>
              <w:spacing w:line="360" w:lineRule="auto"/>
              <w:jc w:val="center"/>
              <w:rPr>
                <w:rFonts w:hint="eastAsia" w:ascii="宋体" w:hAnsi="宋体" w:cs="宋体"/>
                <w:color w:val="auto"/>
                <w:sz w:val="22"/>
              </w:rPr>
            </w:pPr>
            <w:r>
              <w:rPr>
                <w:rFonts w:hint="eastAsia" w:ascii="宋体" w:hAnsi="宋体" w:cs="宋体"/>
                <w:color w:val="auto"/>
                <w:sz w:val="22"/>
              </w:rPr>
              <w:t>1.1.5</w:t>
            </w:r>
          </w:p>
        </w:tc>
        <w:tc>
          <w:tcPr>
            <w:tcW w:w="1491" w:type="dxa"/>
            <w:tcBorders>
              <w:top w:val="single" w:color="auto" w:sz="4" w:space="0"/>
              <w:left w:val="single" w:color="auto" w:sz="4" w:space="0"/>
              <w:bottom w:val="single" w:color="auto" w:sz="4" w:space="0"/>
              <w:right w:val="single" w:color="auto" w:sz="4" w:space="0"/>
            </w:tcBorders>
            <w:vAlign w:val="center"/>
          </w:tcPr>
          <w:p w14:paraId="322A4746">
            <w:pPr>
              <w:snapToGrid w:val="0"/>
              <w:jc w:val="center"/>
              <w:rPr>
                <w:rFonts w:hint="eastAsia" w:ascii="宋体" w:hAnsi="宋体" w:cs="宋体"/>
                <w:color w:val="auto"/>
                <w:sz w:val="22"/>
              </w:rPr>
            </w:pPr>
            <w:r>
              <w:rPr>
                <w:rFonts w:hint="eastAsia" w:ascii="宋体" w:hAnsi="宋体" w:cs="宋体"/>
                <w:color w:val="auto"/>
                <w:sz w:val="22"/>
              </w:rPr>
              <w:t>项目建设</w:t>
            </w:r>
          </w:p>
          <w:p w14:paraId="1AFD0BA5">
            <w:pPr>
              <w:snapToGrid w:val="0"/>
              <w:jc w:val="center"/>
              <w:rPr>
                <w:rFonts w:hint="eastAsia" w:ascii="宋体" w:hAnsi="宋体" w:cs="宋体"/>
                <w:color w:val="auto"/>
                <w:sz w:val="22"/>
              </w:rPr>
            </w:pPr>
            <w:r>
              <w:rPr>
                <w:rFonts w:hint="eastAsia" w:ascii="宋体" w:hAnsi="宋体" w:cs="宋体"/>
                <w:color w:val="auto"/>
                <w:sz w:val="22"/>
              </w:rPr>
              <w:t>地点</w:t>
            </w:r>
          </w:p>
        </w:tc>
        <w:tc>
          <w:tcPr>
            <w:tcW w:w="7466" w:type="dxa"/>
            <w:tcBorders>
              <w:top w:val="single" w:color="auto" w:sz="4" w:space="0"/>
              <w:left w:val="single" w:color="auto" w:sz="4" w:space="0"/>
              <w:bottom w:val="single" w:color="auto" w:sz="4" w:space="0"/>
              <w:right w:val="single" w:color="auto" w:sz="4" w:space="0"/>
            </w:tcBorders>
            <w:vAlign w:val="center"/>
          </w:tcPr>
          <w:p w14:paraId="78B469C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重庆文理学院红河校区A区内东北角地块，重庆市永川区红河大道319号。</w:t>
            </w:r>
          </w:p>
        </w:tc>
      </w:tr>
      <w:tr w14:paraId="57EA20A8">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36BD31CA">
            <w:pPr>
              <w:snapToGrid w:val="0"/>
              <w:spacing w:line="360" w:lineRule="auto"/>
              <w:jc w:val="center"/>
              <w:rPr>
                <w:rFonts w:hint="eastAsia" w:ascii="宋体" w:hAnsi="宋体" w:cs="宋体"/>
                <w:color w:val="auto"/>
                <w:sz w:val="22"/>
              </w:rPr>
            </w:pPr>
            <w:r>
              <w:rPr>
                <w:rFonts w:hint="eastAsia" w:ascii="宋体" w:hAnsi="宋体" w:cs="宋体"/>
                <w:color w:val="auto"/>
                <w:sz w:val="22"/>
              </w:rPr>
              <w:t>1.1.6</w:t>
            </w:r>
          </w:p>
        </w:tc>
        <w:tc>
          <w:tcPr>
            <w:tcW w:w="1491" w:type="dxa"/>
            <w:tcBorders>
              <w:top w:val="single" w:color="auto" w:sz="4" w:space="0"/>
              <w:left w:val="single" w:color="auto" w:sz="4" w:space="0"/>
              <w:bottom w:val="single" w:color="auto" w:sz="4" w:space="0"/>
              <w:right w:val="single" w:color="auto" w:sz="4" w:space="0"/>
            </w:tcBorders>
            <w:vAlign w:val="center"/>
          </w:tcPr>
          <w:p w14:paraId="132BDA78">
            <w:pPr>
              <w:snapToGrid w:val="0"/>
              <w:jc w:val="center"/>
              <w:rPr>
                <w:rFonts w:hint="eastAsia" w:ascii="宋体" w:hAnsi="宋体" w:cs="宋体"/>
                <w:color w:val="auto"/>
                <w:sz w:val="22"/>
              </w:rPr>
            </w:pPr>
            <w:r>
              <w:rPr>
                <w:rFonts w:hint="eastAsia" w:ascii="宋体" w:hAnsi="宋体" w:cs="宋体"/>
                <w:color w:val="auto"/>
                <w:sz w:val="22"/>
              </w:rPr>
              <w:t>项目建设</w:t>
            </w:r>
          </w:p>
          <w:p w14:paraId="1468D708">
            <w:pPr>
              <w:snapToGrid w:val="0"/>
              <w:jc w:val="center"/>
              <w:rPr>
                <w:rFonts w:hint="eastAsia" w:ascii="宋体" w:hAnsi="宋体" w:cs="宋体"/>
                <w:color w:val="auto"/>
                <w:sz w:val="22"/>
              </w:rPr>
            </w:pPr>
            <w:r>
              <w:rPr>
                <w:rFonts w:hint="eastAsia" w:ascii="宋体" w:hAnsi="宋体" w:cs="宋体"/>
                <w:color w:val="auto"/>
                <w:sz w:val="22"/>
              </w:rPr>
              <w:t>规模</w:t>
            </w:r>
          </w:p>
        </w:tc>
        <w:tc>
          <w:tcPr>
            <w:tcW w:w="7466" w:type="dxa"/>
            <w:tcBorders>
              <w:top w:val="single" w:color="auto" w:sz="4" w:space="0"/>
              <w:left w:val="single" w:color="auto" w:sz="4" w:space="0"/>
              <w:bottom w:val="single" w:color="auto" w:sz="4" w:space="0"/>
              <w:right w:val="single" w:color="auto" w:sz="4" w:space="0"/>
            </w:tcBorders>
            <w:vAlign w:val="center"/>
          </w:tcPr>
          <w:p w14:paraId="150E128B">
            <w:pPr>
              <w:tabs>
                <w:tab w:val="left" w:pos="3840"/>
                <w:tab w:val="left" w:pos="5300"/>
              </w:tabs>
              <w:autoSpaceDE w:val="0"/>
              <w:autoSpaceDN w:val="0"/>
              <w:adjustRightInd w:val="0"/>
              <w:snapToGrid w:val="0"/>
              <w:spacing w:line="360" w:lineRule="auto"/>
              <w:ind w:firstLine="440" w:firstLineChars="200"/>
              <w:jc w:val="left"/>
              <w:rPr>
                <w:rFonts w:hint="eastAsia" w:ascii="宋体" w:hAnsi="宋体" w:cs="宋体"/>
                <w:snapToGrid w:val="0"/>
                <w:color w:val="auto"/>
                <w:kern w:val="0"/>
                <w:sz w:val="22"/>
                <w:u w:val="single"/>
              </w:rPr>
            </w:pPr>
            <w:r>
              <w:rPr>
                <w:rFonts w:hint="eastAsia" w:ascii="宋体" w:hAnsi="宋体" w:cs="宋体"/>
                <w:snapToGrid w:val="0"/>
                <w:color w:val="auto"/>
                <w:kern w:val="0"/>
                <w:sz w:val="22"/>
                <w:u w:val="single"/>
              </w:rPr>
              <w:t>建设用地面积8448平方米，总建筑面积25906.47平方米，其中地上建筑面积为19928.85平方米，地下建筑面积为5977.62平方米。主要建设内容包含建筑主体工程（含装配式）、建筑安装工程、设备采购与安装工程、室内装修、土石方工程、室外综合管网、绿化工程、道路及地面铺装工程、绿化及景观工程、海绵工程、配电室室外外线安装工程、污水处理及生化设备工程。</w:t>
            </w:r>
          </w:p>
        </w:tc>
      </w:tr>
      <w:tr w14:paraId="3A6D0E4F">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4BF3B5C8">
            <w:pPr>
              <w:snapToGrid w:val="0"/>
              <w:spacing w:line="360" w:lineRule="auto"/>
              <w:jc w:val="center"/>
              <w:rPr>
                <w:rFonts w:hint="eastAsia" w:ascii="宋体" w:hAnsi="宋体" w:cs="宋体"/>
                <w:color w:val="auto"/>
                <w:sz w:val="22"/>
              </w:rPr>
            </w:pPr>
            <w:r>
              <w:rPr>
                <w:rFonts w:hint="eastAsia" w:ascii="宋体" w:hAnsi="宋体" w:cs="宋体"/>
                <w:color w:val="auto"/>
                <w:sz w:val="22"/>
              </w:rPr>
              <w:t>1.1.8</w:t>
            </w:r>
          </w:p>
        </w:tc>
        <w:tc>
          <w:tcPr>
            <w:tcW w:w="1491" w:type="dxa"/>
            <w:tcBorders>
              <w:top w:val="single" w:color="auto" w:sz="4" w:space="0"/>
              <w:left w:val="single" w:color="auto" w:sz="4" w:space="0"/>
              <w:bottom w:val="single" w:color="auto" w:sz="4" w:space="0"/>
              <w:right w:val="single" w:color="auto" w:sz="4" w:space="0"/>
            </w:tcBorders>
            <w:vAlign w:val="center"/>
          </w:tcPr>
          <w:p w14:paraId="5F9190F2">
            <w:pPr>
              <w:snapToGrid w:val="0"/>
              <w:jc w:val="center"/>
              <w:rPr>
                <w:rFonts w:hint="eastAsia" w:ascii="宋体" w:hAnsi="宋体" w:cs="宋体"/>
                <w:color w:val="auto"/>
                <w:sz w:val="22"/>
              </w:rPr>
            </w:pPr>
            <w:r>
              <w:rPr>
                <w:rFonts w:hint="eastAsia" w:ascii="宋体" w:hAnsi="宋体" w:cs="宋体"/>
                <w:color w:val="auto"/>
                <w:sz w:val="22"/>
              </w:rPr>
              <w:t>投资金额</w:t>
            </w:r>
          </w:p>
        </w:tc>
        <w:tc>
          <w:tcPr>
            <w:tcW w:w="7466" w:type="dxa"/>
            <w:tcBorders>
              <w:top w:val="single" w:color="auto" w:sz="4" w:space="0"/>
              <w:left w:val="single" w:color="auto" w:sz="4" w:space="0"/>
              <w:bottom w:val="single" w:color="auto" w:sz="4" w:space="0"/>
              <w:right w:val="single" w:color="auto" w:sz="4" w:space="0"/>
            </w:tcBorders>
            <w:vAlign w:val="center"/>
          </w:tcPr>
          <w:p w14:paraId="6E728534">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本项目工程总投资11922万元，其中工程总承包EPC中标金额为98322543.48元。</w:t>
            </w:r>
          </w:p>
        </w:tc>
      </w:tr>
      <w:tr w14:paraId="48676AAD">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04CAAE44">
            <w:pPr>
              <w:snapToGrid w:val="0"/>
              <w:spacing w:line="360" w:lineRule="auto"/>
              <w:jc w:val="center"/>
              <w:rPr>
                <w:rFonts w:hint="eastAsia" w:ascii="宋体" w:hAnsi="宋体" w:cs="宋体"/>
                <w:color w:val="auto"/>
                <w:sz w:val="22"/>
              </w:rPr>
            </w:pPr>
            <w:r>
              <w:rPr>
                <w:rFonts w:hint="eastAsia" w:ascii="宋体" w:hAnsi="宋体" w:cs="宋体"/>
                <w:color w:val="auto"/>
                <w:sz w:val="22"/>
              </w:rPr>
              <w:t>1.2.1</w:t>
            </w:r>
          </w:p>
        </w:tc>
        <w:tc>
          <w:tcPr>
            <w:tcW w:w="1491" w:type="dxa"/>
            <w:tcBorders>
              <w:top w:val="single" w:color="auto" w:sz="4" w:space="0"/>
              <w:left w:val="single" w:color="auto" w:sz="4" w:space="0"/>
              <w:bottom w:val="single" w:color="auto" w:sz="4" w:space="0"/>
              <w:right w:val="single" w:color="auto" w:sz="4" w:space="0"/>
            </w:tcBorders>
            <w:vAlign w:val="center"/>
          </w:tcPr>
          <w:p w14:paraId="6E8C17B4">
            <w:pPr>
              <w:snapToGrid w:val="0"/>
              <w:jc w:val="center"/>
              <w:rPr>
                <w:rFonts w:hint="eastAsia" w:ascii="宋体" w:hAnsi="宋体" w:cs="宋体"/>
                <w:color w:val="auto"/>
                <w:sz w:val="22"/>
              </w:rPr>
            </w:pPr>
            <w:r>
              <w:rPr>
                <w:rFonts w:hint="eastAsia" w:ascii="宋体" w:hAnsi="宋体" w:cs="宋体"/>
                <w:color w:val="auto"/>
                <w:sz w:val="22"/>
              </w:rPr>
              <w:t>资金来源及比例</w:t>
            </w:r>
          </w:p>
        </w:tc>
        <w:tc>
          <w:tcPr>
            <w:tcW w:w="7466" w:type="dxa"/>
            <w:tcBorders>
              <w:top w:val="single" w:color="auto" w:sz="4" w:space="0"/>
              <w:left w:val="single" w:color="auto" w:sz="4" w:space="0"/>
              <w:bottom w:val="single" w:color="auto" w:sz="4" w:space="0"/>
              <w:right w:val="single" w:color="auto" w:sz="4" w:space="0"/>
            </w:tcBorders>
            <w:vAlign w:val="center"/>
          </w:tcPr>
          <w:p w14:paraId="0F764CA7">
            <w:pPr>
              <w:snapToGrid w:val="0"/>
              <w:spacing w:line="360" w:lineRule="auto"/>
              <w:ind w:firstLine="440" w:firstLineChars="200"/>
              <w:jc w:val="left"/>
              <w:rPr>
                <w:rFonts w:hint="eastAsia" w:ascii="宋体" w:hAnsi="宋体" w:cs="宋体"/>
                <w:color w:val="auto"/>
                <w:sz w:val="22"/>
                <w:u w:val="single"/>
              </w:rPr>
            </w:pPr>
            <w:r>
              <w:rPr>
                <w:rFonts w:hint="eastAsia" w:ascii="宋体" w:hAnsi="宋体" w:cs="宋体"/>
                <w:snapToGrid w:val="0"/>
                <w:color w:val="auto"/>
                <w:kern w:val="0"/>
                <w:sz w:val="22"/>
                <w:u w:val="single"/>
              </w:rPr>
              <w:t>财政预算资金</w:t>
            </w:r>
          </w:p>
        </w:tc>
      </w:tr>
      <w:tr w14:paraId="37E93D5E">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427437AE">
            <w:pPr>
              <w:snapToGrid w:val="0"/>
              <w:spacing w:line="360" w:lineRule="auto"/>
              <w:jc w:val="center"/>
              <w:rPr>
                <w:rFonts w:hint="eastAsia" w:ascii="宋体" w:hAnsi="宋体" w:cs="宋体"/>
                <w:color w:val="auto"/>
                <w:sz w:val="22"/>
              </w:rPr>
            </w:pPr>
            <w:r>
              <w:rPr>
                <w:rFonts w:hint="eastAsia" w:ascii="宋体" w:hAnsi="宋体" w:cs="宋体"/>
                <w:color w:val="auto"/>
                <w:sz w:val="22"/>
              </w:rPr>
              <w:t>1.2.2</w:t>
            </w:r>
          </w:p>
        </w:tc>
        <w:tc>
          <w:tcPr>
            <w:tcW w:w="1491" w:type="dxa"/>
            <w:tcBorders>
              <w:top w:val="single" w:color="auto" w:sz="4" w:space="0"/>
              <w:left w:val="single" w:color="auto" w:sz="4" w:space="0"/>
              <w:bottom w:val="single" w:color="auto" w:sz="4" w:space="0"/>
              <w:right w:val="single" w:color="auto" w:sz="4" w:space="0"/>
            </w:tcBorders>
            <w:vAlign w:val="center"/>
          </w:tcPr>
          <w:p w14:paraId="7F88D6F6">
            <w:pPr>
              <w:snapToGrid w:val="0"/>
              <w:jc w:val="center"/>
              <w:rPr>
                <w:rFonts w:hint="eastAsia" w:ascii="宋体" w:hAnsi="宋体" w:cs="宋体"/>
                <w:color w:val="auto"/>
                <w:sz w:val="22"/>
              </w:rPr>
            </w:pPr>
            <w:r>
              <w:rPr>
                <w:rFonts w:hint="eastAsia" w:ascii="宋体" w:hAnsi="宋体" w:cs="宋体"/>
                <w:color w:val="auto"/>
                <w:sz w:val="22"/>
              </w:rPr>
              <w:t>资金落实</w:t>
            </w:r>
          </w:p>
          <w:p w14:paraId="3FABA9E2">
            <w:pPr>
              <w:snapToGrid w:val="0"/>
              <w:jc w:val="center"/>
              <w:rPr>
                <w:rFonts w:hint="eastAsia" w:ascii="宋体" w:hAnsi="宋体" w:cs="宋体"/>
                <w:color w:val="auto"/>
                <w:sz w:val="22"/>
              </w:rPr>
            </w:pPr>
            <w:r>
              <w:rPr>
                <w:rFonts w:hint="eastAsia" w:ascii="宋体" w:hAnsi="宋体" w:cs="宋体"/>
                <w:color w:val="auto"/>
                <w:sz w:val="22"/>
              </w:rPr>
              <w:t>情况</w:t>
            </w:r>
          </w:p>
        </w:tc>
        <w:tc>
          <w:tcPr>
            <w:tcW w:w="7466" w:type="dxa"/>
            <w:tcBorders>
              <w:top w:val="single" w:color="auto" w:sz="4" w:space="0"/>
              <w:left w:val="single" w:color="auto" w:sz="4" w:space="0"/>
              <w:bottom w:val="single" w:color="auto" w:sz="4" w:space="0"/>
              <w:right w:val="single" w:color="auto" w:sz="4" w:space="0"/>
            </w:tcBorders>
            <w:vAlign w:val="center"/>
          </w:tcPr>
          <w:p w14:paraId="37A10929">
            <w:pPr>
              <w:snapToGrid w:val="0"/>
              <w:spacing w:line="360" w:lineRule="auto"/>
              <w:ind w:firstLine="440" w:firstLineChars="200"/>
              <w:jc w:val="left"/>
              <w:rPr>
                <w:rFonts w:hint="eastAsia" w:ascii="宋体" w:hAnsi="宋体" w:cs="宋体"/>
                <w:color w:val="auto"/>
                <w:sz w:val="22"/>
                <w:u w:val="single"/>
              </w:rPr>
            </w:pPr>
            <w:r>
              <w:rPr>
                <w:rFonts w:hint="eastAsia" w:ascii="宋体" w:hAnsi="宋体" w:cs="宋体"/>
                <w:color w:val="auto"/>
                <w:sz w:val="22"/>
                <w:u w:val="single"/>
              </w:rPr>
              <w:t>已落实</w:t>
            </w:r>
          </w:p>
        </w:tc>
      </w:tr>
      <w:tr w14:paraId="621DBCD1">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09E3FFF7">
            <w:pPr>
              <w:snapToGrid w:val="0"/>
              <w:spacing w:line="360" w:lineRule="auto"/>
              <w:jc w:val="center"/>
              <w:rPr>
                <w:rFonts w:hint="eastAsia" w:ascii="宋体" w:hAnsi="宋体" w:cs="宋体"/>
                <w:color w:val="auto"/>
                <w:sz w:val="22"/>
              </w:rPr>
            </w:pPr>
            <w:r>
              <w:rPr>
                <w:rFonts w:hint="eastAsia" w:ascii="宋体" w:hAnsi="宋体" w:cs="宋体"/>
                <w:color w:val="auto"/>
                <w:sz w:val="22"/>
              </w:rPr>
              <w:t>1.3.1</w:t>
            </w:r>
          </w:p>
        </w:tc>
        <w:tc>
          <w:tcPr>
            <w:tcW w:w="1491" w:type="dxa"/>
            <w:tcBorders>
              <w:top w:val="single" w:color="auto" w:sz="4" w:space="0"/>
              <w:left w:val="single" w:color="auto" w:sz="4" w:space="0"/>
              <w:bottom w:val="single" w:color="auto" w:sz="4" w:space="0"/>
              <w:right w:val="single" w:color="auto" w:sz="4" w:space="0"/>
            </w:tcBorders>
            <w:vAlign w:val="center"/>
          </w:tcPr>
          <w:p w14:paraId="0ADF5EC8">
            <w:pPr>
              <w:snapToGrid w:val="0"/>
              <w:jc w:val="center"/>
              <w:rPr>
                <w:rFonts w:hint="eastAsia" w:ascii="宋体" w:hAnsi="宋体" w:cs="宋体"/>
                <w:color w:val="auto"/>
                <w:sz w:val="22"/>
              </w:rPr>
            </w:pPr>
            <w:r>
              <w:rPr>
                <w:rFonts w:hint="eastAsia" w:ascii="宋体" w:hAnsi="宋体" w:cs="宋体"/>
                <w:color w:val="auto"/>
                <w:sz w:val="22"/>
              </w:rPr>
              <w:t>比选范围</w:t>
            </w:r>
          </w:p>
        </w:tc>
        <w:tc>
          <w:tcPr>
            <w:tcW w:w="7466" w:type="dxa"/>
            <w:tcBorders>
              <w:top w:val="single" w:color="auto" w:sz="4" w:space="0"/>
              <w:left w:val="single" w:color="auto" w:sz="4" w:space="0"/>
              <w:bottom w:val="single" w:color="auto" w:sz="4" w:space="0"/>
              <w:right w:val="single" w:color="auto" w:sz="4" w:space="0"/>
            </w:tcBorders>
            <w:vAlign w:val="center"/>
          </w:tcPr>
          <w:p w14:paraId="3643CD0A">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建设项目EPC实施阶段全过程跟踪审计（具体内容包括但不限于：1、参与施工合同谈判；2、施工图设计完成后，根据合同条款全面审核本项目报送的工程量清单及施工图预算（包含经济指标分析及评价），并与建设单位基建管理部门委托的咨询单位达成共识后出具施工图预算审核意见书；3、建设程序审计；4、工程管理情况的审计；5、合同履约管理；6、内控制度建设及执行情况的审计；7、施工过程造价控制；8、新增项、缺漏项及零星工程分项的造价确定与控制；9、进度款支付审核；10、施工方案的经济评价、设计变更的经济分析；11、设计变更、现场收方、现场签证及材料价格的审核与管理；12、对施工现场使用的材料与施工图和比选人确认的品牌、规格、型号、质量标准等进行符合度审核；13、专业分包造价控制；工程索赔和反索赔咨询、有关工程造价信息及法规咨询；对竣工图的完整性、正确性及合规性进行全面检查与审核并出具审核意见书；14、对竣工结算资料的完整性与正确性进行检查、复核并把关，确保本工程结算资料的闭合性，避免比选人因结算资料缺陷在结算审核过程中出现补充资料或结算争议问题；15、根据合同条款全面审核本项目报送的竣工结算，并与建设单位基建管理部门委托的咨询单位达成共识后出具竣工结算跟踪审计意见书。</w:t>
            </w:r>
          </w:p>
        </w:tc>
      </w:tr>
      <w:tr w14:paraId="2268B0D8">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29E18301">
            <w:pPr>
              <w:snapToGrid w:val="0"/>
              <w:spacing w:line="360" w:lineRule="auto"/>
              <w:jc w:val="center"/>
              <w:rPr>
                <w:rFonts w:hint="eastAsia" w:ascii="宋体" w:hAnsi="宋体" w:cs="宋体"/>
                <w:color w:val="auto"/>
                <w:sz w:val="22"/>
              </w:rPr>
            </w:pPr>
            <w:r>
              <w:rPr>
                <w:rFonts w:hint="eastAsia" w:ascii="宋体" w:hAnsi="宋体" w:cs="宋体"/>
                <w:color w:val="auto"/>
                <w:sz w:val="22"/>
              </w:rPr>
              <w:t>1.3.2</w:t>
            </w:r>
          </w:p>
        </w:tc>
        <w:tc>
          <w:tcPr>
            <w:tcW w:w="1491" w:type="dxa"/>
            <w:tcBorders>
              <w:top w:val="single" w:color="auto" w:sz="4" w:space="0"/>
              <w:left w:val="single" w:color="auto" w:sz="4" w:space="0"/>
              <w:bottom w:val="single" w:color="auto" w:sz="4" w:space="0"/>
              <w:right w:val="single" w:color="auto" w:sz="4" w:space="0"/>
            </w:tcBorders>
            <w:vAlign w:val="center"/>
          </w:tcPr>
          <w:p w14:paraId="4B6B987A">
            <w:pPr>
              <w:snapToGrid w:val="0"/>
              <w:jc w:val="center"/>
              <w:rPr>
                <w:rFonts w:hint="eastAsia" w:ascii="宋体" w:hAnsi="宋体" w:cs="宋体"/>
                <w:color w:val="auto"/>
                <w:sz w:val="22"/>
              </w:rPr>
            </w:pPr>
            <w:r>
              <w:rPr>
                <w:rFonts w:hint="eastAsia" w:ascii="宋体" w:hAnsi="宋体" w:cs="宋体"/>
                <w:color w:val="auto"/>
                <w:sz w:val="22"/>
              </w:rPr>
              <w:t>服务期限</w:t>
            </w:r>
          </w:p>
        </w:tc>
        <w:tc>
          <w:tcPr>
            <w:tcW w:w="7466" w:type="dxa"/>
            <w:tcBorders>
              <w:top w:val="single" w:color="auto" w:sz="4" w:space="0"/>
              <w:left w:val="single" w:color="auto" w:sz="4" w:space="0"/>
              <w:bottom w:val="single" w:color="auto" w:sz="4" w:space="0"/>
              <w:right w:val="single" w:color="auto" w:sz="4" w:space="0"/>
            </w:tcBorders>
            <w:vAlign w:val="center"/>
          </w:tcPr>
          <w:p w14:paraId="79C5555C">
            <w:pPr>
              <w:tabs>
                <w:tab w:val="left" w:pos="3840"/>
                <w:tab w:val="left" w:pos="5300"/>
              </w:tabs>
              <w:autoSpaceDE w:val="0"/>
              <w:autoSpaceDN w:val="0"/>
              <w:adjustRightInd w:val="0"/>
              <w:snapToGrid w:val="0"/>
              <w:spacing w:line="360" w:lineRule="auto"/>
              <w:ind w:firstLine="440" w:firstLineChars="200"/>
              <w:jc w:val="left"/>
              <w:rPr>
                <w:rFonts w:hint="eastAsia" w:ascii="宋体" w:hAnsi="宋体" w:cs="宋体"/>
                <w:snapToGrid w:val="0"/>
                <w:color w:val="auto"/>
                <w:sz w:val="22"/>
                <w:lang w:val="zh-TW" w:eastAsia="zh-TW"/>
              </w:rPr>
            </w:pPr>
            <w:r>
              <w:rPr>
                <w:rFonts w:hint="eastAsia" w:ascii="宋体" w:hAnsi="宋体" w:cs="宋体"/>
                <w:color w:val="auto"/>
                <w:sz w:val="22"/>
              </w:rPr>
              <w:t>本项目服务周期自中标通知书发出之日开始至出具工程竣工结算跟踪审计意见书并经建设单位内部审计部门委托的结算审核咨询单位审核后出具竣工结算审核报告之日（其中：1、审核工程量清单及施工图预算的完成时间：工程量清单及施工图预算资料送审资料接收后，45天内提交本工程工程量清单及施工图预算审核结果初稿；提交工程量清单及施工图预算审核结果初稿后，15天内与建设单位基建管理部门委托的咨询单位完成施工图预算金额核对工作并达成共识后出具预算审核意见书；2、竣工结算跟踪审计意见书的完成时间：工程竣工结算资料收齐后原则上2个月内出具本建设项目竣工结算跟踪审计意见书）为止，特殊情况以采购人要求的完成时间为准。</w:t>
            </w:r>
          </w:p>
        </w:tc>
      </w:tr>
      <w:tr w14:paraId="252C6F5B">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25552337">
            <w:pPr>
              <w:snapToGrid w:val="0"/>
              <w:spacing w:line="360" w:lineRule="auto"/>
              <w:jc w:val="center"/>
              <w:rPr>
                <w:rFonts w:hint="eastAsia" w:ascii="宋体" w:hAnsi="宋体" w:cs="宋体"/>
                <w:color w:val="auto"/>
                <w:sz w:val="22"/>
              </w:rPr>
            </w:pPr>
            <w:r>
              <w:rPr>
                <w:rFonts w:hint="eastAsia" w:ascii="宋体" w:hAnsi="宋体" w:cs="宋体"/>
                <w:color w:val="auto"/>
                <w:sz w:val="22"/>
              </w:rPr>
              <w:t>1.3.3</w:t>
            </w:r>
          </w:p>
        </w:tc>
        <w:tc>
          <w:tcPr>
            <w:tcW w:w="1491" w:type="dxa"/>
            <w:tcBorders>
              <w:top w:val="single" w:color="auto" w:sz="4" w:space="0"/>
              <w:left w:val="single" w:color="auto" w:sz="4" w:space="0"/>
              <w:bottom w:val="single" w:color="auto" w:sz="4" w:space="0"/>
              <w:right w:val="single" w:color="auto" w:sz="4" w:space="0"/>
            </w:tcBorders>
            <w:vAlign w:val="center"/>
          </w:tcPr>
          <w:p w14:paraId="4E34B92A">
            <w:pPr>
              <w:snapToGrid w:val="0"/>
              <w:jc w:val="center"/>
              <w:rPr>
                <w:rFonts w:hint="eastAsia" w:ascii="宋体" w:hAnsi="宋体" w:cs="宋体"/>
                <w:color w:val="auto"/>
                <w:sz w:val="22"/>
              </w:rPr>
            </w:pPr>
            <w:r>
              <w:rPr>
                <w:rFonts w:hint="eastAsia" w:ascii="宋体" w:hAnsi="宋体" w:cs="宋体"/>
                <w:color w:val="auto"/>
                <w:sz w:val="22"/>
              </w:rPr>
              <w:t>质量标准</w:t>
            </w:r>
          </w:p>
        </w:tc>
        <w:tc>
          <w:tcPr>
            <w:tcW w:w="7466" w:type="dxa"/>
            <w:tcBorders>
              <w:top w:val="single" w:color="auto" w:sz="4" w:space="0"/>
              <w:left w:val="single" w:color="auto" w:sz="4" w:space="0"/>
              <w:bottom w:val="single" w:color="auto" w:sz="4" w:space="0"/>
              <w:right w:val="single" w:color="auto" w:sz="4" w:space="0"/>
            </w:tcBorders>
            <w:vAlign w:val="center"/>
          </w:tcPr>
          <w:p w14:paraId="57B06556">
            <w:pPr>
              <w:snapToGrid w:val="0"/>
              <w:spacing w:line="360" w:lineRule="auto"/>
              <w:ind w:firstLine="424" w:firstLineChars="200"/>
              <w:jc w:val="left"/>
              <w:rPr>
                <w:rFonts w:hint="eastAsia" w:ascii="宋体" w:hAnsi="宋体" w:cs="宋体"/>
                <w:color w:val="auto"/>
                <w:sz w:val="22"/>
                <w:u w:val="single"/>
              </w:rPr>
            </w:pPr>
            <w:r>
              <w:rPr>
                <w:rFonts w:hint="eastAsia" w:ascii="宋体" w:hAnsi="宋体" w:cs="宋体"/>
                <w:color w:val="auto"/>
                <w:spacing w:val="-4"/>
                <w:sz w:val="22"/>
              </w:rPr>
              <w:t>达到国家现行有关规范要求。</w:t>
            </w:r>
          </w:p>
        </w:tc>
      </w:tr>
      <w:tr w14:paraId="4FBC974E">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34B8CB1A">
            <w:pPr>
              <w:snapToGrid w:val="0"/>
              <w:spacing w:line="360" w:lineRule="auto"/>
              <w:jc w:val="center"/>
              <w:rPr>
                <w:rFonts w:hint="eastAsia" w:ascii="宋体" w:hAnsi="宋体" w:cs="宋体"/>
                <w:color w:val="auto"/>
                <w:sz w:val="22"/>
              </w:rPr>
            </w:pPr>
            <w:r>
              <w:rPr>
                <w:rFonts w:hint="eastAsia" w:ascii="宋体" w:hAnsi="宋体" w:cs="宋体"/>
                <w:color w:val="auto"/>
                <w:sz w:val="22"/>
              </w:rPr>
              <w:t>1.4.1</w:t>
            </w:r>
          </w:p>
        </w:tc>
        <w:tc>
          <w:tcPr>
            <w:tcW w:w="1491" w:type="dxa"/>
            <w:tcBorders>
              <w:top w:val="single" w:color="auto" w:sz="4" w:space="0"/>
              <w:left w:val="single" w:color="auto" w:sz="4" w:space="0"/>
              <w:bottom w:val="single" w:color="auto" w:sz="4" w:space="0"/>
              <w:right w:val="single" w:color="auto" w:sz="4" w:space="0"/>
            </w:tcBorders>
            <w:vAlign w:val="center"/>
          </w:tcPr>
          <w:p w14:paraId="30548481">
            <w:pPr>
              <w:snapToGrid w:val="0"/>
              <w:jc w:val="center"/>
              <w:rPr>
                <w:rFonts w:hint="eastAsia" w:ascii="宋体" w:hAnsi="宋体" w:cs="宋体"/>
                <w:color w:val="auto"/>
                <w:sz w:val="22"/>
              </w:rPr>
            </w:pPr>
            <w:r>
              <w:rPr>
                <w:rFonts w:hint="eastAsia" w:ascii="宋体" w:hAnsi="宋体" w:cs="宋体"/>
                <w:color w:val="auto"/>
                <w:sz w:val="22"/>
              </w:rPr>
              <w:t>竞标人资质条件、能力、信誉</w:t>
            </w:r>
          </w:p>
        </w:tc>
        <w:tc>
          <w:tcPr>
            <w:tcW w:w="7466" w:type="dxa"/>
            <w:tcBorders>
              <w:top w:val="single" w:color="auto" w:sz="4" w:space="0"/>
              <w:left w:val="single" w:color="auto" w:sz="4" w:space="0"/>
              <w:bottom w:val="single" w:color="auto" w:sz="4" w:space="0"/>
              <w:right w:val="single" w:color="auto" w:sz="4" w:space="0"/>
            </w:tcBorders>
            <w:vAlign w:val="center"/>
          </w:tcPr>
          <w:p w14:paraId="356C1D75">
            <w:pPr>
              <w:snapToGrid w:val="0"/>
              <w:spacing w:line="360" w:lineRule="auto"/>
              <w:ind w:firstLine="442" w:firstLineChars="200"/>
              <w:jc w:val="left"/>
              <w:rPr>
                <w:rFonts w:hint="eastAsia" w:ascii="宋体" w:hAnsi="宋体" w:cs="宋体"/>
                <w:b/>
                <w:color w:val="auto"/>
                <w:sz w:val="22"/>
              </w:rPr>
            </w:pPr>
            <w:r>
              <w:rPr>
                <w:rFonts w:hint="eastAsia" w:ascii="宋体" w:hAnsi="宋体" w:cs="宋体"/>
                <w:b/>
                <w:color w:val="auto"/>
                <w:sz w:val="22"/>
              </w:rPr>
              <w:t>1.资质要求</w:t>
            </w:r>
          </w:p>
          <w:p w14:paraId="0FB2EE1E">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（1）具备有效的营业执照。</w:t>
            </w:r>
          </w:p>
          <w:p w14:paraId="5E65BBD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竞标人须在竞标文件资格审查部分提供有效的营业执照。注：不得将竞标人营业执照记载的经营范围作为评审因素。</w:t>
            </w:r>
          </w:p>
          <w:p w14:paraId="7FE49AEB">
            <w:pPr>
              <w:snapToGrid w:val="0"/>
              <w:spacing w:line="360" w:lineRule="auto"/>
              <w:ind w:firstLine="442" w:firstLineChars="200"/>
              <w:jc w:val="left"/>
              <w:rPr>
                <w:rFonts w:hint="eastAsia" w:ascii="宋体" w:hAnsi="宋体" w:cs="宋体"/>
                <w:b/>
                <w:color w:val="auto"/>
                <w:sz w:val="22"/>
              </w:rPr>
            </w:pPr>
            <w:r>
              <w:rPr>
                <w:rFonts w:hint="eastAsia" w:ascii="宋体" w:hAnsi="宋体" w:cs="宋体"/>
                <w:b/>
                <w:color w:val="auto"/>
                <w:sz w:val="22"/>
              </w:rPr>
              <w:t>2.竞标截止日竞标资格情况</w:t>
            </w:r>
          </w:p>
          <w:p w14:paraId="00182BD3">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竞标人须自行承诺（格式见第五章竞标文件格式）竞标截止日竞标资格情况不得存在下列情形之一：</w:t>
            </w:r>
          </w:p>
          <w:p w14:paraId="3A55FA45">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（1）被人民法院列入失信被执行人名单且在被执行期内；</w:t>
            </w:r>
          </w:p>
          <w:p w14:paraId="0F6F00E3">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（2）被列入《重庆市工程建设领域招标投标信用管理暂行办法》规定的重点关注名单且记分达到12分且在记分有效期内；</w:t>
            </w:r>
          </w:p>
          <w:p w14:paraId="3081C115">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（3）被列入《重庆市工程建设领域招标投标信用管理暂行办法》规定的重庆市工程建设领域招标投标失信惩戒对象名单（以下称黑名单）且在记分有效期内；</w:t>
            </w:r>
          </w:p>
          <w:p w14:paraId="7CD91A71">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（4）被国家、重庆市（含市或任意区县）有关行政部门处以暂停投标资格行政处罚，且在处罚期限内；</w:t>
            </w:r>
          </w:p>
          <w:p w14:paraId="2FD85CC2">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（5）被重庆市市级有关行业主管部门暂停在渝承揽新业务且在暂停期内。</w:t>
            </w:r>
          </w:p>
          <w:p w14:paraId="1A6B541F">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竞标人须在竞标文件资格审查部分提供承诺。</w:t>
            </w:r>
          </w:p>
          <w:p w14:paraId="2286F458">
            <w:pPr>
              <w:snapToGrid w:val="0"/>
              <w:spacing w:line="360" w:lineRule="auto"/>
              <w:ind w:firstLine="442" w:firstLineChars="200"/>
              <w:jc w:val="left"/>
              <w:rPr>
                <w:rFonts w:hint="eastAsia" w:ascii="宋体" w:hAnsi="宋体" w:cs="宋体"/>
                <w:b/>
                <w:color w:val="auto"/>
                <w:sz w:val="22"/>
              </w:rPr>
            </w:pPr>
            <w:r>
              <w:rPr>
                <w:rFonts w:hint="eastAsia" w:ascii="宋体" w:hAnsi="宋体" w:cs="宋体"/>
                <w:b/>
                <w:color w:val="auto"/>
                <w:sz w:val="22"/>
              </w:rPr>
              <w:t>3.人员要求</w:t>
            </w:r>
          </w:p>
          <w:p w14:paraId="2E588799">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3.1</w:t>
            </w:r>
            <w:r>
              <w:rPr>
                <w:rFonts w:hint="eastAsia" w:ascii="宋体" w:hAnsi="宋体" w:cs="宋体"/>
                <w:color w:val="auto"/>
                <w:kern w:val="0"/>
                <w:sz w:val="22"/>
              </w:rPr>
              <w:t>项目负责人：1人，须为竞标人单位的在职职工，具备</w:t>
            </w:r>
            <w:r>
              <w:rPr>
                <w:rFonts w:hint="eastAsia" w:ascii="宋体" w:hAnsi="宋体" w:cs="宋体"/>
                <w:color w:val="auto"/>
                <w:kern w:val="0"/>
                <w:sz w:val="22"/>
                <w:u w:val="single"/>
              </w:rPr>
              <w:t>工程类高级及以上</w:t>
            </w:r>
            <w:r>
              <w:rPr>
                <w:rFonts w:hint="eastAsia" w:ascii="宋体" w:hAnsi="宋体" w:cs="宋体"/>
                <w:color w:val="auto"/>
                <w:kern w:val="0"/>
                <w:sz w:val="22"/>
              </w:rPr>
              <w:t>职称且具有全国一级造价工程师（或全国注册造价工程师）执业资格。</w:t>
            </w:r>
          </w:p>
          <w:p w14:paraId="1556B1D5">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项目负责人须提供注册证、职称证、身份证及竞标人本单位为其缴纳养老保险的证明材料复印件并加盖供应商公章。</w:t>
            </w:r>
          </w:p>
          <w:p w14:paraId="39F0E32A">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3.1.1项目负责人业绩要求：2018年1月1日起至投标截止日止（以合同签订时间为准），具有工程造价1亿元及以上且建筑面积2万平方米以上的跟踪审计服务或全过程造价咨询业绩。（提供中标通知书或咨询合同复印件或定案表复印件，若以上资料不能体现人员信息的需提供业主证明材料及业主联系方式）</w:t>
            </w:r>
          </w:p>
          <w:p w14:paraId="6947913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3.2驻场人员：</w:t>
            </w:r>
          </w:p>
          <w:p w14:paraId="799B6F81">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①土建专业人员1人，土建专业人员必须已在</w:t>
            </w:r>
            <w:r>
              <w:rPr>
                <w:rFonts w:hint="eastAsia" w:ascii="宋体" w:hAnsi="宋体" w:cs="宋体"/>
                <w:color w:val="auto"/>
                <w:kern w:val="0"/>
                <w:sz w:val="22"/>
              </w:rPr>
              <w:t>竞标人</w:t>
            </w:r>
            <w:r>
              <w:rPr>
                <w:rFonts w:hint="eastAsia" w:ascii="宋体" w:hAnsi="宋体" w:cs="宋体"/>
                <w:color w:val="auto"/>
                <w:sz w:val="22"/>
              </w:rPr>
              <w:t>本单位注册并应具有全国一级造价工程师（全国注册造价工程师）执业资格（专业类别：土建）；</w:t>
            </w:r>
          </w:p>
          <w:p w14:paraId="5B11975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②安装专业人员1人，安装专业人员必须已在</w:t>
            </w:r>
            <w:r>
              <w:rPr>
                <w:rFonts w:hint="eastAsia" w:ascii="宋体" w:hAnsi="宋体" w:cs="宋体"/>
                <w:color w:val="auto"/>
                <w:kern w:val="0"/>
                <w:sz w:val="22"/>
              </w:rPr>
              <w:t>竞标人</w:t>
            </w:r>
            <w:r>
              <w:rPr>
                <w:rFonts w:hint="eastAsia" w:ascii="宋体" w:hAnsi="宋体" w:cs="宋体"/>
                <w:color w:val="auto"/>
                <w:sz w:val="22"/>
              </w:rPr>
              <w:t>本单位注册并应具有全国一级造价工程师（全国注册造价工程师）执业资格（专业类别：安装）；</w:t>
            </w:r>
          </w:p>
          <w:p w14:paraId="4CE862B0">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③其他造价人员：根据项目情况自行配备，拟派的其他造价人员不低于1名，造价人员必须已在</w:t>
            </w:r>
            <w:r>
              <w:rPr>
                <w:rFonts w:hint="eastAsia" w:ascii="宋体" w:hAnsi="宋体" w:cs="宋体"/>
                <w:color w:val="auto"/>
                <w:kern w:val="0"/>
                <w:sz w:val="22"/>
              </w:rPr>
              <w:t>竞标人</w:t>
            </w:r>
            <w:r>
              <w:rPr>
                <w:rFonts w:hint="eastAsia" w:ascii="宋体" w:hAnsi="宋体" w:cs="宋体"/>
                <w:color w:val="auto"/>
                <w:sz w:val="22"/>
              </w:rPr>
              <w:t>单位注册并应具有全国注册造价工程师（一级造价工程师）或二级造价工程师或全国造价员执业资格。</w:t>
            </w:r>
          </w:p>
          <w:p w14:paraId="0A1ED19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注：驻场人员须提供注册证（若提供的其他造价人员为全国造价员执业资格的须提供造价员资格证）、身份证及竞标人本单位为其缴纳养老保险的证明材料复印件并加盖供应商公章。同时以上人员不得相互兼任。（上述所有人员养老保险证明材料的期限要求为2025年8月至2026年2月）。</w:t>
            </w:r>
          </w:p>
          <w:p w14:paraId="5B5BEEB7">
            <w:pPr>
              <w:snapToGrid w:val="0"/>
              <w:spacing w:line="360" w:lineRule="auto"/>
              <w:ind w:firstLine="440" w:firstLineChars="200"/>
              <w:jc w:val="left"/>
              <w:rPr>
                <w:rFonts w:hint="eastAsia" w:ascii="宋体" w:hAnsi="宋体" w:cs="宋体"/>
                <w:bCs/>
                <w:color w:val="auto"/>
                <w:sz w:val="22"/>
              </w:rPr>
            </w:pPr>
            <w:r>
              <w:rPr>
                <w:rFonts w:hint="eastAsia" w:ascii="宋体" w:hAnsi="宋体" w:cs="宋体"/>
                <w:bCs/>
                <w:color w:val="auto"/>
                <w:sz w:val="22"/>
              </w:rPr>
              <w:t>3.2.1驻场人员业绩要求：</w:t>
            </w:r>
          </w:p>
          <w:p w14:paraId="70E1C04A">
            <w:pPr>
              <w:widowControl/>
              <w:snapToGrid w:val="0"/>
              <w:spacing w:line="360" w:lineRule="auto"/>
              <w:ind w:firstLine="440" w:firstLineChars="200"/>
              <w:jc w:val="left"/>
              <w:rPr>
                <w:rFonts w:hint="eastAsia" w:ascii="宋体" w:hAnsi="宋体" w:cs="宋体"/>
                <w:bCs/>
                <w:color w:val="auto"/>
                <w:sz w:val="22"/>
              </w:rPr>
            </w:pPr>
            <w:r>
              <w:rPr>
                <w:rFonts w:hint="eastAsia" w:ascii="宋体" w:hAnsi="宋体" w:cs="宋体"/>
                <w:bCs/>
                <w:color w:val="auto"/>
                <w:sz w:val="22"/>
              </w:rPr>
              <w:t>3.2.1.1安装专业人员业绩要求： 2018 年 1 月 1 日至投标截止日（以合同签订时间为准），拟派安装专业人员需具备不少于 2 项EPC 项目业绩，业绩须同时满足以下条件：①安装工程造价≥3000 万元；②项目建筑面积≥25000 平方米；③服务类型为EPC项目的跟踪审计服务或全过程造价咨询服务。业绩证明材料需提供中标通知书、咨询合同或定案表复印件；若前述材料未体现该人员参与信息，应补充提供业主出具的正式业绩证明（加盖业主单位公章）及业主可核实的有效联系方式。</w:t>
            </w:r>
          </w:p>
          <w:p w14:paraId="1F9AC09C">
            <w:pPr>
              <w:widowControl/>
              <w:snapToGrid w:val="0"/>
              <w:spacing w:line="360" w:lineRule="auto"/>
              <w:ind w:firstLine="440" w:firstLineChars="200"/>
              <w:jc w:val="left"/>
              <w:rPr>
                <w:rFonts w:hint="eastAsia" w:ascii="宋体" w:hAnsi="宋体" w:cs="宋体"/>
                <w:bCs/>
                <w:color w:val="auto"/>
                <w:sz w:val="22"/>
              </w:rPr>
            </w:pPr>
            <w:r>
              <w:rPr>
                <w:rFonts w:hint="eastAsia" w:ascii="宋体" w:hAnsi="宋体" w:cs="宋体"/>
                <w:bCs/>
                <w:color w:val="auto"/>
                <w:sz w:val="22"/>
              </w:rPr>
              <w:t>3.2.1.2土建专业人员业绩要求：2018 年 1 月 1 日至投标截止日（以合同签订时间为准），拟派土建专业人员须具备不少于 2 项EPC 项目业绩，且业绩同时满足以下条件：①工程造价≥ 1 亿元；②项目建筑面积≥25000 平方米；③服务类型为EPC项目的跟踪审计服务或全过程造价咨询服务。业绩证明材料需提供中标通知书、咨询合同或定案表复印件；若前述材料未体现人员参与信息，应补充提供业主出具的正式业绩证明（加盖公章）及业主可核实的有效联系方式。</w:t>
            </w:r>
          </w:p>
          <w:p w14:paraId="0EDBDF8A">
            <w:pPr>
              <w:snapToGrid w:val="0"/>
              <w:spacing w:line="360" w:lineRule="auto"/>
              <w:ind w:firstLine="442" w:firstLineChars="200"/>
              <w:jc w:val="left"/>
              <w:rPr>
                <w:rFonts w:hint="eastAsia" w:ascii="宋体" w:hAnsi="宋体" w:cs="宋体"/>
                <w:color w:val="auto"/>
                <w:sz w:val="22"/>
              </w:rPr>
            </w:pPr>
            <w:r>
              <w:rPr>
                <w:rFonts w:hint="eastAsia" w:ascii="宋体" w:hAnsi="宋体" w:cs="宋体"/>
                <w:b/>
                <w:color w:val="auto"/>
                <w:sz w:val="22"/>
              </w:rPr>
              <w:t>4.其他要求</w:t>
            </w:r>
          </w:p>
          <w:p w14:paraId="241B73D2">
            <w:pPr>
              <w:autoSpaceDE w:val="0"/>
              <w:autoSpaceDN w:val="0"/>
              <w:adjustRightInd w:val="0"/>
              <w:snapToGrid w:val="0"/>
              <w:spacing w:line="360" w:lineRule="auto"/>
              <w:ind w:firstLine="440" w:firstLineChars="200"/>
              <w:jc w:val="left"/>
              <w:rPr>
                <w:rFonts w:hint="eastAsia" w:ascii="宋体" w:hAnsi="宋体" w:cs="宋体"/>
                <w:color w:val="auto"/>
                <w:kern w:val="0"/>
                <w:sz w:val="22"/>
              </w:rPr>
            </w:pPr>
            <w:r>
              <w:rPr>
                <w:rFonts w:hint="eastAsia" w:ascii="宋体" w:hAnsi="宋体" w:cs="宋体"/>
                <w:color w:val="auto"/>
                <w:kern w:val="0"/>
                <w:sz w:val="22"/>
              </w:rPr>
              <w:t>跟踪审计项目人员除比选人同意或要求更换外，竞标人不得擅自更换，且须提供重庆文理学院校内驻场服务（项目负责人根据施工现场进度及需要随时到场，并安排相应专业人员驻场服务办公，须保证施工现场驻场服务人员至少1人），学校提供施工现场办公室，食宿竞标人自理，所产生的费用包含在本次投标报价中，竞标人驻场办公人员必须与竞标配置人员一致，否则合同解除，并承担由此造成的相关损失。竞标人须在竞标文件中提供承诺书（格式自拟）</w:t>
            </w:r>
          </w:p>
          <w:p w14:paraId="4C370C17">
            <w:pPr>
              <w:snapToGrid w:val="0"/>
              <w:spacing w:line="360" w:lineRule="auto"/>
              <w:ind w:firstLine="442" w:firstLineChars="200"/>
              <w:jc w:val="left"/>
              <w:rPr>
                <w:rFonts w:hint="eastAsia" w:ascii="宋体" w:hAnsi="宋体" w:cs="宋体"/>
                <w:b/>
                <w:bCs/>
                <w:color w:val="auto"/>
                <w:sz w:val="22"/>
              </w:rPr>
            </w:pPr>
            <w:r>
              <w:rPr>
                <w:rFonts w:hint="eastAsia" w:ascii="宋体" w:hAnsi="宋体" w:cs="宋体"/>
                <w:b/>
                <w:bCs/>
                <w:color w:val="auto"/>
                <w:sz w:val="22"/>
              </w:rPr>
              <w:t>特别说明：</w:t>
            </w:r>
          </w:p>
          <w:p w14:paraId="76D7AF29">
            <w:pPr>
              <w:autoSpaceDE w:val="0"/>
              <w:autoSpaceDN w:val="0"/>
              <w:adjustRightInd w:val="0"/>
              <w:snapToGrid w:val="0"/>
              <w:spacing w:line="360" w:lineRule="auto"/>
              <w:ind w:firstLine="440" w:firstLineChars="200"/>
              <w:jc w:val="left"/>
              <w:rPr>
                <w:rFonts w:hint="eastAsia" w:ascii="宋体" w:hAnsi="宋体" w:cs="宋体"/>
                <w:color w:val="auto"/>
                <w:kern w:val="0"/>
                <w:sz w:val="22"/>
              </w:rPr>
            </w:pPr>
            <w:r>
              <w:rPr>
                <w:rFonts w:hint="eastAsia" w:ascii="宋体" w:hAnsi="宋体" w:cs="宋体"/>
                <w:color w:val="auto"/>
                <w:sz w:val="22"/>
              </w:rPr>
              <w:t>（1）上述要求须提交的相关证明材料均为扫描件（原件或复印件的扫描件均可），扫描件须清晰可辨，</w:t>
            </w:r>
            <w:r>
              <w:rPr>
                <w:rFonts w:hint="eastAsia" w:ascii="宋体" w:hAnsi="宋体" w:cs="宋体"/>
                <w:color w:val="auto"/>
                <w:kern w:val="0"/>
                <w:sz w:val="22"/>
              </w:rPr>
              <w:t>有一条不满足，则竞标文件由评标委员会</w:t>
            </w:r>
            <w:r>
              <w:rPr>
                <w:rFonts w:hint="eastAsia" w:ascii="宋体" w:hAnsi="宋体" w:cs="宋体"/>
                <w:color w:val="auto"/>
                <w:sz w:val="22"/>
              </w:rPr>
              <w:t>作否决竞标处理</w:t>
            </w:r>
            <w:r>
              <w:rPr>
                <w:rFonts w:hint="eastAsia" w:ascii="宋体" w:hAnsi="宋体" w:cs="宋体"/>
                <w:color w:val="auto"/>
                <w:kern w:val="0"/>
                <w:sz w:val="22"/>
              </w:rPr>
              <w:t>。</w:t>
            </w:r>
          </w:p>
          <w:p w14:paraId="4B67ABCF">
            <w:pPr>
              <w:autoSpaceDE w:val="0"/>
              <w:autoSpaceDN w:val="0"/>
              <w:adjustRightInd w:val="0"/>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2）竞标人须自行承诺（格式自拟）其提供的上述相关证明材料真实有效，不存在弄虚作假情形。比选人在合同签订前均有权对竞标人提供的资料进行核实，若发现弄虚作假，按相关规定取消其中标资格，并按相关法律法规报招标投标监督部门，其竞标保证金不予退还，竞标人承担因此造成的相关责任并赔偿相应损失。</w:t>
            </w:r>
          </w:p>
          <w:p w14:paraId="6336FE09">
            <w:pPr>
              <w:pStyle w:val="4"/>
              <w:keepNext w:val="0"/>
              <w:keepLines w:val="0"/>
              <w:snapToGrid w:val="0"/>
              <w:spacing w:before="0" w:after="0" w:line="360" w:lineRule="auto"/>
              <w:ind w:firstLine="440" w:firstLineChars="200"/>
              <w:jc w:val="left"/>
              <w:rPr>
                <w:rFonts w:hint="eastAsia" w:ascii="宋体" w:hAnsi="宋体" w:eastAsia="宋体" w:cs="宋体"/>
                <w:color w:val="auto"/>
                <w:sz w:val="22"/>
                <w:szCs w:val="22"/>
              </w:rPr>
            </w:pPr>
            <w:r>
              <w:rPr>
                <w:rFonts w:hint="eastAsia" w:ascii="宋体" w:hAnsi="宋体" w:eastAsia="宋体" w:cs="宋体"/>
                <w:color w:val="auto"/>
                <w:sz w:val="22"/>
                <w:szCs w:val="22"/>
              </w:rPr>
              <w:t>（3）中标候选人放弃中标的、被认定为弄虚作假骗取中标的、因不可抗力提出不能履行合同的，或者比选文件规定应当提交履约保证金而在规定的期限内未能提交的,或合同履行期间不能达到比选人要求的，比选人可以按照评标专家推荐的中标候选人顺序确定排名第二或第三的中标候选人为中标人，也可以重新进行比选。</w:t>
            </w:r>
          </w:p>
        </w:tc>
      </w:tr>
      <w:tr w14:paraId="4EA07C43">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110564BB">
            <w:pPr>
              <w:snapToGrid w:val="0"/>
              <w:spacing w:line="360" w:lineRule="auto"/>
              <w:jc w:val="center"/>
              <w:rPr>
                <w:rFonts w:hint="eastAsia" w:ascii="宋体" w:hAnsi="宋体" w:cs="宋体"/>
                <w:color w:val="auto"/>
                <w:sz w:val="22"/>
              </w:rPr>
            </w:pPr>
            <w:r>
              <w:rPr>
                <w:rFonts w:hint="eastAsia" w:ascii="宋体" w:hAnsi="宋体" w:cs="宋体"/>
                <w:color w:val="auto"/>
                <w:sz w:val="22"/>
              </w:rPr>
              <w:t>1.4.2</w:t>
            </w:r>
          </w:p>
        </w:tc>
        <w:tc>
          <w:tcPr>
            <w:tcW w:w="1491" w:type="dxa"/>
            <w:tcBorders>
              <w:top w:val="single" w:color="auto" w:sz="4" w:space="0"/>
              <w:left w:val="single" w:color="auto" w:sz="4" w:space="0"/>
              <w:bottom w:val="single" w:color="auto" w:sz="4" w:space="0"/>
              <w:right w:val="single" w:color="auto" w:sz="4" w:space="0"/>
            </w:tcBorders>
            <w:vAlign w:val="center"/>
          </w:tcPr>
          <w:p w14:paraId="16F601CC">
            <w:pPr>
              <w:snapToGrid w:val="0"/>
              <w:jc w:val="center"/>
              <w:rPr>
                <w:rFonts w:hint="eastAsia" w:ascii="宋体" w:hAnsi="宋体" w:cs="宋体"/>
                <w:color w:val="auto"/>
                <w:sz w:val="22"/>
              </w:rPr>
            </w:pPr>
            <w:r>
              <w:rPr>
                <w:rFonts w:hint="eastAsia" w:ascii="宋体" w:hAnsi="宋体" w:cs="宋体"/>
                <w:color w:val="auto"/>
                <w:sz w:val="22"/>
              </w:rPr>
              <w:t>是否接受联合体竞标</w:t>
            </w:r>
          </w:p>
        </w:tc>
        <w:tc>
          <w:tcPr>
            <w:tcW w:w="7466" w:type="dxa"/>
            <w:tcBorders>
              <w:top w:val="single" w:color="auto" w:sz="4" w:space="0"/>
              <w:left w:val="single" w:color="auto" w:sz="4" w:space="0"/>
              <w:bottom w:val="single" w:color="auto" w:sz="4" w:space="0"/>
              <w:right w:val="single" w:color="auto" w:sz="4" w:space="0"/>
            </w:tcBorders>
            <w:vAlign w:val="center"/>
          </w:tcPr>
          <w:p w14:paraId="76AFBADC">
            <w:pPr>
              <w:topLinePunct/>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不接受</w:t>
            </w:r>
          </w:p>
        </w:tc>
      </w:tr>
      <w:tr w14:paraId="795AAFB4">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7DCBF75E">
            <w:pPr>
              <w:snapToGrid w:val="0"/>
              <w:spacing w:line="360" w:lineRule="auto"/>
              <w:jc w:val="center"/>
              <w:rPr>
                <w:rFonts w:hint="eastAsia" w:ascii="宋体" w:hAnsi="宋体" w:cs="宋体"/>
                <w:color w:val="auto"/>
                <w:sz w:val="22"/>
              </w:rPr>
            </w:pPr>
            <w:r>
              <w:rPr>
                <w:rFonts w:hint="eastAsia" w:ascii="宋体" w:hAnsi="宋体" w:cs="宋体"/>
                <w:color w:val="auto"/>
                <w:sz w:val="22"/>
              </w:rPr>
              <w:t>1.9.1</w:t>
            </w:r>
          </w:p>
        </w:tc>
        <w:tc>
          <w:tcPr>
            <w:tcW w:w="1491" w:type="dxa"/>
            <w:tcBorders>
              <w:top w:val="single" w:color="auto" w:sz="4" w:space="0"/>
              <w:left w:val="single" w:color="auto" w:sz="4" w:space="0"/>
              <w:bottom w:val="single" w:color="auto" w:sz="4" w:space="0"/>
              <w:right w:val="single" w:color="auto" w:sz="4" w:space="0"/>
            </w:tcBorders>
            <w:vAlign w:val="center"/>
          </w:tcPr>
          <w:p w14:paraId="14DDD9F8">
            <w:pPr>
              <w:snapToGrid w:val="0"/>
              <w:jc w:val="center"/>
              <w:rPr>
                <w:rFonts w:hint="eastAsia" w:ascii="宋体" w:hAnsi="宋体" w:cs="宋体"/>
                <w:color w:val="auto"/>
                <w:sz w:val="22"/>
              </w:rPr>
            </w:pPr>
            <w:r>
              <w:rPr>
                <w:rFonts w:hint="eastAsia" w:ascii="宋体" w:hAnsi="宋体" w:cs="宋体"/>
                <w:color w:val="auto"/>
                <w:sz w:val="22"/>
              </w:rPr>
              <w:t>踏勘现场</w:t>
            </w:r>
          </w:p>
        </w:tc>
        <w:tc>
          <w:tcPr>
            <w:tcW w:w="7466" w:type="dxa"/>
            <w:tcBorders>
              <w:top w:val="single" w:color="auto" w:sz="4" w:space="0"/>
              <w:left w:val="single" w:color="auto" w:sz="4" w:space="0"/>
              <w:bottom w:val="single" w:color="auto" w:sz="4" w:space="0"/>
              <w:right w:val="single" w:color="auto" w:sz="4" w:space="0"/>
            </w:tcBorders>
            <w:vAlign w:val="center"/>
          </w:tcPr>
          <w:p w14:paraId="1DFFCCA6">
            <w:pPr>
              <w:pStyle w:val="15"/>
              <w:topLinePunct/>
              <w:snapToGrid w:val="0"/>
              <w:spacing w:line="360" w:lineRule="auto"/>
              <w:ind w:firstLine="440" w:firstLineChars="200"/>
              <w:jc w:val="left"/>
              <w:rPr>
                <w:rFonts w:hint="eastAsia" w:hAnsi="宋体" w:cs="宋体"/>
                <w:color w:val="auto"/>
                <w:sz w:val="22"/>
                <w:szCs w:val="22"/>
              </w:rPr>
            </w:pPr>
            <w:r>
              <w:rPr>
                <w:rFonts w:hint="eastAsia" w:hAnsi="宋体" w:cs="宋体"/>
                <w:color w:val="auto"/>
                <w:sz w:val="22"/>
                <w:szCs w:val="22"/>
              </w:rPr>
              <w:t>不组织</w:t>
            </w:r>
          </w:p>
        </w:tc>
      </w:tr>
      <w:tr w14:paraId="34BCDB80">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27137D76">
            <w:pPr>
              <w:snapToGrid w:val="0"/>
              <w:spacing w:line="360" w:lineRule="auto"/>
              <w:jc w:val="center"/>
              <w:rPr>
                <w:rFonts w:hint="eastAsia" w:ascii="宋体" w:hAnsi="宋体" w:cs="宋体"/>
                <w:color w:val="auto"/>
                <w:sz w:val="22"/>
              </w:rPr>
            </w:pPr>
            <w:r>
              <w:rPr>
                <w:rFonts w:hint="eastAsia" w:ascii="宋体" w:hAnsi="宋体" w:cs="宋体"/>
                <w:color w:val="auto"/>
                <w:sz w:val="22"/>
              </w:rPr>
              <w:t>1.10.1</w:t>
            </w:r>
          </w:p>
        </w:tc>
        <w:tc>
          <w:tcPr>
            <w:tcW w:w="1491" w:type="dxa"/>
            <w:tcBorders>
              <w:top w:val="single" w:color="auto" w:sz="4" w:space="0"/>
              <w:left w:val="single" w:color="auto" w:sz="4" w:space="0"/>
              <w:bottom w:val="single" w:color="auto" w:sz="4" w:space="0"/>
              <w:right w:val="single" w:color="auto" w:sz="4" w:space="0"/>
            </w:tcBorders>
            <w:vAlign w:val="center"/>
          </w:tcPr>
          <w:p w14:paraId="31C0CF17">
            <w:pPr>
              <w:snapToGrid w:val="0"/>
              <w:jc w:val="center"/>
              <w:rPr>
                <w:rFonts w:hint="eastAsia" w:ascii="宋体" w:hAnsi="宋体" w:cs="宋体"/>
                <w:color w:val="auto"/>
                <w:sz w:val="22"/>
              </w:rPr>
            </w:pPr>
            <w:r>
              <w:rPr>
                <w:rFonts w:hint="eastAsia" w:ascii="宋体" w:hAnsi="宋体" w:cs="宋体"/>
                <w:color w:val="auto"/>
                <w:sz w:val="22"/>
              </w:rPr>
              <w:t>竞标预备会</w:t>
            </w:r>
          </w:p>
        </w:tc>
        <w:tc>
          <w:tcPr>
            <w:tcW w:w="7466" w:type="dxa"/>
            <w:tcBorders>
              <w:top w:val="single" w:color="auto" w:sz="4" w:space="0"/>
              <w:left w:val="single" w:color="auto" w:sz="4" w:space="0"/>
              <w:bottom w:val="single" w:color="auto" w:sz="4" w:space="0"/>
              <w:right w:val="single" w:color="auto" w:sz="4" w:space="0"/>
            </w:tcBorders>
            <w:vAlign w:val="center"/>
          </w:tcPr>
          <w:p w14:paraId="4CD57A2D">
            <w:pPr>
              <w:pStyle w:val="15"/>
              <w:topLinePunct/>
              <w:snapToGrid w:val="0"/>
              <w:spacing w:line="360" w:lineRule="auto"/>
              <w:ind w:firstLine="440" w:firstLineChars="200"/>
              <w:jc w:val="left"/>
              <w:rPr>
                <w:rFonts w:hint="eastAsia" w:hAnsi="宋体" w:cs="宋体"/>
                <w:color w:val="auto"/>
                <w:sz w:val="22"/>
                <w:szCs w:val="22"/>
              </w:rPr>
            </w:pPr>
            <w:r>
              <w:rPr>
                <w:rFonts w:hint="eastAsia" w:hAnsi="宋体" w:cs="宋体"/>
                <w:color w:val="auto"/>
                <w:sz w:val="22"/>
                <w:szCs w:val="22"/>
              </w:rPr>
              <w:t>不召开</w:t>
            </w:r>
          </w:p>
        </w:tc>
      </w:tr>
      <w:tr w14:paraId="7BA3EB8F">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4C3D9E75">
            <w:pPr>
              <w:snapToGrid w:val="0"/>
              <w:spacing w:line="360" w:lineRule="auto"/>
              <w:jc w:val="center"/>
              <w:rPr>
                <w:rFonts w:hint="eastAsia" w:ascii="宋体" w:hAnsi="宋体" w:cs="宋体"/>
                <w:color w:val="auto"/>
                <w:sz w:val="22"/>
              </w:rPr>
            </w:pPr>
            <w:r>
              <w:rPr>
                <w:rFonts w:hint="eastAsia" w:ascii="宋体" w:hAnsi="宋体" w:cs="宋体"/>
                <w:color w:val="auto"/>
                <w:sz w:val="22"/>
              </w:rPr>
              <w:t>1.11</w:t>
            </w:r>
          </w:p>
        </w:tc>
        <w:tc>
          <w:tcPr>
            <w:tcW w:w="1491" w:type="dxa"/>
            <w:tcBorders>
              <w:top w:val="single" w:color="auto" w:sz="4" w:space="0"/>
              <w:left w:val="single" w:color="auto" w:sz="4" w:space="0"/>
              <w:bottom w:val="single" w:color="auto" w:sz="4" w:space="0"/>
              <w:right w:val="single" w:color="auto" w:sz="4" w:space="0"/>
            </w:tcBorders>
            <w:vAlign w:val="center"/>
          </w:tcPr>
          <w:p w14:paraId="72F4C9FD">
            <w:pPr>
              <w:snapToGrid w:val="0"/>
              <w:jc w:val="center"/>
              <w:rPr>
                <w:rFonts w:hint="eastAsia" w:ascii="宋体" w:hAnsi="宋体" w:cs="宋体"/>
                <w:color w:val="auto"/>
                <w:sz w:val="22"/>
              </w:rPr>
            </w:pPr>
            <w:r>
              <w:rPr>
                <w:rFonts w:hint="eastAsia" w:ascii="宋体" w:hAnsi="宋体" w:cs="宋体"/>
                <w:color w:val="auto"/>
                <w:sz w:val="22"/>
              </w:rPr>
              <w:t>分包</w:t>
            </w:r>
          </w:p>
        </w:tc>
        <w:tc>
          <w:tcPr>
            <w:tcW w:w="7466" w:type="dxa"/>
            <w:tcBorders>
              <w:top w:val="single" w:color="auto" w:sz="4" w:space="0"/>
              <w:left w:val="single" w:color="auto" w:sz="4" w:space="0"/>
              <w:bottom w:val="single" w:color="auto" w:sz="4" w:space="0"/>
              <w:right w:val="single" w:color="auto" w:sz="4" w:space="0"/>
            </w:tcBorders>
            <w:vAlign w:val="center"/>
          </w:tcPr>
          <w:p w14:paraId="33F5E6CC">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不允许</w:t>
            </w:r>
          </w:p>
        </w:tc>
      </w:tr>
      <w:tr w14:paraId="6E8F702B">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5A90C9C7">
            <w:pPr>
              <w:snapToGrid w:val="0"/>
              <w:spacing w:line="360" w:lineRule="auto"/>
              <w:jc w:val="center"/>
              <w:rPr>
                <w:rFonts w:hint="eastAsia" w:ascii="宋体" w:hAnsi="宋体" w:cs="宋体"/>
                <w:color w:val="auto"/>
                <w:sz w:val="22"/>
              </w:rPr>
            </w:pPr>
            <w:r>
              <w:rPr>
                <w:rFonts w:hint="eastAsia" w:ascii="宋体" w:hAnsi="宋体" w:cs="宋体"/>
                <w:color w:val="auto"/>
                <w:sz w:val="22"/>
              </w:rPr>
              <w:t>1.12.3</w:t>
            </w:r>
          </w:p>
        </w:tc>
        <w:tc>
          <w:tcPr>
            <w:tcW w:w="1491" w:type="dxa"/>
            <w:tcBorders>
              <w:top w:val="single" w:color="auto" w:sz="4" w:space="0"/>
              <w:left w:val="single" w:color="auto" w:sz="4" w:space="0"/>
              <w:bottom w:val="single" w:color="auto" w:sz="4" w:space="0"/>
              <w:right w:val="single" w:color="auto" w:sz="4" w:space="0"/>
            </w:tcBorders>
            <w:vAlign w:val="center"/>
          </w:tcPr>
          <w:p w14:paraId="7F99C8CE">
            <w:pPr>
              <w:snapToGrid w:val="0"/>
              <w:jc w:val="center"/>
              <w:rPr>
                <w:rFonts w:hint="eastAsia" w:ascii="宋体" w:hAnsi="宋体" w:cs="宋体"/>
                <w:color w:val="auto"/>
                <w:sz w:val="22"/>
              </w:rPr>
            </w:pPr>
            <w:r>
              <w:rPr>
                <w:rFonts w:hint="eastAsia" w:ascii="宋体" w:hAnsi="宋体" w:cs="宋体"/>
                <w:color w:val="auto"/>
                <w:sz w:val="22"/>
              </w:rPr>
              <w:t>响应和偏离</w:t>
            </w:r>
          </w:p>
        </w:tc>
        <w:tc>
          <w:tcPr>
            <w:tcW w:w="7466" w:type="dxa"/>
            <w:tcBorders>
              <w:top w:val="single" w:color="auto" w:sz="4" w:space="0"/>
              <w:left w:val="single" w:color="auto" w:sz="4" w:space="0"/>
              <w:bottom w:val="single" w:color="auto" w:sz="4" w:space="0"/>
              <w:right w:val="single" w:color="auto" w:sz="4" w:space="0"/>
            </w:tcBorders>
            <w:vAlign w:val="center"/>
          </w:tcPr>
          <w:p w14:paraId="49B98E28">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竞标文件存在第三章“附件A：否决竞标情况一览表”中情形之一的，竞标文件视为重大偏差并作否决竞标处理，否则，评标委员会不得视为重大偏差而否决竞标人的竞标文件。</w:t>
            </w:r>
          </w:p>
        </w:tc>
      </w:tr>
      <w:tr w14:paraId="77D6A7E4">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0FCF0115">
            <w:pPr>
              <w:snapToGrid w:val="0"/>
              <w:spacing w:line="360" w:lineRule="auto"/>
              <w:jc w:val="center"/>
              <w:rPr>
                <w:rFonts w:hint="eastAsia" w:ascii="宋体" w:hAnsi="宋体" w:cs="宋体"/>
                <w:color w:val="auto"/>
                <w:sz w:val="22"/>
              </w:rPr>
            </w:pPr>
            <w:r>
              <w:rPr>
                <w:rFonts w:hint="eastAsia" w:ascii="宋体" w:hAnsi="宋体" w:cs="宋体"/>
                <w:color w:val="auto"/>
                <w:sz w:val="22"/>
              </w:rPr>
              <w:t>2.1</w:t>
            </w:r>
          </w:p>
        </w:tc>
        <w:tc>
          <w:tcPr>
            <w:tcW w:w="1491" w:type="dxa"/>
            <w:tcBorders>
              <w:top w:val="single" w:color="auto" w:sz="4" w:space="0"/>
              <w:left w:val="single" w:color="auto" w:sz="4" w:space="0"/>
              <w:bottom w:val="single" w:color="auto" w:sz="4" w:space="0"/>
              <w:right w:val="single" w:color="auto" w:sz="4" w:space="0"/>
            </w:tcBorders>
            <w:vAlign w:val="center"/>
          </w:tcPr>
          <w:p w14:paraId="136945FE">
            <w:pPr>
              <w:snapToGrid w:val="0"/>
              <w:jc w:val="center"/>
              <w:rPr>
                <w:rFonts w:hint="eastAsia" w:ascii="宋体" w:hAnsi="宋体" w:cs="宋体"/>
                <w:color w:val="auto"/>
                <w:sz w:val="22"/>
              </w:rPr>
            </w:pPr>
            <w:r>
              <w:rPr>
                <w:rFonts w:hint="eastAsia" w:ascii="宋体" w:hAnsi="宋体" w:cs="宋体"/>
                <w:color w:val="auto"/>
                <w:sz w:val="22"/>
              </w:rPr>
              <w:t>构成比选文件的其他资料</w:t>
            </w:r>
          </w:p>
        </w:tc>
        <w:tc>
          <w:tcPr>
            <w:tcW w:w="7466" w:type="dxa"/>
            <w:tcBorders>
              <w:top w:val="single" w:color="auto" w:sz="4" w:space="0"/>
              <w:left w:val="single" w:color="auto" w:sz="4" w:space="0"/>
              <w:bottom w:val="single" w:color="auto" w:sz="4" w:space="0"/>
              <w:right w:val="single" w:color="auto" w:sz="4" w:space="0"/>
            </w:tcBorders>
            <w:vAlign w:val="center"/>
          </w:tcPr>
          <w:p w14:paraId="48AEE010">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比选人发出的澄清及修改</w:t>
            </w:r>
          </w:p>
        </w:tc>
      </w:tr>
      <w:tr w14:paraId="1A456D22">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00F3CD1E">
            <w:pPr>
              <w:snapToGrid w:val="0"/>
              <w:spacing w:line="360" w:lineRule="auto"/>
              <w:jc w:val="center"/>
              <w:rPr>
                <w:rFonts w:hint="eastAsia" w:ascii="宋体" w:hAnsi="宋体" w:cs="宋体"/>
                <w:color w:val="auto"/>
                <w:sz w:val="22"/>
              </w:rPr>
            </w:pPr>
            <w:r>
              <w:rPr>
                <w:rFonts w:hint="eastAsia" w:ascii="宋体" w:hAnsi="宋体" w:cs="宋体"/>
                <w:color w:val="auto"/>
                <w:sz w:val="22"/>
              </w:rPr>
              <w:t>2.2.1</w:t>
            </w:r>
          </w:p>
        </w:tc>
        <w:tc>
          <w:tcPr>
            <w:tcW w:w="1491" w:type="dxa"/>
            <w:tcBorders>
              <w:top w:val="single" w:color="auto" w:sz="4" w:space="0"/>
              <w:left w:val="single" w:color="auto" w:sz="4" w:space="0"/>
              <w:bottom w:val="single" w:color="auto" w:sz="4" w:space="0"/>
              <w:right w:val="single" w:color="auto" w:sz="4" w:space="0"/>
            </w:tcBorders>
            <w:vAlign w:val="center"/>
          </w:tcPr>
          <w:p w14:paraId="2410B1F8">
            <w:pPr>
              <w:snapToGrid w:val="0"/>
              <w:jc w:val="center"/>
              <w:rPr>
                <w:rFonts w:hint="eastAsia" w:ascii="宋体" w:hAnsi="宋体" w:cs="宋体"/>
                <w:color w:val="auto"/>
                <w:sz w:val="22"/>
              </w:rPr>
            </w:pPr>
            <w:r>
              <w:rPr>
                <w:rFonts w:hint="eastAsia" w:ascii="宋体" w:hAnsi="宋体" w:cs="宋体"/>
                <w:color w:val="auto"/>
                <w:sz w:val="22"/>
              </w:rPr>
              <w:t>竞标人要求澄清比选文件</w:t>
            </w:r>
          </w:p>
        </w:tc>
        <w:tc>
          <w:tcPr>
            <w:tcW w:w="7466" w:type="dxa"/>
            <w:tcBorders>
              <w:top w:val="single" w:color="auto" w:sz="4" w:space="0"/>
              <w:left w:val="single" w:color="auto" w:sz="4" w:space="0"/>
              <w:bottom w:val="single" w:color="auto" w:sz="4" w:space="0"/>
              <w:right w:val="single" w:color="auto" w:sz="4" w:space="0"/>
            </w:tcBorders>
            <w:vAlign w:val="center"/>
          </w:tcPr>
          <w:p w14:paraId="2F88482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kern w:val="0"/>
                <w:sz w:val="22"/>
              </w:rPr>
              <w:t>竞标人在收到比选文件后，应仔细检查比选文件的所有内容，如有残缺或文字表述不清，图纸尺寸标注不明以及存在错、碰、漏、缺、概念模糊和有可能出现歧义或理解上的偏差的内容等应</w:t>
            </w:r>
            <w:r>
              <w:rPr>
                <w:rFonts w:hint="eastAsia" w:ascii="宋体" w:hAnsi="宋体" w:cs="宋体"/>
                <w:color w:val="auto"/>
                <w:kern w:val="0"/>
                <w:sz w:val="22"/>
                <w:u w:val="single"/>
              </w:rPr>
              <w:t xml:space="preserve"> 2026</w:t>
            </w:r>
            <w:r>
              <w:rPr>
                <w:rFonts w:hint="eastAsia" w:ascii="宋体" w:hAnsi="宋体" w:cs="宋体"/>
                <w:color w:val="auto"/>
                <w:kern w:val="0"/>
                <w:sz w:val="22"/>
              </w:rPr>
              <w:t>年</w:t>
            </w:r>
            <w:r>
              <w:rPr>
                <w:rFonts w:hint="eastAsia" w:ascii="宋体" w:hAnsi="宋体" w:cs="宋体"/>
                <w:color w:val="auto"/>
                <w:kern w:val="0"/>
                <w:sz w:val="22"/>
                <w:u w:val="single"/>
                <w:lang w:val="en-US" w:eastAsia="zh-CN"/>
              </w:rPr>
              <w:t>3</w:t>
            </w:r>
            <w:r>
              <w:rPr>
                <w:rFonts w:hint="eastAsia" w:ascii="宋体" w:hAnsi="宋体" w:cs="宋体"/>
                <w:color w:val="auto"/>
                <w:kern w:val="0"/>
                <w:sz w:val="22"/>
              </w:rPr>
              <w:t>月</w:t>
            </w:r>
            <w:r>
              <w:rPr>
                <w:rFonts w:hint="eastAsia" w:ascii="宋体" w:hAnsi="宋体" w:cs="宋体"/>
                <w:color w:val="auto"/>
                <w:kern w:val="0"/>
                <w:sz w:val="22"/>
                <w:u w:val="single"/>
                <w:lang w:val="en-US" w:eastAsia="zh-CN"/>
              </w:rPr>
              <w:t>16</w:t>
            </w:r>
            <w:r>
              <w:rPr>
                <w:rFonts w:hint="eastAsia" w:ascii="宋体" w:hAnsi="宋体" w:cs="宋体"/>
                <w:color w:val="auto"/>
                <w:kern w:val="0"/>
                <w:sz w:val="22"/>
              </w:rPr>
              <w:t>日</w:t>
            </w:r>
            <w:r>
              <w:rPr>
                <w:rFonts w:hint="eastAsia" w:ascii="宋体" w:hAnsi="宋体" w:cs="宋体"/>
                <w:color w:val="auto"/>
                <w:kern w:val="0"/>
                <w:sz w:val="22"/>
                <w:u w:val="single"/>
              </w:rPr>
              <w:t xml:space="preserve"> 1</w:t>
            </w:r>
            <w:r>
              <w:rPr>
                <w:rFonts w:hint="eastAsia" w:ascii="宋体" w:hAnsi="宋体" w:cs="宋体"/>
                <w:color w:val="auto"/>
                <w:kern w:val="0"/>
                <w:sz w:val="22"/>
                <w:u w:val="single"/>
                <w:lang w:val="en-US" w:eastAsia="zh-CN"/>
              </w:rPr>
              <w:t>2</w:t>
            </w:r>
            <w:r>
              <w:rPr>
                <w:rFonts w:hint="eastAsia" w:ascii="宋体" w:hAnsi="宋体" w:cs="宋体"/>
                <w:color w:val="auto"/>
                <w:sz w:val="22"/>
              </w:rPr>
              <w:t>时</w:t>
            </w:r>
            <w:r>
              <w:rPr>
                <w:rFonts w:hint="eastAsia" w:ascii="宋体" w:hAnsi="宋体" w:cs="宋体"/>
                <w:color w:val="auto"/>
                <w:kern w:val="0"/>
                <w:sz w:val="22"/>
                <w:u w:val="single"/>
              </w:rPr>
              <w:t xml:space="preserve"> 00 </w:t>
            </w:r>
            <w:r>
              <w:rPr>
                <w:rFonts w:hint="eastAsia" w:ascii="宋体" w:hAnsi="宋体" w:cs="宋体"/>
                <w:color w:val="auto"/>
                <w:sz w:val="22"/>
              </w:rPr>
              <w:t>分（北京时间）</w:t>
            </w:r>
            <w:r>
              <w:rPr>
                <w:rFonts w:hint="eastAsia" w:ascii="宋体" w:hAnsi="宋体" w:cs="宋体"/>
                <w:color w:val="auto"/>
                <w:kern w:val="0"/>
                <w:sz w:val="22"/>
              </w:rPr>
              <w:t>前以书面形式提交</w:t>
            </w:r>
            <w:r>
              <w:rPr>
                <w:rFonts w:hint="eastAsia" w:ascii="宋体" w:hAnsi="宋体" w:cs="宋体"/>
                <w:color w:val="auto"/>
                <w:sz w:val="22"/>
              </w:rPr>
              <w:t>。</w:t>
            </w:r>
          </w:p>
        </w:tc>
      </w:tr>
      <w:tr w14:paraId="0E29452A">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74786277">
            <w:pPr>
              <w:snapToGrid w:val="0"/>
              <w:spacing w:line="360" w:lineRule="auto"/>
              <w:jc w:val="center"/>
              <w:rPr>
                <w:rFonts w:hint="eastAsia" w:ascii="宋体" w:hAnsi="宋体" w:cs="宋体"/>
                <w:color w:val="auto"/>
                <w:sz w:val="22"/>
              </w:rPr>
            </w:pPr>
            <w:r>
              <w:rPr>
                <w:rFonts w:hint="eastAsia" w:ascii="宋体" w:hAnsi="宋体" w:cs="宋体"/>
                <w:color w:val="auto"/>
                <w:sz w:val="22"/>
              </w:rPr>
              <w:t>2.2.2</w:t>
            </w:r>
          </w:p>
        </w:tc>
        <w:tc>
          <w:tcPr>
            <w:tcW w:w="1491" w:type="dxa"/>
            <w:tcBorders>
              <w:top w:val="single" w:color="auto" w:sz="4" w:space="0"/>
              <w:left w:val="single" w:color="auto" w:sz="4" w:space="0"/>
              <w:bottom w:val="single" w:color="auto" w:sz="4" w:space="0"/>
              <w:right w:val="single" w:color="auto" w:sz="4" w:space="0"/>
            </w:tcBorders>
            <w:vAlign w:val="center"/>
          </w:tcPr>
          <w:p w14:paraId="49665EC3">
            <w:pPr>
              <w:snapToGrid w:val="0"/>
              <w:jc w:val="center"/>
              <w:rPr>
                <w:rFonts w:hint="eastAsia" w:ascii="宋体" w:hAnsi="宋体" w:cs="宋体"/>
                <w:color w:val="auto"/>
                <w:sz w:val="22"/>
              </w:rPr>
            </w:pPr>
            <w:r>
              <w:rPr>
                <w:rFonts w:hint="eastAsia" w:ascii="宋体" w:hAnsi="宋体" w:cs="宋体"/>
                <w:color w:val="auto"/>
                <w:kern w:val="0"/>
                <w:sz w:val="22"/>
              </w:rPr>
              <w:t>比选人对比选文件答疑的截止时间</w:t>
            </w:r>
          </w:p>
        </w:tc>
        <w:tc>
          <w:tcPr>
            <w:tcW w:w="7466" w:type="dxa"/>
            <w:tcBorders>
              <w:top w:val="single" w:color="auto" w:sz="4" w:space="0"/>
              <w:left w:val="single" w:color="auto" w:sz="4" w:space="0"/>
              <w:bottom w:val="single" w:color="auto" w:sz="4" w:space="0"/>
              <w:right w:val="single" w:color="auto" w:sz="4" w:space="0"/>
            </w:tcBorders>
            <w:vAlign w:val="center"/>
          </w:tcPr>
          <w:p w14:paraId="774E33E1">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kern w:val="0"/>
                <w:sz w:val="22"/>
                <w:u w:val="single"/>
              </w:rPr>
              <w:t>2026</w:t>
            </w:r>
            <w:r>
              <w:rPr>
                <w:rFonts w:hint="eastAsia" w:ascii="宋体" w:hAnsi="宋体" w:cs="宋体"/>
                <w:color w:val="auto"/>
                <w:kern w:val="0"/>
                <w:sz w:val="22"/>
              </w:rPr>
              <w:t>年</w:t>
            </w:r>
            <w:r>
              <w:rPr>
                <w:rFonts w:hint="eastAsia" w:ascii="宋体" w:hAnsi="宋体" w:cs="宋体"/>
                <w:color w:val="auto"/>
                <w:kern w:val="0"/>
                <w:sz w:val="22"/>
                <w:u w:val="single"/>
              </w:rPr>
              <w:t xml:space="preserve"> </w:t>
            </w:r>
            <w:r>
              <w:rPr>
                <w:rFonts w:hint="eastAsia" w:ascii="宋体" w:hAnsi="宋体" w:cs="宋体"/>
                <w:color w:val="auto"/>
                <w:kern w:val="0"/>
                <w:sz w:val="22"/>
                <w:u w:val="single"/>
                <w:lang w:val="en-US" w:eastAsia="zh-CN"/>
              </w:rPr>
              <w:t>3</w:t>
            </w:r>
            <w:r>
              <w:rPr>
                <w:rFonts w:hint="eastAsia" w:ascii="宋体" w:hAnsi="宋体" w:cs="宋体"/>
                <w:color w:val="auto"/>
                <w:kern w:val="0"/>
                <w:sz w:val="22"/>
                <w:u w:val="single"/>
              </w:rPr>
              <w:t xml:space="preserve">  </w:t>
            </w:r>
            <w:r>
              <w:rPr>
                <w:rFonts w:hint="eastAsia" w:ascii="宋体" w:hAnsi="宋体" w:cs="宋体"/>
                <w:color w:val="auto"/>
                <w:kern w:val="0"/>
                <w:sz w:val="22"/>
              </w:rPr>
              <w:t>月</w:t>
            </w:r>
            <w:r>
              <w:rPr>
                <w:rFonts w:hint="eastAsia" w:ascii="宋体" w:hAnsi="宋体" w:cs="宋体"/>
                <w:color w:val="auto"/>
                <w:kern w:val="0"/>
                <w:sz w:val="22"/>
                <w:u w:val="single"/>
              </w:rPr>
              <w:t xml:space="preserve">  </w:t>
            </w:r>
            <w:r>
              <w:rPr>
                <w:rFonts w:hint="eastAsia" w:ascii="宋体" w:hAnsi="宋体" w:cs="宋体"/>
                <w:color w:val="auto"/>
                <w:kern w:val="0"/>
                <w:sz w:val="22"/>
                <w:u w:val="single"/>
                <w:lang w:val="en-US" w:eastAsia="zh-CN"/>
              </w:rPr>
              <w:t>17</w:t>
            </w:r>
            <w:r>
              <w:rPr>
                <w:rFonts w:hint="eastAsia" w:ascii="宋体" w:hAnsi="宋体" w:cs="宋体"/>
                <w:color w:val="auto"/>
                <w:kern w:val="0"/>
                <w:sz w:val="22"/>
                <w:u w:val="single"/>
              </w:rPr>
              <w:t xml:space="preserve">  </w:t>
            </w:r>
            <w:r>
              <w:rPr>
                <w:rFonts w:hint="eastAsia" w:ascii="宋体" w:hAnsi="宋体" w:cs="宋体"/>
                <w:color w:val="auto"/>
                <w:kern w:val="0"/>
                <w:sz w:val="22"/>
              </w:rPr>
              <w:t>日。</w:t>
            </w:r>
          </w:p>
        </w:tc>
      </w:tr>
      <w:tr w14:paraId="63B21C7B">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604F0AA3">
            <w:pPr>
              <w:snapToGrid w:val="0"/>
              <w:spacing w:line="360" w:lineRule="auto"/>
              <w:jc w:val="center"/>
              <w:rPr>
                <w:rFonts w:hint="eastAsia" w:ascii="宋体" w:hAnsi="宋体" w:cs="宋体"/>
                <w:color w:val="auto"/>
                <w:sz w:val="22"/>
              </w:rPr>
            </w:pPr>
            <w:r>
              <w:rPr>
                <w:rFonts w:hint="eastAsia" w:ascii="宋体" w:hAnsi="宋体" w:cs="宋体"/>
                <w:color w:val="auto"/>
                <w:sz w:val="22"/>
              </w:rPr>
              <w:t>3.1.1</w:t>
            </w:r>
          </w:p>
        </w:tc>
        <w:tc>
          <w:tcPr>
            <w:tcW w:w="1491" w:type="dxa"/>
            <w:tcBorders>
              <w:top w:val="single" w:color="auto" w:sz="4" w:space="0"/>
              <w:left w:val="single" w:color="auto" w:sz="4" w:space="0"/>
              <w:bottom w:val="single" w:color="auto" w:sz="4" w:space="0"/>
              <w:right w:val="single" w:color="auto" w:sz="4" w:space="0"/>
            </w:tcBorders>
            <w:vAlign w:val="center"/>
          </w:tcPr>
          <w:p w14:paraId="5357F9C3">
            <w:pPr>
              <w:snapToGrid w:val="0"/>
              <w:jc w:val="center"/>
              <w:rPr>
                <w:rFonts w:hint="eastAsia" w:ascii="宋体" w:hAnsi="宋体" w:cs="宋体"/>
                <w:color w:val="auto"/>
                <w:sz w:val="22"/>
              </w:rPr>
            </w:pPr>
            <w:r>
              <w:rPr>
                <w:rFonts w:hint="eastAsia" w:ascii="宋体" w:hAnsi="宋体" w:cs="宋体"/>
                <w:color w:val="auto"/>
                <w:sz w:val="22"/>
              </w:rPr>
              <w:t>构成竞标文件的其他资料</w:t>
            </w:r>
          </w:p>
        </w:tc>
        <w:tc>
          <w:tcPr>
            <w:tcW w:w="7466" w:type="dxa"/>
            <w:tcBorders>
              <w:top w:val="single" w:color="auto" w:sz="4" w:space="0"/>
              <w:left w:val="single" w:color="auto" w:sz="4" w:space="0"/>
              <w:bottom w:val="single" w:color="auto" w:sz="4" w:space="0"/>
              <w:right w:val="single" w:color="auto" w:sz="4" w:space="0"/>
            </w:tcBorders>
            <w:vAlign w:val="center"/>
          </w:tcPr>
          <w:p w14:paraId="711592EA">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竞标人的书面澄清、说明和补正（但不得改变竞标文件的实质性内容）</w:t>
            </w:r>
          </w:p>
        </w:tc>
      </w:tr>
      <w:tr w14:paraId="301D8D0F">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42FB9617">
            <w:pPr>
              <w:snapToGrid w:val="0"/>
              <w:spacing w:line="360" w:lineRule="auto"/>
              <w:jc w:val="center"/>
              <w:rPr>
                <w:rFonts w:hint="eastAsia" w:ascii="宋体" w:hAnsi="宋体" w:cs="宋体"/>
                <w:color w:val="auto"/>
                <w:sz w:val="22"/>
              </w:rPr>
            </w:pPr>
            <w:r>
              <w:rPr>
                <w:rFonts w:hint="eastAsia" w:ascii="宋体" w:hAnsi="宋体" w:cs="宋体"/>
                <w:color w:val="auto"/>
                <w:sz w:val="22"/>
              </w:rPr>
              <w:t>3.2.1</w:t>
            </w:r>
          </w:p>
        </w:tc>
        <w:tc>
          <w:tcPr>
            <w:tcW w:w="1491" w:type="dxa"/>
            <w:tcBorders>
              <w:top w:val="single" w:color="auto" w:sz="4" w:space="0"/>
              <w:left w:val="single" w:color="auto" w:sz="4" w:space="0"/>
              <w:bottom w:val="single" w:color="auto" w:sz="4" w:space="0"/>
              <w:right w:val="single" w:color="auto" w:sz="4" w:space="0"/>
            </w:tcBorders>
            <w:vAlign w:val="center"/>
          </w:tcPr>
          <w:p w14:paraId="48B9D06A">
            <w:pPr>
              <w:snapToGrid w:val="0"/>
              <w:jc w:val="center"/>
              <w:rPr>
                <w:rFonts w:hint="eastAsia" w:ascii="宋体" w:hAnsi="宋体" w:cs="宋体"/>
                <w:color w:val="auto"/>
                <w:sz w:val="22"/>
              </w:rPr>
            </w:pPr>
            <w:r>
              <w:rPr>
                <w:rFonts w:hint="eastAsia" w:ascii="宋体" w:hAnsi="宋体" w:cs="宋体"/>
                <w:color w:val="auto"/>
                <w:sz w:val="22"/>
              </w:rPr>
              <w:t>增值税税金的计算方式</w:t>
            </w:r>
          </w:p>
        </w:tc>
        <w:tc>
          <w:tcPr>
            <w:tcW w:w="7466" w:type="dxa"/>
            <w:tcBorders>
              <w:top w:val="single" w:color="auto" w:sz="4" w:space="0"/>
              <w:left w:val="single" w:color="auto" w:sz="4" w:space="0"/>
              <w:bottom w:val="single" w:color="auto" w:sz="4" w:space="0"/>
              <w:right w:val="single" w:color="auto" w:sz="4" w:space="0"/>
            </w:tcBorders>
            <w:vAlign w:val="center"/>
          </w:tcPr>
          <w:p w14:paraId="1B7D471B">
            <w:pPr>
              <w:pStyle w:val="16"/>
              <w:tabs>
                <w:tab w:val="left" w:pos="546"/>
                <w:tab w:val="left" w:pos="711"/>
              </w:tabs>
              <w:snapToGrid w:val="0"/>
              <w:spacing w:after="0" w:line="360" w:lineRule="auto"/>
              <w:ind w:firstLine="440" w:firstLineChars="200"/>
              <w:jc w:val="left"/>
              <w:rPr>
                <w:rFonts w:hint="eastAsia" w:ascii="宋体" w:hAnsi="宋体" w:cs="宋体"/>
                <w:color w:val="auto"/>
                <w:sz w:val="22"/>
                <w:szCs w:val="22"/>
              </w:rPr>
            </w:pPr>
            <w:r>
              <w:rPr>
                <w:rFonts w:hint="eastAsia" w:ascii="宋体" w:hAnsi="宋体" w:cs="宋体"/>
                <w:color w:val="auto"/>
                <w:sz w:val="22"/>
                <w:szCs w:val="22"/>
              </w:rPr>
              <w:t>一般计税法</w:t>
            </w:r>
          </w:p>
        </w:tc>
      </w:tr>
      <w:tr w14:paraId="10140B7E">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78B93F67">
            <w:pPr>
              <w:snapToGrid w:val="0"/>
              <w:spacing w:line="360" w:lineRule="auto"/>
              <w:jc w:val="center"/>
              <w:rPr>
                <w:rFonts w:hint="eastAsia" w:ascii="宋体" w:hAnsi="宋体" w:cs="宋体"/>
                <w:color w:val="auto"/>
                <w:sz w:val="22"/>
              </w:rPr>
            </w:pPr>
            <w:r>
              <w:rPr>
                <w:rFonts w:hint="eastAsia" w:ascii="宋体" w:hAnsi="宋体" w:cs="宋体"/>
                <w:color w:val="auto"/>
                <w:sz w:val="22"/>
              </w:rPr>
              <w:t>3.2.3</w:t>
            </w:r>
          </w:p>
        </w:tc>
        <w:tc>
          <w:tcPr>
            <w:tcW w:w="1491" w:type="dxa"/>
            <w:tcBorders>
              <w:top w:val="single" w:color="auto" w:sz="4" w:space="0"/>
              <w:left w:val="single" w:color="auto" w:sz="4" w:space="0"/>
              <w:bottom w:val="single" w:color="auto" w:sz="4" w:space="0"/>
              <w:right w:val="single" w:color="auto" w:sz="4" w:space="0"/>
            </w:tcBorders>
            <w:vAlign w:val="center"/>
          </w:tcPr>
          <w:p w14:paraId="75C25324">
            <w:pPr>
              <w:snapToGrid w:val="0"/>
              <w:jc w:val="center"/>
              <w:rPr>
                <w:rFonts w:hint="eastAsia" w:ascii="宋体" w:hAnsi="宋体" w:cs="宋体"/>
                <w:color w:val="auto"/>
                <w:sz w:val="22"/>
              </w:rPr>
            </w:pPr>
            <w:r>
              <w:rPr>
                <w:rFonts w:hint="eastAsia" w:ascii="宋体" w:hAnsi="宋体" w:cs="宋体"/>
                <w:color w:val="auto"/>
                <w:sz w:val="22"/>
              </w:rPr>
              <w:t>报价方式</w:t>
            </w:r>
          </w:p>
        </w:tc>
        <w:tc>
          <w:tcPr>
            <w:tcW w:w="7466" w:type="dxa"/>
            <w:tcBorders>
              <w:top w:val="single" w:color="auto" w:sz="4" w:space="0"/>
              <w:left w:val="single" w:color="auto" w:sz="4" w:space="0"/>
              <w:bottom w:val="single" w:color="auto" w:sz="4" w:space="0"/>
              <w:right w:val="single" w:color="auto" w:sz="4" w:space="0"/>
            </w:tcBorders>
            <w:vAlign w:val="center"/>
          </w:tcPr>
          <w:p w14:paraId="3AFC8EAE">
            <w:pPr>
              <w:pStyle w:val="126"/>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一、报价范围</w:t>
            </w:r>
          </w:p>
          <w:p w14:paraId="05FA73C5">
            <w:pPr>
              <w:pStyle w:val="126"/>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1.竞标报价应是本次比选范围内的全部内容的报价，是竞标人根据市场行情及自身情况的自主报价 。</w:t>
            </w:r>
          </w:p>
          <w:p w14:paraId="7437F5C6">
            <w:pPr>
              <w:pStyle w:val="126"/>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2.竞标报价包含但不限于竞标人完成本合同约定的全过程所发生的人工费、资料费、交通费、差旅费、评审费、聘请专家咨询费、咨询费、文本打印费、资料快递费、调查和调研费、赶工费、成果提交增加份数费用、广联达软件费、管理费、利润、税金等完成本项目服务范围和工作内容的一切费用， 包括但不限于工程设计变更阶段及工程施工期间所产生的所有费用。竞标人不得因“市场变化、规范和标准调整等一切可预见和不可预见因素”向比选人提出另外增加任何费用。因竞标人自身原因造成漏报、少报皆由其自行承担责任，比选人不再补偿及另行支付费用。</w:t>
            </w:r>
          </w:p>
          <w:p w14:paraId="21DCA963">
            <w:pPr>
              <w:pStyle w:val="126"/>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3.竞标人应先到项目所在地踏勘，以充分了解项目位置、地质地貌、气候与水文条等及任何其他足以影响 其提交成果文件的可实现性和承包价的情况。任何因中选人忽视或误解项目基本情况，而使比选人在项目实施过程中蒙受的损失，将由中选人按合同约定对比选人进行赔偿。</w:t>
            </w:r>
          </w:p>
          <w:p w14:paraId="295B0991">
            <w:pPr>
              <w:pStyle w:val="126"/>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二、比选最高费率限价：</w:t>
            </w:r>
          </w:p>
          <w:p w14:paraId="248AC7E9">
            <w:pPr>
              <w:pStyle w:val="126"/>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本项目比选最高费率限价：</w:t>
            </w:r>
            <w:r>
              <w:rPr>
                <w:rFonts w:hint="eastAsia" w:ascii="宋体" w:hAnsi="宋体" w:cs="宋体"/>
                <w:b/>
                <w:color w:val="auto"/>
                <w:sz w:val="22"/>
                <w:u w:val="single"/>
              </w:rPr>
              <w:t>0.6%</w:t>
            </w:r>
            <w:r>
              <w:rPr>
                <w:rFonts w:hint="eastAsia" w:ascii="宋体" w:hAnsi="宋体" w:cs="宋体"/>
                <w:color w:val="auto"/>
                <w:sz w:val="22"/>
              </w:rPr>
              <w:t>。</w:t>
            </w:r>
          </w:p>
          <w:p w14:paraId="7B23ED03">
            <w:pPr>
              <w:pStyle w:val="126"/>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各竞标人的竞标总报价不得超过最高限价，否则由评审委员会作否决竞标</w:t>
            </w:r>
            <w:r>
              <w:rPr>
                <w:rFonts w:hint="eastAsia" w:ascii="宋体" w:hAnsi="宋体" w:cs="宋体"/>
                <w:color w:val="auto"/>
                <w:spacing w:val="-10"/>
                <w:sz w:val="22"/>
              </w:rPr>
              <w:t>处理</w:t>
            </w:r>
            <w:r>
              <w:rPr>
                <w:rFonts w:hint="eastAsia" w:ascii="宋体" w:hAnsi="宋体" w:cs="宋体"/>
                <w:color w:val="auto"/>
                <w:sz w:val="22"/>
              </w:rPr>
              <w:t>。</w:t>
            </w:r>
          </w:p>
          <w:p w14:paraId="2C489536">
            <w:pPr>
              <w:pStyle w:val="39"/>
              <w:snapToGrid w:val="0"/>
              <w:ind w:firstLine="440"/>
              <w:jc w:val="left"/>
              <w:rPr>
                <w:rFonts w:hint="eastAsia" w:cs="宋体"/>
                <w:strike w:val="0"/>
                <w:color w:val="auto"/>
                <w:sz w:val="22"/>
                <w:szCs w:val="22"/>
              </w:rPr>
            </w:pPr>
            <w:r>
              <w:rPr>
                <w:rFonts w:hint="eastAsia" w:cs="宋体"/>
                <w:strike w:val="0"/>
                <w:color w:val="auto"/>
                <w:sz w:val="22"/>
                <w:szCs w:val="22"/>
              </w:rPr>
              <w:t>注：填报的费率保留到小数点后四位，小数点后第五位“四舍五入”。</w:t>
            </w:r>
          </w:p>
          <w:p w14:paraId="7790FBAD">
            <w:pPr>
              <w:snapToGrid w:val="0"/>
              <w:spacing w:line="360" w:lineRule="auto"/>
              <w:ind w:firstLine="440" w:firstLineChars="200"/>
              <w:jc w:val="left"/>
              <w:rPr>
                <w:rFonts w:hint="eastAsia" w:ascii="宋体" w:hAnsi="宋体" w:cs="宋体"/>
                <w:strike/>
                <w:color w:val="auto"/>
                <w:sz w:val="22"/>
              </w:rPr>
            </w:pPr>
            <w:r>
              <w:rPr>
                <w:rFonts w:hint="eastAsia" w:ascii="宋体" w:hAnsi="宋体" w:cs="宋体"/>
                <w:color w:val="auto"/>
                <w:sz w:val="22"/>
              </w:rPr>
              <w:t>注：本项目为费率报价，本工程跟踪审计费按建设单位（基建后勤处）复核后的送审结算造价乘以竞标报价费率（即：  %）进行结算。</w:t>
            </w:r>
          </w:p>
        </w:tc>
      </w:tr>
      <w:tr w14:paraId="65ECE3E8">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6C09AD1F">
            <w:pPr>
              <w:snapToGrid w:val="0"/>
              <w:spacing w:line="360" w:lineRule="auto"/>
              <w:jc w:val="center"/>
              <w:rPr>
                <w:rFonts w:hint="eastAsia" w:ascii="宋体" w:hAnsi="宋体" w:cs="宋体"/>
                <w:color w:val="auto"/>
                <w:sz w:val="22"/>
              </w:rPr>
            </w:pPr>
            <w:r>
              <w:rPr>
                <w:rFonts w:hint="eastAsia" w:ascii="宋体" w:hAnsi="宋体" w:cs="宋体"/>
                <w:color w:val="auto"/>
                <w:sz w:val="22"/>
              </w:rPr>
              <w:t>3.3.1</w:t>
            </w:r>
          </w:p>
        </w:tc>
        <w:tc>
          <w:tcPr>
            <w:tcW w:w="1491" w:type="dxa"/>
            <w:tcBorders>
              <w:top w:val="single" w:color="auto" w:sz="4" w:space="0"/>
              <w:left w:val="single" w:color="auto" w:sz="4" w:space="0"/>
              <w:bottom w:val="single" w:color="auto" w:sz="4" w:space="0"/>
              <w:right w:val="single" w:color="auto" w:sz="4" w:space="0"/>
            </w:tcBorders>
            <w:vAlign w:val="center"/>
          </w:tcPr>
          <w:p w14:paraId="4A4381FC">
            <w:pPr>
              <w:snapToGrid w:val="0"/>
              <w:jc w:val="center"/>
              <w:rPr>
                <w:rFonts w:hint="eastAsia" w:ascii="宋体" w:hAnsi="宋体" w:cs="宋体"/>
                <w:color w:val="auto"/>
                <w:sz w:val="22"/>
              </w:rPr>
            </w:pPr>
            <w:r>
              <w:rPr>
                <w:rFonts w:hint="eastAsia" w:ascii="宋体" w:hAnsi="宋体" w:cs="宋体"/>
                <w:color w:val="auto"/>
                <w:sz w:val="22"/>
              </w:rPr>
              <w:t>竞标有效期</w:t>
            </w:r>
          </w:p>
        </w:tc>
        <w:tc>
          <w:tcPr>
            <w:tcW w:w="7466" w:type="dxa"/>
            <w:tcBorders>
              <w:top w:val="single" w:color="auto" w:sz="4" w:space="0"/>
              <w:left w:val="single" w:color="auto" w:sz="4" w:space="0"/>
              <w:bottom w:val="single" w:color="auto" w:sz="4" w:space="0"/>
              <w:right w:val="single" w:color="auto" w:sz="4" w:space="0"/>
            </w:tcBorders>
            <w:vAlign w:val="center"/>
          </w:tcPr>
          <w:p w14:paraId="1ADE86FA">
            <w:pPr>
              <w:snapToGrid w:val="0"/>
              <w:spacing w:line="360" w:lineRule="auto"/>
              <w:ind w:firstLine="440" w:firstLineChars="200"/>
              <w:jc w:val="left"/>
              <w:rPr>
                <w:rFonts w:hint="eastAsia" w:ascii="宋体" w:hAnsi="宋体" w:cs="宋体"/>
                <w:color w:val="auto"/>
                <w:sz w:val="22"/>
              </w:rPr>
            </w:pPr>
            <w:bookmarkStart w:id="73" w:name="_Toc369531512"/>
            <w:bookmarkStart w:id="74" w:name="_Toc1789"/>
            <w:bookmarkStart w:id="75" w:name="_Toc300834946"/>
            <w:bookmarkStart w:id="76" w:name="_Toc352691470"/>
            <w:bookmarkStart w:id="77" w:name="_Toc384308207"/>
            <w:bookmarkStart w:id="78" w:name="_Toc361508582"/>
            <w:r>
              <w:rPr>
                <w:rFonts w:hint="eastAsia" w:ascii="宋体" w:hAnsi="宋体" w:cs="宋体"/>
                <w:color w:val="auto"/>
                <w:sz w:val="22"/>
                <w:u w:val="single"/>
              </w:rPr>
              <w:t>90</w:t>
            </w:r>
            <w:r>
              <w:rPr>
                <w:rFonts w:hint="eastAsia" w:ascii="宋体" w:hAnsi="宋体" w:cs="宋体"/>
                <w:color w:val="auto"/>
                <w:sz w:val="22"/>
              </w:rPr>
              <w:t>日历天（从提交竞标文件截止日起计算）</w:t>
            </w:r>
          </w:p>
        </w:tc>
      </w:tr>
      <w:bookmarkEnd w:id="73"/>
      <w:bookmarkEnd w:id="74"/>
      <w:bookmarkEnd w:id="75"/>
      <w:bookmarkEnd w:id="76"/>
      <w:bookmarkEnd w:id="77"/>
      <w:bookmarkEnd w:id="78"/>
      <w:tr w14:paraId="30A9F929">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4BF0393C">
            <w:pPr>
              <w:snapToGrid w:val="0"/>
              <w:spacing w:line="360" w:lineRule="auto"/>
              <w:jc w:val="center"/>
              <w:rPr>
                <w:rFonts w:hint="eastAsia" w:ascii="宋体" w:hAnsi="宋体" w:cs="宋体"/>
                <w:color w:val="auto"/>
                <w:sz w:val="22"/>
              </w:rPr>
            </w:pPr>
            <w:r>
              <w:rPr>
                <w:rFonts w:hint="eastAsia" w:ascii="宋体" w:hAnsi="宋体" w:cs="宋体"/>
                <w:color w:val="auto"/>
                <w:sz w:val="22"/>
              </w:rPr>
              <w:t>3.4.1</w:t>
            </w:r>
          </w:p>
        </w:tc>
        <w:tc>
          <w:tcPr>
            <w:tcW w:w="1491" w:type="dxa"/>
            <w:tcBorders>
              <w:top w:val="single" w:color="auto" w:sz="4" w:space="0"/>
              <w:left w:val="single" w:color="auto" w:sz="4" w:space="0"/>
              <w:bottom w:val="single" w:color="auto" w:sz="4" w:space="0"/>
              <w:right w:val="single" w:color="auto" w:sz="4" w:space="0"/>
            </w:tcBorders>
            <w:vAlign w:val="center"/>
          </w:tcPr>
          <w:p w14:paraId="59D09999">
            <w:pPr>
              <w:snapToGrid w:val="0"/>
              <w:jc w:val="center"/>
              <w:rPr>
                <w:rFonts w:hint="eastAsia" w:ascii="宋体" w:hAnsi="宋体" w:cs="宋体"/>
                <w:color w:val="auto"/>
                <w:sz w:val="22"/>
              </w:rPr>
            </w:pPr>
            <w:r>
              <w:rPr>
                <w:rFonts w:hint="eastAsia" w:ascii="宋体" w:hAnsi="宋体" w:cs="宋体"/>
                <w:color w:val="auto"/>
                <w:sz w:val="22"/>
              </w:rPr>
              <w:t>竞标保证金</w:t>
            </w:r>
          </w:p>
        </w:tc>
        <w:tc>
          <w:tcPr>
            <w:tcW w:w="7466" w:type="dxa"/>
            <w:tcBorders>
              <w:top w:val="single" w:color="auto" w:sz="4" w:space="0"/>
              <w:left w:val="single" w:color="auto" w:sz="4" w:space="0"/>
              <w:bottom w:val="single" w:color="auto" w:sz="4" w:space="0"/>
              <w:right w:val="single" w:color="auto" w:sz="4" w:space="0"/>
            </w:tcBorders>
            <w:vAlign w:val="center"/>
          </w:tcPr>
          <w:p w14:paraId="32A16484">
            <w:pPr>
              <w:pStyle w:val="127"/>
              <w:snapToGrid w:val="0"/>
              <w:spacing w:line="360" w:lineRule="auto"/>
              <w:ind w:firstLine="440" w:firstLineChars="200"/>
              <w:rPr>
                <w:rFonts w:hint="eastAsia"/>
                <w:color w:val="auto"/>
                <w:sz w:val="22"/>
              </w:rPr>
            </w:pPr>
            <w:r>
              <w:rPr>
                <w:rFonts w:hint="eastAsia"/>
                <w:color w:val="auto"/>
                <w:sz w:val="22"/>
              </w:rPr>
              <w:t>1.竞标保证金金额：3000元（大写：叁仟元整）。</w:t>
            </w:r>
          </w:p>
          <w:p w14:paraId="7499DEF0">
            <w:pPr>
              <w:pStyle w:val="127"/>
              <w:snapToGrid w:val="0"/>
              <w:spacing w:line="360" w:lineRule="auto"/>
              <w:ind w:firstLine="440" w:firstLineChars="200"/>
              <w:rPr>
                <w:rFonts w:hint="eastAsia"/>
                <w:color w:val="auto"/>
                <w:sz w:val="22"/>
              </w:rPr>
            </w:pPr>
            <w:r>
              <w:rPr>
                <w:rFonts w:hint="eastAsia"/>
                <w:color w:val="auto"/>
                <w:sz w:val="22"/>
              </w:rPr>
              <w:t>2.缴纳形式：银行转账</w:t>
            </w:r>
          </w:p>
          <w:p w14:paraId="4E0A85DD">
            <w:pPr>
              <w:pStyle w:val="127"/>
              <w:snapToGrid w:val="0"/>
              <w:spacing w:line="360" w:lineRule="auto"/>
              <w:ind w:firstLine="440" w:firstLineChars="200"/>
              <w:rPr>
                <w:rFonts w:hint="eastAsia"/>
                <w:color w:val="auto"/>
                <w:sz w:val="22"/>
              </w:rPr>
            </w:pPr>
            <w:r>
              <w:rPr>
                <w:rFonts w:hint="eastAsia"/>
                <w:color w:val="auto"/>
                <w:sz w:val="22"/>
              </w:rPr>
              <w:t>3.保证金账户：</w:t>
            </w:r>
          </w:p>
          <w:p w14:paraId="04BE3FB0">
            <w:pPr>
              <w:pStyle w:val="127"/>
              <w:snapToGrid w:val="0"/>
              <w:spacing w:line="360" w:lineRule="auto"/>
              <w:ind w:firstLine="440" w:firstLineChars="200"/>
              <w:rPr>
                <w:rFonts w:hint="eastAsia"/>
                <w:color w:val="auto"/>
                <w:sz w:val="22"/>
              </w:rPr>
            </w:pPr>
            <w:r>
              <w:rPr>
                <w:rFonts w:hint="eastAsia"/>
                <w:color w:val="auto"/>
                <w:sz w:val="22"/>
              </w:rPr>
              <w:t>户名：重庆渝强工程项目管理有限公司</w:t>
            </w:r>
          </w:p>
          <w:p w14:paraId="119DF298">
            <w:pPr>
              <w:pStyle w:val="127"/>
              <w:snapToGrid w:val="0"/>
              <w:spacing w:line="360" w:lineRule="auto"/>
              <w:ind w:firstLine="440" w:firstLineChars="200"/>
              <w:rPr>
                <w:rFonts w:hint="eastAsia"/>
                <w:color w:val="auto"/>
                <w:sz w:val="22"/>
              </w:rPr>
            </w:pPr>
            <w:r>
              <w:rPr>
                <w:rFonts w:hint="eastAsia"/>
                <w:color w:val="auto"/>
                <w:sz w:val="22"/>
              </w:rPr>
              <w:t>账号：50001110041052501438</w:t>
            </w:r>
          </w:p>
          <w:p w14:paraId="737078C6">
            <w:pPr>
              <w:pStyle w:val="127"/>
              <w:snapToGrid w:val="0"/>
              <w:spacing w:line="360" w:lineRule="auto"/>
              <w:ind w:firstLine="440" w:firstLineChars="200"/>
              <w:rPr>
                <w:rFonts w:hint="eastAsia"/>
                <w:color w:val="auto"/>
                <w:sz w:val="22"/>
              </w:rPr>
            </w:pPr>
            <w:r>
              <w:rPr>
                <w:rFonts w:hint="eastAsia"/>
                <w:color w:val="auto"/>
                <w:sz w:val="22"/>
              </w:rPr>
              <w:t>开户行：中国建设银行重庆巴南支行大江分理处   </w:t>
            </w:r>
          </w:p>
          <w:p w14:paraId="3CD62FAD">
            <w:pPr>
              <w:pStyle w:val="127"/>
              <w:snapToGrid w:val="0"/>
              <w:spacing w:line="360" w:lineRule="auto"/>
              <w:ind w:firstLine="440" w:firstLineChars="200"/>
              <w:rPr>
                <w:rFonts w:hint="eastAsia"/>
                <w:color w:val="auto"/>
                <w:sz w:val="22"/>
              </w:rPr>
            </w:pPr>
            <w:r>
              <w:rPr>
                <w:rFonts w:hint="eastAsia"/>
                <w:color w:val="auto"/>
                <w:sz w:val="22"/>
              </w:rPr>
              <w:t>注明项目名称（可简写为：文理学院跟踪审计项目竞标保证金）。</w:t>
            </w:r>
          </w:p>
          <w:p w14:paraId="7FEFE17A">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4.保证金的退还：中标通知书发出后10个工作日内退还未中选竞标人的竞标保证金，中选人与比选人合同签订后10个工作日内退还中选人的竞标保证金。</w:t>
            </w:r>
          </w:p>
        </w:tc>
      </w:tr>
      <w:tr w14:paraId="1DA6078C">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03C86CD8">
            <w:pPr>
              <w:snapToGrid w:val="0"/>
              <w:spacing w:line="360" w:lineRule="auto"/>
              <w:jc w:val="center"/>
              <w:rPr>
                <w:rFonts w:hint="eastAsia" w:ascii="宋体" w:hAnsi="宋体" w:cs="宋体"/>
                <w:color w:val="auto"/>
                <w:sz w:val="22"/>
              </w:rPr>
            </w:pPr>
            <w:r>
              <w:rPr>
                <w:rFonts w:hint="eastAsia" w:ascii="宋体" w:hAnsi="宋体" w:cs="宋体"/>
                <w:color w:val="auto"/>
                <w:sz w:val="22"/>
              </w:rPr>
              <w:t>3.4.2</w:t>
            </w:r>
          </w:p>
        </w:tc>
        <w:tc>
          <w:tcPr>
            <w:tcW w:w="1491" w:type="dxa"/>
            <w:tcBorders>
              <w:top w:val="single" w:color="auto" w:sz="4" w:space="0"/>
              <w:left w:val="single" w:color="auto" w:sz="4" w:space="0"/>
              <w:bottom w:val="single" w:color="auto" w:sz="4" w:space="0"/>
              <w:right w:val="single" w:color="auto" w:sz="4" w:space="0"/>
            </w:tcBorders>
            <w:vAlign w:val="center"/>
          </w:tcPr>
          <w:p w14:paraId="3B0450DE">
            <w:pPr>
              <w:snapToGrid w:val="0"/>
              <w:jc w:val="center"/>
              <w:rPr>
                <w:rFonts w:hint="eastAsia" w:ascii="宋体" w:hAnsi="宋体" w:cs="宋体"/>
                <w:color w:val="auto"/>
                <w:sz w:val="22"/>
              </w:rPr>
            </w:pPr>
            <w:r>
              <w:rPr>
                <w:rFonts w:hint="eastAsia" w:ascii="宋体" w:hAnsi="宋体" w:cs="宋体"/>
                <w:color w:val="auto"/>
                <w:sz w:val="22"/>
              </w:rPr>
              <w:t>不予退还竞标保证金的情形</w:t>
            </w:r>
          </w:p>
        </w:tc>
        <w:tc>
          <w:tcPr>
            <w:tcW w:w="7466" w:type="dxa"/>
            <w:tcBorders>
              <w:top w:val="single" w:color="auto" w:sz="4" w:space="0"/>
              <w:left w:val="single" w:color="auto" w:sz="4" w:space="0"/>
              <w:bottom w:val="single" w:color="auto" w:sz="4" w:space="0"/>
              <w:right w:val="single" w:color="auto" w:sz="4" w:space="0"/>
            </w:tcBorders>
            <w:vAlign w:val="center"/>
          </w:tcPr>
          <w:p w14:paraId="2F9F298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（1）竞标人在竞标有效期内撤销或修改竞标文件；</w:t>
            </w:r>
          </w:p>
          <w:p w14:paraId="08098B9F">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（2）中标人在收到中标通知书后，无正当理由不与比选人订立合同，在签订合同时向比选人提出附加条件；</w:t>
            </w:r>
          </w:p>
          <w:p w14:paraId="713E093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（3）违反本章第8款对竞标人的纪律要求的；</w:t>
            </w:r>
          </w:p>
          <w:p w14:paraId="73F51EA8">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（4）</w:t>
            </w:r>
            <w:r>
              <w:rPr>
                <w:rFonts w:hint="eastAsia" w:ascii="宋体" w:hAnsi="宋体" w:cs="宋体"/>
                <w:color w:val="auto"/>
                <w:kern w:val="0"/>
                <w:sz w:val="22"/>
              </w:rPr>
              <w:t>法律法规规定的其他情形</w:t>
            </w:r>
            <w:r>
              <w:rPr>
                <w:rFonts w:hint="eastAsia" w:ascii="宋体" w:hAnsi="宋体" w:cs="宋体"/>
                <w:color w:val="auto"/>
                <w:sz w:val="22"/>
              </w:rPr>
              <w:t>。</w:t>
            </w:r>
          </w:p>
        </w:tc>
      </w:tr>
      <w:tr w14:paraId="45703952">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057C4AB9">
            <w:pPr>
              <w:snapToGrid w:val="0"/>
              <w:spacing w:line="360" w:lineRule="auto"/>
              <w:jc w:val="center"/>
              <w:rPr>
                <w:rFonts w:hint="eastAsia" w:ascii="宋体" w:hAnsi="宋体" w:cs="宋体"/>
                <w:color w:val="auto"/>
                <w:sz w:val="22"/>
              </w:rPr>
            </w:pPr>
            <w:r>
              <w:rPr>
                <w:rFonts w:hint="eastAsia" w:ascii="宋体" w:hAnsi="宋体" w:cs="宋体"/>
                <w:color w:val="auto"/>
                <w:sz w:val="22"/>
              </w:rPr>
              <w:t>3.6.1</w:t>
            </w:r>
          </w:p>
        </w:tc>
        <w:tc>
          <w:tcPr>
            <w:tcW w:w="1491" w:type="dxa"/>
            <w:tcBorders>
              <w:top w:val="single" w:color="auto" w:sz="4" w:space="0"/>
              <w:left w:val="single" w:color="auto" w:sz="4" w:space="0"/>
              <w:bottom w:val="single" w:color="auto" w:sz="4" w:space="0"/>
              <w:right w:val="single" w:color="auto" w:sz="4" w:space="0"/>
            </w:tcBorders>
            <w:vAlign w:val="center"/>
          </w:tcPr>
          <w:p w14:paraId="0C4B4BEA">
            <w:pPr>
              <w:snapToGrid w:val="0"/>
              <w:jc w:val="center"/>
              <w:rPr>
                <w:rFonts w:hint="eastAsia" w:ascii="宋体" w:hAnsi="宋体" w:cs="宋体"/>
                <w:color w:val="auto"/>
                <w:sz w:val="22"/>
              </w:rPr>
            </w:pPr>
            <w:r>
              <w:rPr>
                <w:rFonts w:hint="eastAsia" w:ascii="宋体" w:hAnsi="宋体" w:cs="宋体"/>
                <w:color w:val="auto"/>
                <w:sz w:val="22"/>
              </w:rPr>
              <w:t>是否允许递交备选竞标方案</w:t>
            </w:r>
          </w:p>
        </w:tc>
        <w:tc>
          <w:tcPr>
            <w:tcW w:w="7466" w:type="dxa"/>
            <w:tcBorders>
              <w:top w:val="single" w:color="auto" w:sz="4" w:space="0"/>
              <w:left w:val="single" w:color="auto" w:sz="4" w:space="0"/>
              <w:bottom w:val="single" w:color="auto" w:sz="4" w:space="0"/>
              <w:right w:val="single" w:color="auto" w:sz="4" w:space="0"/>
            </w:tcBorders>
            <w:vAlign w:val="center"/>
          </w:tcPr>
          <w:p w14:paraId="3FAC0608">
            <w:pPr>
              <w:pStyle w:val="15"/>
              <w:topLinePunct/>
              <w:snapToGrid w:val="0"/>
              <w:spacing w:line="360" w:lineRule="auto"/>
              <w:ind w:firstLine="440" w:firstLineChars="200"/>
              <w:jc w:val="left"/>
              <w:rPr>
                <w:rFonts w:hint="eastAsia" w:hAnsi="宋体" w:cs="宋体"/>
                <w:color w:val="auto"/>
                <w:sz w:val="22"/>
                <w:szCs w:val="22"/>
              </w:rPr>
            </w:pPr>
            <w:r>
              <w:rPr>
                <w:rFonts w:hint="eastAsia" w:hAnsi="宋体" w:cs="宋体"/>
                <w:color w:val="auto"/>
                <w:sz w:val="22"/>
                <w:szCs w:val="22"/>
              </w:rPr>
              <w:t>不允许</w:t>
            </w:r>
          </w:p>
        </w:tc>
      </w:tr>
      <w:tr w14:paraId="1A0CE15D">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7D53E583">
            <w:pPr>
              <w:snapToGrid w:val="0"/>
              <w:spacing w:line="360" w:lineRule="auto"/>
              <w:jc w:val="center"/>
              <w:rPr>
                <w:rFonts w:hint="eastAsia" w:ascii="宋体" w:hAnsi="宋体" w:cs="宋体"/>
                <w:color w:val="auto"/>
                <w:sz w:val="22"/>
              </w:rPr>
            </w:pPr>
            <w:r>
              <w:rPr>
                <w:rFonts w:hint="eastAsia" w:ascii="宋体" w:hAnsi="宋体" w:cs="宋体"/>
                <w:color w:val="auto"/>
                <w:sz w:val="22"/>
              </w:rPr>
              <w:t>3.7.1</w:t>
            </w:r>
          </w:p>
        </w:tc>
        <w:tc>
          <w:tcPr>
            <w:tcW w:w="1491" w:type="dxa"/>
            <w:tcBorders>
              <w:top w:val="single" w:color="auto" w:sz="4" w:space="0"/>
              <w:left w:val="single" w:color="auto" w:sz="4" w:space="0"/>
              <w:bottom w:val="single" w:color="auto" w:sz="4" w:space="0"/>
              <w:right w:val="single" w:color="auto" w:sz="4" w:space="0"/>
            </w:tcBorders>
            <w:vAlign w:val="center"/>
          </w:tcPr>
          <w:p w14:paraId="1698D3EB">
            <w:pPr>
              <w:snapToGrid w:val="0"/>
              <w:jc w:val="center"/>
              <w:rPr>
                <w:rFonts w:hint="eastAsia" w:ascii="宋体" w:hAnsi="宋体" w:cs="宋体"/>
                <w:color w:val="auto"/>
                <w:sz w:val="22"/>
              </w:rPr>
            </w:pPr>
            <w:r>
              <w:rPr>
                <w:rFonts w:hint="eastAsia" w:ascii="宋体" w:hAnsi="宋体" w:cs="宋体"/>
                <w:color w:val="auto"/>
                <w:sz w:val="22"/>
              </w:rPr>
              <w:t>竞标文件格式要求</w:t>
            </w:r>
          </w:p>
        </w:tc>
        <w:tc>
          <w:tcPr>
            <w:tcW w:w="7466" w:type="dxa"/>
            <w:tcBorders>
              <w:top w:val="single" w:color="auto" w:sz="4" w:space="0"/>
              <w:left w:val="single" w:color="auto" w:sz="4" w:space="0"/>
              <w:bottom w:val="single" w:color="auto" w:sz="4" w:space="0"/>
              <w:right w:val="single" w:color="auto" w:sz="4" w:space="0"/>
            </w:tcBorders>
            <w:vAlign w:val="center"/>
          </w:tcPr>
          <w:p w14:paraId="0006A5A2">
            <w:pPr>
              <w:pStyle w:val="15"/>
              <w:topLinePunct/>
              <w:snapToGrid w:val="0"/>
              <w:spacing w:line="360" w:lineRule="auto"/>
              <w:ind w:firstLine="440" w:firstLineChars="200"/>
              <w:jc w:val="left"/>
              <w:rPr>
                <w:rFonts w:hint="eastAsia" w:hAnsi="宋体" w:cs="宋体"/>
                <w:color w:val="auto"/>
                <w:sz w:val="22"/>
                <w:szCs w:val="22"/>
              </w:rPr>
            </w:pPr>
            <w:r>
              <w:rPr>
                <w:rFonts w:hint="eastAsia" w:hAnsi="宋体" w:cs="宋体"/>
                <w:color w:val="auto"/>
                <w:sz w:val="22"/>
                <w:szCs w:val="22"/>
              </w:rPr>
              <w:t>编制竞标文件时不得对第五章“竞标文件格式”的相应要素作实质性修改，否则视为重大偏差，由评标委员会作否决竞标处理。</w:t>
            </w:r>
          </w:p>
        </w:tc>
      </w:tr>
      <w:tr w14:paraId="6DE3A795">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7B2E7863">
            <w:pPr>
              <w:snapToGrid w:val="0"/>
              <w:spacing w:line="360" w:lineRule="auto"/>
              <w:jc w:val="center"/>
              <w:rPr>
                <w:rFonts w:hint="eastAsia" w:ascii="宋体" w:hAnsi="宋体" w:cs="宋体"/>
                <w:color w:val="auto"/>
                <w:sz w:val="22"/>
              </w:rPr>
            </w:pPr>
            <w:r>
              <w:rPr>
                <w:rFonts w:hint="eastAsia" w:ascii="宋体" w:hAnsi="宋体" w:cs="宋体"/>
                <w:color w:val="auto"/>
                <w:kern w:val="0"/>
                <w:sz w:val="22"/>
              </w:rPr>
              <w:t>3.7.3</w:t>
            </w:r>
          </w:p>
        </w:tc>
        <w:tc>
          <w:tcPr>
            <w:tcW w:w="1491" w:type="dxa"/>
            <w:tcBorders>
              <w:top w:val="single" w:color="auto" w:sz="4" w:space="0"/>
              <w:left w:val="single" w:color="auto" w:sz="4" w:space="0"/>
              <w:bottom w:val="single" w:color="auto" w:sz="4" w:space="0"/>
              <w:right w:val="single" w:color="auto" w:sz="4" w:space="0"/>
            </w:tcBorders>
            <w:vAlign w:val="center"/>
          </w:tcPr>
          <w:p w14:paraId="40CD6006">
            <w:pPr>
              <w:snapToGrid w:val="0"/>
              <w:jc w:val="center"/>
              <w:rPr>
                <w:rFonts w:hint="eastAsia" w:ascii="宋体" w:hAnsi="宋体" w:cs="宋体"/>
                <w:color w:val="auto"/>
                <w:sz w:val="22"/>
              </w:rPr>
            </w:pPr>
            <w:r>
              <w:rPr>
                <w:rFonts w:hint="eastAsia" w:ascii="宋体" w:hAnsi="宋体" w:cs="宋体"/>
                <w:color w:val="auto"/>
                <w:kern w:val="0"/>
                <w:sz w:val="22"/>
              </w:rPr>
              <w:t>签名盖章要求</w:t>
            </w:r>
          </w:p>
        </w:tc>
        <w:tc>
          <w:tcPr>
            <w:tcW w:w="7466" w:type="dxa"/>
            <w:tcBorders>
              <w:top w:val="single" w:color="auto" w:sz="4" w:space="0"/>
              <w:left w:val="single" w:color="auto" w:sz="4" w:space="0"/>
              <w:bottom w:val="single" w:color="auto" w:sz="4" w:space="0"/>
              <w:right w:val="single" w:color="auto" w:sz="4" w:space="0"/>
            </w:tcBorders>
            <w:vAlign w:val="center"/>
          </w:tcPr>
          <w:p w14:paraId="21E9A9C3">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竞标文件应用不褪色的材料书写或打印，并由竞标人的法定代表人或其委托代理人在竞标文件规定的位置按竞标文件要求签字或盖章、盖单位公章。委托代理人签字的，竞标文件应附法定代表人签署的授权委托书。竞标文件应尽量避免涂改、行间插字或删除。如果出现上述情况，改动之处应加盖单位公章或由竞标人的法定代表人或其授权的代理人签字确认。</w:t>
            </w:r>
          </w:p>
          <w:p w14:paraId="1C2260AE">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未按上述规定执行的，交由评标委员会作否决竞标处理。</w:t>
            </w:r>
          </w:p>
        </w:tc>
      </w:tr>
      <w:tr w14:paraId="49572098">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51A0FE0F">
            <w:pPr>
              <w:snapToGrid w:val="0"/>
              <w:spacing w:line="360" w:lineRule="auto"/>
              <w:jc w:val="center"/>
              <w:rPr>
                <w:rFonts w:hint="eastAsia" w:ascii="宋体" w:hAnsi="宋体" w:cs="宋体"/>
                <w:color w:val="auto"/>
                <w:kern w:val="0"/>
                <w:sz w:val="22"/>
              </w:rPr>
            </w:pPr>
            <w:r>
              <w:rPr>
                <w:rFonts w:hint="eastAsia" w:ascii="宋体" w:hAnsi="宋体" w:cs="宋体"/>
                <w:color w:val="auto"/>
                <w:kern w:val="0"/>
                <w:sz w:val="22"/>
              </w:rPr>
              <w:t>3.7.4</w:t>
            </w:r>
          </w:p>
        </w:tc>
        <w:tc>
          <w:tcPr>
            <w:tcW w:w="1491" w:type="dxa"/>
            <w:tcBorders>
              <w:top w:val="single" w:color="auto" w:sz="4" w:space="0"/>
              <w:left w:val="single" w:color="auto" w:sz="4" w:space="0"/>
              <w:bottom w:val="single" w:color="auto" w:sz="4" w:space="0"/>
              <w:right w:val="single" w:color="auto" w:sz="4" w:space="0"/>
            </w:tcBorders>
            <w:vAlign w:val="center"/>
          </w:tcPr>
          <w:p w14:paraId="283F53E7">
            <w:pPr>
              <w:snapToGrid w:val="0"/>
              <w:jc w:val="center"/>
              <w:rPr>
                <w:rFonts w:hint="eastAsia" w:ascii="宋体" w:hAnsi="宋体" w:cs="宋体"/>
                <w:color w:val="auto"/>
                <w:kern w:val="0"/>
                <w:sz w:val="22"/>
              </w:rPr>
            </w:pPr>
            <w:r>
              <w:rPr>
                <w:rFonts w:hint="eastAsia" w:ascii="宋体" w:hAnsi="宋体" w:cs="宋体"/>
                <w:color w:val="auto"/>
                <w:kern w:val="0"/>
                <w:sz w:val="22"/>
              </w:rPr>
              <w:t>竞标文件的份数</w:t>
            </w:r>
          </w:p>
        </w:tc>
        <w:tc>
          <w:tcPr>
            <w:tcW w:w="7466" w:type="dxa"/>
            <w:tcBorders>
              <w:top w:val="single" w:color="auto" w:sz="4" w:space="0"/>
              <w:left w:val="single" w:color="auto" w:sz="4" w:space="0"/>
              <w:bottom w:val="single" w:color="auto" w:sz="4" w:space="0"/>
              <w:right w:val="single" w:color="auto" w:sz="4" w:space="0"/>
            </w:tcBorders>
            <w:vAlign w:val="center"/>
          </w:tcPr>
          <w:p w14:paraId="20827F37">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正本一份，副本一份，并提供竞标文件电子文稿一套采用U盘存储（电子档须为竞标文件正本签字盖章完全的扫描件）。</w:t>
            </w:r>
          </w:p>
        </w:tc>
      </w:tr>
      <w:tr w14:paraId="233C282B">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2E8A493A">
            <w:pPr>
              <w:snapToGrid w:val="0"/>
              <w:spacing w:line="360" w:lineRule="auto"/>
              <w:jc w:val="center"/>
              <w:rPr>
                <w:rFonts w:hint="eastAsia" w:ascii="宋体" w:hAnsi="宋体" w:cs="宋体"/>
                <w:color w:val="auto"/>
                <w:sz w:val="22"/>
              </w:rPr>
            </w:pPr>
            <w:r>
              <w:rPr>
                <w:rFonts w:hint="eastAsia" w:ascii="宋体" w:hAnsi="宋体" w:cs="宋体"/>
                <w:color w:val="auto"/>
                <w:sz w:val="22"/>
              </w:rPr>
              <w:t>4.1</w:t>
            </w:r>
          </w:p>
        </w:tc>
        <w:tc>
          <w:tcPr>
            <w:tcW w:w="1491" w:type="dxa"/>
            <w:tcBorders>
              <w:top w:val="single" w:color="auto" w:sz="4" w:space="0"/>
              <w:left w:val="single" w:color="auto" w:sz="4" w:space="0"/>
              <w:bottom w:val="single" w:color="auto" w:sz="4" w:space="0"/>
              <w:right w:val="single" w:color="auto" w:sz="4" w:space="0"/>
            </w:tcBorders>
            <w:vAlign w:val="center"/>
          </w:tcPr>
          <w:p w14:paraId="0A280007">
            <w:pPr>
              <w:snapToGrid w:val="0"/>
              <w:jc w:val="center"/>
              <w:rPr>
                <w:rFonts w:hint="eastAsia" w:ascii="宋体" w:hAnsi="宋体" w:cs="宋体"/>
                <w:color w:val="auto"/>
                <w:sz w:val="22"/>
              </w:rPr>
            </w:pPr>
            <w:r>
              <w:rPr>
                <w:rFonts w:hint="eastAsia" w:ascii="宋体" w:hAnsi="宋体" w:cs="宋体"/>
                <w:color w:val="auto"/>
                <w:kern w:val="0"/>
                <w:sz w:val="22"/>
              </w:rPr>
              <w:t>竞标文件封面及密封要求</w:t>
            </w:r>
          </w:p>
        </w:tc>
        <w:tc>
          <w:tcPr>
            <w:tcW w:w="7466" w:type="dxa"/>
            <w:tcBorders>
              <w:top w:val="single" w:color="auto" w:sz="4" w:space="0"/>
              <w:left w:val="single" w:color="auto" w:sz="4" w:space="0"/>
              <w:bottom w:val="single" w:color="auto" w:sz="4" w:space="0"/>
              <w:right w:val="single" w:color="auto" w:sz="4" w:space="0"/>
            </w:tcBorders>
            <w:vAlign w:val="center"/>
          </w:tcPr>
          <w:p w14:paraId="3B95CABC">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竞标文件封面要求：竞标人应在竞标文件封面标注项目名称、竞标人名称并正确标注“正本”或“副本”。</w:t>
            </w:r>
          </w:p>
          <w:p w14:paraId="7C8F5EFE">
            <w:pPr>
              <w:autoSpaceDE w:val="0"/>
              <w:autoSpaceDN w:val="0"/>
              <w:snapToGrid w:val="0"/>
              <w:spacing w:line="360" w:lineRule="auto"/>
              <w:ind w:firstLine="440" w:firstLineChars="200"/>
              <w:contextualSpacing/>
              <w:jc w:val="left"/>
              <w:rPr>
                <w:rFonts w:hint="eastAsia" w:ascii="宋体" w:hAnsi="宋体" w:cs="宋体"/>
                <w:color w:val="auto"/>
                <w:sz w:val="22"/>
              </w:rPr>
            </w:pPr>
            <w:r>
              <w:rPr>
                <w:rFonts w:hint="eastAsia" w:ascii="宋体" w:hAnsi="宋体" w:cs="宋体"/>
                <w:color w:val="auto"/>
                <w:sz w:val="22"/>
              </w:rPr>
              <w:t>竞标文件密封要求：竞标人应将竞标文件正本、副本、电子文稿分包密封后装入一个大包密封后，正确注明项目名称、竞标人名称并在包封上加盖公司公章。</w:t>
            </w:r>
          </w:p>
        </w:tc>
      </w:tr>
      <w:tr w14:paraId="30BC10D2">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55DDB0B1">
            <w:pPr>
              <w:snapToGrid w:val="0"/>
              <w:spacing w:line="360" w:lineRule="auto"/>
              <w:jc w:val="center"/>
              <w:rPr>
                <w:rFonts w:hint="eastAsia" w:ascii="宋体" w:hAnsi="宋体" w:cs="宋体"/>
                <w:color w:val="auto"/>
                <w:sz w:val="22"/>
              </w:rPr>
            </w:pPr>
            <w:r>
              <w:rPr>
                <w:rFonts w:hint="eastAsia" w:ascii="宋体" w:hAnsi="宋体" w:cs="宋体"/>
                <w:color w:val="auto"/>
                <w:sz w:val="22"/>
              </w:rPr>
              <w:t>4.2.1</w:t>
            </w:r>
          </w:p>
        </w:tc>
        <w:tc>
          <w:tcPr>
            <w:tcW w:w="1491" w:type="dxa"/>
            <w:tcBorders>
              <w:top w:val="single" w:color="auto" w:sz="4" w:space="0"/>
              <w:left w:val="single" w:color="auto" w:sz="4" w:space="0"/>
              <w:bottom w:val="single" w:color="auto" w:sz="4" w:space="0"/>
              <w:right w:val="single" w:color="auto" w:sz="4" w:space="0"/>
            </w:tcBorders>
            <w:vAlign w:val="center"/>
          </w:tcPr>
          <w:p w14:paraId="34D0638C">
            <w:pPr>
              <w:snapToGrid w:val="0"/>
              <w:jc w:val="center"/>
              <w:rPr>
                <w:rFonts w:hint="eastAsia" w:ascii="宋体" w:hAnsi="宋体" w:cs="宋体"/>
                <w:color w:val="auto"/>
                <w:sz w:val="22"/>
              </w:rPr>
            </w:pPr>
            <w:r>
              <w:rPr>
                <w:rFonts w:hint="eastAsia" w:ascii="宋体" w:hAnsi="宋体" w:cs="宋体"/>
                <w:color w:val="auto"/>
                <w:sz w:val="22"/>
              </w:rPr>
              <w:t>竞标截止</w:t>
            </w:r>
          </w:p>
          <w:p w14:paraId="3987C541">
            <w:pPr>
              <w:snapToGrid w:val="0"/>
              <w:jc w:val="center"/>
              <w:rPr>
                <w:rFonts w:hint="eastAsia" w:ascii="宋体" w:hAnsi="宋体" w:cs="宋体"/>
                <w:color w:val="auto"/>
                <w:sz w:val="22"/>
              </w:rPr>
            </w:pPr>
            <w:r>
              <w:rPr>
                <w:rFonts w:hint="eastAsia" w:ascii="宋体" w:hAnsi="宋体" w:cs="宋体"/>
                <w:color w:val="auto"/>
                <w:sz w:val="22"/>
              </w:rPr>
              <w:t>时间</w:t>
            </w:r>
          </w:p>
        </w:tc>
        <w:tc>
          <w:tcPr>
            <w:tcW w:w="7466" w:type="dxa"/>
            <w:tcBorders>
              <w:top w:val="single" w:color="auto" w:sz="4" w:space="0"/>
              <w:left w:val="single" w:color="auto" w:sz="4" w:space="0"/>
              <w:bottom w:val="single" w:color="auto" w:sz="4" w:space="0"/>
              <w:right w:val="single" w:color="auto" w:sz="4" w:space="0"/>
            </w:tcBorders>
            <w:vAlign w:val="center"/>
          </w:tcPr>
          <w:p w14:paraId="28A72ED3">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2026年</w:t>
            </w:r>
            <w:r>
              <w:rPr>
                <w:rFonts w:hint="eastAsia" w:ascii="宋体" w:hAnsi="宋体" w:cs="宋体"/>
                <w:color w:val="auto"/>
                <w:sz w:val="22"/>
                <w:u w:val="single"/>
              </w:rPr>
              <w:t xml:space="preserve">    </w:t>
            </w:r>
            <w:r>
              <w:rPr>
                <w:rFonts w:hint="eastAsia" w:ascii="宋体" w:hAnsi="宋体" w:cs="宋体"/>
                <w:color w:val="auto"/>
                <w:sz w:val="22"/>
              </w:rPr>
              <w:t>月</w:t>
            </w:r>
            <w:r>
              <w:rPr>
                <w:rFonts w:hint="eastAsia" w:ascii="宋体" w:hAnsi="宋体" w:cs="宋体"/>
                <w:color w:val="auto"/>
                <w:sz w:val="22"/>
                <w:u w:val="single"/>
              </w:rPr>
              <w:t xml:space="preserve">     </w:t>
            </w:r>
            <w:r>
              <w:rPr>
                <w:rFonts w:hint="eastAsia" w:ascii="宋体" w:hAnsi="宋体" w:cs="宋体"/>
                <w:color w:val="auto"/>
                <w:sz w:val="22"/>
              </w:rPr>
              <w:t>日10时00分</w:t>
            </w:r>
          </w:p>
        </w:tc>
      </w:tr>
      <w:tr w14:paraId="3E9DCF71">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39DE1CA9">
            <w:pPr>
              <w:snapToGrid w:val="0"/>
              <w:spacing w:line="360" w:lineRule="auto"/>
              <w:jc w:val="center"/>
              <w:rPr>
                <w:rFonts w:hint="eastAsia" w:ascii="宋体" w:hAnsi="宋体" w:cs="宋体"/>
                <w:color w:val="auto"/>
                <w:sz w:val="22"/>
              </w:rPr>
            </w:pPr>
            <w:r>
              <w:rPr>
                <w:rFonts w:hint="eastAsia" w:ascii="宋体" w:hAnsi="宋体" w:cs="宋体"/>
                <w:color w:val="auto"/>
                <w:sz w:val="22"/>
              </w:rPr>
              <w:t>4.2.2</w:t>
            </w:r>
          </w:p>
        </w:tc>
        <w:tc>
          <w:tcPr>
            <w:tcW w:w="1491" w:type="dxa"/>
            <w:tcBorders>
              <w:top w:val="single" w:color="auto" w:sz="4" w:space="0"/>
              <w:left w:val="single" w:color="auto" w:sz="4" w:space="0"/>
              <w:bottom w:val="single" w:color="auto" w:sz="4" w:space="0"/>
              <w:right w:val="single" w:color="auto" w:sz="4" w:space="0"/>
            </w:tcBorders>
            <w:vAlign w:val="center"/>
          </w:tcPr>
          <w:p w14:paraId="18FE471B">
            <w:pPr>
              <w:snapToGrid w:val="0"/>
              <w:jc w:val="center"/>
              <w:rPr>
                <w:rFonts w:hint="eastAsia" w:ascii="宋体" w:hAnsi="宋体" w:cs="宋体"/>
                <w:color w:val="auto"/>
                <w:sz w:val="22"/>
              </w:rPr>
            </w:pPr>
            <w:r>
              <w:rPr>
                <w:rFonts w:hint="eastAsia" w:ascii="宋体" w:hAnsi="宋体" w:cs="宋体"/>
                <w:color w:val="auto"/>
                <w:sz w:val="22"/>
              </w:rPr>
              <w:t>递交竞标文件地点</w:t>
            </w:r>
          </w:p>
        </w:tc>
        <w:tc>
          <w:tcPr>
            <w:tcW w:w="7466" w:type="dxa"/>
            <w:tcBorders>
              <w:top w:val="single" w:color="auto" w:sz="4" w:space="0"/>
              <w:left w:val="single" w:color="auto" w:sz="4" w:space="0"/>
              <w:bottom w:val="single" w:color="auto" w:sz="4" w:space="0"/>
              <w:right w:val="single" w:color="auto" w:sz="4" w:space="0"/>
            </w:tcBorders>
            <w:vAlign w:val="center"/>
          </w:tcPr>
          <w:p w14:paraId="6DFA83C3">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重庆文理学院恪勤楼203室（重庆市永川区红河大道319号）</w:t>
            </w:r>
          </w:p>
        </w:tc>
      </w:tr>
      <w:tr w14:paraId="1B052A02">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472C08C7">
            <w:pPr>
              <w:snapToGrid w:val="0"/>
              <w:spacing w:line="360" w:lineRule="auto"/>
              <w:jc w:val="center"/>
              <w:rPr>
                <w:rFonts w:hint="eastAsia" w:ascii="宋体" w:hAnsi="宋体" w:cs="宋体"/>
                <w:color w:val="auto"/>
                <w:sz w:val="22"/>
              </w:rPr>
            </w:pPr>
            <w:r>
              <w:rPr>
                <w:rFonts w:hint="eastAsia" w:ascii="宋体" w:hAnsi="宋体" w:cs="宋体"/>
                <w:color w:val="auto"/>
                <w:sz w:val="22"/>
              </w:rPr>
              <w:t>4.2.3</w:t>
            </w:r>
          </w:p>
        </w:tc>
        <w:tc>
          <w:tcPr>
            <w:tcW w:w="1491" w:type="dxa"/>
            <w:tcBorders>
              <w:top w:val="single" w:color="auto" w:sz="4" w:space="0"/>
              <w:left w:val="single" w:color="auto" w:sz="4" w:space="0"/>
              <w:bottom w:val="single" w:color="auto" w:sz="4" w:space="0"/>
              <w:right w:val="single" w:color="auto" w:sz="4" w:space="0"/>
            </w:tcBorders>
            <w:vAlign w:val="center"/>
          </w:tcPr>
          <w:p w14:paraId="7F599541">
            <w:pPr>
              <w:snapToGrid w:val="0"/>
              <w:jc w:val="center"/>
              <w:rPr>
                <w:rFonts w:hint="eastAsia" w:ascii="宋体" w:hAnsi="宋体" w:cs="宋体"/>
                <w:color w:val="auto"/>
                <w:sz w:val="22"/>
              </w:rPr>
            </w:pPr>
            <w:r>
              <w:rPr>
                <w:rFonts w:hint="eastAsia" w:ascii="宋体" w:hAnsi="宋体" w:cs="宋体"/>
                <w:color w:val="auto"/>
                <w:sz w:val="22"/>
              </w:rPr>
              <w:t>竞标文件是否退还</w:t>
            </w:r>
          </w:p>
        </w:tc>
        <w:tc>
          <w:tcPr>
            <w:tcW w:w="7466" w:type="dxa"/>
            <w:tcBorders>
              <w:top w:val="single" w:color="auto" w:sz="4" w:space="0"/>
              <w:left w:val="single" w:color="auto" w:sz="4" w:space="0"/>
              <w:bottom w:val="single" w:color="auto" w:sz="4" w:space="0"/>
              <w:right w:val="single" w:color="auto" w:sz="4" w:space="0"/>
            </w:tcBorders>
            <w:vAlign w:val="center"/>
          </w:tcPr>
          <w:p w14:paraId="2ABFCC16">
            <w:pPr>
              <w:snapToGrid w:val="0"/>
              <w:spacing w:line="360" w:lineRule="auto"/>
              <w:ind w:firstLine="440" w:firstLineChars="200"/>
              <w:jc w:val="left"/>
              <w:rPr>
                <w:rFonts w:hint="eastAsia" w:ascii="宋体" w:hAnsi="宋体" w:cs="宋体"/>
                <w:color w:val="auto"/>
                <w:kern w:val="0"/>
                <w:sz w:val="22"/>
              </w:rPr>
            </w:pPr>
            <w:r>
              <w:rPr>
                <w:rFonts w:hint="eastAsia" w:ascii="宋体" w:hAnsi="宋体" w:cs="宋体"/>
                <w:color w:val="auto"/>
                <w:kern w:val="0"/>
                <w:sz w:val="22"/>
              </w:rPr>
              <w:t>否</w:t>
            </w:r>
          </w:p>
        </w:tc>
      </w:tr>
      <w:tr w14:paraId="225136F3">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3029432D">
            <w:pPr>
              <w:snapToGrid w:val="0"/>
              <w:spacing w:line="360" w:lineRule="auto"/>
              <w:jc w:val="center"/>
              <w:rPr>
                <w:rFonts w:hint="eastAsia" w:ascii="宋体" w:hAnsi="宋体" w:cs="宋体"/>
                <w:color w:val="auto"/>
                <w:sz w:val="22"/>
              </w:rPr>
            </w:pPr>
            <w:r>
              <w:rPr>
                <w:rFonts w:hint="eastAsia" w:ascii="宋体" w:hAnsi="宋体" w:cs="宋体"/>
                <w:color w:val="auto"/>
                <w:sz w:val="22"/>
              </w:rPr>
              <w:t>5.1.1</w:t>
            </w:r>
          </w:p>
        </w:tc>
        <w:tc>
          <w:tcPr>
            <w:tcW w:w="1491" w:type="dxa"/>
            <w:tcBorders>
              <w:top w:val="single" w:color="auto" w:sz="4" w:space="0"/>
              <w:left w:val="single" w:color="auto" w:sz="4" w:space="0"/>
              <w:bottom w:val="single" w:color="auto" w:sz="4" w:space="0"/>
              <w:right w:val="single" w:color="auto" w:sz="4" w:space="0"/>
            </w:tcBorders>
            <w:vAlign w:val="center"/>
          </w:tcPr>
          <w:p w14:paraId="3A02F4E2">
            <w:pPr>
              <w:snapToGrid w:val="0"/>
              <w:jc w:val="center"/>
              <w:rPr>
                <w:rFonts w:hint="eastAsia" w:ascii="宋体" w:hAnsi="宋体" w:cs="宋体"/>
                <w:color w:val="auto"/>
                <w:sz w:val="22"/>
              </w:rPr>
            </w:pPr>
            <w:r>
              <w:rPr>
                <w:rFonts w:hint="eastAsia" w:ascii="宋体" w:hAnsi="宋体" w:cs="宋体"/>
                <w:color w:val="auto"/>
                <w:sz w:val="22"/>
              </w:rPr>
              <w:t>开标时间和地点</w:t>
            </w:r>
          </w:p>
        </w:tc>
        <w:tc>
          <w:tcPr>
            <w:tcW w:w="7466" w:type="dxa"/>
            <w:tcBorders>
              <w:top w:val="single" w:color="auto" w:sz="4" w:space="0"/>
              <w:left w:val="single" w:color="auto" w:sz="4" w:space="0"/>
              <w:bottom w:val="single" w:color="auto" w:sz="4" w:space="0"/>
              <w:right w:val="single" w:color="auto" w:sz="4" w:space="0"/>
            </w:tcBorders>
            <w:vAlign w:val="center"/>
          </w:tcPr>
          <w:p w14:paraId="1E794C48">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开标时间：同竞标截止时间</w:t>
            </w:r>
          </w:p>
          <w:p w14:paraId="2E703941">
            <w:pPr>
              <w:snapToGrid w:val="0"/>
              <w:spacing w:line="360" w:lineRule="auto"/>
              <w:ind w:firstLine="440" w:firstLineChars="200"/>
              <w:jc w:val="left"/>
              <w:rPr>
                <w:rFonts w:hint="eastAsia" w:ascii="宋体" w:hAnsi="宋体" w:cs="宋体"/>
                <w:bCs/>
                <w:color w:val="auto"/>
                <w:sz w:val="22"/>
              </w:rPr>
            </w:pPr>
            <w:r>
              <w:rPr>
                <w:rFonts w:hint="eastAsia" w:ascii="宋体" w:hAnsi="宋体" w:cs="宋体"/>
                <w:color w:val="auto"/>
                <w:sz w:val="22"/>
              </w:rPr>
              <w:t>开标地点：重庆文理学院恪勤楼203室（重庆市永川区红河大道319号）</w:t>
            </w:r>
          </w:p>
        </w:tc>
      </w:tr>
      <w:tr w14:paraId="4EB54D3C">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20B5D4EE">
            <w:pPr>
              <w:snapToGrid w:val="0"/>
              <w:spacing w:line="360" w:lineRule="auto"/>
              <w:jc w:val="center"/>
              <w:rPr>
                <w:rFonts w:hint="eastAsia" w:ascii="宋体" w:hAnsi="宋体" w:cs="宋体"/>
                <w:color w:val="auto"/>
                <w:sz w:val="22"/>
              </w:rPr>
            </w:pPr>
            <w:r>
              <w:rPr>
                <w:rFonts w:hint="eastAsia" w:ascii="宋体" w:hAnsi="宋体" w:cs="宋体"/>
                <w:color w:val="auto"/>
                <w:sz w:val="22"/>
              </w:rPr>
              <w:t>5.2</w:t>
            </w:r>
          </w:p>
        </w:tc>
        <w:tc>
          <w:tcPr>
            <w:tcW w:w="1491" w:type="dxa"/>
            <w:tcBorders>
              <w:top w:val="single" w:color="auto" w:sz="4" w:space="0"/>
              <w:left w:val="single" w:color="auto" w:sz="4" w:space="0"/>
              <w:bottom w:val="single" w:color="auto" w:sz="4" w:space="0"/>
              <w:right w:val="single" w:color="auto" w:sz="4" w:space="0"/>
            </w:tcBorders>
            <w:vAlign w:val="center"/>
          </w:tcPr>
          <w:p w14:paraId="7AB68154">
            <w:pPr>
              <w:snapToGrid w:val="0"/>
              <w:jc w:val="center"/>
              <w:rPr>
                <w:rFonts w:hint="eastAsia" w:ascii="宋体" w:hAnsi="宋体" w:cs="宋体"/>
                <w:color w:val="auto"/>
                <w:sz w:val="22"/>
              </w:rPr>
            </w:pPr>
            <w:r>
              <w:rPr>
                <w:rFonts w:hint="eastAsia" w:ascii="宋体" w:hAnsi="宋体" w:cs="宋体"/>
                <w:color w:val="auto"/>
                <w:sz w:val="22"/>
              </w:rPr>
              <w:t>开标程序</w:t>
            </w:r>
          </w:p>
        </w:tc>
        <w:tc>
          <w:tcPr>
            <w:tcW w:w="7466" w:type="dxa"/>
            <w:tcBorders>
              <w:top w:val="single" w:color="auto" w:sz="4" w:space="0"/>
              <w:left w:val="single" w:color="auto" w:sz="4" w:space="0"/>
              <w:bottom w:val="single" w:color="auto" w:sz="4" w:space="0"/>
              <w:right w:val="single" w:color="auto" w:sz="4" w:space="0"/>
            </w:tcBorders>
            <w:vAlign w:val="center"/>
          </w:tcPr>
          <w:p w14:paraId="468C6FAC">
            <w:pPr>
              <w:autoSpaceDE w:val="0"/>
              <w:autoSpaceDN w:val="0"/>
              <w:adjustRightInd w:val="0"/>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主持人按下列程序进行开标：</w:t>
            </w:r>
          </w:p>
          <w:p w14:paraId="14A4F294">
            <w:pPr>
              <w:autoSpaceDE w:val="0"/>
              <w:autoSpaceDN w:val="0"/>
              <w:adjustRightInd w:val="0"/>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1. 核验参加开标会议的竞标人的法定代表人或委托代理人本人身份证（原件），核验委托代理人的授权委托书，以确认其身份合法有效；若经核实委托代理人提供资料与实际不符的，不得参加开标会。核验合格的法定代表人或委托代理人可自行选择是否参加开标会，不参加开标会的视为默认开标结果。</w:t>
            </w:r>
          </w:p>
          <w:p w14:paraId="16FACA1F">
            <w:pPr>
              <w:autoSpaceDE w:val="0"/>
              <w:autoSpaceDN w:val="0"/>
              <w:adjustRightInd w:val="0"/>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2. 宣布开标纪律。</w:t>
            </w:r>
          </w:p>
          <w:p w14:paraId="2E28BD23">
            <w:pPr>
              <w:autoSpaceDE w:val="0"/>
              <w:autoSpaceDN w:val="0"/>
              <w:adjustRightInd w:val="0"/>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3. 宣布开标人、唱标人、记录人、监标人等有关人员姓名。</w:t>
            </w:r>
          </w:p>
          <w:p w14:paraId="6BECB231">
            <w:pPr>
              <w:autoSpaceDE w:val="0"/>
              <w:autoSpaceDN w:val="0"/>
              <w:adjustRightInd w:val="0"/>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4. 公布在竞标截止时间前递交竞标文件的竞标人名称。</w:t>
            </w:r>
          </w:p>
          <w:p w14:paraId="727CF0C4">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5. 竞标文件的密封检查：竞标人可对自己的竞标文件封装情况进行检查，以确认其竞标文件密封完好。</w:t>
            </w:r>
          </w:p>
          <w:p w14:paraId="3E2D8FD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6. 汇总竞标保证金交纳情况。</w:t>
            </w:r>
          </w:p>
          <w:p w14:paraId="74F499C0">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7. 设有最高限价的，公布最高限价。</w:t>
            </w:r>
          </w:p>
          <w:p w14:paraId="66BB48BE">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8. 逐单位随机开启竞标文件。公布竞标人名称、竞标报价、服务期及其他内容并记录在案。</w:t>
            </w:r>
          </w:p>
          <w:p w14:paraId="39E293BD">
            <w:pPr>
              <w:autoSpaceDE w:val="0"/>
              <w:autoSpaceDN w:val="0"/>
              <w:adjustRightInd w:val="0"/>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9. 竞标人对开标有异议的，应当场提出，由比选人或代理机构当场答复，并记录到开标记录表中。异议处理完毕后，汇总开标情况，打印开标记录表。</w:t>
            </w:r>
          </w:p>
          <w:p w14:paraId="444A9705">
            <w:pPr>
              <w:autoSpaceDE w:val="0"/>
              <w:autoSpaceDN w:val="0"/>
              <w:adjustRightInd w:val="0"/>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10. 竞标人代表、比选人代表、监标人、主持人、记录人等有关人员在开标记录上签字确认。因其他原因未能签字的，视为默认开标结果。</w:t>
            </w:r>
          </w:p>
          <w:p w14:paraId="7C908117">
            <w:pPr>
              <w:autoSpaceDE w:val="0"/>
              <w:autoSpaceDN w:val="0"/>
              <w:adjustRightInd w:val="0"/>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11. 开标结束。</w:t>
            </w:r>
          </w:p>
        </w:tc>
      </w:tr>
      <w:tr w14:paraId="7F73864A">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1C60D6A2">
            <w:pPr>
              <w:snapToGrid w:val="0"/>
              <w:spacing w:line="360" w:lineRule="auto"/>
              <w:jc w:val="center"/>
              <w:rPr>
                <w:rFonts w:hint="eastAsia" w:ascii="宋体" w:hAnsi="宋体" w:cs="宋体"/>
                <w:color w:val="auto"/>
                <w:sz w:val="22"/>
              </w:rPr>
            </w:pPr>
            <w:r>
              <w:rPr>
                <w:rFonts w:hint="eastAsia" w:ascii="宋体" w:hAnsi="宋体" w:cs="宋体"/>
                <w:color w:val="auto"/>
                <w:sz w:val="22"/>
              </w:rPr>
              <w:t>6.1.1</w:t>
            </w:r>
          </w:p>
        </w:tc>
        <w:tc>
          <w:tcPr>
            <w:tcW w:w="1491" w:type="dxa"/>
            <w:tcBorders>
              <w:top w:val="single" w:color="auto" w:sz="4" w:space="0"/>
              <w:left w:val="single" w:color="auto" w:sz="4" w:space="0"/>
              <w:bottom w:val="single" w:color="auto" w:sz="4" w:space="0"/>
              <w:right w:val="single" w:color="auto" w:sz="4" w:space="0"/>
            </w:tcBorders>
            <w:vAlign w:val="center"/>
          </w:tcPr>
          <w:p w14:paraId="4A16C48A">
            <w:pPr>
              <w:snapToGrid w:val="0"/>
              <w:jc w:val="center"/>
              <w:rPr>
                <w:rFonts w:hint="eastAsia" w:ascii="宋体" w:hAnsi="宋体" w:cs="宋体"/>
                <w:color w:val="auto"/>
                <w:sz w:val="22"/>
              </w:rPr>
            </w:pPr>
            <w:r>
              <w:rPr>
                <w:rFonts w:hint="eastAsia" w:ascii="宋体" w:hAnsi="宋体" w:cs="宋体"/>
                <w:color w:val="auto"/>
                <w:sz w:val="22"/>
              </w:rPr>
              <w:t>评标委员会的组建</w:t>
            </w:r>
          </w:p>
        </w:tc>
        <w:tc>
          <w:tcPr>
            <w:tcW w:w="7466" w:type="dxa"/>
            <w:tcBorders>
              <w:top w:val="single" w:color="auto" w:sz="4" w:space="0"/>
              <w:left w:val="single" w:color="auto" w:sz="4" w:space="0"/>
              <w:bottom w:val="single" w:color="auto" w:sz="4" w:space="0"/>
              <w:right w:val="single" w:color="auto" w:sz="4" w:space="0"/>
            </w:tcBorders>
            <w:vAlign w:val="center"/>
          </w:tcPr>
          <w:p w14:paraId="667ECB1B">
            <w:pPr>
              <w:snapToGrid w:val="0"/>
              <w:spacing w:line="360" w:lineRule="auto"/>
              <w:ind w:firstLine="440" w:firstLineChars="200"/>
              <w:jc w:val="left"/>
              <w:rPr>
                <w:rStyle w:val="123"/>
                <w:rFonts w:hint="eastAsia" w:ascii="宋体" w:hAnsi="宋体" w:cs="宋体"/>
                <w:color w:val="auto"/>
                <w:sz w:val="22"/>
              </w:rPr>
            </w:pPr>
            <w:r>
              <w:rPr>
                <w:rStyle w:val="123"/>
                <w:rFonts w:hint="eastAsia" w:ascii="宋体" w:hAnsi="宋体" w:cs="宋体"/>
                <w:color w:val="auto"/>
                <w:sz w:val="22"/>
              </w:rPr>
              <w:t>1.评标委员会构成：3人。</w:t>
            </w:r>
          </w:p>
          <w:p w14:paraId="2942B702">
            <w:pPr>
              <w:snapToGrid w:val="0"/>
              <w:spacing w:line="360" w:lineRule="auto"/>
              <w:ind w:firstLine="440" w:firstLineChars="200"/>
              <w:jc w:val="left"/>
              <w:rPr>
                <w:rFonts w:hint="eastAsia" w:ascii="宋体" w:hAnsi="宋体" w:cs="宋体"/>
                <w:color w:val="auto"/>
                <w:sz w:val="22"/>
              </w:rPr>
            </w:pPr>
            <w:r>
              <w:rPr>
                <w:rStyle w:val="123"/>
                <w:rFonts w:hint="eastAsia" w:ascii="宋体" w:hAnsi="宋体" w:cs="宋体"/>
                <w:color w:val="auto"/>
                <w:sz w:val="22"/>
              </w:rPr>
              <w:t>2.评标委员确定方式：由比选人依法组建。</w:t>
            </w:r>
          </w:p>
        </w:tc>
      </w:tr>
      <w:tr w14:paraId="3637268B">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0DF3B86D">
            <w:pPr>
              <w:snapToGrid w:val="0"/>
              <w:spacing w:line="360" w:lineRule="auto"/>
              <w:jc w:val="center"/>
              <w:rPr>
                <w:rFonts w:hint="eastAsia" w:ascii="宋体" w:hAnsi="宋体" w:cs="宋体"/>
                <w:color w:val="auto"/>
                <w:sz w:val="22"/>
              </w:rPr>
            </w:pPr>
            <w:r>
              <w:rPr>
                <w:rFonts w:hint="eastAsia" w:ascii="宋体" w:hAnsi="宋体" w:cs="宋体"/>
                <w:color w:val="auto"/>
                <w:sz w:val="22"/>
              </w:rPr>
              <w:t>6.3.2</w:t>
            </w:r>
          </w:p>
        </w:tc>
        <w:tc>
          <w:tcPr>
            <w:tcW w:w="1491" w:type="dxa"/>
            <w:tcBorders>
              <w:top w:val="single" w:color="auto" w:sz="4" w:space="0"/>
              <w:left w:val="single" w:color="auto" w:sz="4" w:space="0"/>
              <w:bottom w:val="single" w:color="auto" w:sz="4" w:space="0"/>
              <w:right w:val="single" w:color="auto" w:sz="4" w:space="0"/>
            </w:tcBorders>
            <w:vAlign w:val="center"/>
          </w:tcPr>
          <w:p w14:paraId="59F6E4AB">
            <w:pPr>
              <w:snapToGrid w:val="0"/>
              <w:jc w:val="center"/>
              <w:rPr>
                <w:rFonts w:hint="eastAsia" w:ascii="宋体" w:hAnsi="宋体" w:cs="宋体"/>
                <w:color w:val="auto"/>
                <w:sz w:val="22"/>
              </w:rPr>
            </w:pPr>
            <w:r>
              <w:rPr>
                <w:rFonts w:hint="eastAsia" w:ascii="宋体" w:hAnsi="宋体" w:cs="宋体"/>
                <w:color w:val="auto"/>
                <w:sz w:val="22"/>
              </w:rPr>
              <w:t>评标委员会推荐中标候选人的人数</w:t>
            </w:r>
          </w:p>
        </w:tc>
        <w:tc>
          <w:tcPr>
            <w:tcW w:w="7466" w:type="dxa"/>
            <w:tcBorders>
              <w:top w:val="single" w:color="auto" w:sz="4" w:space="0"/>
              <w:left w:val="single" w:color="auto" w:sz="4" w:space="0"/>
              <w:bottom w:val="single" w:color="auto" w:sz="4" w:space="0"/>
              <w:right w:val="single" w:color="auto" w:sz="4" w:space="0"/>
            </w:tcBorders>
            <w:vAlign w:val="center"/>
          </w:tcPr>
          <w:p w14:paraId="6FAF615D">
            <w:pPr>
              <w:snapToGrid w:val="0"/>
              <w:spacing w:line="360" w:lineRule="auto"/>
              <w:ind w:firstLine="440" w:firstLineChars="200"/>
              <w:jc w:val="left"/>
              <w:rPr>
                <w:rFonts w:hint="eastAsia" w:ascii="宋体" w:hAnsi="宋体" w:cs="宋体"/>
                <w:color w:val="auto"/>
                <w:kern w:val="0"/>
                <w:sz w:val="22"/>
              </w:rPr>
            </w:pPr>
            <w:r>
              <w:rPr>
                <w:rFonts w:hint="eastAsia" w:ascii="宋体" w:hAnsi="宋体" w:cs="宋体"/>
                <w:color w:val="auto"/>
                <w:kern w:val="0"/>
                <w:sz w:val="22"/>
              </w:rPr>
              <w:t xml:space="preserve">推荐经评审综合得分由高到低排名前三名为中标候选人。 </w:t>
            </w:r>
          </w:p>
        </w:tc>
      </w:tr>
      <w:tr w14:paraId="35DDCAB8">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7CCE82C7">
            <w:pPr>
              <w:snapToGrid w:val="0"/>
              <w:spacing w:line="360" w:lineRule="auto"/>
              <w:jc w:val="center"/>
              <w:rPr>
                <w:rFonts w:hint="eastAsia" w:ascii="宋体" w:hAnsi="宋体" w:cs="宋体"/>
                <w:color w:val="auto"/>
                <w:sz w:val="22"/>
              </w:rPr>
            </w:pPr>
            <w:r>
              <w:rPr>
                <w:rFonts w:hint="eastAsia" w:ascii="宋体" w:hAnsi="宋体" w:cs="宋体"/>
                <w:color w:val="auto"/>
                <w:sz w:val="22"/>
              </w:rPr>
              <w:t>7.1</w:t>
            </w:r>
          </w:p>
        </w:tc>
        <w:tc>
          <w:tcPr>
            <w:tcW w:w="1491" w:type="dxa"/>
            <w:tcBorders>
              <w:top w:val="single" w:color="auto" w:sz="4" w:space="0"/>
              <w:left w:val="single" w:color="auto" w:sz="4" w:space="0"/>
              <w:bottom w:val="single" w:color="auto" w:sz="4" w:space="0"/>
              <w:right w:val="single" w:color="auto" w:sz="4" w:space="0"/>
            </w:tcBorders>
            <w:vAlign w:val="center"/>
          </w:tcPr>
          <w:p w14:paraId="197BF5CB">
            <w:pPr>
              <w:snapToGrid w:val="0"/>
              <w:jc w:val="center"/>
              <w:rPr>
                <w:rFonts w:hint="eastAsia" w:ascii="宋体" w:hAnsi="宋体" w:cs="宋体"/>
                <w:color w:val="auto"/>
                <w:sz w:val="22"/>
              </w:rPr>
            </w:pPr>
            <w:r>
              <w:rPr>
                <w:rFonts w:hint="eastAsia" w:ascii="宋体" w:hAnsi="宋体" w:cs="宋体"/>
                <w:color w:val="auto"/>
                <w:sz w:val="22"/>
              </w:rPr>
              <w:t>中标候选人公示媒介及期限</w:t>
            </w:r>
          </w:p>
        </w:tc>
        <w:tc>
          <w:tcPr>
            <w:tcW w:w="7466" w:type="dxa"/>
            <w:tcBorders>
              <w:top w:val="single" w:color="auto" w:sz="4" w:space="0"/>
              <w:left w:val="single" w:color="auto" w:sz="4" w:space="0"/>
              <w:bottom w:val="single" w:color="auto" w:sz="4" w:space="0"/>
              <w:right w:val="single" w:color="auto" w:sz="4" w:space="0"/>
            </w:tcBorders>
            <w:vAlign w:val="center"/>
          </w:tcPr>
          <w:p w14:paraId="43913CFF">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比选人在收到评标报告后1日内将评标结果在</w:t>
            </w:r>
            <w:r>
              <w:rPr>
                <w:rFonts w:hint="eastAsia" w:ascii="宋体" w:hAnsi="宋体" w:cs="宋体"/>
                <w:color w:val="auto"/>
                <w:sz w:val="22"/>
                <w:u w:val="single"/>
              </w:rPr>
              <w:t xml:space="preserve">    </w:t>
            </w:r>
            <w:r>
              <w:rPr>
                <w:rFonts w:hint="eastAsia" w:ascii="宋体" w:hAnsi="宋体" w:cs="宋体"/>
                <w:color w:val="auto"/>
                <w:kern w:val="0"/>
                <w:sz w:val="22"/>
                <w:u w:val="single"/>
              </w:rPr>
              <w:t>行采家（https://www.gec123.com/）</w:t>
            </w:r>
            <w:r>
              <w:rPr>
                <w:rFonts w:hint="eastAsia" w:ascii="宋体" w:hAnsi="宋体" w:cs="宋体"/>
                <w:color w:val="auto"/>
                <w:sz w:val="22"/>
              </w:rPr>
              <w:t>上进行公示，公示期为3日。</w:t>
            </w:r>
          </w:p>
        </w:tc>
      </w:tr>
      <w:tr w14:paraId="778301D8">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18B6C4A5">
            <w:pPr>
              <w:snapToGrid w:val="0"/>
              <w:spacing w:line="360" w:lineRule="auto"/>
              <w:jc w:val="center"/>
              <w:rPr>
                <w:rFonts w:hint="eastAsia" w:ascii="宋体" w:hAnsi="宋体" w:cs="宋体"/>
                <w:color w:val="auto"/>
                <w:sz w:val="22"/>
              </w:rPr>
            </w:pPr>
            <w:r>
              <w:rPr>
                <w:rFonts w:hint="eastAsia" w:ascii="宋体" w:hAnsi="宋体" w:cs="宋体"/>
                <w:color w:val="auto"/>
                <w:sz w:val="22"/>
              </w:rPr>
              <w:t>7.4</w:t>
            </w:r>
          </w:p>
        </w:tc>
        <w:tc>
          <w:tcPr>
            <w:tcW w:w="1491" w:type="dxa"/>
            <w:tcBorders>
              <w:top w:val="single" w:color="auto" w:sz="4" w:space="0"/>
              <w:left w:val="single" w:color="auto" w:sz="4" w:space="0"/>
              <w:bottom w:val="single" w:color="auto" w:sz="4" w:space="0"/>
              <w:right w:val="single" w:color="auto" w:sz="4" w:space="0"/>
            </w:tcBorders>
            <w:vAlign w:val="center"/>
          </w:tcPr>
          <w:p w14:paraId="36A2B294">
            <w:pPr>
              <w:snapToGrid w:val="0"/>
              <w:jc w:val="center"/>
              <w:rPr>
                <w:rFonts w:hint="eastAsia" w:ascii="宋体" w:hAnsi="宋体" w:cs="宋体"/>
                <w:color w:val="auto"/>
                <w:sz w:val="22"/>
              </w:rPr>
            </w:pPr>
            <w:r>
              <w:rPr>
                <w:rFonts w:hint="eastAsia" w:ascii="宋体" w:hAnsi="宋体" w:cs="宋体"/>
                <w:color w:val="auto"/>
                <w:sz w:val="22"/>
              </w:rPr>
              <w:t>是否授权评标委员会确定中标人</w:t>
            </w:r>
          </w:p>
        </w:tc>
        <w:tc>
          <w:tcPr>
            <w:tcW w:w="7466" w:type="dxa"/>
            <w:tcBorders>
              <w:top w:val="single" w:color="auto" w:sz="4" w:space="0"/>
              <w:left w:val="single" w:color="auto" w:sz="4" w:space="0"/>
              <w:bottom w:val="single" w:color="auto" w:sz="4" w:space="0"/>
              <w:right w:val="single" w:color="auto" w:sz="4" w:space="0"/>
            </w:tcBorders>
            <w:vAlign w:val="center"/>
          </w:tcPr>
          <w:p w14:paraId="1AA999EE">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否</w:t>
            </w:r>
          </w:p>
        </w:tc>
      </w:tr>
      <w:tr w14:paraId="742FF0A8">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77EAB91F">
            <w:pPr>
              <w:snapToGrid w:val="0"/>
              <w:spacing w:line="360" w:lineRule="auto"/>
              <w:jc w:val="center"/>
              <w:rPr>
                <w:rFonts w:hint="eastAsia" w:ascii="宋体" w:hAnsi="宋体" w:cs="宋体"/>
                <w:color w:val="auto"/>
                <w:sz w:val="22"/>
              </w:rPr>
            </w:pPr>
            <w:r>
              <w:rPr>
                <w:rFonts w:hint="eastAsia" w:ascii="宋体" w:hAnsi="宋体" w:cs="宋体"/>
                <w:color w:val="auto"/>
                <w:sz w:val="22"/>
              </w:rPr>
              <w:t>8</w:t>
            </w:r>
          </w:p>
        </w:tc>
        <w:tc>
          <w:tcPr>
            <w:tcW w:w="1491" w:type="dxa"/>
            <w:tcBorders>
              <w:top w:val="single" w:color="auto" w:sz="4" w:space="0"/>
              <w:left w:val="single" w:color="auto" w:sz="4" w:space="0"/>
              <w:bottom w:val="single" w:color="auto" w:sz="4" w:space="0"/>
              <w:right w:val="single" w:color="auto" w:sz="4" w:space="0"/>
            </w:tcBorders>
            <w:vAlign w:val="center"/>
          </w:tcPr>
          <w:p w14:paraId="02CCCBA2">
            <w:pPr>
              <w:snapToGrid w:val="0"/>
              <w:jc w:val="center"/>
              <w:rPr>
                <w:rFonts w:hint="eastAsia" w:ascii="宋体" w:hAnsi="宋体" w:cs="宋体"/>
                <w:color w:val="auto"/>
                <w:sz w:val="22"/>
              </w:rPr>
            </w:pPr>
            <w:r>
              <w:rPr>
                <w:rFonts w:hint="eastAsia" w:ascii="宋体" w:hAnsi="宋体" w:cs="宋体"/>
                <w:color w:val="auto"/>
                <w:sz w:val="22"/>
              </w:rPr>
              <w:t>否决投标</w:t>
            </w:r>
          </w:p>
          <w:p w14:paraId="05ACB296">
            <w:pPr>
              <w:snapToGrid w:val="0"/>
              <w:jc w:val="center"/>
              <w:rPr>
                <w:rFonts w:hint="eastAsia" w:ascii="宋体" w:hAnsi="宋体" w:cs="宋体"/>
                <w:color w:val="auto"/>
                <w:sz w:val="22"/>
              </w:rPr>
            </w:pPr>
            <w:r>
              <w:rPr>
                <w:rFonts w:hint="eastAsia" w:ascii="宋体" w:hAnsi="宋体" w:cs="宋体"/>
                <w:color w:val="auto"/>
                <w:sz w:val="22"/>
              </w:rPr>
              <w:t>情形</w:t>
            </w:r>
          </w:p>
        </w:tc>
        <w:tc>
          <w:tcPr>
            <w:tcW w:w="7466" w:type="dxa"/>
            <w:tcBorders>
              <w:top w:val="single" w:color="auto" w:sz="4" w:space="0"/>
              <w:left w:val="single" w:color="auto" w:sz="4" w:space="0"/>
              <w:bottom w:val="single" w:color="auto" w:sz="4" w:space="0"/>
              <w:right w:val="single" w:color="auto" w:sz="4" w:space="0"/>
            </w:tcBorders>
            <w:vAlign w:val="center"/>
          </w:tcPr>
          <w:p w14:paraId="4D4BE8D4">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以第三章附件 A 否决竞标情况一览表为准”</w:t>
            </w:r>
          </w:p>
        </w:tc>
      </w:tr>
      <w:tr w14:paraId="4844CEA7">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6E306446">
            <w:pPr>
              <w:snapToGrid w:val="0"/>
              <w:spacing w:line="360" w:lineRule="auto"/>
              <w:jc w:val="center"/>
              <w:rPr>
                <w:rFonts w:hint="eastAsia" w:ascii="宋体" w:hAnsi="宋体" w:cs="宋体"/>
                <w:color w:val="auto"/>
                <w:sz w:val="22"/>
              </w:rPr>
            </w:pPr>
            <w:r>
              <w:rPr>
                <w:rFonts w:hint="eastAsia" w:ascii="宋体" w:hAnsi="宋体" w:cs="宋体"/>
                <w:color w:val="auto"/>
                <w:sz w:val="22"/>
              </w:rPr>
              <w:t>9</w:t>
            </w:r>
          </w:p>
        </w:tc>
        <w:tc>
          <w:tcPr>
            <w:tcW w:w="8957" w:type="dxa"/>
            <w:gridSpan w:val="2"/>
            <w:tcBorders>
              <w:top w:val="single" w:color="auto" w:sz="4" w:space="0"/>
              <w:left w:val="single" w:color="auto" w:sz="4" w:space="0"/>
              <w:bottom w:val="single" w:color="auto" w:sz="4" w:space="0"/>
              <w:right w:val="single" w:color="auto" w:sz="4" w:space="0"/>
            </w:tcBorders>
            <w:vAlign w:val="center"/>
          </w:tcPr>
          <w:p w14:paraId="5183CC63">
            <w:pPr>
              <w:snapToGrid w:val="0"/>
              <w:ind w:firstLine="440" w:firstLineChars="200"/>
              <w:jc w:val="center"/>
              <w:rPr>
                <w:rFonts w:hint="eastAsia" w:ascii="宋体" w:hAnsi="宋体" w:cs="宋体"/>
                <w:color w:val="auto"/>
                <w:sz w:val="22"/>
              </w:rPr>
            </w:pPr>
            <w:r>
              <w:rPr>
                <w:rFonts w:hint="eastAsia" w:ascii="宋体" w:hAnsi="宋体" w:cs="宋体"/>
                <w:color w:val="auto"/>
                <w:sz w:val="22"/>
              </w:rPr>
              <w:t>需要补充的其他内容</w:t>
            </w:r>
          </w:p>
        </w:tc>
      </w:tr>
      <w:tr w14:paraId="57ACDD72">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12B8AA99">
            <w:pPr>
              <w:snapToGrid w:val="0"/>
              <w:spacing w:line="360" w:lineRule="auto"/>
              <w:jc w:val="center"/>
              <w:rPr>
                <w:rFonts w:hint="eastAsia" w:ascii="宋体" w:hAnsi="宋体" w:cs="宋体"/>
                <w:color w:val="auto"/>
                <w:sz w:val="22"/>
              </w:rPr>
            </w:pPr>
            <w:r>
              <w:rPr>
                <w:rFonts w:hint="eastAsia" w:ascii="宋体" w:hAnsi="宋体" w:cs="宋体"/>
                <w:color w:val="auto"/>
                <w:sz w:val="22"/>
              </w:rPr>
              <w:t>9.1</w:t>
            </w:r>
          </w:p>
        </w:tc>
        <w:tc>
          <w:tcPr>
            <w:tcW w:w="1491" w:type="dxa"/>
            <w:tcBorders>
              <w:top w:val="single" w:color="auto" w:sz="4" w:space="0"/>
              <w:left w:val="single" w:color="auto" w:sz="4" w:space="0"/>
              <w:bottom w:val="single" w:color="auto" w:sz="4" w:space="0"/>
              <w:right w:val="single" w:color="auto" w:sz="4" w:space="0"/>
            </w:tcBorders>
            <w:vAlign w:val="center"/>
          </w:tcPr>
          <w:p w14:paraId="51755F76">
            <w:pPr>
              <w:snapToGrid w:val="0"/>
              <w:jc w:val="center"/>
              <w:rPr>
                <w:rFonts w:hint="eastAsia" w:ascii="宋体" w:hAnsi="宋体" w:cs="宋体"/>
                <w:color w:val="auto"/>
                <w:sz w:val="22"/>
              </w:rPr>
            </w:pPr>
            <w:r>
              <w:rPr>
                <w:rFonts w:hint="eastAsia" w:ascii="宋体" w:hAnsi="宋体" w:cs="宋体"/>
                <w:color w:val="auto"/>
                <w:sz w:val="22"/>
              </w:rPr>
              <w:t>重新比选的情形</w:t>
            </w:r>
          </w:p>
        </w:tc>
        <w:tc>
          <w:tcPr>
            <w:tcW w:w="7466" w:type="dxa"/>
            <w:tcBorders>
              <w:top w:val="single" w:color="auto" w:sz="4" w:space="0"/>
              <w:left w:val="single" w:color="auto" w:sz="4" w:space="0"/>
              <w:bottom w:val="single" w:color="auto" w:sz="4" w:space="0"/>
              <w:right w:val="single" w:color="auto" w:sz="4" w:space="0"/>
            </w:tcBorders>
            <w:vAlign w:val="center"/>
          </w:tcPr>
          <w:p w14:paraId="1EDC0E55">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有下列情形之一的，比选人将重新比选：</w:t>
            </w:r>
          </w:p>
          <w:p w14:paraId="7B1E8BE5">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（1）竞标截止时间止，竞标人少于 3 个的；</w:t>
            </w:r>
          </w:p>
          <w:p w14:paraId="5DE9D929">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（2）经评标委员会评审后否决所有竞标的；</w:t>
            </w:r>
          </w:p>
          <w:p w14:paraId="6F3CD53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3）经评标委员会评审后部分竞标被否决，导致有效竞标人不足三个的，评标委员会应当否决所有竞标。但是有效竞标人的经济、技术等指标仍然具有市场竞争力，能够满足比选文件要求的，评标委员会可以继续评标并确定中标候选人；</w:t>
            </w:r>
          </w:p>
          <w:p w14:paraId="0BCD2263">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（4）法律法规规定的其他情形。</w:t>
            </w:r>
          </w:p>
        </w:tc>
      </w:tr>
      <w:tr w14:paraId="41EE6A92">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1DB84212">
            <w:pPr>
              <w:snapToGrid w:val="0"/>
              <w:spacing w:line="360" w:lineRule="auto"/>
              <w:jc w:val="center"/>
              <w:rPr>
                <w:rFonts w:hint="eastAsia" w:ascii="宋体" w:hAnsi="宋体" w:cs="宋体"/>
                <w:color w:val="auto"/>
                <w:sz w:val="22"/>
              </w:rPr>
            </w:pPr>
            <w:r>
              <w:rPr>
                <w:rFonts w:hint="eastAsia" w:ascii="宋体" w:hAnsi="宋体" w:cs="宋体"/>
                <w:color w:val="auto"/>
                <w:sz w:val="22"/>
              </w:rPr>
              <w:t>9.2</w:t>
            </w:r>
          </w:p>
        </w:tc>
        <w:tc>
          <w:tcPr>
            <w:tcW w:w="1491" w:type="dxa"/>
            <w:tcBorders>
              <w:top w:val="single" w:color="auto" w:sz="4" w:space="0"/>
              <w:left w:val="single" w:color="auto" w:sz="4" w:space="0"/>
              <w:bottom w:val="single" w:color="auto" w:sz="4" w:space="0"/>
              <w:right w:val="single" w:color="auto" w:sz="4" w:space="0"/>
            </w:tcBorders>
            <w:vAlign w:val="center"/>
          </w:tcPr>
          <w:p w14:paraId="40CB7658">
            <w:pPr>
              <w:snapToGrid w:val="0"/>
              <w:jc w:val="center"/>
              <w:rPr>
                <w:rFonts w:hint="eastAsia" w:ascii="宋体" w:hAnsi="宋体" w:cs="宋体"/>
                <w:color w:val="auto"/>
                <w:sz w:val="22"/>
              </w:rPr>
            </w:pPr>
            <w:r>
              <w:rPr>
                <w:rFonts w:hint="eastAsia" w:ascii="宋体" w:hAnsi="宋体" w:cs="宋体"/>
                <w:color w:val="auto"/>
                <w:sz w:val="22"/>
              </w:rPr>
              <w:t>履约担保</w:t>
            </w:r>
          </w:p>
        </w:tc>
        <w:tc>
          <w:tcPr>
            <w:tcW w:w="7466" w:type="dxa"/>
            <w:tcBorders>
              <w:top w:val="single" w:color="auto" w:sz="4" w:space="0"/>
              <w:left w:val="single" w:color="auto" w:sz="4" w:space="0"/>
              <w:bottom w:val="single" w:color="auto" w:sz="4" w:space="0"/>
              <w:right w:val="single" w:color="auto" w:sz="4" w:space="0"/>
            </w:tcBorders>
            <w:vAlign w:val="center"/>
          </w:tcPr>
          <w:p w14:paraId="5887E496">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 xml:space="preserve">1.履约保证金的形式：银行转账或保函，采用保函形式的，保函必须为不可撤销且见索即付。 </w:t>
            </w:r>
          </w:p>
          <w:p w14:paraId="7059276E">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2.履约担保的金额：壹万元整。</w:t>
            </w:r>
          </w:p>
          <w:p w14:paraId="274A981B">
            <w:pPr>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3.履约担保的提交时间：接到中标通知书5日内提交至比选人指定账户。如果中标人未能按规定要求提交履约担保，则比选人有权取消其成交资格。</w:t>
            </w:r>
          </w:p>
          <w:p w14:paraId="73BA0212">
            <w:pPr>
              <w:snapToGrid w:val="0"/>
              <w:spacing w:line="360" w:lineRule="auto"/>
              <w:ind w:firstLine="440" w:firstLineChars="200"/>
              <w:jc w:val="left"/>
              <w:rPr>
                <w:rFonts w:hint="eastAsia" w:ascii="宋体" w:hAnsi="宋体" w:cs="宋体"/>
                <w:color w:val="auto"/>
                <w:kern w:val="0"/>
                <w:sz w:val="22"/>
              </w:rPr>
            </w:pPr>
            <w:r>
              <w:rPr>
                <w:rFonts w:hint="eastAsia" w:ascii="宋体" w:hAnsi="宋体" w:cs="宋体"/>
                <w:color w:val="auto"/>
                <w:sz w:val="22"/>
              </w:rPr>
              <w:t>4.履约担保的退还时间：在项目跟踪审计完成且通过考核后30天内无息退还。</w:t>
            </w:r>
          </w:p>
        </w:tc>
      </w:tr>
      <w:tr w14:paraId="6EE18255">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727B2A98">
            <w:pPr>
              <w:snapToGrid w:val="0"/>
              <w:spacing w:line="360" w:lineRule="auto"/>
              <w:jc w:val="center"/>
              <w:rPr>
                <w:rFonts w:hint="eastAsia" w:ascii="宋体" w:hAnsi="宋体" w:cs="宋体"/>
                <w:color w:val="auto"/>
                <w:sz w:val="22"/>
              </w:rPr>
            </w:pPr>
            <w:r>
              <w:rPr>
                <w:rFonts w:hint="eastAsia" w:ascii="宋体" w:hAnsi="宋体" w:cs="宋体"/>
                <w:color w:val="auto"/>
                <w:sz w:val="22"/>
              </w:rPr>
              <w:t>9.3</w:t>
            </w:r>
          </w:p>
        </w:tc>
        <w:tc>
          <w:tcPr>
            <w:tcW w:w="1491" w:type="dxa"/>
            <w:tcBorders>
              <w:top w:val="single" w:color="auto" w:sz="4" w:space="0"/>
              <w:left w:val="single" w:color="auto" w:sz="4" w:space="0"/>
              <w:bottom w:val="single" w:color="auto" w:sz="4" w:space="0"/>
              <w:right w:val="single" w:color="auto" w:sz="4" w:space="0"/>
            </w:tcBorders>
            <w:vAlign w:val="center"/>
          </w:tcPr>
          <w:p w14:paraId="7A1DF4F6">
            <w:pPr>
              <w:snapToGrid w:val="0"/>
              <w:jc w:val="center"/>
              <w:rPr>
                <w:rFonts w:hint="eastAsia" w:ascii="宋体" w:hAnsi="宋体" w:cs="宋体"/>
                <w:color w:val="auto"/>
                <w:sz w:val="22"/>
              </w:rPr>
            </w:pPr>
            <w:r>
              <w:rPr>
                <w:rFonts w:hint="eastAsia" w:ascii="宋体" w:hAnsi="宋体" w:cs="宋体"/>
                <w:color w:val="auto"/>
                <w:sz w:val="22"/>
              </w:rPr>
              <w:t>比选代理服务费</w:t>
            </w:r>
          </w:p>
        </w:tc>
        <w:tc>
          <w:tcPr>
            <w:tcW w:w="7466" w:type="dxa"/>
            <w:tcBorders>
              <w:top w:val="single" w:color="auto" w:sz="4" w:space="0"/>
              <w:left w:val="single" w:color="auto" w:sz="4" w:space="0"/>
              <w:bottom w:val="single" w:color="auto" w:sz="4" w:space="0"/>
              <w:right w:val="single" w:color="auto" w:sz="4" w:space="0"/>
            </w:tcBorders>
            <w:vAlign w:val="center"/>
          </w:tcPr>
          <w:p w14:paraId="6A4B895C">
            <w:pPr>
              <w:widowControl/>
              <w:snapToGrid w:val="0"/>
              <w:spacing w:line="360" w:lineRule="auto"/>
              <w:ind w:firstLine="440" w:firstLineChars="200"/>
              <w:jc w:val="left"/>
              <w:rPr>
                <w:rFonts w:hint="eastAsia" w:ascii="宋体" w:hAnsi="宋体" w:cs="宋体"/>
                <w:color w:val="auto"/>
                <w:kern w:val="0"/>
                <w:sz w:val="22"/>
              </w:rPr>
            </w:pPr>
            <w:r>
              <w:rPr>
                <w:rFonts w:hint="eastAsia" w:ascii="宋体" w:hAnsi="宋体" w:cs="宋体"/>
                <w:color w:val="auto"/>
                <w:sz w:val="22"/>
              </w:rPr>
              <w:t>比选代理服务费：6300元，由中标人支付，中标人领取中标通知书前一次性支付给代理机构。</w:t>
            </w:r>
          </w:p>
        </w:tc>
      </w:tr>
      <w:tr w14:paraId="5EC042E1">
        <w:tblPrEx>
          <w:tblCellMar>
            <w:top w:w="0" w:type="dxa"/>
            <w:left w:w="108" w:type="dxa"/>
            <w:bottom w:w="0" w:type="dxa"/>
            <w:right w:w="108" w:type="dxa"/>
          </w:tblCellMar>
        </w:tblPrEx>
        <w:trPr>
          <w:jc w:val="center"/>
        </w:trPr>
        <w:tc>
          <w:tcPr>
            <w:tcW w:w="1111" w:type="dxa"/>
            <w:tcBorders>
              <w:top w:val="single" w:color="auto" w:sz="4" w:space="0"/>
              <w:left w:val="single" w:color="auto" w:sz="4" w:space="0"/>
              <w:bottom w:val="single" w:color="auto" w:sz="4" w:space="0"/>
              <w:right w:val="single" w:color="auto" w:sz="4" w:space="0"/>
            </w:tcBorders>
            <w:vAlign w:val="center"/>
          </w:tcPr>
          <w:p w14:paraId="5C51F701">
            <w:pPr>
              <w:snapToGrid w:val="0"/>
              <w:spacing w:line="360" w:lineRule="auto"/>
              <w:jc w:val="center"/>
              <w:rPr>
                <w:rFonts w:hint="eastAsia" w:ascii="宋体" w:hAnsi="宋体" w:cs="宋体"/>
                <w:color w:val="auto"/>
                <w:sz w:val="22"/>
              </w:rPr>
            </w:pPr>
            <w:r>
              <w:rPr>
                <w:rFonts w:hint="eastAsia" w:ascii="宋体" w:hAnsi="宋体" w:cs="宋体"/>
                <w:color w:val="auto"/>
                <w:sz w:val="22"/>
              </w:rPr>
              <w:t>9.4</w:t>
            </w:r>
          </w:p>
        </w:tc>
        <w:tc>
          <w:tcPr>
            <w:tcW w:w="1491" w:type="dxa"/>
            <w:tcBorders>
              <w:top w:val="single" w:color="auto" w:sz="4" w:space="0"/>
              <w:left w:val="single" w:color="auto" w:sz="4" w:space="0"/>
              <w:bottom w:val="single" w:color="auto" w:sz="4" w:space="0"/>
              <w:right w:val="single" w:color="auto" w:sz="4" w:space="0"/>
            </w:tcBorders>
            <w:vAlign w:val="center"/>
          </w:tcPr>
          <w:p w14:paraId="4F7DD294">
            <w:pPr>
              <w:snapToGrid w:val="0"/>
              <w:jc w:val="center"/>
              <w:rPr>
                <w:rFonts w:hint="eastAsia" w:ascii="宋体" w:hAnsi="宋体" w:cs="宋体"/>
                <w:color w:val="auto"/>
                <w:sz w:val="22"/>
              </w:rPr>
            </w:pPr>
            <w:r>
              <w:rPr>
                <w:rFonts w:hint="eastAsia" w:ascii="宋体" w:hAnsi="宋体" w:cs="宋体"/>
                <w:color w:val="auto"/>
                <w:sz w:val="22"/>
              </w:rPr>
              <w:t>其他要求</w:t>
            </w:r>
          </w:p>
        </w:tc>
        <w:tc>
          <w:tcPr>
            <w:tcW w:w="7466" w:type="dxa"/>
            <w:tcBorders>
              <w:top w:val="single" w:color="auto" w:sz="4" w:space="0"/>
              <w:left w:val="single" w:color="auto" w:sz="4" w:space="0"/>
              <w:bottom w:val="single" w:color="auto" w:sz="4" w:space="0"/>
              <w:right w:val="single" w:color="auto" w:sz="4" w:space="0"/>
            </w:tcBorders>
            <w:vAlign w:val="center"/>
          </w:tcPr>
          <w:p w14:paraId="29046337">
            <w:pPr>
              <w:widowControl/>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1.</w:t>
            </w:r>
            <w:r>
              <w:rPr>
                <w:rFonts w:hint="eastAsia"/>
                <w:color w:val="auto"/>
              </w:rPr>
              <w:t xml:space="preserve"> </w:t>
            </w:r>
            <w:r>
              <w:rPr>
                <w:rFonts w:hint="eastAsia" w:ascii="宋体" w:hAnsi="宋体" w:cs="宋体"/>
                <w:color w:val="auto"/>
                <w:sz w:val="22"/>
              </w:rPr>
              <w:t>已中选重庆文理学院红河A区学生（研究生）公寓建设项目工程总承包EPC单位（中国建筑第四工程局有限公司、南京市市政设计研究院有限责任公司 ），已中选招标控制价编制咨询服务的编制单位、招标限价审核咨询服务的审核单位或全过程造价咨询服务单位，或者与该中选咨询单位及中标总承包单位存在控股管理等关联关系的单位，不能参与本次竞标。（竞标人须在竞标文件中提供书面承诺书，格式自拟）</w:t>
            </w:r>
          </w:p>
          <w:p w14:paraId="285EFA97">
            <w:pPr>
              <w:widowControl/>
              <w:snapToGrid w:val="0"/>
              <w:spacing w:line="360" w:lineRule="auto"/>
              <w:ind w:firstLine="440" w:firstLineChars="200"/>
              <w:jc w:val="left"/>
              <w:rPr>
                <w:rFonts w:hint="eastAsia" w:ascii="宋体" w:hAnsi="宋体" w:cs="宋体"/>
                <w:color w:val="auto"/>
                <w:sz w:val="22"/>
              </w:rPr>
            </w:pPr>
            <w:r>
              <w:rPr>
                <w:rFonts w:hint="eastAsia"/>
                <w:color w:val="auto"/>
                <w:sz w:val="22"/>
              </w:rPr>
              <w:t>2.竞标人须知与竞标人须知前附表不一致时，以竞标人须知前附表为准。</w:t>
            </w:r>
          </w:p>
        </w:tc>
      </w:tr>
    </w:tbl>
    <w:p w14:paraId="10D28B48">
      <w:pPr>
        <w:spacing w:line="360" w:lineRule="auto"/>
        <w:ind w:firstLine="440" w:firstLineChars="200"/>
        <w:rPr>
          <w:rFonts w:hint="eastAsia" w:asciiTheme="minorEastAsia" w:hAnsiTheme="minorEastAsia" w:eastAsiaTheme="minorEastAsia"/>
          <w:color w:val="auto"/>
          <w:sz w:val="22"/>
          <w:szCs w:val="24"/>
        </w:rPr>
      </w:pPr>
      <w:r>
        <w:rPr>
          <w:rFonts w:ascii="宋体" w:hAnsi="宋体"/>
          <w:color w:val="auto"/>
          <w:sz w:val="22"/>
        </w:rPr>
        <w:t>正文内容不允许修改。若竞标人须知前附表与正文不一致的地方，以竞标人须知前附表为准。</w:t>
      </w:r>
    </w:p>
    <w:p w14:paraId="7835FEF4">
      <w:pPr>
        <w:spacing w:line="400" w:lineRule="exact"/>
        <w:ind w:firstLine="44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br w:type="page"/>
      </w:r>
    </w:p>
    <w:p w14:paraId="4A82C084">
      <w:pPr>
        <w:pStyle w:val="3"/>
        <w:spacing w:before="0" w:after="0" w:line="360" w:lineRule="auto"/>
        <w:ind w:firstLine="723"/>
        <w:rPr>
          <w:rFonts w:hint="eastAsia" w:asciiTheme="minorEastAsia" w:hAnsiTheme="minorEastAsia" w:eastAsiaTheme="minorEastAsia"/>
          <w:color w:val="auto"/>
          <w:sz w:val="36"/>
          <w:szCs w:val="21"/>
        </w:rPr>
      </w:pPr>
      <w:bookmarkStart w:id="79" w:name="_Toc19305"/>
      <w:bookmarkStart w:id="80" w:name="_Toc492300564"/>
      <w:r>
        <w:rPr>
          <w:rFonts w:asciiTheme="minorEastAsia" w:hAnsiTheme="minorEastAsia" w:eastAsiaTheme="minorEastAsia"/>
          <w:color w:val="auto"/>
          <w:sz w:val="36"/>
          <w:szCs w:val="21"/>
        </w:rPr>
        <w:t>1. 总则</w:t>
      </w:r>
      <w:bookmarkEnd w:id="79"/>
      <w:bookmarkEnd w:id="80"/>
    </w:p>
    <w:p w14:paraId="152054C2">
      <w:pPr>
        <w:pStyle w:val="4"/>
        <w:spacing w:before="0" w:after="0" w:line="360" w:lineRule="auto"/>
        <w:ind w:firstLine="157"/>
        <w:rPr>
          <w:rFonts w:hint="eastAsia" w:asciiTheme="minorEastAsia" w:hAnsiTheme="minorEastAsia" w:eastAsiaTheme="minorEastAsia"/>
          <w:color w:val="auto"/>
          <w:sz w:val="32"/>
          <w:szCs w:val="21"/>
        </w:rPr>
      </w:pPr>
      <w:bookmarkStart w:id="81" w:name="_Toc492300565"/>
      <w:bookmarkStart w:id="82" w:name="_Toc5694"/>
      <w:r>
        <w:rPr>
          <w:rFonts w:asciiTheme="minorEastAsia" w:hAnsiTheme="minorEastAsia" w:eastAsiaTheme="minorEastAsia"/>
          <w:color w:val="auto"/>
          <w:sz w:val="32"/>
          <w:szCs w:val="21"/>
        </w:rPr>
        <w:t>1.1</w:t>
      </w:r>
      <w:r>
        <w:rPr>
          <w:rFonts w:hint="eastAsia" w:asciiTheme="minorEastAsia" w:hAnsiTheme="minorEastAsia" w:eastAsiaTheme="minorEastAsia"/>
          <w:color w:val="auto"/>
          <w:sz w:val="32"/>
          <w:szCs w:val="21"/>
        </w:rPr>
        <w:t xml:space="preserve"> 比选项目</w:t>
      </w:r>
      <w:r>
        <w:rPr>
          <w:rFonts w:asciiTheme="minorEastAsia" w:hAnsiTheme="minorEastAsia" w:eastAsiaTheme="minorEastAsia"/>
          <w:color w:val="auto"/>
          <w:sz w:val="32"/>
          <w:szCs w:val="21"/>
        </w:rPr>
        <w:t>概况</w:t>
      </w:r>
      <w:bookmarkEnd w:id="81"/>
      <w:bookmarkEnd w:id="82"/>
    </w:p>
    <w:p w14:paraId="146050EC">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1.1.1根据《中华人民共和国招标投标法》、《中华人民共和国招标投标法实施条例》等有关法律、法规和规章的规定，本比选项目已具备</w:t>
      </w:r>
      <w:r>
        <w:rPr>
          <w:rFonts w:hint="eastAsia" w:asciiTheme="minorEastAsia" w:hAnsiTheme="minorEastAsia" w:eastAsiaTheme="minorEastAsia"/>
          <w:color w:val="auto"/>
          <w:sz w:val="22"/>
          <w:szCs w:val="24"/>
        </w:rPr>
        <w:t>比选</w:t>
      </w:r>
      <w:r>
        <w:rPr>
          <w:rFonts w:asciiTheme="minorEastAsia" w:hAnsiTheme="minorEastAsia" w:eastAsiaTheme="minorEastAsia"/>
          <w:color w:val="auto"/>
          <w:sz w:val="22"/>
          <w:szCs w:val="24"/>
        </w:rPr>
        <w:t>条件，现对</w:t>
      </w:r>
      <w:r>
        <w:rPr>
          <w:rFonts w:hint="eastAsia" w:ascii="宋体" w:hAnsi="宋体" w:cs="宋体" w:eastAsiaTheme="minorEastAsia"/>
          <w:snapToGrid w:val="0"/>
          <w:color w:val="auto"/>
          <w:kern w:val="0"/>
          <w:sz w:val="22"/>
          <w:szCs w:val="24"/>
          <w:u w:val="single"/>
        </w:rPr>
        <w:t>跟踪审计</w:t>
      </w:r>
      <w:r>
        <w:rPr>
          <w:rFonts w:asciiTheme="minorEastAsia" w:hAnsiTheme="minorEastAsia" w:eastAsiaTheme="minorEastAsia"/>
          <w:color w:val="auto"/>
          <w:sz w:val="22"/>
          <w:szCs w:val="24"/>
        </w:rPr>
        <w:t>进行</w:t>
      </w:r>
      <w:r>
        <w:rPr>
          <w:rFonts w:hint="eastAsia" w:asciiTheme="minorEastAsia" w:hAnsiTheme="minorEastAsia" w:eastAsiaTheme="minorEastAsia"/>
          <w:color w:val="auto"/>
          <w:sz w:val="22"/>
          <w:szCs w:val="24"/>
        </w:rPr>
        <w:t>比选</w:t>
      </w:r>
      <w:r>
        <w:rPr>
          <w:rFonts w:asciiTheme="minorEastAsia" w:hAnsiTheme="minorEastAsia" w:eastAsiaTheme="minorEastAsia"/>
          <w:color w:val="auto"/>
          <w:sz w:val="22"/>
          <w:szCs w:val="24"/>
        </w:rPr>
        <w:t>。</w:t>
      </w:r>
    </w:p>
    <w:p w14:paraId="4E0D3B49">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 xml:space="preserve">1.1.2 </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：见竞标人须知前附表。</w:t>
      </w:r>
    </w:p>
    <w:p w14:paraId="6CA83948">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 xml:space="preserve">1.1.3 </w:t>
      </w:r>
      <w:r>
        <w:rPr>
          <w:rFonts w:hint="eastAsia" w:asciiTheme="minorEastAsia" w:hAnsiTheme="minorEastAsia" w:eastAsiaTheme="minorEastAsia"/>
          <w:color w:val="auto"/>
          <w:sz w:val="22"/>
          <w:szCs w:val="24"/>
        </w:rPr>
        <w:t>比选</w:t>
      </w:r>
      <w:r>
        <w:rPr>
          <w:rFonts w:asciiTheme="minorEastAsia" w:hAnsiTheme="minorEastAsia" w:eastAsiaTheme="minorEastAsia"/>
          <w:color w:val="auto"/>
          <w:sz w:val="22"/>
          <w:szCs w:val="24"/>
        </w:rPr>
        <w:t>代理机构：见竞标人须知前附表。</w:t>
      </w:r>
    </w:p>
    <w:p w14:paraId="0CAA703A">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 xml:space="preserve">1.1.4 </w:t>
      </w:r>
      <w:r>
        <w:rPr>
          <w:rFonts w:hint="eastAsia" w:asciiTheme="minorEastAsia" w:hAnsiTheme="minorEastAsia" w:eastAsiaTheme="minorEastAsia"/>
          <w:color w:val="auto"/>
          <w:sz w:val="22"/>
          <w:szCs w:val="24"/>
        </w:rPr>
        <w:t>比选项目</w:t>
      </w:r>
      <w:r>
        <w:rPr>
          <w:rFonts w:asciiTheme="minorEastAsia" w:hAnsiTheme="minorEastAsia" w:eastAsiaTheme="minorEastAsia"/>
          <w:color w:val="auto"/>
          <w:sz w:val="22"/>
          <w:szCs w:val="24"/>
        </w:rPr>
        <w:t>名称：见竞标人须知前附表。</w:t>
      </w:r>
    </w:p>
    <w:p w14:paraId="01A0184C">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1.1.5 项目建设地点：见竞标人须知前附表。</w:t>
      </w:r>
    </w:p>
    <w:p w14:paraId="75D0CA10">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1.1.6 项目建设规模：见竞标人须知前附表。</w:t>
      </w:r>
    </w:p>
    <w:p w14:paraId="65E4B954">
      <w:pPr>
        <w:pStyle w:val="4"/>
        <w:spacing w:before="0" w:after="0" w:line="360" w:lineRule="auto"/>
        <w:ind w:firstLine="157"/>
        <w:rPr>
          <w:rFonts w:hint="eastAsia" w:asciiTheme="minorEastAsia" w:hAnsiTheme="minorEastAsia" w:eastAsiaTheme="minorEastAsia"/>
          <w:color w:val="auto"/>
          <w:sz w:val="32"/>
          <w:szCs w:val="21"/>
        </w:rPr>
      </w:pPr>
      <w:bookmarkStart w:id="83" w:name="_Toc10435"/>
      <w:bookmarkStart w:id="84" w:name="_Toc492300566"/>
      <w:r>
        <w:rPr>
          <w:rFonts w:asciiTheme="minorEastAsia" w:hAnsiTheme="minorEastAsia" w:eastAsiaTheme="minorEastAsia"/>
          <w:color w:val="auto"/>
          <w:sz w:val="32"/>
          <w:szCs w:val="21"/>
        </w:rPr>
        <w:t>1.2</w:t>
      </w:r>
      <w:r>
        <w:rPr>
          <w:rFonts w:hint="eastAsia" w:asciiTheme="minorEastAsia" w:hAnsiTheme="minorEastAsia" w:eastAsiaTheme="minorEastAsia"/>
          <w:color w:val="auto"/>
          <w:sz w:val="32"/>
          <w:szCs w:val="21"/>
        </w:rPr>
        <w:t xml:space="preserve"> 比选项目</w:t>
      </w:r>
      <w:r>
        <w:rPr>
          <w:rFonts w:asciiTheme="minorEastAsia" w:hAnsiTheme="minorEastAsia" w:eastAsiaTheme="minorEastAsia"/>
          <w:color w:val="auto"/>
          <w:sz w:val="32"/>
          <w:szCs w:val="21"/>
        </w:rPr>
        <w:t>的资金来源和落实情况</w:t>
      </w:r>
      <w:bookmarkEnd w:id="83"/>
      <w:bookmarkEnd w:id="84"/>
    </w:p>
    <w:p w14:paraId="12A6B817">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1.2.1 资金来源及比例：见竞标人须知前附表。</w:t>
      </w:r>
    </w:p>
    <w:p w14:paraId="20F10567">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1.2.2 资金落实情况：见竞标人须知前附表。</w:t>
      </w:r>
    </w:p>
    <w:p w14:paraId="5968F8FD">
      <w:pPr>
        <w:pStyle w:val="4"/>
        <w:spacing w:before="0" w:after="0" w:line="360" w:lineRule="auto"/>
        <w:ind w:firstLine="157"/>
        <w:rPr>
          <w:rFonts w:hint="eastAsia" w:asciiTheme="minorEastAsia" w:hAnsiTheme="minorEastAsia" w:eastAsiaTheme="minorEastAsia"/>
          <w:color w:val="auto"/>
          <w:sz w:val="32"/>
          <w:szCs w:val="21"/>
        </w:rPr>
      </w:pPr>
      <w:bookmarkStart w:id="85" w:name="_Toc10965"/>
      <w:bookmarkStart w:id="86" w:name="_Toc492300567"/>
      <w:r>
        <w:rPr>
          <w:rFonts w:asciiTheme="minorEastAsia" w:hAnsiTheme="minorEastAsia" w:eastAsiaTheme="minorEastAsia"/>
          <w:color w:val="auto"/>
          <w:sz w:val="32"/>
          <w:szCs w:val="21"/>
        </w:rPr>
        <w:t>1.3</w:t>
      </w:r>
      <w:r>
        <w:rPr>
          <w:rFonts w:hint="eastAsia" w:asciiTheme="minorEastAsia" w:hAnsiTheme="minorEastAsia" w:eastAsiaTheme="minorEastAsia"/>
          <w:color w:val="auto"/>
          <w:sz w:val="32"/>
          <w:szCs w:val="21"/>
        </w:rPr>
        <w:t xml:space="preserve"> 比选范围</w:t>
      </w:r>
      <w:r>
        <w:rPr>
          <w:rFonts w:asciiTheme="minorEastAsia" w:hAnsiTheme="minorEastAsia" w:eastAsiaTheme="minorEastAsia"/>
          <w:color w:val="auto"/>
          <w:sz w:val="32"/>
          <w:szCs w:val="21"/>
        </w:rPr>
        <w:t>、</w:t>
      </w:r>
      <w:r>
        <w:rPr>
          <w:rFonts w:hint="eastAsia" w:asciiTheme="minorEastAsia" w:hAnsiTheme="minorEastAsia" w:eastAsiaTheme="minorEastAsia"/>
          <w:color w:val="auto"/>
          <w:sz w:val="32"/>
          <w:szCs w:val="21"/>
        </w:rPr>
        <w:t>服务期限</w:t>
      </w:r>
      <w:r>
        <w:rPr>
          <w:rFonts w:asciiTheme="minorEastAsia" w:hAnsiTheme="minorEastAsia" w:eastAsiaTheme="minorEastAsia"/>
          <w:color w:val="auto"/>
          <w:sz w:val="32"/>
          <w:szCs w:val="21"/>
        </w:rPr>
        <w:t>和质量标准</w:t>
      </w:r>
      <w:bookmarkEnd w:id="85"/>
      <w:bookmarkEnd w:id="86"/>
    </w:p>
    <w:p w14:paraId="2B24E112">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 xml:space="preserve">1.3.1 </w:t>
      </w:r>
      <w:r>
        <w:rPr>
          <w:rFonts w:hint="eastAsia" w:asciiTheme="minorEastAsia" w:hAnsiTheme="minorEastAsia" w:eastAsiaTheme="minorEastAsia"/>
          <w:color w:val="auto"/>
          <w:sz w:val="22"/>
          <w:szCs w:val="24"/>
        </w:rPr>
        <w:t>比选范围</w:t>
      </w:r>
      <w:r>
        <w:rPr>
          <w:rFonts w:asciiTheme="minorEastAsia" w:hAnsiTheme="minorEastAsia" w:eastAsiaTheme="minorEastAsia"/>
          <w:color w:val="auto"/>
          <w:sz w:val="22"/>
          <w:szCs w:val="24"/>
        </w:rPr>
        <w:t>：见竞标人须知前附表。</w:t>
      </w:r>
    </w:p>
    <w:p w14:paraId="40DB3D3D">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 xml:space="preserve">1.3.2 </w:t>
      </w:r>
      <w:r>
        <w:rPr>
          <w:rFonts w:hint="eastAsia" w:asciiTheme="minorEastAsia" w:hAnsiTheme="minorEastAsia" w:eastAsiaTheme="minorEastAsia"/>
          <w:color w:val="auto"/>
          <w:sz w:val="22"/>
          <w:szCs w:val="24"/>
        </w:rPr>
        <w:t>服务期限</w:t>
      </w:r>
      <w:r>
        <w:rPr>
          <w:rFonts w:asciiTheme="minorEastAsia" w:hAnsiTheme="minorEastAsia" w:eastAsiaTheme="minorEastAsia"/>
          <w:color w:val="auto"/>
          <w:sz w:val="22"/>
          <w:szCs w:val="24"/>
        </w:rPr>
        <w:t>：见竞标人须知前附表。</w:t>
      </w:r>
    </w:p>
    <w:p w14:paraId="35C934DD">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1.3.3 质量标准：见竞标人须知前附表。</w:t>
      </w:r>
    </w:p>
    <w:p w14:paraId="02FDC4C0">
      <w:pPr>
        <w:pStyle w:val="4"/>
        <w:spacing w:before="0" w:after="0" w:line="360" w:lineRule="auto"/>
        <w:ind w:firstLine="157"/>
        <w:rPr>
          <w:rFonts w:hint="eastAsia" w:asciiTheme="minorEastAsia" w:hAnsiTheme="minorEastAsia" w:eastAsiaTheme="minorEastAsia"/>
          <w:color w:val="auto"/>
          <w:sz w:val="32"/>
          <w:szCs w:val="21"/>
        </w:rPr>
      </w:pPr>
      <w:bookmarkStart w:id="87" w:name="_Toc32684"/>
      <w:bookmarkStart w:id="88" w:name="_Toc492300568"/>
      <w:r>
        <w:rPr>
          <w:rFonts w:asciiTheme="minorEastAsia" w:hAnsiTheme="minorEastAsia" w:eastAsiaTheme="minorEastAsia"/>
          <w:color w:val="auto"/>
          <w:sz w:val="32"/>
          <w:szCs w:val="21"/>
        </w:rPr>
        <w:t>1.4</w:t>
      </w:r>
      <w:r>
        <w:rPr>
          <w:rFonts w:hint="eastAsia" w:asciiTheme="minorEastAsia" w:hAnsiTheme="minorEastAsia" w:eastAsiaTheme="minorEastAsia"/>
          <w:color w:val="auto"/>
          <w:sz w:val="32"/>
          <w:szCs w:val="21"/>
        </w:rPr>
        <w:t xml:space="preserve"> </w:t>
      </w:r>
      <w:r>
        <w:rPr>
          <w:rFonts w:asciiTheme="minorEastAsia" w:hAnsiTheme="minorEastAsia" w:eastAsiaTheme="minorEastAsia"/>
          <w:color w:val="auto"/>
          <w:sz w:val="32"/>
          <w:szCs w:val="21"/>
        </w:rPr>
        <w:t>竞标人资格要求</w:t>
      </w:r>
      <w:bookmarkEnd w:id="87"/>
      <w:bookmarkEnd w:id="88"/>
    </w:p>
    <w:p w14:paraId="5C71B1A5">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1.4.1 竞标人应具备承担本</w:t>
      </w:r>
      <w:r>
        <w:rPr>
          <w:rFonts w:hint="eastAsia" w:asciiTheme="minorEastAsia" w:hAnsiTheme="minorEastAsia" w:eastAsiaTheme="minorEastAsia"/>
          <w:color w:val="auto"/>
          <w:sz w:val="22"/>
          <w:szCs w:val="24"/>
        </w:rPr>
        <w:t>比选项目</w:t>
      </w:r>
      <w:r>
        <w:rPr>
          <w:rFonts w:asciiTheme="minorEastAsia" w:hAnsiTheme="minorEastAsia" w:eastAsiaTheme="minorEastAsia"/>
          <w:color w:val="auto"/>
          <w:sz w:val="22"/>
          <w:szCs w:val="24"/>
        </w:rPr>
        <w:t>资质条件、能力和信誉：</w:t>
      </w:r>
    </w:p>
    <w:p w14:paraId="10B8F41E">
      <w:pPr>
        <w:autoSpaceDE w:val="0"/>
        <w:autoSpaceDN w:val="0"/>
        <w:adjustRightInd w:val="0"/>
        <w:snapToGrid w:val="0"/>
        <w:spacing w:line="360" w:lineRule="auto"/>
        <w:ind w:firstLine="435" w:firstLineChars="198"/>
        <w:jc w:val="left"/>
        <w:rPr>
          <w:rFonts w:hint="eastAsia" w:ascii="宋体" w:hAnsi="宋体" w:cs="宋体"/>
          <w:color w:val="auto"/>
          <w:sz w:val="22"/>
          <w:szCs w:val="24"/>
        </w:rPr>
      </w:pPr>
      <w:r>
        <w:rPr>
          <w:rFonts w:hint="eastAsia" w:ascii="宋体" w:hAnsi="宋体" w:cs="宋体"/>
          <w:color w:val="auto"/>
          <w:sz w:val="22"/>
          <w:szCs w:val="24"/>
        </w:rPr>
        <w:t>（1）资质要求：见投标人须知前附表1.4.1款</w:t>
      </w:r>
    </w:p>
    <w:p w14:paraId="2279DFF8">
      <w:pPr>
        <w:autoSpaceDE w:val="0"/>
        <w:autoSpaceDN w:val="0"/>
        <w:adjustRightInd w:val="0"/>
        <w:snapToGrid w:val="0"/>
        <w:spacing w:line="360" w:lineRule="auto"/>
        <w:ind w:firstLine="435" w:firstLineChars="198"/>
        <w:jc w:val="left"/>
        <w:rPr>
          <w:rFonts w:hint="eastAsia" w:ascii="宋体" w:hAnsi="宋体" w:cs="宋体"/>
          <w:color w:val="auto"/>
          <w:sz w:val="22"/>
          <w:szCs w:val="24"/>
        </w:rPr>
      </w:pPr>
      <w:r>
        <w:rPr>
          <w:rFonts w:hint="eastAsia" w:ascii="宋体" w:hAnsi="宋体" w:cs="宋体"/>
          <w:color w:val="auto"/>
          <w:sz w:val="22"/>
          <w:szCs w:val="24"/>
        </w:rPr>
        <w:t>（2）竞标截止日竞标资格情况：见投标人须知前附表1.4.1款</w:t>
      </w:r>
    </w:p>
    <w:p w14:paraId="3891E1FE">
      <w:pPr>
        <w:autoSpaceDE w:val="0"/>
        <w:autoSpaceDN w:val="0"/>
        <w:adjustRightInd w:val="0"/>
        <w:snapToGrid w:val="0"/>
        <w:spacing w:line="360" w:lineRule="auto"/>
        <w:ind w:firstLine="435" w:firstLineChars="198"/>
        <w:jc w:val="left"/>
        <w:rPr>
          <w:rFonts w:hint="eastAsia" w:ascii="宋体" w:hAnsi="宋体" w:cs="宋体"/>
          <w:color w:val="auto"/>
          <w:sz w:val="22"/>
          <w:szCs w:val="24"/>
        </w:rPr>
      </w:pPr>
      <w:r>
        <w:rPr>
          <w:rFonts w:hint="eastAsia" w:ascii="宋体" w:hAnsi="宋体" w:cs="宋体"/>
          <w:color w:val="auto"/>
          <w:sz w:val="22"/>
          <w:szCs w:val="24"/>
        </w:rPr>
        <w:t>（3）人员要求：见投标人须知前附表1.4.1款</w:t>
      </w:r>
    </w:p>
    <w:p w14:paraId="4F97B041">
      <w:pPr>
        <w:snapToGrid w:val="0"/>
        <w:spacing w:line="360" w:lineRule="auto"/>
        <w:ind w:firstLine="435" w:firstLineChars="198"/>
        <w:rPr>
          <w:rFonts w:hint="eastAsia" w:ascii="宋体" w:hAnsi="宋体" w:cs="宋体"/>
          <w:color w:val="auto"/>
          <w:sz w:val="22"/>
          <w:szCs w:val="24"/>
        </w:rPr>
      </w:pPr>
      <w:r>
        <w:rPr>
          <w:rFonts w:hint="eastAsia" w:ascii="宋体" w:hAnsi="宋体" w:cs="宋体"/>
          <w:color w:val="auto"/>
          <w:sz w:val="22"/>
          <w:szCs w:val="24"/>
        </w:rPr>
        <w:t>（4）其他要求：见投标人须知前附表1.4.1款</w:t>
      </w:r>
    </w:p>
    <w:p w14:paraId="0951856F">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1.4.2竞标人须知前附表规定接受联合体</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的，联合体除应符合本章第1.4.1项和竞标人须知前附表的要求外，还应遵守以下规定：</w:t>
      </w:r>
    </w:p>
    <w:p w14:paraId="1778A24F">
      <w:pPr>
        <w:spacing w:line="360" w:lineRule="auto"/>
        <w:ind w:firstLine="330" w:firstLineChars="15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（1）联合体各方应按比选文件提供的格式签订联合体协议书，明确联合体牵头人和各方权利义务，并承诺就中标项目向</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承担连带责任；</w:t>
      </w:r>
    </w:p>
    <w:p w14:paraId="09F75FE8">
      <w:pPr>
        <w:spacing w:line="360" w:lineRule="auto"/>
        <w:ind w:firstLine="330" w:firstLineChars="15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（2）由同一专业的单位组成的联合体，按照资质等级较低的单位确定资质等级；</w:t>
      </w:r>
    </w:p>
    <w:p w14:paraId="72270B63">
      <w:pPr>
        <w:spacing w:line="360" w:lineRule="auto"/>
        <w:ind w:firstLine="330" w:firstLineChars="15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（3）联合体各方不得再以自己名义单独或参加其他联合体在本</w:t>
      </w:r>
      <w:r>
        <w:rPr>
          <w:rFonts w:hint="eastAsia" w:asciiTheme="minorEastAsia" w:hAnsiTheme="minorEastAsia" w:eastAsiaTheme="minorEastAsia"/>
          <w:color w:val="auto"/>
          <w:sz w:val="22"/>
          <w:szCs w:val="24"/>
        </w:rPr>
        <w:t>比选项目</w:t>
      </w:r>
      <w:r>
        <w:rPr>
          <w:rFonts w:asciiTheme="minorEastAsia" w:hAnsiTheme="minorEastAsia" w:eastAsiaTheme="minorEastAsia"/>
          <w:color w:val="auto"/>
          <w:sz w:val="22"/>
          <w:szCs w:val="24"/>
        </w:rPr>
        <w:t>中</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，否则各相关</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均无效。</w:t>
      </w:r>
    </w:p>
    <w:p w14:paraId="5EECD970">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1.4.3 竞标人不得存在下列情形之一：</w:t>
      </w:r>
    </w:p>
    <w:p w14:paraId="3F5E7CEC">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（1）为</w:t>
      </w:r>
      <w:r>
        <w:rPr>
          <w:rFonts w:hint="eastAsia" w:asciiTheme="minorEastAsia" w:hAnsiTheme="minorEastAsia" w:eastAsiaTheme="minorEastAsia"/>
          <w:color w:val="auto"/>
          <w:sz w:val="22"/>
        </w:rPr>
        <w:t>比选人</w:t>
      </w:r>
      <w:r>
        <w:rPr>
          <w:rFonts w:asciiTheme="minorEastAsia" w:hAnsiTheme="minorEastAsia" w:eastAsiaTheme="minorEastAsia"/>
          <w:color w:val="auto"/>
          <w:sz w:val="22"/>
        </w:rPr>
        <w:t>不具有独立法人资格的附属机构（单位）；</w:t>
      </w:r>
    </w:p>
    <w:p w14:paraId="26EB3E68">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（2）与</w:t>
      </w:r>
      <w:r>
        <w:rPr>
          <w:rFonts w:hint="eastAsia" w:asciiTheme="minorEastAsia" w:hAnsiTheme="minorEastAsia" w:eastAsiaTheme="minorEastAsia"/>
          <w:color w:val="auto"/>
          <w:sz w:val="22"/>
        </w:rPr>
        <w:t>比选人</w:t>
      </w:r>
      <w:r>
        <w:rPr>
          <w:rFonts w:asciiTheme="minorEastAsia" w:hAnsiTheme="minorEastAsia" w:eastAsiaTheme="minorEastAsia"/>
          <w:color w:val="auto"/>
          <w:sz w:val="22"/>
        </w:rPr>
        <w:t>存在利害关系且可能影响招标公正性；</w:t>
      </w:r>
    </w:p>
    <w:p w14:paraId="29C5D900">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（3）与本比选项目的其他竞标人为同一个单位负责人；</w:t>
      </w:r>
    </w:p>
    <w:p w14:paraId="262297D7">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（4）与本比选项目的其他竞标人存在控股、管理关系；</w:t>
      </w:r>
    </w:p>
    <w:p w14:paraId="1827C77C">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（5）为本比选项目的代建人；</w:t>
      </w:r>
    </w:p>
    <w:p w14:paraId="491C9240">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（6）为本比选项目的</w:t>
      </w:r>
      <w:r>
        <w:rPr>
          <w:rFonts w:hint="eastAsia" w:asciiTheme="minorEastAsia" w:hAnsiTheme="minorEastAsia" w:eastAsiaTheme="minorEastAsia"/>
          <w:color w:val="auto"/>
          <w:sz w:val="22"/>
        </w:rPr>
        <w:t>比选</w:t>
      </w:r>
      <w:r>
        <w:rPr>
          <w:rFonts w:asciiTheme="minorEastAsia" w:hAnsiTheme="minorEastAsia" w:eastAsiaTheme="minorEastAsia"/>
          <w:color w:val="auto"/>
          <w:sz w:val="22"/>
        </w:rPr>
        <w:t>代理机构；</w:t>
      </w:r>
    </w:p>
    <w:p w14:paraId="68236F8C">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（7）与本比选项目的代建人或</w:t>
      </w:r>
      <w:r>
        <w:rPr>
          <w:rFonts w:hint="eastAsia" w:asciiTheme="minorEastAsia" w:hAnsiTheme="minorEastAsia" w:eastAsiaTheme="minorEastAsia"/>
          <w:color w:val="auto"/>
          <w:sz w:val="22"/>
        </w:rPr>
        <w:t>比选</w:t>
      </w:r>
      <w:r>
        <w:rPr>
          <w:rFonts w:asciiTheme="minorEastAsia" w:hAnsiTheme="minorEastAsia" w:eastAsiaTheme="minorEastAsia"/>
          <w:color w:val="auto"/>
          <w:sz w:val="22"/>
        </w:rPr>
        <w:t>代理机构同为一个法定代表人；</w:t>
      </w:r>
    </w:p>
    <w:p w14:paraId="327B46F2">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（8）与本比选项目的代建人或</w:t>
      </w:r>
      <w:r>
        <w:rPr>
          <w:rFonts w:hint="eastAsia" w:asciiTheme="minorEastAsia" w:hAnsiTheme="minorEastAsia" w:eastAsiaTheme="minorEastAsia"/>
          <w:color w:val="auto"/>
          <w:sz w:val="22"/>
        </w:rPr>
        <w:t>比选</w:t>
      </w:r>
      <w:r>
        <w:rPr>
          <w:rFonts w:asciiTheme="minorEastAsia" w:hAnsiTheme="minorEastAsia" w:eastAsiaTheme="minorEastAsia"/>
          <w:color w:val="auto"/>
          <w:sz w:val="22"/>
        </w:rPr>
        <w:t>代理机构存在控股或参股关系；</w:t>
      </w:r>
    </w:p>
    <w:p w14:paraId="3E5D79C5">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（9）</w:t>
      </w:r>
      <w:r>
        <w:rPr>
          <w:rFonts w:hint="eastAsia" w:asciiTheme="minorEastAsia" w:hAnsiTheme="minorEastAsia" w:eastAsiaTheme="minorEastAsia"/>
          <w:color w:val="auto"/>
          <w:sz w:val="22"/>
        </w:rPr>
        <w:t>与</w:t>
      </w:r>
      <w:r>
        <w:rPr>
          <w:rFonts w:asciiTheme="minorEastAsia" w:hAnsiTheme="minorEastAsia" w:eastAsiaTheme="minorEastAsia"/>
          <w:color w:val="auto"/>
          <w:sz w:val="22"/>
        </w:rPr>
        <w:t>本比选项目</w:t>
      </w:r>
      <w:r>
        <w:rPr>
          <w:rFonts w:hint="eastAsia" w:asciiTheme="minorEastAsia" w:hAnsiTheme="minorEastAsia" w:eastAsiaTheme="minorEastAsia"/>
          <w:color w:val="auto"/>
          <w:sz w:val="22"/>
        </w:rPr>
        <w:t>的施工承包人以</w:t>
      </w:r>
      <w:r>
        <w:rPr>
          <w:rFonts w:asciiTheme="minorEastAsia" w:hAnsiTheme="minorEastAsia" w:eastAsiaTheme="minorEastAsia"/>
          <w:color w:val="auto"/>
          <w:sz w:val="22"/>
        </w:rPr>
        <w:t>及建筑材料、建筑构配件和设备供应商有隶属关系或者其他利害关系；</w:t>
      </w:r>
    </w:p>
    <w:p w14:paraId="23155BD3">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（10）被依法暂停或者取消投标资格；</w:t>
      </w:r>
    </w:p>
    <w:p w14:paraId="05707EA7">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（11）被责令停产停业、暂扣或者吊销许可证、暂扣或者吊销执照；</w:t>
      </w:r>
    </w:p>
    <w:p w14:paraId="47B78DB5">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（12）进入清算程序，或被宣告破产，或其他丧失履约能力的情形；</w:t>
      </w:r>
    </w:p>
    <w:p w14:paraId="67C425B4">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w:t>
      </w:r>
      <w:r>
        <w:rPr>
          <w:rFonts w:hint="eastAsia" w:asciiTheme="minorEastAsia" w:hAnsiTheme="minorEastAsia" w:eastAsiaTheme="minorEastAsia"/>
          <w:color w:val="auto"/>
          <w:sz w:val="22"/>
        </w:rPr>
        <w:t>13</w:t>
      </w:r>
      <w:r>
        <w:rPr>
          <w:rFonts w:asciiTheme="minorEastAsia" w:hAnsiTheme="minorEastAsia" w:eastAsiaTheme="minorEastAsia"/>
          <w:color w:val="auto"/>
          <w:sz w:val="22"/>
        </w:rPr>
        <w:t>）被</w:t>
      </w:r>
      <w:r>
        <w:rPr>
          <w:rFonts w:hint="eastAsia" w:asciiTheme="minorEastAsia" w:hAnsiTheme="minorEastAsia" w:eastAsiaTheme="minorEastAsia"/>
          <w:color w:val="auto"/>
          <w:sz w:val="22"/>
        </w:rPr>
        <w:t>市场监督</w:t>
      </w:r>
      <w:r>
        <w:rPr>
          <w:rFonts w:asciiTheme="minorEastAsia" w:hAnsiTheme="minorEastAsia" w:eastAsiaTheme="minorEastAsia"/>
          <w:color w:val="auto"/>
          <w:sz w:val="22"/>
        </w:rPr>
        <w:t>管理机关在全国企业信用信息公示系统中列入严重违法失信企业名单；</w:t>
      </w:r>
    </w:p>
    <w:p w14:paraId="6AE75922">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w:t>
      </w:r>
      <w:r>
        <w:rPr>
          <w:rFonts w:hint="eastAsia" w:asciiTheme="minorEastAsia" w:hAnsiTheme="minorEastAsia" w:eastAsiaTheme="minorEastAsia"/>
          <w:color w:val="auto"/>
          <w:sz w:val="22"/>
        </w:rPr>
        <w:t>14</w:t>
      </w:r>
      <w:r>
        <w:rPr>
          <w:rFonts w:asciiTheme="minorEastAsia" w:hAnsiTheme="minorEastAsia" w:eastAsiaTheme="minorEastAsia"/>
          <w:color w:val="auto"/>
          <w:sz w:val="22"/>
        </w:rPr>
        <w:t>）法律法规或竞标人须知前附表规定的其他情形。</w:t>
      </w:r>
    </w:p>
    <w:p w14:paraId="48535906">
      <w:pPr>
        <w:pStyle w:val="4"/>
        <w:spacing w:before="0" w:after="0" w:line="360" w:lineRule="auto"/>
        <w:ind w:firstLine="157"/>
        <w:rPr>
          <w:rFonts w:hint="eastAsia" w:asciiTheme="minorEastAsia" w:hAnsiTheme="minorEastAsia" w:eastAsiaTheme="minorEastAsia"/>
          <w:color w:val="auto"/>
          <w:sz w:val="32"/>
          <w:szCs w:val="21"/>
        </w:rPr>
      </w:pPr>
      <w:bookmarkStart w:id="89" w:name="_Toc6195"/>
      <w:bookmarkStart w:id="90" w:name="_Toc492300569"/>
      <w:r>
        <w:rPr>
          <w:rFonts w:asciiTheme="minorEastAsia" w:hAnsiTheme="minorEastAsia" w:eastAsiaTheme="minorEastAsia"/>
          <w:color w:val="auto"/>
          <w:sz w:val="32"/>
          <w:szCs w:val="21"/>
        </w:rPr>
        <w:t xml:space="preserve">1.5 </w:t>
      </w:r>
      <w:r>
        <w:rPr>
          <w:rFonts w:hint="eastAsia" w:asciiTheme="minorEastAsia" w:hAnsiTheme="minorEastAsia" w:eastAsiaTheme="minorEastAsia"/>
          <w:color w:val="auto"/>
          <w:sz w:val="32"/>
          <w:szCs w:val="21"/>
        </w:rPr>
        <w:t>费用承担</w:t>
      </w:r>
      <w:bookmarkEnd w:id="89"/>
      <w:bookmarkEnd w:id="90"/>
    </w:p>
    <w:p w14:paraId="408B15C5">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竞标人准备和参加</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活动发生的费用自理。</w:t>
      </w:r>
    </w:p>
    <w:p w14:paraId="32CEF132">
      <w:pPr>
        <w:pStyle w:val="4"/>
        <w:spacing w:before="0" w:after="0" w:line="360" w:lineRule="auto"/>
        <w:ind w:firstLine="157"/>
        <w:rPr>
          <w:rFonts w:hint="eastAsia" w:asciiTheme="minorEastAsia" w:hAnsiTheme="minorEastAsia" w:eastAsiaTheme="minorEastAsia"/>
          <w:color w:val="auto"/>
          <w:sz w:val="32"/>
          <w:szCs w:val="21"/>
        </w:rPr>
      </w:pPr>
      <w:bookmarkStart w:id="91" w:name="_Toc492300570"/>
      <w:bookmarkStart w:id="92" w:name="_Toc20716"/>
      <w:r>
        <w:rPr>
          <w:rFonts w:asciiTheme="minorEastAsia" w:hAnsiTheme="minorEastAsia" w:eastAsiaTheme="minorEastAsia"/>
          <w:color w:val="auto"/>
          <w:sz w:val="32"/>
          <w:szCs w:val="21"/>
        </w:rPr>
        <w:t>1.6</w:t>
      </w:r>
      <w:r>
        <w:rPr>
          <w:rFonts w:hint="eastAsia" w:asciiTheme="minorEastAsia" w:hAnsiTheme="minorEastAsia" w:eastAsiaTheme="minorEastAsia"/>
          <w:color w:val="auto"/>
          <w:sz w:val="32"/>
          <w:szCs w:val="21"/>
        </w:rPr>
        <w:t xml:space="preserve"> 保密</w:t>
      </w:r>
      <w:bookmarkEnd w:id="91"/>
      <w:bookmarkEnd w:id="92"/>
    </w:p>
    <w:p w14:paraId="4807E1B5">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参与</w:t>
      </w:r>
      <w:r>
        <w:rPr>
          <w:rFonts w:hint="eastAsia" w:asciiTheme="minorEastAsia" w:hAnsiTheme="minorEastAsia" w:eastAsiaTheme="minorEastAsia"/>
          <w:color w:val="auto"/>
          <w:sz w:val="22"/>
          <w:szCs w:val="24"/>
        </w:rPr>
        <w:t>比选竞标</w:t>
      </w:r>
      <w:r>
        <w:rPr>
          <w:rFonts w:asciiTheme="minorEastAsia" w:hAnsiTheme="minorEastAsia" w:eastAsiaTheme="minorEastAsia"/>
          <w:color w:val="auto"/>
          <w:sz w:val="22"/>
          <w:szCs w:val="24"/>
        </w:rPr>
        <w:t>活动的各方应对比选文件和竞标文件中</w:t>
      </w:r>
      <w:bookmarkStart w:id="93" w:name="_Toc369531519"/>
      <w:bookmarkStart w:id="94" w:name="_Toc384308214"/>
      <w:bookmarkStart w:id="95" w:name="_Toc352691477"/>
      <w:bookmarkStart w:id="96" w:name="_Toc361508589"/>
      <w:bookmarkStart w:id="97" w:name="_Toc5326"/>
      <w:r>
        <w:rPr>
          <w:rFonts w:asciiTheme="minorEastAsia" w:hAnsiTheme="minorEastAsia" w:eastAsiaTheme="minorEastAsia"/>
          <w:color w:val="auto"/>
          <w:sz w:val="22"/>
          <w:szCs w:val="24"/>
        </w:rPr>
        <w:t>的商业和技术等秘密保密</w:t>
      </w:r>
      <w:bookmarkEnd w:id="93"/>
      <w:bookmarkEnd w:id="94"/>
      <w:bookmarkEnd w:id="95"/>
      <w:bookmarkEnd w:id="96"/>
      <w:bookmarkEnd w:id="97"/>
      <w:r>
        <w:rPr>
          <w:rFonts w:asciiTheme="minorEastAsia" w:hAnsiTheme="minorEastAsia" w:eastAsiaTheme="minorEastAsia"/>
          <w:color w:val="auto"/>
          <w:sz w:val="22"/>
          <w:szCs w:val="24"/>
        </w:rPr>
        <w:t>，否则应承担相应的法律责任。</w:t>
      </w:r>
    </w:p>
    <w:p w14:paraId="716AAEB9">
      <w:pPr>
        <w:pStyle w:val="4"/>
        <w:spacing w:before="0" w:after="0" w:line="360" w:lineRule="auto"/>
        <w:ind w:firstLine="157"/>
        <w:rPr>
          <w:rFonts w:hint="eastAsia" w:asciiTheme="minorEastAsia" w:hAnsiTheme="minorEastAsia" w:eastAsiaTheme="minorEastAsia"/>
          <w:color w:val="auto"/>
          <w:sz w:val="32"/>
          <w:szCs w:val="21"/>
        </w:rPr>
      </w:pPr>
      <w:bookmarkStart w:id="98" w:name="_Toc492300571"/>
      <w:bookmarkStart w:id="99" w:name="_Toc2436"/>
      <w:r>
        <w:rPr>
          <w:rFonts w:asciiTheme="minorEastAsia" w:hAnsiTheme="minorEastAsia" w:eastAsiaTheme="minorEastAsia"/>
          <w:color w:val="auto"/>
          <w:sz w:val="32"/>
          <w:szCs w:val="21"/>
        </w:rPr>
        <w:t>1.7 语言文字</w:t>
      </w:r>
      <w:bookmarkEnd w:id="98"/>
      <w:bookmarkEnd w:id="99"/>
    </w:p>
    <w:p w14:paraId="24BDE479">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竞标文件使用的语言文字为中文。专用术语使用外文的，应附有中文注释。</w:t>
      </w:r>
    </w:p>
    <w:p w14:paraId="23F2B3C6">
      <w:pPr>
        <w:pStyle w:val="4"/>
        <w:spacing w:before="0" w:after="0" w:line="360" w:lineRule="auto"/>
        <w:ind w:firstLine="157"/>
        <w:rPr>
          <w:rFonts w:hint="eastAsia" w:asciiTheme="minorEastAsia" w:hAnsiTheme="minorEastAsia" w:eastAsiaTheme="minorEastAsia"/>
          <w:color w:val="auto"/>
          <w:sz w:val="32"/>
          <w:szCs w:val="21"/>
        </w:rPr>
      </w:pPr>
      <w:bookmarkStart w:id="100" w:name="_Toc492300572"/>
      <w:bookmarkStart w:id="101" w:name="_Toc14946"/>
      <w:r>
        <w:rPr>
          <w:rFonts w:asciiTheme="minorEastAsia" w:hAnsiTheme="minorEastAsia" w:eastAsiaTheme="minorEastAsia"/>
          <w:color w:val="auto"/>
          <w:sz w:val="32"/>
          <w:szCs w:val="21"/>
        </w:rPr>
        <w:t>1.8</w:t>
      </w:r>
      <w:r>
        <w:rPr>
          <w:rFonts w:hint="eastAsia" w:asciiTheme="minorEastAsia" w:hAnsiTheme="minorEastAsia" w:eastAsiaTheme="minorEastAsia"/>
          <w:color w:val="auto"/>
          <w:sz w:val="32"/>
          <w:szCs w:val="21"/>
        </w:rPr>
        <w:t xml:space="preserve"> </w:t>
      </w:r>
      <w:r>
        <w:rPr>
          <w:rFonts w:asciiTheme="minorEastAsia" w:hAnsiTheme="minorEastAsia" w:eastAsiaTheme="minorEastAsia"/>
          <w:color w:val="auto"/>
          <w:sz w:val="32"/>
          <w:szCs w:val="21"/>
        </w:rPr>
        <w:t>计量单位</w:t>
      </w:r>
      <w:bookmarkEnd w:id="100"/>
      <w:bookmarkEnd w:id="101"/>
    </w:p>
    <w:p w14:paraId="30E78726">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所有计量均采用中华人民共和国法定计量单位。</w:t>
      </w:r>
    </w:p>
    <w:p w14:paraId="3D389CF0">
      <w:pPr>
        <w:pStyle w:val="4"/>
        <w:spacing w:before="0" w:after="0" w:line="360" w:lineRule="auto"/>
        <w:ind w:firstLine="157"/>
        <w:rPr>
          <w:rFonts w:hint="eastAsia" w:asciiTheme="minorEastAsia" w:hAnsiTheme="minorEastAsia" w:eastAsiaTheme="minorEastAsia"/>
          <w:color w:val="auto"/>
          <w:sz w:val="32"/>
          <w:szCs w:val="21"/>
        </w:rPr>
      </w:pPr>
      <w:bookmarkStart w:id="102" w:name="_Toc370676289"/>
      <w:bookmarkStart w:id="103" w:name="_Toc361508594"/>
      <w:bookmarkStart w:id="104" w:name="_Toc247513962"/>
      <w:bookmarkStart w:id="105" w:name="_Toc152045539"/>
      <w:bookmarkStart w:id="106" w:name="_Toc247527563"/>
      <w:bookmarkStart w:id="107" w:name="_Toc152042315"/>
      <w:bookmarkStart w:id="108" w:name="_Toc492300573"/>
      <w:bookmarkStart w:id="109" w:name="_Toc20236"/>
      <w:bookmarkStart w:id="110" w:name="_Toc384308219"/>
      <w:bookmarkStart w:id="111" w:name="_Toc482188480"/>
      <w:bookmarkStart w:id="112" w:name="_Toc391393967"/>
      <w:bookmarkStart w:id="113" w:name="_Toc144974507"/>
      <w:bookmarkStart w:id="114" w:name="_Toc300834959"/>
      <w:r>
        <w:rPr>
          <w:rFonts w:asciiTheme="minorEastAsia" w:hAnsiTheme="minorEastAsia" w:eastAsiaTheme="minorEastAsia"/>
          <w:color w:val="auto"/>
          <w:sz w:val="32"/>
          <w:szCs w:val="21"/>
        </w:rPr>
        <w:t xml:space="preserve">1.9 </w:t>
      </w:r>
      <w:r>
        <w:rPr>
          <w:rFonts w:hint="eastAsia" w:asciiTheme="minorEastAsia" w:hAnsiTheme="minorEastAsia" w:eastAsiaTheme="minorEastAsia"/>
          <w:color w:val="auto"/>
          <w:sz w:val="32"/>
          <w:szCs w:val="21"/>
        </w:rPr>
        <w:t>踏勘现场</w:t>
      </w:r>
      <w:bookmarkEnd w:id="102"/>
      <w:bookmarkEnd w:id="103"/>
      <w:bookmarkEnd w:id="104"/>
      <w:bookmarkEnd w:id="105"/>
      <w:bookmarkEnd w:id="106"/>
      <w:bookmarkEnd w:id="107"/>
      <w:bookmarkEnd w:id="108"/>
      <w:bookmarkEnd w:id="109"/>
      <w:bookmarkEnd w:id="110"/>
      <w:bookmarkEnd w:id="111"/>
      <w:bookmarkEnd w:id="112"/>
      <w:bookmarkEnd w:id="113"/>
      <w:bookmarkEnd w:id="114"/>
    </w:p>
    <w:p w14:paraId="3FE97EC0">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1.9.1 竞标人须知前附表规定组织踏勘现场的，</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按竞标人须知前附表规定的时间、地点组织竞标人踏勘项目现场。部分竞标人未按时参加踏勘现场的，不影响踏勘现场的正常进行。</w:t>
      </w:r>
    </w:p>
    <w:p w14:paraId="7BB0643D">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1.9.2 竞标人踏勘现场发生的费用自理。</w:t>
      </w:r>
    </w:p>
    <w:p w14:paraId="390265DB">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1.9.3 除</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的原因外，竞标人自行负责在踏勘现场中所发生的人员伤亡和财产损失。</w:t>
      </w:r>
    </w:p>
    <w:p w14:paraId="2C0A5967">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 xml:space="preserve">1.9.4 </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在踏勘现场中介绍的工程场地和相关的周边环境情况，供竞标人在编制竞标文件时参考，</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不对竞标人据此作出的判断和决策负责。</w:t>
      </w:r>
    </w:p>
    <w:p w14:paraId="24148BE7">
      <w:pPr>
        <w:pStyle w:val="4"/>
        <w:spacing w:before="0" w:after="0" w:line="360" w:lineRule="auto"/>
        <w:ind w:firstLine="157"/>
        <w:rPr>
          <w:rFonts w:hint="eastAsia" w:asciiTheme="minorEastAsia" w:hAnsiTheme="minorEastAsia" w:eastAsiaTheme="minorEastAsia"/>
          <w:color w:val="auto"/>
          <w:sz w:val="32"/>
          <w:szCs w:val="21"/>
        </w:rPr>
      </w:pPr>
      <w:bookmarkStart w:id="115" w:name="_Toc13746"/>
      <w:bookmarkStart w:id="116" w:name="_Toc492300574"/>
      <w:r>
        <w:rPr>
          <w:rFonts w:asciiTheme="minorEastAsia" w:hAnsiTheme="minorEastAsia" w:eastAsiaTheme="minorEastAsia"/>
          <w:color w:val="auto"/>
          <w:sz w:val="32"/>
          <w:szCs w:val="21"/>
        </w:rPr>
        <w:t>1.10</w:t>
      </w:r>
      <w:r>
        <w:rPr>
          <w:rFonts w:hint="eastAsia" w:asciiTheme="minorEastAsia" w:hAnsiTheme="minorEastAsia" w:eastAsiaTheme="minorEastAsia"/>
          <w:color w:val="auto"/>
          <w:sz w:val="32"/>
          <w:szCs w:val="21"/>
        </w:rPr>
        <w:t xml:space="preserve"> 竞标</w:t>
      </w:r>
      <w:r>
        <w:rPr>
          <w:rFonts w:asciiTheme="minorEastAsia" w:hAnsiTheme="minorEastAsia" w:eastAsiaTheme="minorEastAsia"/>
          <w:color w:val="auto"/>
          <w:sz w:val="32"/>
          <w:szCs w:val="21"/>
        </w:rPr>
        <w:t>预备会</w:t>
      </w:r>
      <w:bookmarkEnd w:id="115"/>
      <w:bookmarkEnd w:id="116"/>
    </w:p>
    <w:p w14:paraId="4347DB55">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1.10.1 竞标人须知前附表规定召开</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预备会的，</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按竞标人须知前附表规定的时间和地点召开</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预备会，澄清竞标人提出的问题。</w:t>
      </w:r>
    </w:p>
    <w:p w14:paraId="36B6317C">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1.10.2 竞标人应按竞标人须知前附表规定的时间和形式将提出的问题送达</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，以便</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在会议期间澄清。</w:t>
      </w:r>
    </w:p>
    <w:p w14:paraId="06952137">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 xml:space="preserve">1.10.3 </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预备会后，</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将对竞标人所提问题的澄清，以竞标人须知前附表规定的形式通知所有购买比选文件的竞标人。该澄清内容为比选文件的组成部分。</w:t>
      </w:r>
    </w:p>
    <w:p w14:paraId="2227F32E">
      <w:pPr>
        <w:pStyle w:val="4"/>
        <w:spacing w:before="0" w:after="0" w:line="360" w:lineRule="auto"/>
        <w:ind w:firstLine="157"/>
        <w:rPr>
          <w:rFonts w:hint="eastAsia" w:asciiTheme="minorEastAsia" w:hAnsiTheme="minorEastAsia" w:eastAsiaTheme="minorEastAsia"/>
          <w:color w:val="auto"/>
          <w:sz w:val="32"/>
          <w:szCs w:val="21"/>
        </w:rPr>
      </w:pPr>
      <w:bookmarkStart w:id="117" w:name="_Toc1155"/>
      <w:bookmarkStart w:id="118" w:name="_Toc492300575"/>
      <w:r>
        <w:rPr>
          <w:rFonts w:asciiTheme="minorEastAsia" w:hAnsiTheme="minorEastAsia" w:eastAsiaTheme="minorEastAsia"/>
          <w:color w:val="auto"/>
          <w:sz w:val="32"/>
          <w:szCs w:val="21"/>
        </w:rPr>
        <w:t>1.11</w:t>
      </w:r>
      <w:r>
        <w:rPr>
          <w:rFonts w:hint="eastAsia" w:asciiTheme="minorEastAsia" w:hAnsiTheme="minorEastAsia" w:eastAsiaTheme="minorEastAsia"/>
          <w:color w:val="auto"/>
          <w:sz w:val="32"/>
          <w:szCs w:val="21"/>
        </w:rPr>
        <w:t xml:space="preserve"> </w:t>
      </w:r>
      <w:r>
        <w:rPr>
          <w:rFonts w:asciiTheme="minorEastAsia" w:hAnsiTheme="minorEastAsia" w:eastAsiaTheme="minorEastAsia"/>
          <w:color w:val="auto"/>
          <w:sz w:val="32"/>
          <w:szCs w:val="21"/>
        </w:rPr>
        <w:t>分包</w:t>
      </w:r>
      <w:bookmarkEnd w:id="117"/>
      <w:bookmarkEnd w:id="118"/>
    </w:p>
    <w:p w14:paraId="71A8E807">
      <w:pPr>
        <w:spacing w:line="360" w:lineRule="auto"/>
        <w:ind w:firstLine="440" w:firstLineChars="200"/>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t>除竞标人须知前附表另有要求外，</w:t>
      </w:r>
      <w:r>
        <w:rPr>
          <w:rFonts w:asciiTheme="minorEastAsia" w:hAnsiTheme="minorEastAsia" w:eastAsiaTheme="minorEastAsia"/>
          <w:color w:val="auto"/>
          <w:sz w:val="22"/>
          <w:szCs w:val="24"/>
        </w:rPr>
        <w:t>本项目严禁分包。</w:t>
      </w:r>
    </w:p>
    <w:p w14:paraId="77DA36D9">
      <w:pPr>
        <w:pStyle w:val="4"/>
        <w:spacing w:before="0" w:after="0" w:line="360" w:lineRule="auto"/>
        <w:ind w:firstLine="157"/>
        <w:rPr>
          <w:rFonts w:hint="eastAsia" w:asciiTheme="minorEastAsia" w:hAnsiTheme="minorEastAsia" w:eastAsiaTheme="minorEastAsia"/>
          <w:color w:val="auto"/>
          <w:sz w:val="32"/>
          <w:szCs w:val="21"/>
        </w:rPr>
      </w:pPr>
      <w:bookmarkStart w:id="119" w:name="_Toc492300576"/>
      <w:bookmarkStart w:id="120" w:name="_Toc32184"/>
      <w:r>
        <w:rPr>
          <w:rFonts w:asciiTheme="minorEastAsia" w:hAnsiTheme="minorEastAsia" w:eastAsiaTheme="minorEastAsia"/>
          <w:color w:val="auto"/>
          <w:sz w:val="32"/>
          <w:szCs w:val="21"/>
        </w:rPr>
        <w:t>1.12</w:t>
      </w:r>
      <w:r>
        <w:rPr>
          <w:rFonts w:hint="eastAsia" w:asciiTheme="minorEastAsia" w:hAnsiTheme="minorEastAsia" w:eastAsiaTheme="minorEastAsia"/>
          <w:color w:val="auto"/>
          <w:sz w:val="32"/>
          <w:szCs w:val="21"/>
        </w:rPr>
        <w:t xml:space="preserve"> </w:t>
      </w:r>
      <w:r>
        <w:rPr>
          <w:rFonts w:asciiTheme="minorEastAsia" w:hAnsiTheme="minorEastAsia" w:eastAsiaTheme="minorEastAsia"/>
          <w:color w:val="auto"/>
          <w:sz w:val="32"/>
          <w:szCs w:val="21"/>
        </w:rPr>
        <w:t>响应和</w:t>
      </w:r>
      <w:bookmarkEnd w:id="119"/>
      <w:r>
        <w:rPr>
          <w:rFonts w:hint="eastAsia" w:asciiTheme="minorEastAsia" w:hAnsiTheme="minorEastAsia" w:eastAsiaTheme="minorEastAsia"/>
          <w:color w:val="auto"/>
          <w:sz w:val="32"/>
          <w:szCs w:val="21"/>
        </w:rPr>
        <w:t>偏离</w:t>
      </w:r>
      <w:bookmarkEnd w:id="120"/>
    </w:p>
    <w:p w14:paraId="097708AA">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1.12.1竞标文件应当对比选文件的实质性要求和条件作出满足性或更有利于</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的响应，否则，竞标人的</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将被否决。实质性要求和条件见竞标人须知前附表。</w:t>
      </w:r>
    </w:p>
    <w:p w14:paraId="36940F8A">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 xml:space="preserve">1.12.2 </w:t>
      </w:r>
      <w:r>
        <w:rPr>
          <w:rFonts w:asciiTheme="minorEastAsia" w:hAnsiTheme="minorEastAsia" w:eastAsiaTheme="minorEastAsia"/>
          <w:color w:val="auto"/>
          <w:sz w:val="22"/>
        </w:rPr>
        <w:t>竞标人应根据比选文件的要求</w:t>
      </w:r>
      <w:r>
        <w:rPr>
          <w:rFonts w:asciiTheme="minorEastAsia" w:hAnsiTheme="minorEastAsia" w:eastAsiaTheme="minorEastAsia"/>
          <w:color w:val="auto"/>
          <w:sz w:val="22"/>
          <w:szCs w:val="24"/>
        </w:rPr>
        <w:t>对比选文件作出响应。</w:t>
      </w:r>
    </w:p>
    <w:p w14:paraId="6924FA4C">
      <w:pPr>
        <w:spacing w:line="360" w:lineRule="auto"/>
        <w:ind w:firstLine="44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1.12.3竞标人须知前附表允许竞标文件偏离比选文件某些要求的，偏差应当符合比选文件规定的偏差范围和幅度。</w:t>
      </w:r>
    </w:p>
    <w:p w14:paraId="4AA3154B">
      <w:pPr>
        <w:pStyle w:val="3"/>
        <w:spacing w:before="0" w:after="0" w:line="360" w:lineRule="auto"/>
        <w:ind w:firstLine="723"/>
        <w:rPr>
          <w:rFonts w:hint="eastAsia" w:asciiTheme="minorEastAsia" w:hAnsiTheme="minorEastAsia" w:eastAsiaTheme="minorEastAsia"/>
          <w:color w:val="auto"/>
          <w:sz w:val="36"/>
          <w:szCs w:val="21"/>
        </w:rPr>
      </w:pPr>
      <w:bookmarkStart w:id="121" w:name="_Toc492300577"/>
      <w:bookmarkStart w:id="122" w:name="_Toc22352"/>
      <w:r>
        <w:rPr>
          <w:rFonts w:asciiTheme="minorEastAsia" w:hAnsiTheme="minorEastAsia" w:eastAsiaTheme="minorEastAsia"/>
          <w:color w:val="auto"/>
          <w:sz w:val="36"/>
          <w:szCs w:val="21"/>
        </w:rPr>
        <w:t>2. 比选文件</w:t>
      </w:r>
      <w:bookmarkEnd w:id="121"/>
      <w:bookmarkEnd w:id="122"/>
    </w:p>
    <w:p w14:paraId="6D74B65C">
      <w:pPr>
        <w:pStyle w:val="4"/>
        <w:spacing w:before="0" w:after="0" w:line="360" w:lineRule="auto"/>
        <w:ind w:firstLine="157"/>
        <w:rPr>
          <w:rFonts w:hint="eastAsia" w:asciiTheme="minorEastAsia" w:hAnsiTheme="minorEastAsia" w:eastAsiaTheme="minorEastAsia"/>
          <w:color w:val="auto"/>
          <w:sz w:val="32"/>
          <w:szCs w:val="21"/>
        </w:rPr>
      </w:pPr>
      <w:bookmarkStart w:id="123" w:name="_Toc22605"/>
      <w:bookmarkStart w:id="124" w:name="_Toc492300578"/>
      <w:r>
        <w:rPr>
          <w:rFonts w:asciiTheme="minorEastAsia" w:hAnsiTheme="minorEastAsia" w:eastAsiaTheme="minorEastAsia"/>
          <w:color w:val="auto"/>
          <w:sz w:val="32"/>
          <w:szCs w:val="21"/>
        </w:rPr>
        <w:t>2.1 比选文件的组成</w:t>
      </w:r>
      <w:bookmarkEnd w:id="123"/>
      <w:bookmarkEnd w:id="124"/>
    </w:p>
    <w:p w14:paraId="3184D8A4">
      <w:pPr>
        <w:spacing w:line="360" w:lineRule="auto"/>
        <w:ind w:firstLine="376" w:firstLineChars="171"/>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本比选文件包括：</w:t>
      </w:r>
    </w:p>
    <w:p w14:paraId="5077D0BC">
      <w:pPr>
        <w:spacing w:line="360" w:lineRule="auto"/>
        <w:ind w:firstLine="376" w:firstLineChars="171"/>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w:t>
      </w:r>
      <w:r>
        <w:rPr>
          <w:rFonts w:hint="eastAsia" w:asciiTheme="minorEastAsia" w:hAnsiTheme="minorEastAsia" w:eastAsiaTheme="minorEastAsia"/>
          <w:color w:val="auto"/>
          <w:sz w:val="22"/>
          <w:szCs w:val="24"/>
        </w:rPr>
        <w:t>比选</w:t>
      </w:r>
      <w:r>
        <w:rPr>
          <w:rFonts w:asciiTheme="minorEastAsia" w:hAnsiTheme="minorEastAsia" w:eastAsiaTheme="minorEastAsia"/>
          <w:color w:val="auto"/>
          <w:sz w:val="22"/>
          <w:szCs w:val="24"/>
        </w:rPr>
        <w:t>公告；</w:t>
      </w:r>
    </w:p>
    <w:p w14:paraId="1F8FAF3D">
      <w:pPr>
        <w:spacing w:line="360" w:lineRule="auto"/>
        <w:ind w:firstLine="376" w:firstLineChars="171"/>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（2）竞标人须知；</w:t>
      </w:r>
    </w:p>
    <w:p w14:paraId="6642830F">
      <w:pPr>
        <w:spacing w:line="360" w:lineRule="auto"/>
        <w:ind w:firstLine="376" w:firstLineChars="171"/>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（3）评标办法；</w:t>
      </w:r>
    </w:p>
    <w:p w14:paraId="20AAD6BB">
      <w:pPr>
        <w:spacing w:line="360" w:lineRule="auto"/>
        <w:ind w:firstLine="376" w:firstLineChars="171"/>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（4）合同条款及格式；</w:t>
      </w:r>
    </w:p>
    <w:p w14:paraId="54FC7636">
      <w:pPr>
        <w:spacing w:line="360" w:lineRule="auto"/>
        <w:ind w:firstLine="376" w:firstLineChars="171"/>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（5）委托人要求；</w:t>
      </w:r>
    </w:p>
    <w:p w14:paraId="744FCAE2">
      <w:pPr>
        <w:spacing w:line="360" w:lineRule="auto"/>
        <w:ind w:firstLine="376" w:firstLineChars="171"/>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（6）竞标文件格式；</w:t>
      </w:r>
    </w:p>
    <w:p w14:paraId="34273511">
      <w:pPr>
        <w:spacing w:line="360" w:lineRule="auto"/>
        <w:ind w:firstLine="376" w:firstLineChars="171"/>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（7）竞标人须知前附表规定的其他资料。</w:t>
      </w:r>
    </w:p>
    <w:p w14:paraId="5F2B957B">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根据本章第1.10款、第2.2款和第2.3款对比选文件所作的澄清、修改，构成比选文件的组成部分。</w:t>
      </w:r>
    </w:p>
    <w:p w14:paraId="26127464">
      <w:pPr>
        <w:pStyle w:val="4"/>
        <w:spacing w:before="0" w:after="0" w:line="360" w:lineRule="auto"/>
        <w:ind w:firstLine="157"/>
        <w:rPr>
          <w:rFonts w:hint="eastAsia" w:asciiTheme="minorEastAsia" w:hAnsiTheme="minorEastAsia" w:eastAsiaTheme="minorEastAsia"/>
          <w:color w:val="auto"/>
          <w:sz w:val="32"/>
          <w:szCs w:val="21"/>
        </w:rPr>
      </w:pPr>
      <w:bookmarkStart w:id="125" w:name="_Toc492300579"/>
      <w:bookmarkStart w:id="126" w:name="_Toc21429"/>
      <w:r>
        <w:rPr>
          <w:rFonts w:asciiTheme="minorEastAsia" w:hAnsiTheme="minorEastAsia" w:eastAsiaTheme="minorEastAsia"/>
          <w:color w:val="auto"/>
          <w:sz w:val="32"/>
          <w:szCs w:val="21"/>
        </w:rPr>
        <w:t>2.2 比选文件的澄清</w:t>
      </w:r>
      <w:bookmarkEnd w:id="125"/>
      <w:bookmarkEnd w:id="126"/>
    </w:p>
    <w:p w14:paraId="2D07D89A">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2.2.1 竞标人应仔细阅读和检查比选文件的全部内容。如发现缺页或附件不全，应及时向</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提出，以便补齐。如有疑问，应按竞标人须知前附表规定的时间</w:t>
      </w:r>
      <w:r>
        <w:rPr>
          <w:rFonts w:ascii="宋体" w:hAnsi="宋体"/>
          <w:snapToGrid w:val="0"/>
          <w:color w:val="auto"/>
          <w:kern w:val="0"/>
          <w:sz w:val="22"/>
        </w:rPr>
        <w:t>前</w:t>
      </w:r>
      <w:r>
        <w:rPr>
          <w:rFonts w:hint="eastAsia" w:ascii="宋体" w:hAnsi="宋体"/>
          <w:color w:val="auto"/>
          <w:kern w:val="0"/>
          <w:sz w:val="22"/>
        </w:rPr>
        <w:t>提问</w:t>
      </w:r>
      <w:r>
        <w:rPr>
          <w:rFonts w:asciiTheme="minorEastAsia" w:hAnsiTheme="minorEastAsia" w:eastAsiaTheme="minorEastAsia"/>
          <w:color w:val="auto"/>
          <w:sz w:val="22"/>
          <w:szCs w:val="24"/>
        </w:rPr>
        <w:t>，要求</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对比选文件予以澄清。</w:t>
      </w:r>
    </w:p>
    <w:p w14:paraId="210D4F3C">
      <w:pPr>
        <w:pStyle w:val="4"/>
        <w:spacing w:before="0" w:after="0" w:line="360" w:lineRule="auto"/>
        <w:ind w:firstLine="157"/>
        <w:rPr>
          <w:rFonts w:hint="eastAsia" w:asciiTheme="minorEastAsia" w:hAnsiTheme="minorEastAsia" w:eastAsiaTheme="minorEastAsia"/>
          <w:color w:val="auto"/>
          <w:sz w:val="32"/>
          <w:szCs w:val="21"/>
        </w:rPr>
      </w:pPr>
      <w:bookmarkStart w:id="127" w:name="_Toc12117"/>
      <w:bookmarkStart w:id="128" w:name="_Toc492300580"/>
      <w:bookmarkStart w:id="129" w:name="_Toc352691479"/>
      <w:r>
        <w:rPr>
          <w:rFonts w:asciiTheme="minorEastAsia" w:hAnsiTheme="minorEastAsia" w:eastAsiaTheme="minorEastAsia"/>
          <w:color w:val="auto"/>
          <w:sz w:val="32"/>
          <w:szCs w:val="21"/>
        </w:rPr>
        <w:t>2.3 比选文件的修</w:t>
      </w:r>
      <w:bookmarkStart w:id="130" w:name="_Toc16514"/>
      <w:bookmarkStart w:id="131" w:name="_Toc369531521"/>
      <w:r>
        <w:rPr>
          <w:rFonts w:asciiTheme="minorEastAsia" w:hAnsiTheme="minorEastAsia" w:eastAsiaTheme="minorEastAsia"/>
          <w:color w:val="auto"/>
          <w:sz w:val="32"/>
          <w:szCs w:val="21"/>
        </w:rPr>
        <w:t>改</w:t>
      </w:r>
      <w:bookmarkEnd w:id="127"/>
      <w:bookmarkEnd w:id="128"/>
    </w:p>
    <w:bookmarkEnd w:id="129"/>
    <w:bookmarkEnd w:id="130"/>
    <w:bookmarkEnd w:id="131"/>
    <w:p w14:paraId="16A5689F">
      <w:pPr>
        <w:spacing w:line="360" w:lineRule="auto"/>
        <w:ind w:firstLine="440" w:firstLineChars="200"/>
        <w:rPr>
          <w:rFonts w:hint="eastAsia" w:asciiTheme="minorEastAsia" w:hAnsiTheme="minorEastAsia" w:eastAsiaTheme="minorEastAsia"/>
          <w:color w:val="auto"/>
          <w:sz w:val="22"/>
          <w:szCs w:val="24"/>
        </w:rPr>
      </w:pPr>
      <w:bookmarkStart w:id="132" w:name="_Toc247527564"/>
      <w:bookmarkStart w:id="133" w:name="_Toc352691484"/>
      <w:bookmarkStart w:id="134" w:name="_Toc247513963"/>
      <w:bookmarkStart w:id="135" w:name="_Toc384308220"/>
      <w:bookmarkStart w:id="136" w:name="_Toc144974508"/>
      <w:bookmarkStart w:id="137" w:name="_Toc361508595"/>
      <w:bookmarkStart w:id="138" w:name="_Toc16623"/>
      <w:bookmarkStart w:id="139" w:name="_Toc152042316"/>
      <w:bookmarkStart w:id="140" w:name="_Toc152045540"/>
      <w:bookmarkStart w:id="141" w:name="_Toc300834960"/>
      <w:bookmarkStart w:id="142" w:name="_Toc369531526"/>
      <w:r>
        <w:rPr>
          <w:rFonts w:hint="eastAsia" w:asciiTheme="minorEastAsia" w:hAnsiTheme="minorEastAsia" w:eastAsiaTheme="minorEastAsia"/>
          <w:color w:val="auto"/>
          <w:sz w:val="22"/>
          <w:szCs w:val="24"/>
        </w:rPr>
        <w:t>按照本章2.2比选文件的澄清相关内容及方式执行</w:t>
      </w:r>
      <w:r>
        <w:rPr>
          <w:rFonts w:asciiTheme="minorEastAsia" w:hAnsiTheme="minorEastAsia" w:eastAsiaTheme="minorEastAsia"/>
          <w:color w:val="auto"/>
          <w:sz w:val="22"/>
          <w:szCs w:val="24"/>
        </w:rPr>
        <w:t>。</w:t>
      </w:r>
    </w:p>
    <w:bookmarkEnd w:id="132"/>
    <w:bookmarkEnd w:id="133"/>
    <w:bookmarkEnd w:id="134"/>
    <w:bookmarkEnd w:id="135"/>
    <w:bookmarkEnd w:id="136"/>
    <w:bookmarkEnd w:id="137"/>
    <w:bookmarkEnd w:id="138"/>
    <w:bookmarkEnd w:id="139"/>
    <w:bookmarkEnd w:id="140"/>
    <w:bookmarkEnd w:id="141"/>
    <w:bookmarkEnd w:id="142"/>
    <w:p w14:paraId="62AB5B99">
      <w:pPr>
        <w:pStyle w:val="3"/>
        <w:spacing w:before="0" w:after="0" w:line="360" w:lineRule="auto"/>
        <w:ind w:firstLine="723"/>
        <w:rPr>
          <w:rFonts w:hint="eastAsia" w:asciiTheme="minorEastAsia" w:hAnsiTheme="minorEastAsia" w:eastAsiaTheme="minorEastAsia"/>
          <w:color w:val="auto"/>
          <w:sz w:val="36"/>
          <w:szCs w:val="21"/>
        </w:rPr>
      </w:pPr>
      <w:bookmarkStart w:id="143" w:name="_Toc6173"/>
      <w:bookmarkStart w:id="144" w:name="_Toc492300582"/>
      <w:r>
        <w:rPr>
          <w:rFonts w:asciiTheme="minorEastAsia" w:hAnsiTheme="minorEastAsia" w:eastAsiaTheme="minorEastAsia"/>
          <w:color w:val="auto"/>
          <w:sz w:val="36"/>
          <w:szCs w:val="21"/>
        </w:rPr>
        <w:t>3. 竞标文件</w:t>
      </w:r>
      <w:bookmarkEnd w:id="143"/>
      <w:bookmarkEnd w:id="144"/>
    </w:p>
    <w:p w14:paraId="62E5F37E">
      <w:pPr>
        <w:pStyle w:val="4"/>
        <w:spacing w:before="0" w:after="0" w:line="360" w:lineRule="auto"/>
        <w:ind w:firstLine="157"/>
        <w:rPr>
          <w:rFonts w:hint="eastAsia" w:asciiTheme="minorEastAsia" w:hAnsiTheme="minorEastAsia" w:eastAsiaTheme="minorEastAsia"/>
          <w:color w:val="auto"/>
          <w:sz w:val="32"/>
          <w:szCs w:val="21"/>
        </w:rPr>
      </w:pPr>
      <w:bookmarkStart w:id="145" w:name="_Toc492300583"/>
      <w:bookmarkStart w:id="146" w:name="_Toc31547"/>
      <w:r>
        <w:rPr>
          <w:rFonts w:asciiTheme="minorEastAsia" w:hAnsiTheme="minorEastAsia" w:eastAsiaTheme="minorEastAsia"/>
          <w:color w:val="auto"/>
          <w:sz w:val="32"/>
          <w:szCs w:val="21"/>
        </w:rPr>
        <w:t>3.1 竞标文件的组成</w:t>
      </w:r>
      <w:bookmarkEnd w:id="145"/>
      <w:bookmarkEnd w:id="146"/>
    </w:p>
    <w:p w14:paraId="2ABB0CBB">
      <w:pPr>
        <w:spacing w:line="360" w:lineRule="auto"/>
        <w:ind w:firstLine="440" w:firstLineChars="200"/>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t>（一）竞标函</w:t>
      </w:r>
    </w:p>
    <w:p w14:paraId="64E4213F">
      <w:pPr>
        <w:spacing w:line="360" w:lineRule="auto"/>
        <w:ind w:firstLine="440" w:firstLineChars="200"/>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t>（二）法定代表人身份证明或附有法定代表人身份证明的授权委托书</w:t>
      </w:r>
    </w:p>
    <w:p w14:paraId="1EDC5A63">
      <w:pPr>
        <w:spacing w:line="360" w:lineRule="auto"/>
        <w:ind w:firstLine="440" w:firstLineChars="200"/>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t>（三）业绩证明材料</w:t>
      </w:r>
    </w:p>
    <w:p w14:paraId="06843C0B">
      <w:pPr>
        <w:spacing w:line="360" w:lineRule="auto"/>
        <w:ind w:firstLine="440" w:firstLineChars="200"/>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t>（四）基本情况表</w:t>
      </w:r>
    </w:p>
    <w:p w14:paraId="1A002EB1">
      <w:pPr>
        <w:spacing w:line="360" w:lineRule="auto"/>
        <w:ind w:firstLine="440" w:firstLineChars="200"/>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t>（五）拟委任的跟踪审计项目人员汇总表</w:t>
      </w:r>
    </w:p>
    <w:p w14:paraId="140BF4BA">
      <w:pPr>
        <w:spacing w:line="360" w:lineRule="auto"/>
        <w:ind w:firstLine="440" w:firstLineChars="200"/>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t>（六）主要人员简历表</w:t>
      </w:r>
    </w:p>
    <w:p w14:paraId="29B82E6E">
      <w:pPr>
        <w:spacing w:line="360" w:lineRule="auto"/>
        <w:ind w:firstLine="440" w:firstLineChars="200"/>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t>（七）其他资料</w:t>
      </w:r>
    </w:p>
    <w:p w14:paraId="19DA07E8">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竞标人在评标过程中作出的符合法律法规和比选文件规定的澄清确认，构成竞标文件的组成部分。</w:t>
      </w:r>
    </w:p>
    <w:p w14:paraId="5C6E0FDE">
      <w:pPr>
        <w:pStyle w:val="4"/>
        <w:spacing w:before="0" w:after="0" w:line="360" w:lineRule="auto"/>
        <w:ind w:firstLine="157"/>
        <w:rPr>
          <w:rFonts w:hint="eastAsia" w:asciiTheme="minorEastAsia" w:hAnsiTheme="minorEastAsia" w:eastAsiaTheme="minorEastAsia"/>
          <w:color w:val="auto"/>
          <w:sz w:val="32"/>
          <w:szCs w:val="21"/>
        </w:rPr>
      </w:pPr>
      <w:bookmarkStart w:id="147" w:name="_Toc492300584"/>
      <w:bookmarkStart w:id="148" w:name="_Toc2099"/>
      <w:r>
        <w:rPr>
          <w:rFonts w:asciiTheme="minorEastAsia" w:hAnsiTheme="minorEastAsia" w:eastAsiaTheme="minorEastAsia"/>
          <w:color w:val="auto"/>
          <w:sz w:val="32"/>
          <w:szCs w:val="21"/>
        </w:rPr>
        <w:t xml:space="preserve">3.2 </w:t>
      </w:r>
      <w:r>
        <w:rPr>
          <w:rFonts w:hint="eastAsia" w:asciiTheme="minorEastAsia" w:hAnsiTheme="minorEastAsia" w:eastAsiaTheme="minorEastAsia"/>
          <w:color w:val="auto"/>
          <w:sz w:val="32"/>
          <w:szCs w:val="21"/>
        </w:rPr>
        <w:t>竞标</w:t>
      </w:r>
      <w:r>
        <w:rPr>
          <w:rFonts w:asciiTheme="minorEastAsia" w:hAnsiTheme="minorEastAsia" w:eastAsiaTheme="minorEastAsia"/>
          <w:color w:val="auto"/>
          <w:sz w:val="32"/>
          <w:szCs w:val="21"/>
        </w:rPr>
        <w:t>报价</w:t>
      </w:r>
      <w:bookmarkEnd w:id="147"/>
      <w:bookmarkEnd w:id="148"/>
    </w:p>
    <w:p w14:paraId="0563A785">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3.2.1</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报价应包括国家规定的增值税税金，除竞标人须知前附表另有规定外，增值税税金按一般计税方法计算。竞标人应按第五章“竞标文件格式”的要求在</w:t>
      </w:r>
      <w:r>
        <w:rPr>
          <w:rFonts w:hint="eastAsia" w:asciiTheme="minorEastAsia" w:hAnsiTheme="minorEastAsia" w:eastAsiaTheme="minorEastAsia"/>
          <w:color w:val="auto"/>
          <w:sz w:val="22"/>
          <w:szCs w:val="24"/>
        </w:rPr>
        <w:t>竞</w:t>
      </w:r>
      <w:r>
        <w:rPr>
          <w:rFonts w:asciiTheme="minorEastAsia" w:hAnsiTheme="minorEastAsia" w:eastAsiaTheme="minorEastAsia"/>
          <w:color w:val="auto"/>
          <w:sz w:val="22"/>
          <w:szCs w:val="24"/>
        </w:rPr>
        <w:t>标函中进行报价。</w:t>
      </w:r>
    </w:p>
    <w:p w14:paraId="5B1E540F">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3.2.2 竞标人应充分了解该项目的总体情况以及影响</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报价的其他要素。</w:t>
      </w:r>
    </w:p>
    <w:p w14:paraId="358BACE0">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3.2.3</w:t>
      </w:r>
      <w:bookmarkStart w:id="149" w:name="_Toc384308224"/>
      <w:bookmarkEnd w:id="149"/>
      <w:bookmarkStart w:id="150" w:name="_Toc352691487"/>
      <w:bookmarkEnd w:id="150"/>
      <w:bookmarkStart w:id="151" w:name="_Toc247513967"/>
      <w:bookmarkEnd w:id="151"/>
      <w:bookmarkStart w:id="152" w:name="_Toc152042319"/>
      <w:bookmarkEnd w:id="152"/>
      <w:bookmarkStart w:id="153" w:name="_Toc361508599"/>
      <w:bookmarkEnd w:id="153"/>
      <w:bookmarkStart w:id="154" w:name="_Toc369531530"/>
      <w:bookmarkEnd w:id="154"/>
      <w:bookmarkStart w:id="155" w:name="_Toc15242"/>
      <w:bookmarkEnd w:id="155"/>
      <w:bookmarkStart w:id="156" w:name="_Toc300834964"/>
      <w:bookmarkEnd w:id="156"/>
      <w:bookmarkStart w:id="157" w:name="_Toc152045543"/>
      <w:bookmarkEnd w:id="157"/>
      <w:bookmarkStart w:id="158" w:name="_Toc144974511"/>
      <w:bookmarkEnd w:id="158"/>
      <w:bookmarkStart w:id="159" w:name="_Toc247527568"/>
      <w:bookmarkEnd w:id="159"/>
      <w:r>
        <w:rPr>
          <w:rFonts w:hint="eastAsia" w:asciiTheme="minorEastAsia" w:hAnsiTheme="minorEastAsia" w:eastAsiaTheme="minorEastAsia"/>
          <w:color w:val="auto"/>
          <w:sz w:val="22"/>
          <w:szCs w:val="24"/>
        </w:rPr>
        <w:t xml:space="preserve"> 本项目的报价方式见竞标人须知前附表。</w:t>
      </w:r>
      <w:r>
        <w:rPr>
          <w:rFonts w:asciiTheme="minorEastAsia" w:hAnsiTheme="minorEastAsia" w:eastAsiaTheme="minorEastAsia"/>
          <w:color w:val="auto"/>
          <w:sz w:val="22"/>
          <w:szCs w:val="24"/>
        </w:rPr>
        <w:t>竞标人在</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截止时间前修改</w:t>
      </w:r>
      <w:r>
        <w:rPr>
          <w:rFonts w:hint="eastAsia" w:asciiTheme="minorEastAsia" w:hAnsiTheme="minorEastAsia" w:eastAsiaTheme="minorEastAsia"/>
          <w:color w:val="auto"/>
          <w:sz w:val="22"/>
          <w:szCs w:val="24"/>
        </w:rPr>
        <w:t>竞</w:t>
      </w:r>
      <w:r>
        <w:rPr>
          <w:rFonts w:asciiTheme="minorEastAsia" w:hAnsiTheme="minorEastAsia" w:eastAsiaTheme="minorEastAsia"/>
          <w:color w:val="auto"/>
          <w:sz w:val="22"/>
          <w:szCs w:val="24"/>
        </w:rPr>
        <w:t>标函中的</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报价总额。此修改须符合本章第4.3款的有关要求。</w:t>
      </w:r>
    </w:p>
    <w:p w14:paraId="4A73D6A8">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 xml:space="preserve">3.2.4 </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设有最高</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限价的，竞标人的</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报价不得超过最高</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限价，最高</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限价在竞标人</w:t>
      </w:r>
      <w:bookmarkStart w:id="160" w:name="_Toc361508600"/>
      <w:bookmarkStart w:id="161" w:name="_Toc384308225"/>
      <w:bookmarkStart w:id="162" w:name="_Toc300834965"/>
      <w:bookmarkStart w:id="163" w:name="_Toc247513968"/>
      <w:bookmarkStart w:id="164" w:name="_Toc10429"/>
      <w:bookmarkStart w:id="165" w:name="_Toc369531531"/>
      <w:bookmarkStart w:id="166" w:name="_Toc152042320"/>
      <w:bookmarkStart w:id="167" w:name="_Toc352691488"/>
      <w:bookmarkStart w:id="168" w:name="_Toc247527569"/>
      <w:bookmarkStart w:id="169" w:name="_Toc152045544"/>
      <w:bookmarkStart w:id="170" w:name="_Toc144974512"/>
      <w:r>
        <w:rPr>
          <w:rFonts w:asciiTheme="minorEastAsia" w:hAnsiTheme="minorEastAsia" w:eastAsiaTheme="minorEastAsia"/>
          <w:color w:val="auto"/>
          <w:sz w:val="22"/>
          <w:szCs w:val="24"/>
        </w:rPr>
        <w:t>须知前附表中载明。</w:t>
      </w:r>
      <w:bookmarkEnd w:id="160"/>
      <w:bookmarkEnd w:id="161"/>
      <w:bookmarkEnd w:id="162"/>
      <w:bookmarkEnd w:id="163"/>
      <w:bookmarkEnd w:id="164"/>
      <w:bookmarkEnd w:id="165"/>
      <w:bookmarkEnd w:id="166"/>
      <w:bookmarkEnd w:id="167"/>
      <w:bookmarkEnd w:id="168"/>
      <w:bookmarkEnd w:id="169"/>
      <w:bookmarkEnd w:id="170"/>
    </w:p>
    <w:p w14:paraId="58FEB73B">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 xml:space="preserve">3.2.5 </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报价的其他要求见竞标人须知前附表。</w:t>
      </w:r>
    </w:p>
    <w:p w14:paraId="3EC84839">
      <w:pPr>
        <w:pStyle w:val="4"/>
        <w:spacing w:before="0" w:after="0" w:line="360" w:lineRule="auto"/>
        <w:ind w:firstLine="157"/>
        <w:rPr>
          <w:rFonts w:hint="eastAsia" w:asciiTheme="minorEastAsia" w:hAnsiTheme="minorEastAsia" w:eastAsiaTheme="minorEastAsia"/>
          <w:color w:val="auto"/>
          <w:sz w:val="32"/>
          <w:szCs w:val="21"/>
        </w:rPr>
      </w:pPr>
      <w:bookmarkStart w:id="171" w:name="_Toc492300585"/>
      <w:bookmarkStart w:id="172" w:name="_Toc21054"/>
      <w:r>
        <w:rPr>
          <w:rFonts w:asciiTheme="minorEastAsia" w:hAnsiTheme="minorEastAsia" w:eastAsiaTheme="minorEastAsia"/>
          <w:color w:val="auto"/>
          <w:sz w:val="32"/>
          <w:szCs w:val="21"/>
        </w:rPr>
        <w:t>3.3 竞标有效期</w:t>
      </w:r>
      <w:bookmarkEnd w:id="171"/>
      <w:bookmarkEnd w:id="172"/>
    </w:p>
    <w:p w14:paraId="24877ADD">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3.3.1 除竞标人须知前附表另有规定外，竞标有效期为90天。</w:t>
      </w:r>
    </w:p>
    <w:p w14:paraId="7C81470C">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3.3.2 在竞标有效期内，竞标人撤销竞标文件的，应承担比选文件和法律规定的责任。</w:t>
      </w:r>
    </w:p>
    <w:p w14:paraId="068FA49A">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3.3.3出现特殊情况需要延长竞标有效期的，</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以书面形式通知所有竞标人延长竞标有效期。竞标人应予以书面答复，同意延长的，应相应延长其竞标保证金的有效期，但不得要求或被允许修改其竞标文件；竞标人拒绝延长的，其</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失效，但竞标人有权收回其竞标保证金</w:t>
      </w:r>
      <w:r>
        <w:rPr>
          <w:rFonts w:hint="eastAsia" w:asciiTheme="minorEastAsia" w:hAnsiTheme="minorEastAsia" w:eastAsiaTheme="minorEastAsia"/>
          <w:color w:val="auto"/>
          <w:sz w:val="22"/>
          <w:szCs w:val="24"/>
        </w:rPr>
        <w:t>。</w:t>
      </w:r>
    </w:p>
    <w:p w14:paraId="4FAA6A8E">
      <w:pPr>
        <w:pStyle w:val="4"/>
        <w:spacing w:before="0" w:after="0" w:line="360" w:lineRule="auto"/>
        <w:ind w:firstLine="157"/>
        <w:rPr>
          <w:rFonts w:hint="eastAsia" w:asciiTheme="minorEastAsia" w:hAnsiTheme="minorEastAsia" w:eastAsiaTheme="minorEastAsia"/>
          <w:color w:val="auto"/>
          <w:sz w:val="32"/>
          <w:szCs w:val="21"/>
        </w:rPr>
      </w:pPr>
      <w:bookmarkStart w:id="173" w:name="_Toc9588"/>
      <w:bookmarkStart w:id="174" w:name="_Toc492300586"/>
      <w:r>
        <w:rPr>
          <w:rFonts w:asciiTheme="minorEastAsia" w:hAnsiTheme="minorEastAsia" w:eastAsiaTheme="minorEastAsia"/>
          <w:color w:val="auto"/>
          <w:sz w:val="32"/>
          <w:szCs w:val="21"/>
        </w:rPr>
        <w:t>3.4 竞标保证金</w:t>
      </w:r>
      <w:bookmarkEnd w:id="173"/>
      <w:bookmarkEnd w:id="174"/>
    </w:p>
    <w:p w14:paraId="57C6B5C8">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3.4.1 竞标人在递交竞标文件的同时，应按竞标人须知前附表的规定递交竞标保证金，并作为其竞标文件的组成部分。</w:t>
      </w:r>
    </w:p>
    <w:p w14:paraId="7D389E95">
      <w:pPr>
        <w:spacing w:line="360" w:lineRule="auto"/>
        <w:ind w:firstLine="440" w:firstLineChars="200"/>
        <w:jc w:val="left"/>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3.4.2 竞标人不按本章第3.4.1项</w:t>
      </w:r>
      <w:bookmarkStart w:id="175" w:name="_Toc352691490"/>
      <w:bookmarkStart w:id="176" w:name="_Toc29025"/>
      <w:bookmarkStart w:id="177" w:name="_Toc369531533"/>
      <w:bookmarkStart w:id="178" w:name="_Toc384308227"/>
      <w:bookmarkStart w:id="179" w:name="_Toc361508602"/>
      <w:r>
        <w:rPr>
          <w:rFonts w:asciiTheme="minorEastAsia" w:hAnsiTheme="minorEastAsia" w:eastAsiaTheme="minorEastAsia"/>
          <w:color w:val="auto"/>
          <w:sz w:val="22"/>
          <w:szCs w:val="24"/>
        </w:rPr>
        <w:t>要求提交竞标保证金的，</w:t>
      </w:r>
      <w:bookmarkEnd w:id="175"/>
      <w:bookmarkEnd w:id="176"/>
      <w:bookmarkEnd w:id="177"/>
      <w:bookmarkEnd w:id="178"/>
      <w:bookmarkEnd w:id="179"/>
      <w:r>
        <w:rPr>
          <w:rFonts w:asciiTheme="minorEastAsia" w:hAnsiTheme="minorEastAsia" w:eastAsiaTheme="minorEastAsia"/>
          <w:color w:val="auto"/>
          <w:sz w:val="22"/>
          <w:szCs w:val="24"/>
        </w:rPr>
        <w:t>评标委员会将否决其</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w:t>
      </w:r>
    </w:p>
    <w:p w14:paraId="0028ADAC">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3.4.3</w:t>
      </w:r>
      <w:r>
        <w:rPr>
          <w:rFonts w:hint="eastAsia" w:asciiTheme="minorEastAsia" w:hAnsiTheme="minorEastAsia" w:eastAsiaTheme="minorEastAsia"/>
          <w:color w:val="auto"/>
          <w:sz w:val="22"/>
          <w:szCs w:val="24"/>
        </w:rPr>
        <w:t>竞标保证金退还：见竞标人须知前附表第3.4.1项</w:t>
      </w:r>
      <w:r>
        <w:rPr>
          <w:rFonts w:asciiTheme="minorEastAsia" w:hAnsiTheme="minorEastAsia" w:eastAsiaTheme="minorEastAsia"/>
          <w:color w:val="auto"/>
          <w:sz w:val="22"/>
          <w:szCs w:val="24"/>
        </w:rPr>
        <w:t>。</w:t>
      </w:r>
    </w:p>
    <w:p w14:paraId="339B568F">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3.4.4 有下列情形之一的，竞标保证金将不予退还：</w:t>
      </w:r>
    </w:p>
    <w:p w14:paraId="695472D5">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（1）竞标人在竞标有效期内撤销或修改竞标文件；</w:t>
      </w:r>
    </w:p>
    <w:p w14:paraId="67C63729">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（2）</w:t>
      </w:r>
      <w:r>
        <w:rPr>
          <w:rFonts w:hint="eastAsia" w:ascii="宋体" w:hAnsi="宋体"/>
          <w:color w:val="auto"/>
          <w:kern w:val="0"/>
          <w:sz w:val="22"/>
        </w:rPr>
        <w:t>中标人在收到中标通知书后，无正当理由不与比选人订立合同，在签订合同时向比选人提出附加条件</w:t>
      </w:r>
      <w:r>
        <w:rPr>
          <w:rFonts w:asciiTheme="minorEastAsia" w:hAnsiTheme="minorEastAsia" w:eastAsiaTheme="minorEastAsia"/>
          <w:color w:val="auto"/>
          <w:sz w:val="22"/>
          <w:szCs w:val="24"/>
        </w:rPr>
        <w:t>；</w:t>
      </w:r>
    </w:p>
    <w:p w14:paraId="3A3EFB4F">
      <w:pPr>
        <w:autoSpaceDE w:val="0"/>
        <w:autoSpaceDN w:val="0"/>
        <w:adjustRightInd w:val="0"/>
        <w:snapToGrid w:val="0"/>
        <w:spacing w:line="360" w:lineRule="auto"/>
        <w:ind w:firstLine="440" w:firstLineChars="200"/>
        <w:rPr>
          <w:rFonts w:hint="eastAsia" w:ascii="宋体" w:hAnsi="宋体"/>
          <w:snapToGrid w:val="0"/>
          <w:color w:val="auto"/>
          <w:kern w:val="0"/>
          <w:sz w:val="22"/>
        </w:rPr>
      </w:pPr>
      <w:r>
        <w:rPr>
          <w:rFonts w:ascii="宋体" w:hAnsi="宋体"/>
          <w:snapToGrid w:val="0"/>
          <w:color w:val="auto"/>
          <w:kern w:val="0"/>
          <w:sz w:val="22"/>
        </w:rPr>
        <w:t>（</w:t>
      </w:r>
      <w:r>
        <w:rPr>
          <w:rFonts w:hint="eastAsia" w:ascii="宋体" w:hAnsi="宋体"/>
          <w:snapToGrid w:val="0"/>
          <w:color w:val="auto"/>
          <w:kern w:val="0"/>
          <w:sz w:val="22"/>
        </w:rPr>
        <w:t>3</w:t>
      </w:r>
      <w:r>
        <w:rPr>
          <w:rFonts w:ascii="宋体" w:hAnsi="宋体"/>
          <w:snapToGrid w:val="0"/>
          <w:color w:val="auto"/>
          <w:kern w:val="0"/>
          <w:sz w:val="22"/>
        </w:rPr>
        <w:t>）违反本章第</w:t>
      </w:r>
      <w:r>
        <w:rPr>
          <w:rFonts w:hint="eastAsia" w:ascii="宋体" w:hAnsi="宋体"/>
          <w:snapToGrid w:val="0"/>
          <w:color w:val="auto"/>
          <w:kern w:val="0"/>
          <w:sz w:val="22"/>
        </w:rPr>
        <w:t>8</w:t>
      </w:r>
      <w:r>
        <w:rPr>
          <w:rFonts w:ascii="宋体" w:hAnsi="宋体"/>
          <w:snapToGrid w:val="0"/>
          <w:color w:val="auto"/>
          <w:kern w:val="0"/>
          <w:sz w:val="22"/>
        </w:rPr>
        <w:t>.2</w:t>
      </w:r>
      <w:r>
        <w:rPr>
          <w:rFonts w:hint="eastAsia" w:ascii="宋体" w:hAnsi="宋体"/>
          <w:snapToGrid w:val="0"/>
          <w:color w:val="auto"/>
          <w:kern w:val="0"/>
          <w:sz w:val="22"/>
        </w:rPr>
        <w:t>款</w:t>
      </w:r>
      <w:r>
        <w:rPr>
          <w:rFonts w:ascii="宋体" w:hAnsi="宋体"/>
          <w:snapToGrid w:val="0"/>
          <w:color w:val="auto"/>
          <w:kern w:val="0"/>
          <w:sz w:val="22"/>
        </w:rPr>
        <w:t>对竞标人的纪律要求的；</w:t>
      </w:r>
    </w:p>
    <w:p w14:paraId="1D3BD041">
      <w:pPr>
        <w:autoSpaceDE w:val="0"/>
        <w:autoSpaceDN w:val="0"/>
        <w:adjustRightInd w:val="0"/>
        <w:snapToGrid w:val="0"/>
        <w:spacing w:line="360" w:lineRule="auto"/>
        <w:ind w:firstLine="440" w:firstLineChars="200"/>
        <w:rPr>
          <w:rFonts w:hint="eastAsia" w:ascii="宋体" w:hAnsi="宋体"/>
          <w:snapToGrid w:val="0"/>
          <w:color w:val="auto"/>
          <w:kern w:val="0"/>
          <w:sz w:val="22"/>
        </w:rPr>
      </w:pPr>
      <w:r>
        <w:rPr>
          <w:rFonts w:asciiTheme="minorEastAsia" w:hAnsiTheme="minorEastAsia" w:eastAsiaTheme="minorEastAsia"/>
          <w:color w:val="auto"/>
          <w:sz w:val="22"/>
          <w:szCs w:val="24"/>
        </w:rPr>
        <w:t>（</w:t>
      </w:r>
      <w:r>
        <w:rPr>
          <w:rFonts w:hint="eastAsia" w:asciiTheme="minorEastAsia" w:hAnsiTheme="minorEastAsia" w:eastAsiaTheme="minorEastAsia"/>
          <w:color w:val="auto"/>
          <w:sz w:val="22"/>
          <w:szCs w:val="24"/>
        </w:rPr>
        <w:t>4</w:t>
      </w:r>
      <w:r>
        <w:rPr>
          <w:rFonts w:asciiTheme="minorEastAsia" w:hAnsiTheme="minorEastAsia" w:eastAsiaTheme="minorEastAsia"/>
          <w:color w:val="auto"/>
          <w:sz w:val="22"/>
          <w:szCs w:val="24"/>
        </w:rPr>
        <w:t>）</w:t>
      </w:r>
      <w:r>
        <w:rPr>
          <w:rFonts w:ascii="宋体" w:hAnsi="宋体"/>
          <w:snapToGrid w:val="0"/>
          <w:color w:val="auto"/>
          <w:kern w:val="0"/>
          <w:sz w:val="22"/>
        </w:rPr>
        <w:t>法律法规规定的其他情形</w:t>
      </w:r>
      <w:r>
        <w:rPr>
          <w:rFonts w:hint="eastAsia" w:ascii="宋体" w:hAnsi="宋体"/>
          <w:snapToGrid w:val="0"/>
          <w:color w:val="auto"/>
          <w:kern w:val="0"/>
          <w:sz w:val="22"/>
        </w:rPr>
        <w:t>。</w:t>
      </w:r>
    </w:p>
    <w:p w14:paraId="1AB11D31">
      <w:pPr>
        <w:pStyle w:val="4"/>
        <w:spacing w:before="0" w:after="0" w:line="360" w:lineRule="auto"/>
        <w:ind w:firstLine="157"/>
        <w:rPr>
          <w:rFonts w:hint="eastAsia" w:asciiTheme="minorEastAsia" w:hAnsiTheme="minorEastAsia" w:eastAsiaTheme="minorEastAsia"/>
          <w:color w:val="auto"/>
          <w:sz w:val="32"/>
          <w:szCs w:val="21"/>
        </w:rPr>
      </w:pPr>
      <w:bookmarkStart w:id="180" w:name="_Toc19264"/>
      <w:bookmarkStart w:id="181" w:name="_Toc492300588"/>
      <w:r>
        <w:rPr>
          <w:rFonts w:asciiTheme="minorEastAsia" w:hAnsiTheme="minorEastAsia" w:eastAsiaTheme="minorEastAsia"/>
          <w:color w:val="auto"/>
          <w:sz w:val="32"/>
          <w:szCs w:val="21"/>
        </w:rPr>
        <w:t>3.5 资格审查资料</w:t>
      </w:r>
      <w:bookmarkEnd w:id="180"/>
      <w:bookmarkEnd w:id="181"/>
    </w:p>
    <w:p w14:paraId="17B99088">
      <w:pPr>
        <w:autoSpaceDE w:val="0"/>
        <w:autoSpaceDN w:val="0"/>
        <w:adjustRightInd w:val="0"/>
        <w:snapToGrid w:val="0"/>
        <w:spacing w:line="360" w:lineRule="auto"/>
        <w:ind w:left="103" w:leftChars="49" w:right="37" w:firstLine="440" w:firstLineChars="200"/>
        <w:rPr>
          <w:rFonts w:hint="eastAsia" w:ascii="宋体" w:hAnsi="宋体"/>
          <w:color w:val="auto"/>
          <w:sz w:val="22"/>
        </w:rPr>
      </w:pPr>
      <w:r>
        <w:rPr>
          <w:rFonts w:ascii="宋体" w:hAnsi="宋体"/>
          <w:color w:val="auto"/>
          <w:sz w:val="22"/>
        </w:rPr>
        <w:t>竞标人</w:t>
      </w:r>
      <w:r>
        <w:rPr>
          <w:rFonts w:hint="eastAsia" w:ascii="宋体" w:hAnsi="宋体"/>
          <w:color w:val="auto"/>
          <w:sz w:val="22"/>
        </w:rPr>
        <w:t>应附</w:t>
      </w:r>
      <w:r>
        <w:rPr>
          <w:rFonts w:hint="eastAsia" w:ascii="宋体" w:hAnsi="宋体"/>
          <w:color w:val="auto"/>
          <w:kern w:val="0"/>
          <w:sz w:val="22"/>
        </w:rPr>
        <w:t>竞标人须知前附表第1</w:t>
      </w:r>
      <w:r>
        <w:rPr>
          <w:rFonts w:ascii="宋体" w:hAnsi="宋体"/>
          <w:color w:val="auto"/>
          <w:kern w:val="0"/>
          <w:sz w:val="22"/>
        </w:rPr>
        <w:t>.4.1项</w:t>
      </w:r>
      <w:r>
        <w:rPr>
          <w:rFonts w:hint="eastAsia" w:ascii="宋体" w:hAnsi="宋体"/>
          <w:color w:val="auto"/>
          <w:kern w:val="0"/>
          <w:sz w:val="22"/>
        </w:rPr>
        <w:t>中要求的相关证明材料</w:t>
      </w:r>
      <w:r>
        <w:rPr>
          <w:rFonts w:ascii="宋体" w:hAnsi="宋体"/>
          <w:color w:val="auto"/>
          <w:sz w:val="22"/>
        </w:rPr>
        <w:t>。</w:t>
      </w:r>
    </w:p>
    <w:p w14:paraId="44EA7FEE">
      <w:pPr>
        <w:pStyle w:val="4"/>
        <w:spacing w:before="0" w:after="0" w:line="360" w:lineRule="auto"/>
        <w:ind w:firstLine="157"/>
        <w:rPr>
          <w:rFonts w:hint="eastAsia" w:asciiTheme="minorEastAsia" w:hAnsiTheme="minorEastAsia" w:eastAsiaTheme="minorEastAsia"/>
          <w:color w:val="auto"/>
          <w:sz w:val="32"/>
          <w:szCs w:val="21"/>
        </w:rPr>
      </w:pPr>
      <w:bookmarkStart w:id="182" w:name="_Toc8514"/>
      <w:bookmarkStart w:id="183" w:name="_Toc492300589"/>
      <w:r>
        <w:rPr>
          <w:rFonts w:asciiTheme="minorEastAsia" w:hAnsiTheme="minorEastAsia" w:eastAsiaTheme="minorEastAsia"/>
          <w:color w:val="auto"/>
          <w:sz w:val="32"/>
          <w:szCs w:val="21"/>
        </w:rPr>
        <w:t>3.6 备选</w:t>
      </w:r>
      <w:r>
        <w:rPr>
          <w:rFonts w:hint="eastAsia" w:asciiTheme="minorEastAsia" w:hAnsiTheme="minorEastAsia" w:eastAsiaTheme="minorEastAsia"/>
          <w:color w:val="auto"/>
          <w:sz w:val="32"/>
          <w:szCs w:val="21"/>
        </w:rPr>
        <w:t>竞标</w:t>
      </w:r>
      <w:r>
        <w:rPr>
          <w:rFonts w:asciiTheme="minorEastAsia" w:hAnsiTheme="minorEastAsia" w:eastAsiaTheme="minorEastAsia"/>
          <w:color w:val="auto"/>
          <w:sz w:val="32"/>
          <w:szCs w:val="21"/>
        </w:rPr>
        <w:t>方案</w:t>
      </w:r>
      <w:bookmarkEnd w:id="182"/>
      <w:bookmarkEnd w:id="183"/>
    </w:p>
    <w:p w14:paraId="733AB515">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3.6.1 除竞标人须知前附表规定允许外，竞标人不得递交备选</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方案，否则其</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将被否决。</w:t>
      </w:r>
    </w:p>
    <w:p w14:paraId="2E41EEDA">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3.6.2 允许竞标人递交备选</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方案的，只有中标人所递交的备选</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方案方可予以考虑。评标委员会认为中标人的备选</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方案优于其按照比选文件要求编制的</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方案的，</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可以接受该备选</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方案。</w:t>
      </w:r>
    </w:p>
    <w:p w14:paraId="3274DD5D">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3.6.3 竞标人提供两个或两个以上</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报价，或者在竞标文件中提供一个报价，但同时提供两个或两个以上</w:t>
      </w:r>
      <w:bookmarkStart w:id="184" w:name="_Toc144974518"/>
      <w:bookmarkStart w:id="185" w:name="_Toc152045550"/>
      <w:bookmarkStart w:id="186" w:name="_Toc29902"/>
      <w:bookmarkStart w:id="187" w:name="_Toc369531538"/>
      <w:bookmarkStart w:id="188" w:name="_Toc247527575"/>
      <w:bookmarkStart w:id="189" w:name="_Toc247513974"/>
      <w:bookmarkStart w:id="190" w:name="_Toc361508607"/>
      <w:bookmarkStart w:id="191" w:name="_Toc384308232"/>
      <w:bookmarkStart w:id="192" w:name="_Toc352691495"/>
      <w:bookmarkStart w:id="193" w:name="_Toc152042326"/>
      <w:bookmarkStart w:id="194" w:name="_Toc300834971"/>
      <w:r>
        <w:rPr>
          <w:rFonts w:asciiTheme="minorEastAsia" w:hAnsiTheme="minorEastAsia" w:eastAsiaTheme="minorEastAsia"/>
          <w:color w:val="auto"/>
          <w:sz w:val="22"/>
          <w:szCs w:val="24"/>
        </w:rPr>
        <w:t>方案的</w:t>
      </w:r>
      <w:bookmarkEnd w:id="184"/>
      <w:bookmarkEnd w:id="185"/>
      <w:bookmarkEnd w:id="186"/>
      <w:bookmarkEnd w:id="187"/>
      <w:bookmarkEnd w:id="188"/>
      <w:bookmarkEnd w:id="189"/>
      <w:bookmarkEnd w:id="190"/>
      <w:bookmarkEnd w:id="191"/>
      <w:bookmarkEnd w:id="192"/>
      <w:bookmarkEnd w:id="193"/>
      <w:bookmarkEnd w:id="194"/>
      <w:r>
        <w:rPr>
          <w:rFonts w:asciiTheme="minorEastAsia" w:hAnsiTheme="minorEastAsia" w:eastAsiaTheme="minorEastAsia"/>
          <w:color w:val="auto"/>
          <w:sz w:val="22"/>
          <w:szCs w:val="24"/>
        </w:rPr>
        <w:t>，视为提供备选方案。</w:t>
      </w:r>
    </w:p>
    <w:p w14:paraId="485D0D27">
      <w:pPr>
        <w:pStyle w:val="4"/>
        <w:spacing w:before="0" w:after="0" w:line="360" w:lineRule="auto"/>
        <w:ind w:firstLine="157"/>
        <w:rPr>
          <w:rFonts w:hint="eastAsia" w:asciiTheme="minorEastAsia" w:hAnsiTheme="minorEastAsia" w:eastAsiaTheme="minorEastAsia"/>
          <w:color w:val="auto"/>
          <w:sz w:val="32"/>
          <w:szCs w:val="21"/>
        </w:rPr>
      </w:pPr>
      <w:bookmarkStart w:id="195" w:name="_Toc6135"/>
      <w:bookmarkStart w:id="196" w:name="_Toc492300590"/>
      <w:r>
        <w:rPr>
          <w:rFonts w:asciiTheme="minorEastAsia" w:hAnsiTheme="minorEastAsia" w:eastAsiaTheme="minorEastAsia"/>
          <w:color w:val="auto"/>
          <w:sz w:val="32"/>
          <w:szCs w:val="21"/>
        </w:rPr>
        <w:t>3.7 竞标文件的编制</w:t>
      </w:r>
      <w:bookmarkEnd w:id="195"/>
      <w:bookmarkEnd w:id="196"/>
    </w:p>
    <w:p w14:paraId="34CE7F3D">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3.7.1 竞标文件应按第五章“竞标文件格式”进行编写，如有必要，可以增加附页，作为竞标文件的组成部分。</w:t>
      </w:r>
    </w:p>
    <w:p w14:paraId="70F41A7A">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3.7.2 竞标文件应当对比选文件有关</w:t>
      </w:r>
      <w:r>
        <w:rPr>
          <w:rFonts w:hint="eastAsia" w:asciiTheme="minorEastAsia" w:hAnsiTheme="minorEastAsia" w:eastAsiaTheme="minorEastAsia"/>
          <w:color w:val="auto"/>
          <w:sz w:val="22"/>
          <w:szCs w:val="24"/>
        </w:rPr>
        <w:t>服务期限</w:t>
      </w:r>
      <w:r>
        <w:rPr>
          <w:rFonts w:asciiTheme="minorEastAsia" w:hAnsiTheme="minorEastAsia" w:eastAsiaTheme="minorEastAsia"/>
          <w:color w:val="auto"/>
          <w:sz w:val="22"/>
          <w:szCs w:val="24"/>
        </w:rPr>
        <w:t>、竞标有效期、委托人要求、</w:t>
      </w:r>
      <w:r>
        <w:rPr>
          <w:rFonts w:hint="eastAsia" w:asciiTheme="minorEastAsia" w:hAnsiTheme="minorEastAsia" w:eastAsiaTheme="minorEastAsia"/>
          <w:color w:val="auto"/>
          <w:sz w:val="22"/>
          <w:szCs w:val="24"/>
        </w:rPr>
        <w:t>比选</w:t>
      </w:r>
      <w:r>
        <w:rPr>
          <w:rFonts w:asciiTheme="minorEastAsia" w:hAnsiTheme="minorEastAsia" w:eastAsiaTheme="minorEastAsia"/>
          <w:color w:val="auto"/>
          <w:sz w:val="22"/>
          <w:szCs w:val="24"/>
        </w:rPr>
        <w:t>范围等实质性内容作出响应。</w:t>
      </w:r>
    </w:p>
    <w:p w14:paraId="5FA8B9EC">
      <w:pPr>
        <w:autoSpaceDE w:val="0"/>
        <w:autoSpaceDN w:val="0"/>
        <w:adjustRightInd w:val="0"/>
        <w:snapToGrid w:val="0"/>
        <w:spacing w:line="360" w:lineRule="auto"/>
        <w:ind w:firstLine="440" w:firstLineChars="200"/>
        <w:rPr>
          <w:rFonts w:hint="eastAsia" w:ascii="宋体" w:hAnsi="宋体"/>
          <w:snapToGrid w:val="0"/>
          <w:color w:val="auto"/>
          <w:kern w:val="0"/>
          <w:sz w:val="22"/>
        </w:rPr>
      </w:pPr>
      <w:r>
        <w:rPr>
          <w:rFonts w:ascii="宋体" w:hAnsi="宋体"/>
          <w:snapToGrid w:val="0"/>
          <w:color w:val="auto"/>
          <w:kern w:val="0"/>
          <w:position w:val="-2"/>
          <w:sz w:val="22"/>
        </w:rPr>
        <w:t xml:space="preserve">3.7.3 </w:t>
      </w:r>
      <w:r>
        <w:rPr>
          <w:rFonts w:hint="eastAsia" w:ascii="宋体" w:hAnsi="宋体"/>
          <w:snapToGrid w:val="0"/>
          <w:color w:val="auto"/>
          <w:kern w:val="0"/>
          <w:position w:val="-2"/>
          <w:sz w:val="22"/>
        </w:rPr>
        <w:t>竞标文件的签名盖章要求：按本章竞标人须知前附表第3.7.3项执行。</w:t>
      </w:r>
    </w:p>
    <w:p w14:paraId="66F17976">
      <w:pPr>
        <w:autoSpaceDE w:val="0"/>
        <w:autoSpaceDN w:val="0"/>
        <w:adjustRightInd w:val="0"/>
        <w:snapToGrid w:val="0"/>
        <w:spacing w:line="360" w:lineRule="auto"/>
        <w:ind w:right="-164" w:firstLine="440" w:firstLineChars="200"/>
        <w:rPr>
          <w:rFonts w:hint="eastAsia" w:ascii="宋体" w:hAnsi="宋体"/>
          <w:snapToGrid w:val="0"/>
          <w:color w:val="auto"/>
          <w:kern w:val="0"/>
          <w:sz w:val="22"/>
        </w:rPr>
      </w:pPr>
      <w:r>
        <w:rPr>
          <w:rFonts w:ascii="宋体" w:hAnsi="宋体"/>
          <w:snapToGrid w:val="0"/>
          <w:color w:val="auto"/>
          <w:kern w:val="0"/>
          <w:sz w:val="22"/>
        </w:rPr>
        <w:t xml:space="preserve">3.7.4 </w:t>
      </w:r>
      <w:r>
        <w:rPr>
          <w:rFonts w:hint="eastAsia" w:ascii="宋体" w:hAnsi="宋体"/>
          <w:snapToGrid w:val="0"/>
          <w:color w:val="auto"/>
          <w:kern w:val="0"/>
          <w:sz w:val="22"/>
        </w:rPr>
        <w:t>竞标文件份数：</w:t>
      </w:r>
      <w:r>
        <w:rPr>
          <w:rFonts w:ascii="宋体" w:hAnsi="宋体"/>
          <w:snapToGrid w:val="0"/>
          <w:color w:val="auto"/>
          <w:kern w:val="0"/>
          <w:sz w:val="22"/>
        </w:rPr>
        <w:t>见竞标人须知前附表规定。</w:t>
      </w:r>
    </w:p>
    <w:p w14:paraId="58CD7ED4">
      <w:pPr>
        <w:pStyle w:val="3"/>
        <w:spacing w:before="0" w:after="0" w:line="360" w:lineRule="auto"/>
        <w:ind w:firstLine="723"/>
        <w:rPr>
          <w:rFonts w:hint="eastAsia" w:asciiTheme="minorEastAsia" w:hAnsiTheme="minorEastAsia" w:eastAsiaTheme="minorEastAsia"/>
          <w:color w:val="auto"/>
          <w:sz w:val="36"/>
          <w:szCs w:val="21"/>
        </w:rPr>
      </w:pPr>
      <w:bookmarkStart w:id="197" w:name="_Toc492300591"/>
      <w:bookmarkStart w:id="198" w:name="_Toc7383"/>
      <w:r>
        <w:rPr>
          <w:rFonts w:asciiTheme="minorEastAsia" w:hAnsiTheme="minorEastAsia" w:eastAsiaTheme="minorEastAsia"/>
          <w:color w:val="auto"/>
          <w:sz w:val="36"/>
          <w:szCs w:val="21"/>
        </w:rPr>
        <w:t xml:space="preserve">4. </w:t>
      </w:r>
      <w:bookmarkEnd w:id="197"/>
      <w:r>
        <w:rPr>
          <w:rFonts w:hint="eastAsia" w:asciiTheme="minorEastAsia" w:hAnsiTheme="minorEastAsia" w:eastAsiaTheme="minorEastAsia"/>
          <w:color w:val="auto"/>
          <w:sz w:val="36"/>
          <w:szCs w:val="21"/>
        </w:rPr>
        <w:t>竞标</w:t>
      </w:r>
      <w:bookmarkEnd w:id="198"/>
    </w:p>
    <w:p w14:paraId="5E87787C">
      <w:pPr>
        <w:pStyle w:val="4"/>
        <w:spacing w:before="0" w:after="0" w:line="360" w:lineRule="auto"/>
        <w:ind w:firstLine="157"/>
        <w:rPr>
          <w:rFonts w:hint="eastAsia" w:asciiTheme="minorEastAsia" w:hAnsiTheme="minorEastAsia" w:eastAsiaTheme="minorEastAsia"/>
          <w:color w:val="auto"/>
          <w:sz w:val="32"/>
          <w:szCs w:val="21"/>
        </w:rPr>
      </w:pPr>
      <w:bookmarkStart w:id="199" w:name="_Toc492300592"/>
      <w:bookmarkStart w:id="200" w:name="_Toc6572"/>
      <w:r>
        <w:rPr>
          <w:rFonts w:asciiTheme="minorEastAsia" w:hAnsiTheme="minorEastAsia" w:eastAsiaTheme="minorEastAsia"/>
          <w:color w:val="auto"/>
          <w:sz w:val="32"/>
          <w:szCs w:val="21"/>
        </w:rPr>
        <w:t>4.1 竞标文件</w:t>
      </w:r>
      <w:r>
        <w:rPr>
          <w:rFonts w:hint="eastAsia" w:asciiTheme="minorEastAsia" w:hAnsiTheme="minorEastAsia" w:eastAsiaTheme="minorEastAsia"/>
          <w:color w:val="auto"/>
          <w:sz w:val="32"/>
          <w:szCs w:val="21"/>
        </w:rPr>
        <w:t>封面及</w:t>
      </w:r>
      <w:r>
        <w:rPr>
          <w:rFonts w:asciiTheme="minorEastAsia" w:hAnsiTheme="minorEastAsia" w:eastAsiaTheme="minorEastAsia"/>
          <w:color w:val="auto"/>
          <w:sz w:val="32"/>
          <w:szCs w:val="21"/>
        </w:rPr>
        <w:t>密封</w:t>
      </w:r>
      <w:r>
        <w:rPr>
          <w:rFonts w:hint="eastAsia" w:asciiTheme="minorEastAsia" w:hAnsiTheme="minorEastAsia" w:eastAsiaTheme="minorEastAsia"/>
          <w:color w:val="auto"/>
          <w:sz w:val="32"/>
          <w:szCs w:val="21"/>
        </w:rPr>
        <w:t>要求</w:t>
      </w:r>
      <w:bookmarkEnd w:id="199"/>
      <w:bookmarkEnd w:id="200"/>
    </w:p>
    <w:p w14:paraId="0E26155A">
      <w:pPr>
        <w:autoSpaceDE w:val="0"/>
        <w:autoSpaceDN w:val="0"/>
        <w:adjustRightInd w:val="0"/>
        <w:snapToGrid w:val="0"/>
        <w:spacing w:line="360" w:lineRule="auto"/>
        <w:ind w:firstLine="440" w:firstLineChars="200"/>
        <w:rPr>
          <w:rFonts w:hint="eastAsia" w:ascii="宋体" w:hAnsi="宋体"/>
          <w:snapToGrid w:val="0"/>
          <w:color w:val="auto"/>
          <w:kern w:val="0"/>
          <w:sz w:val="22"/>
        </w:rPr>
      </w:pPr>
      <w:r>
        <w:rPr>
          <w:rFonts w:ascii="宋体" w:hAnsi="宋体"/>
          <w:snapToGrid w:val="0"/>
          <w:color w:val="auto"/>
          <w:kern w:val="0"/>
          <w:sz w:val="22"/>
        </w:rPr>
        <w:t>4.1.1 竞标文件的</w:t>
      </w:r>
      <w:r>
        <w:rPr>
          <w:rFonts w:hint="eastAsia" w:ascii="宋体" w:hAnsi="宋体"/>
          <w:snapToGrid w:val="0"/>
          <w:color w:val="auto"/>
          <w:kern w:val="0"/>
          <w:sz w:val="22"/>
        </w:rPr>
        <w:t>封面：</w:t>
      </w:r>
      <w:r>
        <w:rPr>
          <w:rFonts w:ascii="宋体" w:hAnsi="宋体"/>
          <w:snapToGrid w:val="0"/>
          <w:color w:val="auto"/>
          <w:kern w:val="0"/>
          <w:sz w:val="22"/>
        </w:rPr>
        <w:t>见竞标人须知前附表。</w:t>
      </w:r>
    </w:p>
    <w:p w14:paraId="660DCB2D">
      <w:pPr>
        <w:autoSpaceDE w:val="0"/>
        <w:autoSpaceDN w:val="0"/>
        <w:adjustRightInd w:val="0"/>
        <w:snapToGrid w:val="0"/>
        <w:spacing w:line="360" w:lineRule="auto"/>
        <w:ind w:firstLine="440" w:firstLineChars="200"/>
        <w:rPr>
          <w:rFonts w:hint="eastAsia" w:ascii="宋体" w:hAnsi="宋体"/>
          <w:snapToGrid w:val="0"/>
          <w:color w:val="auto"/>
          <w:kern w:val="0"/>
          <w:sz w:val="22"/>
        </w:rPr>
      </w:pPr>
      <w:r>
        <w:rPr>
          <w:rFonts w:ascii="宋体" w:hAnsi="宋体"/>
          <w:snapToGrid w:val="0"/>
          <w:color w:val="auto"/>
          <w:kern w:val="0"/>
          <w:sz w:val="22"/>
        </w:rPr>
        <w:t>4.1.2 竞标文件的</w:t>
      </w:r>
      <w:r>
        <w:rPr>
          <w:rFonts w:hint="eastAsia" w:ascii="宋体" w:hAnsi="宋体"/>
          <w:snapToGrid w:val="0"/>
          <w:color w:val="auto"/>
          <w:kern w:val="0"/>
          <w:sz w:val="22"/>
        </w:rPr>
        <w:t>密封要求：</w:t>
      </w:r>
      <w:r>
        <w:rPr>
          <w:rFonts w:ascii="宋体" w:hAnsi="宋体"/>
          <w:snapToGrid w:val="0"/>
          <w:color w:val="auto"/>
          <w:kern w:val="0"/>
          <w:sz w:val="22"/>
        </w:rPr>
        <w:t>见竞标人须知前附表。</w:t>
      </w:r>
    </w:p>
    <w:p w14:paraId="3A386101">
      <w:pPr>
        <w:pStyle w:val="4"/>
        <w:spacing w:before="0" w:after="0" w:line="360" w:lineRule="auto"/>
        <w:ind w:firstLine="157"/>
        <w:rPr>
          <w:rFonts w:hint="eastAsia" w:asciiTheme="minorEastAsia" w:hAnsiTheme="minorEastAsia" w:eastAsiaTheme="minorEastAsia"/>
          <w:color w:val="auto"/>
          <w:sz w:val="32"/>
          <w:szCs w:val="21"/>
        </w:rPr>
      </w:pPr>
      <w:bookmarkStart w:id="201" w:name="_Toc28035"/>
      <w:bookmarkStart w:id="202" w:name="_Toc492300593"/>
      <w:r>
        <w:rPr>
          <w:rFonts w:asciiTheme="minorEastAsia" w:hAnsiTheme="minorEastAsia" w:eastAsiaTheme="minorEastAsia"/>
          <w:color w:val="auto"/>
          <w:sz w:val="32"/>
          <w:szCs w:val="21"/>
        </w:rPr>
        <w:t>4.2 竞标文件的递交</w:t>
      </w:r>
      <w:bookmarkEnd w:id="201"/>
      <w:bookmarkEnd w:id="202"/>
    </w:p>
    <w:p w14:paraId="1FEE2D2C">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4.2.1 竞标人应在竞标人须知前附表规定的</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截止时间前递交竞标文件。</w:t>
      </w:r>
    </w:p>
    <w:p w14:paraId="0F47A13E">
      <w:pPr>
        <w:autoSpaceDE w:val="0"/>
        <w:autoSpaceDN w:val="0"/>
        <w:adjustRightInd w:val="0"/>
        <w:snapToGrid w:val="0"/>
        <w:spacing w:line="360" w:lineRule="auto"/>
        <w:ind w:firstLine="440" w:firstLineChars="200"/>
        <w:rPr>
          <w:rFonts w:hint="eastAsia" w:ascii="宋体" w:hAnsi="宋体"/>
          <w:snapToGrid w:val="0"/>
          <w:color w:val="auto"/>
          <w:kern w:val="0"/>
          <w:sz w:val="22"/>
        </w:rPr>
      </w:pPr>
      <w:r>
        <w:rPr>
          <w:rFonts w:ascii="宋体" w:hAnsi="宋体"/>
          <w:snapToGrid w:val="0"/>
          <w:color w:val="auto"/>
          <w:kern w:val="0"/>
          <w:sz w:val="22"/>
        </w:rPr>
        <w:t>4.2.2 竞标人递交竞标文件的地点：见竞标人须知前附表。</w:t>
      </w:r>
    </w:p>
    <w:p w14:paraId="4A017A1A">
      <w:pPr>
        <w:autoSpaceDE w:val="0"/>
        <w:autoSpaceDN w:val="0"/>
        <w:adjustRightInd w:val="0"/>
        <w:snapToGrid w:val="0"/>
        <w:spacing w:line="360" w:lineRule="auto"/>
        <w:ind w:firstLine="440" w:firstLineChars="200"/>
        <w:rPr>
          <w:rFonts w:hint="eastAsia" w:ascii="宋体" w:hAnsi="宋体"/>
          <w:snapToGrid w:val="0"/>
          <w:color w:val="auto"/>
          <w:kern w:val="0"/>
          <w:sz w:val="22"/>
        </w:rPr>
      </w:pPr>
      <w:r>
        <w:rPr>
          <w:rFonts w:ascii="宋体" w:hAnsi="宋体"/>
          <w:snapToGrid w:val="0"/>
          <w:color w:val="auto"/>
          <w:kern w:val="0"/>
          <w:sz w:val="22"/>
        </w:rPr>
        <w:t>4.2.3 除竞标人须知前附表另有规定外，竞标人所递交的竞标文件不予退还。</w:t>
      </w:r>
    </w:p>
    <w:p w14:paraId="35B6023A">
      <w:pPr>
        <w:spacing w:line="360" w:lineRule="auto"/>
        <w:ind w:firstLine="440" w:firstLineChars="200"/>
        <w:rPr>
          <w:rFonts w:hint="eastAsia" w:asciiTheme="minorEastAsia" w:hAnsiTheme="minorEastAsia" w:eastAsiaTheme="minorEastAsia"/>
          <w:color w:val="auto"/>
          <w:sz w:val="22"/>
          <w:szCs w:val="24"/>
        </w:rPr>
      </w:pPr>
      <w:r>
        <w:rPr>
          <w:rFonts w:ascii="宋体" w:hAnsi="宋体"/>
          <w:snapToGrid w:val="0"/>
          <w:color w:val="auto"/>
          <w:kern w:val="0"/>
          <w:sz w:val="22"/>
        </w:rPr>
        <w:t>4.2.</w:t>
      </w:r>
      <w:r>
        <w:rPr>
          <w:rFonts w:hint="eastAsia" w:ascii="宋体" w:hAnsi="宋体"/>
          <w:snapToGrid w:val="0"/>
          <w:color w:val="auto"/>
          <w:kern w:val="0"/>
          <w:sz w:val="22"/>
        </w:rPr>
        <w:t>4</w:t>
      </w:r>
      <w:r>
        <w:rPr>
          <w:rFonts w:ascii="宋体" w:hAnsi="宋体"/>
          <w:snapToGrid w:val="0"/>
          <w:color w:val="auto"/>
          <w:kern w:val="0"/>
          <w:sz w:val="22"/>
        </w:rPr>
        <w:t xml:space="preserve"> 逾期送达的或者未送达指定地点的竞标文件，</w:t>
      </w:r>
      <w:r>
        <w:rPr>
          <w:rFonts w:hint="eastAsia" w:ascii="宋体" w:hAnsi="宋体"/>
          <w:snapToGrid w:val="0"/>
          <w:color w:val="auto"/>
          <w:kern w:val="0"/>
          <w:sz w:val="22"/>
        </w:rPr>
        <w:t>比选人</w:t>
      </w:r>
      <w:r>
        <w:rPr>
          <w:rFonts w:ascii="宋体" w:hAnsi="宋体"/>
          <w:snapToGrid w:val="0"/>
          <w:color w:val="auto"/>
          <w:kern w:val="0"/>
          <w:sz w:val="22"/>
        </w:rPr>
        <w:t>不予受理。</w:t>
      </w:r>
    </w:p>
    <w:p w14:paraId="22802930">
      <w:pPr>
        <w:pStyle w:val="4"/>
        <w:spacing w:before="0" w:after="0" w:line="360" w:lineRule="auto"/>
        <w:ind w:firstLine="157"/>
        <w:rPr>
          <w:rFonts w:hint="eastAsia" w:asciiTheme="minorEastAsia" w:hAnsiTheme="minorEastAsia" w:eastAsiaTheme="minorEastAsia"/>
          <w:color w:val="auto"/>
          <w:sz w:val="32"/>
          <w:szCs w:val="21"/>
        </w:rPr>
      </w:pPr>
      <w:bookmarkStart w:id="203" w:name="_Toc3308"/>
      <w:bookmarkStart w:id="204" w:name="_Toc492300594"/>
      <w:r>
        <w:rPr>
          <w:rFonts w:asciiTheme="minorEastAsia" w:hAnsiTheme="minorEastAsia" w:eastAsiaTheme="minorEastAsia"/>
          <w:color w:val="auto"/>
          <w:sz w:val="32"/>
          <w:szCs w:val="21"/>
        </w:rPr>
        <w:t>4.3 竞标文件的修改与撤回</w:t>
      </w:r>
      <w:bookmarkEnd w:id="203"/>
      <w:bookmarkEnd w:id="204"/>
    </w:p>
    <w:p w14:paraId="29B8E02B">
      <w:pPr>
        <w:autoSpaceDE w:val="0"/>
        <w:autoSpaceDN w:val="0"/>
        <w:adjustRightInd w:val="0"/>
        <w:snapToGrid w:val="0"/>
        <w:spacing w:line="360" w:lineRule="auto"/>
        <w:ind w:firstLine="440" w:firstLineChars="200"/>
        <w:rPr>
          <w:rFonts w:hint="eastAsia" w:ascii="宋体" w:hAnsi="宋体"/>
          <w:snapToGrid w:val="0"/>
          <w:color w:val="auto"/>
          <w:kern w:val="0"/>
          <w:sz w:val="22"/>
        </w:rPr>
      </w:pPr>
      <w:r>
        <w:rPr>
          <w:rFonts w:ascii="宋体" w:hAnsi="宋体"/>
          <w:snapToGrid w:val="0"/>
          <w:color w:val="auto"/>
          <w:kern w:val="0"/>
          <w:sz w:val="22"/>
        </w:rPr>
        <w:t>在竞标人须知前附表第</w:t>
      </w:r>
      <w:r>
        <w:rPr>
          <w:rFonts w:hint="eastAsia" w:ascii="宋体" w:hAnsi="宋体"/>
          <w:snapToGrid w:val="0"/>
          <w:color w:val="auto"/>
          <w:kern w:val="0"/>
          <w:sz w:val="22"/>
        </w:rPr>
        <w:t>4.2.1</w:t>
      </w:r>
      <w:r>
        <w:rPr>
          <w:rFonts w:ascii="宋体" w:hAnsi="宋体"/>
          <w:snapToGrid w:val="0"/>
          <w:color w:val="auto"/>
          <w:kern w:val="0"/>
          <w:sz w:val="22"/>
        </w:rPr>
        <w:t>项规定的</w:t>
      </w:r>
      <w:r>
        <w:rPr>
          <w:rFonts w:hint="eastAsia" w:ascii="宋体" w:hAnsi="宋体"/>
          <w:snapToGrid w:val="0"/>
          <w:color w:val="auto"/>
          <w:kern w:val="0"/>
          <w:sz w:val="22"/>
        </w:rPr>
        <w:t>竞标</w:t>
      </w:r>
      <w:r>
        <w:rPr>
          <w:rFonts w:ascii="宋体" w:hAnsi="宋体"/>
          <w:snapToGrid w:val="0"/>
          <w:color w:val="auto"/>
          <w:kern w:val="0"/>
          <w:sz w:val="22"/>
        </w:rPr>
        <w:t>截止时间前，竞标人可以修改或撤回已递交的竞标文件。</w:t>
      </w:r>
      <w:r>
        <w:rPr>
          <w:rFonts w:hint="eastAsia" w:ascii="宋体" w:hAnsi="宋体" w:cs="宋体"/>
          <w:color w:val="auto"/>
          <w:sz w:val="22"/>
        </w:rPr>
        <w:t>竞标人修改竞标文件的，应按照本章第3.7.3项的要求重新对竞标文件进行签名盖章，再按照本章第 4.2 款的要求提交。</w:t>
      </w:r>
    </w:p>
    <w:p w14:paraId="347CA145">
      <w:pPr>
        <w:pStyle w:val="3"/>
        <w:spacing w:before="0" w:after="0" w:line="360" w:lineRule="auto"/>
        <w:ind w:firstLine="723"/>
        <w:rPr>
          <w:rFonts w:hint="eastAsia" w:asciiTheme="minorEastAsia" w:hAnsiTheme="minorEastAsia" w:eastAsiaTheme="minorEastAsia"/>
          <w:color w:val="auto"/>
          <w:sz w:val="36"/>
          <w:szCs w:val="21"/>
        </w:rPr>
      </w:pPr>
      <w:bookmarkStart w:id="205" w:name="_Toc12310"/>
      <w:bookmarkStart w:id="206" w:name="_Toc492300595"/>
      <w:r>
        <w:rPr>
          <w:rFonts w:asciiTheme="minorEastAsia" w:hAnsiTheme="minorEastAsia" w:eastAsiaTheme="minorEastAsia"/>
          <w:color w:val="auto"/>
          <w:sz w:val="36"/>
          <w:szCs w:val="21"/>
        </w:rPr>
        <w:t>5. 开标</w:t>
      </w:r>
      <w:bookmarkEnd w:id="205"/>
      <w:bookmarkEnd w:id="206"/>
    </w:p>
    <w:p w14:paraId="2C43B121">
      <w:pPr>
        <w:pStyle w:val="4"/>
        <w:spacing w:before="0" w:after="0" w:line="360" w:lineRule="auto"/>
        <w:ind w:firstLine="157"/>
        <w:rPr>
          <w:rFonts w:hint="eastAsia" w:asciiTheme="minorEastAsia" w:hAnsiTheme="minorEastAsia" w:eastAsiaTheme="minorEastAsia"/>
          <w:color w:val="auto"/>
          <w:sz w:val="32"/>
          <w:szCs w:val="21"/>
        </w:rPr>
      </w:pPr>
      <w:bookmarkStart w:id="207" w:name="_Toc492300596"/>
      <w:bookmarkStart w:id="208" w:name="_Toc3036"/>
      <w:r>
        <w:rPr>
          <w:rFonts w:asciiTheme="minorEastAsia" w:hAnsiTheme="minorEastAsia" w:eastAsiaTheme="minorEastAsia"/>
          <w:color w:val="auto"/>
          <w:sz w:val="32"/>
          <w:szCs w:val="21"/>
        </w:rPr>
        <w:t>5.1 开标时间和地点</w:t>
      </w:r>
      <w:bookmarkEnd w:id="207"/>
      <w:bookmarkEnd w:id="208"/>
    </w:p>
    <w:p w14:paraId="3BEF0965">
      <w:pPr>
        <w:autoSpaceDE w:val="0"/>
        <w:autoSpaceDN w:val="0"/>
        <w:adjustRightInd w:val="0"/>
        <w:snapToGrid w:val="0"/>
        <w:spacing w:line="360" w:lineRule="auto"/>
        <w:ind w:firstLine="440" w:firstLineChars="200"/>
        <w:rPr>
          <w:rFonts w:hint="eastAsia" w:ascii="宋体" w:hAnsi="宋体"/>
          <w:snapToGrid w:val="0"/>
          <w:color w:val="auto"/>
          <w:kern w:val="0"/>
          <w:sz w:val="22"/>
        </w:rPr>
      </w:pPr>
      <w:r>
        <w:rPr>
          <w:rFonts w:hint="eastAsia" w:ascii="宋体" w:hAnsi="宋体"/>
          <w:snapToGrid w:val="0"/>
          <w:color w:val="auto"/>
          <w:kern w:val="0"/>
          <w:sz w:val="22"/>
        </w:rPr>
        <w:t>比选人</w:t>
      </w:r>
      <w:r>
        <w:rPr>
          <w:rFonts w:ascii="宋体" w:hAnsi="宋体"/>
          <w:snapToGrid w:val="0"/>
          <w:color w:val="auto"/>
          <w:kern w:val="0"/>
          <w:sz w:val="22"/>
        </w:rPr>
        <w:t>在竞标人须知前附表第</w:t>
      </w:r>
      <w:r>
        <w:rPr>
          <w:rFonts w:hint="eastAsia" w:ascii="宋体" w:hAnsi="宋体"/>
          <w:snapToGrid w:val="0"/>
          <w:color w:val="auto"/>
          <w:kern w:val="0"/>
          <w:sz w:val="22"/>
        </w:rPr>
        <w:t>4</w:t>
      </w:r>
      <w:r>
        <w:rPr>
          <w:rFonts w:ascii="宋体" w:hAnsi="宋体"/>
          <w:snapToGrid w:val="0"/>
          <w:color w:val="auto"/>
          <w:kern w:val="0"/>
          <w:sz w:val="22"/>
        </w:rPr>
        <w:t>.2.</w:t>
      </w:r>
      <w:r>
        <w:rPr>
          <w:rFonts w:hint="eastAsia" w:ascii="宋体" w:hAnsi="宋体"/>
          <w:snapToGrid w:val="0"/>
          <w:color w:val="auto"/>
          <w:kern w:val="0"/>
          <w:sz w:val="22"/>
        </w:rPr>
        <w:t>1</w:t>
      </w:r>
      <w:r>
        <w:rPr>
          <w:rFonts w:ascii="宋体" w:hAnsi="宋体"/>
          <w:snapToGrid w:val="0"/>
          <w:color w:val="auto"/>
          <w:kern w:val="0"/>
          <w:sz w:val="22"/>
        </w:rPr>
        <w:t>项规定的</w:t>
      </w:r>
      <w:r>
        <w:rPr>
          <w:rFonts w:hint="eastAsia" w:ascii="宋体" w:hAnsi="宋体"/>
          <w:snapToGrid w:val="0"/>
          <w:color w:val="auto"/>
          <w:kern w:val="0"/>
          <w:sz w:val="22"/>
        </w:rPr>
        <w:t>竞标</w:t>
      </w:r>
      <w:r>
        <w:rPr>
          <w:rFonts w:ascii="宋体" w:hAnsi="宋体"/>
          <w:snapToGrid w:val="0"/>
          <w:color w:val="auto"/>
          <w:kern w:val="0"/>
          <w:sz w:val="22"/>
        </w:rPr>
        <w:t>截止时间（开标时间）和竞标人须知前附表规定的地点公开开标，并邀请所有竞标人的法定代表人或其委托代理人准时参加。</w:t>
      </w:r>
    </w:p>
    <w:p w14:paraId="5C482954">
      <w:pPr>
        <w:pStyle w:val="4"/>
        <w:spacing w:before="0" w:after="0" w:line="360" w:lineRule="auto"/>
        <w:ind w:firstLine="157"/>
        <w:rPr>
          <w:rFonts w:hint="eastAsia" w:asciiTheme="minorEastAsia" w:hAnsiTheme="minorEastAsia" w:eastAsiaTheme="minorEastAsia"/>
          <w:color w:val="auto"/>
          <w:sz w:val="32"/>
          <w:szCs w:val="21"/>
        </w:rPr>
      </w:pPr>
      <w:bookmarkStart w:id="209" w:name="_Toc3178"/>
      <w:bookmarkStart w:id="210" w:name="_Toc492300598"/>
      <w:r>
        <w:rPr>
          <w:rFonts w:asciiTheme="minorEastAsia" w:hAnsiTheme="minorEastAsia" w:eastAsiaTheme="minorEastAsia"/>
          <w:color w:val="auto"/>
          <w:sz w:val="32"/>
          <w:szCs w:val="21"/>
        </w:rPr>
        <w:t>5.2 开标程序</w:t>
      </w:r>
      <w:bookmarkEnd w:id="209"/>
      <w:bookmarkEnd w:id="210"/>
    </w:p>
    <w:p w14:paraId="576659D9">
      <w:pPr>
        <w:spacing w:line="360" w:lineRule="auto"/>
        <w:ind w:firstLine="440" w:firstLineChars="200"/>
        <w:rPr>
          <w:rFonts w:hint="eastAsia" w:asciiTheme="minorEastAsia" w:hAnsiTheme="minorEastAsia" w:eastAsiaTheme="minorEastAsia"/>
          <w:color w:val="auto"/>
          <w:sz w:val="22"/>
          <w:szCs w:val="24"/>
        </w:rPr>
      </w:pPr>
      <w:r>
        <w:rPr>
          <w:rFonts w:ascii="宋体" w:hAnsi="宋体"/>
          <w:color w:val="auto"/>
          <w:sz w:val="22"/>
        </w:rPr>
        <w:t>详见竞标人须知前附表第5.2款开标程序。</w:t>
      </w:r>
    </w:p>
    <w:p w14:paraId="0C91CDF9">
      <w:pPr>
        <w:pStyle w:val="4"/>
        <w:spacing w:before="0" w:after="0" w:line="360" w:lineRule="auto"/>
        <w:ind w:firstLine="157"/>
        <w:rPr>
          <w:rFonts w:hint="eastAsia" w:asciiTheme="minorEastAsia" w:hAnsiTheme="minorEastAsia" w:eastAsiaTheme="minorEastAsia"/>
          <w:color w:val="auto"/>
          <w:sz w:val="32"/>
          <w:szCs w:val="21"/>
        </w:rPr>
      </w:pPr>
      <w:bookmarkStart w:id="211" w:name="_Toc25615"/>
      <w:bookmarkStart w:id="212" w:name="_Toc492300599"/>
      <w:r>
        <w:rPr>
          <w:rFonts w:asciiTheme="minorEastAsia" w:hAnsiTheme="minorEastAsia" w:eastAsiaTheme="minorEastAsia"/>
          <w:color w:val="auto"/>
          <w:sz w:val="32"/>
          <w:szCs w:val="21"/>
        </w:rPr>
        <w:t>5.3 开标异议</w:t>
      </w:r>
      <w:bookmarkEnd w:id="211"/>
      <w:bookmarkEnd w:id="212"/>
    </w:p>
    <w:p w14:paraId="509791C3">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竞标人对开标有异议的，应当在开标现场提出，</w:t>
      </w:r>
      <w:r>
        <w:rPr>
          <w:rFonts w:hint="eastAsia" w:ascii="宋体" w:hAnsi="宋体"/>
          <w:color w:val="auto"/>
          <w:sz w:val="22"/>
        </w:rPr>
        <w:t>开标现场提出异议的，应出示法定代表人身份证明或附有法定代表人身份证明的授权委托书。</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当场作出答复，并制作记录</w:t>
      </w:r>
      <w:r>
        <w:rPr>
          <w:rFonts w:hint="eastAsia" w:ascii="宋体" w:hAnsi="宋体"/>
          <w:color w:val="auto"/>
          <w:sz w:val="22"/>
        </w:rPr>
        <w:t>，有异议的竞标人代表、比选人代表、主持人、记录人等有关人员在记录上签名确认</w:t>
      </w:r>
      <w:r>
        <w:rPr>
          <w:rFonts w:asciiTheme="minorEastAsia" w:hAnsiTheme="minorEastAsia" w:eastAsiaTheme="minorEastAsia"/>
          <w:color w:val="auto"/>
          <w:sz w:val="22"/>
          <w:szCs w:val="24"/>
        </w:rPr>
        <w:t>。</w:t>
      </w:r>
    </w:p>
    <w:p w14:paraId="61BFCA8B">
      <w:pPr>
        <w:pStyle w:val="3"/>
        <w:spacing w:before="0" w:after="0" w:line="360" w:lineRule="auto"/>
        <w:ind w:firstLine="723"/>
        <w:rPr>
          <w:rFonts w:hint="eastAsia" w:asciiTheme="minorEastAsia" w:hAnsiTheme="minorEastAsia" w:eastAsiaTheme="minorEastAsia"/>
          <w:color w:val="auto"/>
          <w:sz w:val="36"/>
          <w:szCs w:val="21"/>
        </w:rPr>
      </w:pPr>
      <w:bookmarkStart w:id="213" w:name="_Toc492300600"/>
      <w:bookmarkStart w:id="214" w:name="_Toc21094"/>
      <w:r>
        <w:rPr>
          <w:rFonts w:asciiTheme="minorEastAsia" w:hAnsiTheme="minorEastAsia" w:eastAsiaTheme="minorEastAsia"/>
          <w:color w:val="auto"/>
          <w:sz w:val="36"/>
          <w:szCs w:val="21"/>
        </w:rPr>
        <w:t>6. 评标</w:t>
      </w:r>
      <w:bookmarkEnd w:id="213"/>
      <w:bookmarkEnd w:id="214"/>
    </w:p>
    <w:p w14:paraId="15CA1522">
      <w:pPr>
        <w:pStyle w:val="4"/>
        <w:spacing w:before="0" w:after="0" w:line="360" w:lineRule="auto"/>
        <w:ind w:firstLine="157"/>
        <w:rPr>
          <w:rFonts w:hint="eastAsia" w:asciiTheme="minorEastAsia" w:hAnsiTheme="minorEastAsia" w:eastAsiaTheme="minorEastAsia"/>
          <w:color w:val="auto"/>
          <w:sz w:val="32"/>
          <w:szCs w:val="21"/>
        </w:rPr>
      </w:pPr>
      <w:bookmarkStart w:id="215" w:name="_Toc25603"/>
      <w:bookmarkStart w:id="216" w:name="_Toc492300601"/>
      <w:r>
        <w:rPr>
          <w:rFonts w:asciiTheme="minorEastAsia" w:hAnsiTheme="minorEastAsia" w:eastAsiaTheme="minorEastAsia"/>
          <w:color w:val="auto"/>
          <w:sz w:val="32"/>
          <w:szCs w:val="21"/>
        </w:rPr>
        <w:t>6.1 评标委员会</w:t>
      </w:r>
      <w:bookmarkEnd w:id="215"/>
      <w:bookmarkEnd w:id="216"/>
    </w:p>
    <w:p w14:paraId="04997CA4">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6.1.1 评标由</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依法组建的评标委员会负责。评标委员会由</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或其委托的</w:t>
      </w:r>
      <w:r>
        <w:rPr>
          <w:rFonts w:hint="eastAsia" w:asciiTheme="minorEastAsia" w:hAnsiTheme="minorEastAsia" w:eastAsiaTheme="minorEastAsia"/>
          <w:color w:val="auto"/>
          <w:sz w:val="22"/>
          <w:szCs w:val="24"/>
        </w:rPr>
        <w:t>比选</w:t>
      </w:r>
      <w:r>
        <w:rPr>
          <w:rFonts w:asciiTheme="minorEastAsia" w:hAnsiTheme="minorEastAsia" w:eastAsiaTheme="minorEastAsia"/>
          <w:color w:val="auto"/>
          <w:sz w:val="22"/>
          <w:szCs w:val="24"/>
        </w:rPr>
        <w:t>代理机构熟悉相关业务的代表，以及有关技术、经济等方面的专家组成。评标委员会成员人数以及技术、经济等方面专家的确定方式见竞标人须知前附表。</w:t>
      </w:r>
    </w:p>
    <w:p w14:paraId="0F4F5767">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6.1.2 评标委员会成员有下列情形之一的，应当回避：</w:t>
      </w:r>
    </w:p>
    <w:p w14:paraId="71D8CA41">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（1）竞标人或竞标人主要负责人的近亲属；</w:t>
      </w:r>
    </w:p>
    <w:p w14:paraId="24D41687">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（2）项目主管部门或者行政监督部门的人员；</w:t>
      </w:r>
    </w:p>
    <w:p w14:paraId="7770F6B5">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（3）与竞标人有经济利益关系，可能影响对</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公正评审的；</w:t>
      </w:r>
    </w:p>
    <w:p w14:paraId="43B56A66">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（4）曾因在</w:t>
      </w:r>
      <w:r>
        <w:rPr>
          <w:rFonts w:hint="eastAsia" w:asciiTheme="minorEastAsia" w:hAnsiTheme="minorEastAsia" w:eastAsiaTheme="minorEastAsia"/>
          <w:color w:val="auto"/>
          <w:sz w:val="22"/>
          <w:szCs w:val="24"/>
        </w:rPr>
        <w:t>比选</w:t>
      </w:r>
      <w:r>
        <w:rPr>
          <w:rFonts w:asciiTheme="minorEastAsia" w:hAnsiTheme="minorEastAsia" w:eastAsiaTheme="minorEastAsia"/>
          <w:color w:val="auto"/>
          <w:sz w:val="22"/>
          <w:szCs w:val="24"/>
        </w:rPr>
        <w:t>、评</w:t>
      </w:r>
      <w:bookmarkStart w:id="217" w:name="_Toc152045555"/>
      <w:bookmarkStart w:id="218" w:name="_Toc384308237"/>
      <w:bookmarkStart w:id="219" w:name="_Toc300834976"/>
      <w:bookmarkStart w:id="220" w:name="_Toc369531543"/>
      <w:bookmarkStart w:id="221" w:name="_Toc247513979"/>
      <w:bookmarkStart w:id="222" w:name="_Toc361508612"/>
      <w:bookmarkStart w:id="223" w:name="_Toc6230"/>
      <w:bookmarkStart w:id="224" w:name="_Toc247527580"/>
      <w:bookmarkStart w:id="225" w:name="_Toc352691499"/>
      <w:bookmarkStart w:id="226" w:name="_Toc152042331"/>
      <w:bookmarkStart w:id="227" w:name="_Toc144974523"/>
      <w:r>
        <w:rPr>
          <w:rFonts w:asciiTheme="minorEastAsia" w:hAnsiTheme="minorEastAsia" w:eastAsiaTheme="minorEastAsia"/>
          <w:color w:val="auto"/>
          <w:sz w:val="22"/>
          <w:szCs w:val="24"/>
        </w:rPr>
        <w:t>标以及其他</w:t>
      </w:r>
      <w:bookmarkEnd w:id="217"/>
      <w:bookmarkEnd w:id="218"/>
      <w:bookmarkEnd w:id="219"/>
      <w:bookmarkEnd w:id="220"/>
      <w:bookmarkEnd w:id="221"/>
      <w:bookmarkEnd w:id="222"/>
      <w:bookmarkEnd w:id="223"/>
      <w:bookmarkEnd w:id="224"/>
      <w:bookmarkEnd w:id="225"/>
      <w:bookmarkEnd w:id="226"/>
      <w:bookmarkEnd w:id="227"/>
      <w:r>
        <w:rPr>
          <w:rFonts w:asciiTheme="minorEastAsia" w:hAnsiTheme="minorEastAsia" w:eastAsiaTheme="minorEastAsia"/>
          <w:color w:val="auto"/>
          <w:sz w:val="22"/>
          <w:szCs w:val="24"/>
        </w:rPr>
        <w:t>与</w:t>
      </w:r>
      <w:bookmarkStart w:id="228" w:name="_Toc352691500"/>
      <w:bookmarkStart w:id="229" w:name="_Toc300834977"/>
      <w:bookmarkStart w:id="230" w:name="_Toc152045556"/>
      <w:bookmarkStart w:id="231" w:name="_Toc361508613"/>
      <w:bookmarkStart w:id="232" w:name="_Toc384308238"/>
      <w:bookmarkStart w:id="233" w:name="_Toc369531544"/>
      <w:bookmarkStart w:id="234" w:name="_Toc17703"/>
      <w:bookmarkStart w:id="235" w:name="_Toc247513980"/>
      <w:bookmarkStart w:id="236" w:name="_Toc152042332"/>
      <w:bookmarkStart w:id="237" w:name="_Toc144974524"/>
      <w:bookmarkStart w:id="238" w:name="_Toc247527581"/>
      <w:r>
        <w:rPr>
          <w:rFonts w:hint="eastAsia" w:asciiTheme="minorEastAsia" w:hAnsiTheme="minorEastAsia" w:eastAsiaTheme="minorEastAsia"/>
          <w:color w:val="auto"/>
          <w:sz w:val="22"/>
          <w:szCs w:val="24"/>
        </w:rPr>
        <w:t>比选竞标</w:t>
      </w:r>
      <w:r>
        <w:rPr>
          <w:rFonts w:asciiTheme="minorEastAsia" w:hAnsiTheme="minorEastAsia" w:eastAsiaTheme="minorEastAsia"/>
          <w:color w:val="auto"/>
          <w:sz w:val="22"/>
          <w:szCs w:val="24"/>
        </w:rPr>
        <w:t>有关活动中从事违法行</w:t>
      </w:r>
      <w:bookmarkEnd w:id="228"/>
      <w:bookmarkEnd w:id="229"/>
      <w:bookmarkEnd w:id="230"/>
      <w:bookmarkEnd w:id="231"/>
      <w:bookmarkEnd w:id="232"/>
      <w:bookmarkEnd w:id="233"/>
      <w:bookmarkEnd w:id="234"/>
      <w:bookmarkEnd w:id="235"/>
      <w:bookmarkEnd w:id="236"/>
      <w:bookmarkEnd w:id="237"/>
      <w:bookmarkEnd w:id="238"/>
      <w:r>
        <w:rPr>
          <w:rFonts w:asciiTheme="minorEastAsia" w:hAnsiTheme="minorEastAsia" w:eastAsiaTheme="minorEastAsia"/>
          <w:color w:val="auto"/>
          <w:sz w:val="22"/>
          <w:szCs w:val="24"/>
        </w:rPr>
        <w:t>为而受过行政处罚或刑事处罚的</w:t>
      </w:r>
      <w:r>
        <w:rPr>
          <w:rFonts w:hint="eastAsia" w:asciiTheme="minorEastAsia" w:hAnsiTheme="minorEastAsia" w:eastAsiaTheme="minorEastAsia"/>
          <w:color w:val="auto"/>
          <w:sz w:val="22"/>
          <w:szCs w:val="24"/>
        </w:rPr>
        <w:t>；</w:t>
      </w:r>
    </w:p>
    <w:p w14:paraId="21BFB395">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（5）</w:t>
      </w:r>
      <w:r>
        <w:rPr>
          <w:rFonts w:hint="eastAsia" w:asciiTheme="minorEastAsia" w:hAnsiTheme="minorEastAsia" w:eastAsiaTheme="minorEastAsia"/>
          <w:color w:val="auto"/>
          <w:sz w:val="22"/>
          <w:szCs w:val="24"/>
        </w:rPr>
        <w:t>法律法规规定的其他情形</w:t>
      </w:r>
      <w:r>
        <w:rPr>
          <w:rFonts w:asciiTheme="minorEastAsia" w:hAnsiTheme="minorEastAsia" w:eastAsiaTheme="minorEastAsia"/>
          <w:color w:val="auto"/>
          <w:sz w:val="22"/>
          <w:szCs w:val="24"/>
        </w:rPr>
        <w:t>。</w:t>
      </w:r>
    </w:p>
    <w:p w14:paraId="52591D84">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6.1.3 评标过程中，评标委员会成员有回避事由、擅离职守或者因健康等原因不能继续评标的，</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有权更换。被更换的评标委员会成员作出的评审结论无效，由更换后的评标委员会成员重新进行评审。</w:t>
      </w:r>
    </w:p>
    <w:p w14:paraId="3FCE283F">
      <w:pPr>
        <w:pStyle w:val="4"/>
        <w:spacing w:before="0" w:after="0" w:line="360" w:lineRule="auto"/>
        <w:ind w:firstLine="157"/>
        <w:rPr>
          <w:rFonts w:hint="eastAsia" w:asciiTheme="minorEastAsia" w:hAnsiTheme="minorEastAsia" w:eastAsiaTheme="minorEastAsia"/>
          <w:color w:val="auto"/>
          <w:sz w:val="32"/>
          <w:szCs w:val="21"/>
        </w:rPr>
      </w:pPr>
      <w:bookmarkStart w:id="239" w:name="_Toc9201"/>
      <w:bookmarkStart w:id="240" w:name="_Toc492300602"/>
      <w:r>
        <w:rPr>
          <w:rFonts w:asciiTheme="minorEastAsia" w:hAnsiTheme="minorEastAsia" w:eastAsiaTheme="minorEastAsia"/>
          <w:color w:val="auto"/>
          <w:sz w:val="32"/>
          <w:szCs w:val="21"/>
        </w:rPr>
        <w:t>6.2 评标原则</w:t>
      </w:r>
      <w:bookmarkEnd w:id="239"/>
      <w:bookmarkEnd w:id="240"/>
    </w:p>
    <w:p w14:paraId="62EAC3D0">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评标活动遵循公平、公正、科学和择优的原</w:t>
      </w:r>
      <w:bookmarkStart w:id="241" w:name="_Toc152045557"/>
      <w:bookmarkStart w:id="242" w:name="_Toc247527582"/>
      <w:bookmarkStart w:id="243" w:name="_Toc152042333"/>
      <w:bookmarkStart w:id="244" w:name="_Toc369531545"/>
      <w:bookmarkStart w:id="245" w:name="_Toc300834978"/>
      <w:bookmarkStart w:id="246" w:name="_Toc361508614"/>
      <w:bookmarkStart w:id="247" w:name="_Toc18949"/>
      <w:bookmarkStart w:id="248" w:name="_Toc247513981"/>
      <w:bookmarkStart w:id="249" w:name="_Toc352691501"/>
      <w:bookmarkStart w:id="250" w:name="_Toc144974525"/>
      <w:bookmarkStart w:id="251" w:name="_Toc384308239"/>
      <w:r>
        <w:rPr>
          <w:rFonts w:asciiTheme="minorEastAsia" w:hAnsiTheme="minorEastAsia" w:eastAsiaTheme="minorEastAsia"/>
          <w:color w:val="auto"/>
          <w:sz w:val="22"/>
          <w:szCs w:val="24"/>
        </w:rPr>
        <w:t>则。</w:t>
      </w:r>
    </w:p>
    <w:p w14:paraId="6366F4FA">
      <w:pPr>
        <w:pStyle w:val="4"/>
        <w:spacing w:before="0" w:after="0" w:line="360" w:lineRule="auto"/>
        <w:ind w:firstLine="157"/>
        <w:rPr>
          <w:rFonts w:hint="eastAsia" w:asciiTheme="minorEastAsia" w:hAnsiTheme="minorEastAsia" w:eastAsiaTheme="minorEastAsia"/>
          <w:color w:val="auto"/>
          <w:sz w:val="32"/>
          <w:szCs w:val="21"/>
        </w:rPr>
      </w:pPr>
      <w:bookmarkStart w:id="252" w:name="_Toc492300603"/>
      <w:bookmarkStart w:id="253" w:name="_Toc9665"/>
      <w:r>
        <w:rPr>
          <w:rFonts w:asciiTheme="minorEastAsia" w:hAnsiTheme="minorEastAsia" w:eastAsiaTheme="minorEastAsia"/>
          <w:color w:val="auto"/>
          <w:sz w:val="32"/>
          <w:szCs w:val="21"/>
        </w:rPr>
        <w:t>6.3 评标</w:t>
      </w:r>
      <w:bookmarkEnd w:id="252"/>
      <w:bookmarkEnd w:id="253"/>
    </w:p>
    <w:p w14:paraId="7FD102AB">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6</w:t>
      </w:r>
      <w:bookmarkEnd w:id="241"/>
      <w:bookmarkEnd w:id="242"/>
      <w:bookmarkEnd w:id="243"/>
      <w:bookmarkEnd w:id="244"/>
      <w:bookmarkEnd w:id="245"/>
      <w:bookmarkEnd w:id="246"/>
      <w:bookmarkEnd w:id="247"/>
      <w:bookmarkEnd w:id="248"/>
      <w:bookmarkEnd w:id="249"/>
      <w:bookmarkEnd w:id="250"/>
      <w:bookmarkEnd w:id="251"/>
      <w:r>
        <w:rPr>
          <w:rFonts w:asciiTheme="minorEastAsia" w:hAnsiTheme="minorEastAsia" w:eastAsiaTheme="minorEastAsia"/>
          <w:color w:val="auto"/>
          <w:sz w:val="22"/>
          <w:szCs w:val="24"/>
        </w:rPr>
        <w:t>.3.1评标委员会按照第三章“评标办法”规定的方法、评审因素、标准和程序对竞标文件进行评审。第三章“评标办法”没有规定的方法、评审因素和标准，不作为评标依据。</w:t>
      </w:r>
    </w:p>
    <w:p w14:paraId="106050E3">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6.3.2评标完成后，评标委员会应当向</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提交书面评标报告和中标候选人名单。评标委员会推荐中标</w:t>
      </w:r>
      <w:bookmarkStart w:id="254" w:name="_Toc369531546"/>
      <w:bookmarkStart w:id="255" w:name="_Toc352691502"/>
      <w:bookmarkStart w:id="256" w:name="_Toc300834979"/>
      <w:bookmarkStart w:id="257" w:name="_Toc152042334"/>
      <w:bookmarkStart w:id="258" w:name="_Toc152045558"/>
      <w:bookmarkStart w:id="259" w:name="_Toc247513982"/>
      <w:bookmarkStart w:id="260" w:name="_Toc12259"/>
      <w:bookmarkStart w:id="261" w:name="_Toc361508615"/>
      <w:bookmarkStart w:id="262" w:name="_Toc247527583"/>
      <w:bookmarkStart w:id="263" w:name="_Toc384308240"/>
      <w:bookmarkStart w:id="264" w:name="_Toc144974526"/>
      <w:r>
        <w:rPr>
          <w:rFonts w:asciiTheme="minorEastAsia" w:hAnsiTheme="minorEastAsia" w:eastAsiaTheme="minorEastAsia"/>
          <w:color w:val="auto"/>
          <w:sz w:val="22"/>
          <w:szCs w:val="24"/>
        </w:rPr>
        <w:t>候选人的人数见竞标人须知前附</w:t>
      </w:r>
      <w:bookmarkEnd w:id="254"/>
      <w:bookmarkEnd w:id="255"/>
      <w:bookmarkEnd w:id="256"/>
      <w:bookmarkEnd w:id="257"/>
      <w:bookmarkEnd w:id="258"/>
      <w:bookmarkEnd w:id="259"/>
      <w:bookmarkEnd w:id="260"/>
      <w:bookmarkEnd w:id="261"/>
      <w:bookmarkEnd w:id="262"/>
      <w:bookmarkEnd w:id="263"/>
      <w:bookmarkEnd w:id="264"/>
      <w:r>
        <w:rPr>
          <w:rFonts w:asciiTheme="minorEastAsia" w:hAnsiTheme="minorEastAsia" w:eastAsiaTheme="minorEastAsia"/>
          <w:color w:val="auto"/>
          <w:sz w:val="22"/>
          <w:szCs w:val="24"/>
        </w:rPr>
        <w:t>表。</w:t>
      </w:r>
    </w:p>
    <w:p w14:paraId="5A0BC431">
      <w:pPr>
        <w:pStyle w:val="3"/>
        <w:spacing w:before="0" w:after="0" w:line="360" w:lineRule="auto"/>
        <w:ind w:firstLine="723"/>
        <w:rPr>
          <w:rFonts w:hint="eastAsia" w:asciiTheme="minorEastAsia" w:hAnsiTheme="minorEastAsia" w:eastAsiaTheme="minorEastAsia"/>
          <w:color w:val="auto"/>
          <w:sz w:val="36"/>
          <w:szCs w:val="21"/>
        </w:rPr>
      </w:pPr>
      <w:bookmarkStart w:id="265" w:name="_Toc492300604"/>
      <w:bookmarkStart w:id="266" w:name="_Toc15283"/>
      <w:r>
        <w:rPr>
          <w:rFonts w:asciiTheme="minorEastAsia" w:hAnsiTheme="minorEastAsia" w:eastAsiaTheme="minorEastAsia"/>
          <w:color w:val="auto"/>
          <w:sz w:val="36"/>
          <w:szCs w:val="21"/>
        </w:rPr>
        <w:t>7. 合同授予</w:t>
      </w:r>
      <w:bookmarkEnd w:id="265"/>
      <w:bookmarkEnd w:id="266"/>
    </w:p>
    <w:p w14:paraId="107280B1">
      <w:pPr>
        <w:pStyle w:val="4"/>
        <w:spacing w:before="0" w:after="0" w:line="360" w:lineRule="auto"/>
        <w:ind w:firstLine="157"/>
        <w:rPr>
          <w:rFonts w:hint="eastAsia" w:asciiTheme="minorEastAsia" w:hAnsiTheme="minorEastAsia" w:eastAsiaTheme="minorEastAsia"/>
          <w:color w:val="auto"/>
          <w:sz w:val="32"/>
          <w:szCs w:val="21"/>
        </w:rPr>
      </w:pPr>
      <w:bookmarkStart w:id="267" w:name="_Toc492300605"/>
      <w:bookmarkStart w:id="268" w:name="_Toc18219"/>
      <w:r>
        <w:rPr>
          <w:rFonts w:asciiTheme="minorEastAsia" w:hAnsiTheme="minorEastAsia" w:eastAsiaTheme="minorEastAsia"/>
          <w:color w:val="auto"/>
          <w:sz w:val="32"/>
          <w:szCs w:val="21"/>
        </w:rPr>
        <w:t>7.1 中标候选人公示</w:t>
      </w:r>
      <w:bookmarkEnd w:id="267"/>
      <w:bookmarkEnd w:id="268"/>
    </w:p>
    <w:p w14:paraId="13BFC791">
      <w:pPr>
        <w:spacing w:line="360" w:lineRule="auto"/>
        <w:ind w:firstLine="440" w:firstLineChars="200"/>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在收到评标报告之日起3日内，按照竞标人须知前附表规定的公示媒介和期限公示中标候选人，公示期不得少于</w:t>
      </w:r>
      <w:r>
        <w:rPr>
          <w:rFonts w:hint="eastAsia" w:asciiTheme="minorEastAsia" w:hAnsiTheme="minorEastAsia" w:eastAsiaTheme="minorEastAsia"/>
          <w:color w:val="auto"/>
          <w:sz w:val="22"/>
          <w:szCs w:val="24"/>
        </w:rPr>
        <w:t>3</w:t>
      </w:r>
      <w:r>
        <w:rPr>
          <w:rFonts w:asciiTheme="minorEastAsia" w:hAnsiTheme="minorEastAsia" w:eastAsiaTheme="minorEastAsia"/>
          <w:color w:val="auto"/>
          <w:sz w:val="22"/>
          <w:szCs w:val="24"/>
        </w:rPr>
        <w:t>天。</w:t>
      </w:r>
    </w:p>
    <w:p w14:paraId="3F57C12B">
      <w:pPr>
        <w:pStyle w:val="4"/>
        <w:spacing w:before="0" w:after="0" w:line="360" w:lineRule="auto"/>
        <w:ind w:firstLine="157"/>
        <w:rPr>
          <w:rFonts w:hint="eastAsia" w:asciiTheme="minorEastAsia" w:hAnsiTheme="minorEastAsia" w:eastAsiaTheme="minorEastAsia"/>
          <w:color w:val="auto"/>
          <w:sz w:val="32"/>
          <w:szCs w:val="21"/>
        </w:rPr>
      </w:pPr>
      <w:bookmarkStart w:id="269" w:name="_Toc492300606"/>
      <w:bookmarkStart w:id="270" w:name="_Toc7822"/>
      <w:r>
        <w:rPr>
          <w:rFonts w:asciiTheme="minorEastAsia" w:hAnsiTheme="minorEastAsia" w:eastAsiaTheme="minorEastAsia"/>
          <w:color w:val="auto"/>
          <w:sz w:val="32"/>
          <w:szCs w:val="21"/>
        </w:rPr>
        <w:t>7.2 评标结果异议</w:t>
      </w:r>
      <w:bookmarkEnd w:id="269"/>
      <w:bookmarkEnd w:id="270"/>
    </w:p>
    <w:p w14:paraId="249A7101">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竞标人或者其他利</w:t>
      </w:r>
      <w:bookmarkStart w:id="271" w:name="_Toc144974529"/>
      <w:bookmarkStart w:id="272" w:name="_Toc247527586"/>
      <w:bookmarkStart w:id="273" w:name="_Toc300834982"/>
      <w:bookmarkStart w:id="274" w:name="_Toc361508618"/>
      <w:bookmarkStart w:id="275" w:name="_Toc352691505"/>
      <w:bookmarkStart w:id="276" w:name="_Toc247513985"/>
      <w:bookmarkStart w:id="277" w:name="_Toc369531549"/>
      <w:bookmarkStart w:id="278" w:name="_Toc152042337"/>
      <w:bookmarkStart w:id="279" w:name="_Toc384308243"/>
      <w:bookmarkStart w:id="280" w:name="_Toc152045561"/>
      <w:bookmarkStart w:id="281" w:name="_Toc30095"/>
      <w:r>
        <w:rPr>
          <w:rFonts w:asciiTheme="minorEastAsia" w:hAnsiTheme="minorEastAsia" w:eastAsiaTheme="minorEastAsia"/>
          <w:color w:val="auto"/>
          <w:sz w:val="22"/>
          <w:szCs w:val="24"/>
        </w:rPr>
        <w:t>害关系人对评标结</w:t>
      </w:r>
      <w:bookmarkEnd w:id="271"/>
      <w:bookmarkEnd w:id="272"/>
      <w:bookmarkEnd w:id="273"/>
      <w:bookmarkEnd w:id="274"/>
      <w:bookmarkEnd w:id="275"/>
      <w:bookmarkEnd w:id="276"/>
      <w:bookmarkEnd w:id="277"/>
      <w:bookmarkEnd w:id="278"/>
      <w:bookmarkEnd w:id="279"/>
      <w:bookmarkEnd w:id="280"/>
      <w:bookmarkEnd w:id="281"/>
      <w:r>
        <w:rPr>
          <w:rFonts w:asciiTheme="minorEastAsia" w:hAnsiTheme="minorEastAsia" w:eastAsiaTheme="minorEastAsia"/>
          <w:color w:val="auto"/>
          <w:sz w:val="22"/>
          <w:szCs w:val="24"/>
        </w:rPr>
        <w:t>果有异议的，应当在中标候选人公示期间提出。</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将在收到异议之日起3日内作出答复；作出答复前，将暂停</w:t>
      </w:r>
      <w:r>
        <w:rPr>
          <w:rFonts w:hint="eastAsia" w:asciiTheme="minorEastAsia" w:hAnsiTheme="minorEastAsia" w:eastAsiaTheme="minorEastAsia"/>
          <w:color w:val="auto"/>
          <w:sz w:val="22"/>
          <w:szCs w:val="24"/>
        </w:rPr>
        <w:t>比选竞标</w:t>
      </w:r>
      <w:r>
        <w:rPr>
          <w:rFonts w:asciiTheme="minorEastAsia" w:hAnsiTheme="minorEastAsia" w:eastAsiaTheme="minorEastAsia"/>
          <w:color w:val="auto"/>
          <w:sz w:val="22"/>
          <w:szCs w:val="24"/>
        </w:rPr>
        <w:t>活动。</w:t>
      </w:r>
    </w:p>
    <w:p w14:paraId="53EDF9CC">
      <w:pPr>
        <w:pStyle w:val="4"/>
        <w:spacing w:before="0" w:after="0" w:line="360" w:lineRule="auto"/>
        <w:ind w:firstLine="157"/>
        <w:rPr>
          <w:rFonts w:hint="eastAsia" w:asciiTheme="minorEastAsia" w:hAnsiTheme="minorEastAsia" w:eastAsiaTheme="minorEastAsia"/>
          <w:color w:val="auto"/>
          <w:sz w:val="32"/>
          <w:szCs w:val="21"/>
        </w:rPr>
      </w:pPr>
      <w:bookmarkStart w:id="282" w:name="_Toc17910"/>
      <w:bookmarkStart w:id="283" w:name="_Toc492300607"/>
      <w:r>
        <w:rPr>
          <w:rFonts w:asciiTheme="minorEastAsia" w:hAnsiTheme="minorEastAsia" w:eastAsiaTheme="minorEastAsia"/>
          <w:color w:val="auto"/>
          <w:sz w:val="32"/>
          <w:szCs w:val="21"/>
        </w:rPr>
        <w:t>7.3 中标候选人履约能力审查</w:t>
      </w:r>
      <w:bookmarkEnd w:id="282"/>
      <w:bookmarkEnd w:id="283"/>
    </w:p>
    <w:p w14:paraId="6B94D70E">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中标候选人的经营、财务状况发生较大变化或存在违法行为，</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认为可能影响其履约能力的，将在发出中标通知书前提请原评标委员会按照比选文件规定的标准和方法进行审查确认。</w:t>
      </w:r>
    </w:p>
    <w:p w14:paraId="480B2D05">
      <w:pPr>
        <w:pStyle w:val="4"/>
        <w:spacing w:before="0" w:after="0" w:line="360" w:lineRule="auto"/>
        <w:ind w:firstLine="157"/>
        <w:rPr>
          <w:rFonts w:hint="eastAsia" w:asciiTheme="minorEastAsia" w:hAnsiTheme="minorEastAsia" w:eastAsiaTheme="minorEastAsia"/>
          <w:color w:val="auto"/>
          <w:sz w:val="32"/>
          <w:szCs w:val="21"/>
        </w:rPr>
      </w:pPr>
      <w:bookmarkStart w:id="284" w:name="_Toc13879"/>
      <w:bookmarkStart w:id="285" w:name="_Toc492300608"/>
      <w:r>
        <w:rPr>
          <w:rFonts w:asciiTheme="minorEastAsia" w:hAnsiTheme="minorEastAsia" w:eastAsiaTheme="minorEastAsia"/>
          <w:color w:val="auto"/>
          <w:sz w:val="32"/>
          <w:szCs w:val="21"/>
        </w:rPr>
        <w:t>7.4 定标</w:t>
      </w:r>
      <w:bookmarkEnd w:id="284"/>
      <w:bookmarkEnd w:id="285"/>
    </w:p>
    <w:p w14:paraId="6FCAF93F">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按照竞标人须知前附表的规定，</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或</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授权的评标委员会依法确定中标人。</w:t>
      </w:r>
    </w:p>
    <w:p w14:paraId="58C8DD52">
      <w:pPr>
        <w:pStyle w:val="4"/>
        <w:spacing w:before="0" w:after="0" w:line="360" w:lineRule="auto"/>
        <w:ind w:firstLine="157"/>
        <w:rPr>
          <w:rFonts w:hint="eastAsia" w:asciiTheme="minorEastAsia" w:hAnsiTheme="minorEastAsia" w:eastAsiaTheme="minorEastAsia"/>
          <w:color w:val="auto"/>
          <w:sz w:val="32"/>
          <w:szCs w:val="21"/>
        </w:rPr>
      </w:pPr>
      <w:bookmarkStart w:id="286" w:name="_Toc9334"/>
      <w:bookmarkStart w:id="287" w:name="_Toc492300609"/>
      <w:r>
        <w:rPr>
          <w:rFonts w:asciiTheme="minorEastAsia" w:hAnsiTheme="minorEastAsia" w:eastAsiaTheme="minorEastAsia"/>
          <w:color w:val="auto"/>
          <w:sz w:val="32"/>
          <w:szCs w:val="21"/>
        </w:rPr>
        <w:t>7.5 中标通知</w:t>
      </w:r>
      <w:bookmarkEnd w:id="286"/>
      <w:bookmarkEnd w:id="287"/>
    </w:p>
    <w:p w14:paraId="2CDF814F">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在本章第3.3款规定的竞标有效期内，</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以书面形式向中标人发出中标</w:t>
      </w:r>
      <w:bookmarkStart w:id="288" w:name="_Toc300834983"/>
      <w:bookmarkStart w:id="289" w:name="_Toc384308244"/>
      <w:bookmarkStart w:id="290" w:name="_Toc369531550"/>
      <w:bookmarkStart w:id="291" w:name="_Toc352691506"/>
      <w:bookmarkStart w:id="292" w:name="_Toc5668"/>
      <w:bookmarkStart w:id="293" w:name="_Toc361508619"/>
      <w:r>
        <w:rPr>
          <w:rFonts w:asciiTheme="minorEastAsia" w:hAnsiTheme="minorEastAsia" w:eastAsiaTheme="minorEastAsia"/>
          <w:color w:val="auto"/>
          <w:sz w:val="22"/>
          <w:szCs w:val="24"/>
        </w:rPr>
        <w:t>通知书，同时将中</w:t>
      </w:r>
      <w:bookmarkEnd w:id="288"/>
      <w:bookmarkEnd w:id="289"/>
      <w:bookmarkEnd w:id="290"/>
      <w:bookmarkEnd w:id="291"/>
      <w:bookmarkEnd w:id="292"/>
      <w:bookmarkEnd w:id="293"/>
      <w:r>
        <w:rPr>
          <w:rFonts w:asciiTheme="minorEastAsia" w:hAnsiTheme="minorEastAsia" w:eastAsiaTheme="minorEastAsia"/>
          <w:color w:val="auto"/>
          <w:sz w:val="22"/>
          <w:szCs w:val="24"/>
        </w:rPr>
        <w:t>标结果通知未中标的竞标人。</w:t>
      </w:r>
    </w:p>
    <w:p w14:paraId="15708A78">
      <w:pPr>
        <w:pStyle w:val="4"/>
        <w:spacing w:before="0" w:after="0" w:line="360" w:lineRule="auto"/>
        <w:ind w:firstLine="157"/>
        <w:rPr>
          <w:rFonts w:hint="eastAsia" w:asciiTheme="minorEastAsia" w:hAnsiTheme="minorEastAsia" w:eastAsiaTheme="minorEastAsia"/>
          <w:color w:val="auto"/>
          <w:sz w:val="32"/>
          <w:szCs w:val="21"/>
        </w:rPr>
      </w:pPr>
      <w:bookmarkStart w:id="294" w:name="_Toc1378"/>
      <w:bookmarkStart w:id="295" w:name="_Toc492300611"/>
      <w:r>
        <w:rPr>
          <w:rFonts w:asciiTheme="minorEastAsia" w:hAnsiTheme="minorEastAsia" w:eastAsiaTheme="minorEastAsia"/>
          <w:color w:val="auto"/>
          <w:sz w:val="32"/>
          <w:szCs w:val="21"/>
        </w:rPr>
        <w:t>7.</w:t>
      </w:r>
      <w:r>
        <w:rPr>
          <w:rFonts w:hint="eastAsia" w:asciiTheme="minorEastAsia" w:hAnsiTheme="minorEastAsia" w:eastAsiaTheme="minorEastAsia"/>
          <w:color w:val="auto"/>
          <w:sz w:val="32"/>
          <w:szCs w:val="21"/>
        </w:rPr>
        <w:t>6</w:t>
      </w:r>
      <w:r>
        <w:rPr>
          <w:rFonts w:asciiTheme="minorEastAsia" w:hAnsiTheme="minorEastAsia" w:eastAsiaTheme="minorEastAsia"/>
          <w:color w:val="auto"/>
          <w:sz w:val="32"/>
          <w:szCs w:val="21"/>
        </w:rPr>
        <w:t xml:space="preserve"> 签订合同</w:t>
      </w:r>
      <w:bookmarkEnd w:id="294"/>
      <w:bookmarkEnd w:id="295"/>
    </w:p>
    <w:p w14:paraId="197CDE1C">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7.</w:t>
      </w:r>
      <w:r>
        <w:rPr>
          <w:rFonts w:hint="eastAsia" w:asciiTheme="minorEastAsia" w:hAnsiTheme="minorEastAsia" w:eastAsiaTheme="minorEastAsia"/>
          <w:color w:val="auto"/>
          <w:sz w:val="22"/>
          <w:szCs w:val="24"/>
        </w:rPr>
        <w:t>6</w:t>
      </w:r>
      <w:r>
        <w:rPr>
          <w:rFonts w:asciiTheme="minorEastAsia" w:hAnsiTheme="minorEastAsia" w:eastAsiaTheme="minorEastAsia"/>
          <w:color w:val="auto"/>
          <w:sz w:val="22"/>
          <w:szCs w:val="24"/>
        </w:rPr>
        <w:t xml:space="preserve">.1 </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和中标人应当在中标通知书发出之日起30日内，根据比选文件和中标人的竞标文件订立书面合同。中标人放弃中标项目</w:t>
      </w:r>
      <w:r>
        <w:rPr>
          <w:rFonts w:hint="eastAsia" w:asciiTheme="minorEastAsia" w:hAnsiTheme="minorEastAsia" w:eastAsiaTheme="minorEastAsia"/>
          <w:color w:val="auto"/>
          <w:sz w:val="22"/>
          <w:szCs w:val="24"/>
        </w:rPr>
        <w:t>，</w:t>
      </w:r>
      <w:r>
        <w:rPr>
          <w:rFonts w:asciiTheme="minorEastAsia" w:hAnsiTheme="minorEastAsia" w:eastAsiaTheme="minorEastAsia"/>
          <w:color w:val="auto"/>
          <w:sz w:val="22"/>
          <w:szCs w:val="24"/>
        </w:rPr>
        <w:t>无正当理由</w:t>
      </w:r>
      <w:r>
        <w:rPr>
          <w:rFonts w:hint="eastAsia" w:asciiTheme="minorEastAsia" w:hAnsiTheme="minorEastAsia" w:eastAsiaTheme="minorEastAsia"/>
          <w:color w:val="auto"/>
          <w:sz w:val="22"/>
          <w:szCs w:val="24"/>
        </w:rPr>
        <w:t>拒签</w:t>
      </w:r>
      <w:r>
        <w:rPr>
          <w:rFonts w:asciiTheme="minorEastAsia" w:hAnsiTheme="minorEastAsia" w:eastAsiaTheme="minorEastAsia"/>
          <w:color w:val="auto"/>
          <w:sz w:val="22"/>
          <w:szCs w:val="24"/>
        </w:rPr>
        <w:t>合同，在签订合同时向</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提出附加条件或者更改合同实质性内容，</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有权取消其中标资格，其竞标保证金不予退还；给</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造成的损失超过竞标保证金数额的，中标人还应当对超过部分予以赔偿。</w:t>
      </w:r>
      <w:r>
        <w:rPr>
          <w:rFonts w:hint="eastAsia" w:asciiTheme="minorEastAsia" w:hAnsiTheme="minorEastAsia" w:eastAsiaTheme="minorEastAsia"/>
          <w:color w:val="auto"/>
          <w:sz w:val="22"/>
          <w:szCs w:val="24"/>
        </w:rPr>
        <w:t>本条须竞标人在竞标文件中响应，否则将被否决竞标。</w:t>
      </w:r>
    </w:p>
    <w:p w14:paraId="66619AB5">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7.</w:t>
      </w:r>
      <w:r>
        <w:rPr>
          <w:rFonts w:hint="eastAsia" w:asciiTheme="minorEastAsia" w:hAnsiTheme="minorEastAsia" w:eastAsiaTheme="minorEastAsia"/>
          <w:color w:val="auto"/>
          <w:sz w:val="22"/>
          <w:szCs w:val="24"/>
        </w:rPr>
        <w:t>6</w:t>
      </w:r>
      <w:r>
        <w:rPr>
          <w:rFonts w:asciiTheme="minorEastAsia" w:hAnsiTheme="minorEastAsia" w:eastAsiaTheme="minorEastAsia"/>
          <w:color w:val="auto"/>
          <w:sz w:val="22"/>
          <w:szCs w:val="24"/>
        </w:rPr>
        <w:t>.2 发出中标通知书后，</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无正当理由拒签合同，或者在签订合同时</w:t>
      </w:r>
      <w:r>
        <w:rPr>
          <w:rFonts w:hint="eastAsia" w:asciiTheme="minorEastAsia" w:hAnsiTheme="minorEastAsia" w:eastAsiaTheme="minorEastAsia"/>
          <w:color w:val="auto"/>
          <w:sz w:val="22"/>
          <w:szCs w:val="24"/>
        </w:rPr>
        <w:t>向中标人</w:t>
      </w:r>
      <w:r>
        <w:rPr>
          <w:rFonts w:asciiTheme="minorEastAsia" w:hAnsiTheme="minorEastAsia" w:eastAsiaTheme="minorEastAsia"/>
          <w:color w:val="auto"/>
          <w:sz w:val="22"/>
          <w:szCs w:val="24"/>
        </w:rPr>
        <w:t>提出附加条件的，</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向中标人退还竞标保证金；给中标人造成损失的，还应当赔偿损失。</w:t>
      </w:r>
    </w:p>
    <w:p w14:paraId="4978F6FB">
      <w:pPr>
        <w:pStyle w:val="3"/>
        <w:spacing w:before="0" w:after="0" w:line="360" w:lineRule="auto"/>
        <w:ind w:firstLine="723"/>
        <w:rPr>
          <w:rFonts w:hint="eastAsia" w:asciiTheme="minorEastAsia" w:hAnsiTheme="minorEastAsia" w:eastAsiaTheme="minorEastAsia"/>
          <w:color w:val="auto"/>
          <w:sz w:val="36"/>
          <w:szCs w:val="21"/>
        </w:rPr>
      </w:pPr>
      <w:bookmarkStart w:id="296" w:name="_Toc361508627"/>
      <w:bookmarkStart w:id="297" w:name="_Toc24067"/>
      <w:bookmarkStart w:id="298" w:name="_Toc384308252"/>
      <w:bookmarkStart w:id="299" w:name="_Toc492300612"/>
      <w:bookmarkStart w:id="300" w:name="_Toc26004"/>
      <w:bookmarkStart w:id="301" w:name="_Toc144974536"/>
      <w:bookmarkStart w:id="302" w:name="_Toc152042344"/>
      <w:bookmarkStart w:id="303" w:name="_Toc300834991"/>
      <w:bookmarkStart w:id="304" w:name="_Toc247527593"/>
      <w:bookmarkStart w:id="305" w:name="_Toc152045568"/>
      <w:bookmarkStart w:id="306" w:name="_Toc247513992"/>
      <w:r>
        <w:rPr>
          <w:rFonts w:asciiTheme="minorEastAsia" w:hAnsiTheme="minorEastAsia" w:eastAsiaTheme="minorEastAsia"/>
          <w:color w:val="auto"/>
          <w:sz w:val="36"/>
          <w:szCs w:val="21"/>
        </w:rPr>
        <w:t>8.</w:t>
      </w:r>
      <w:bookmarkEnd w:id="296"/>
      <w:bookmarkEnd w:id="297"/>
      <w:bookmarkEnd w:id="298"/>
      <w:r>
        <w:rPr>
          <w:rFonts w:asciiTheme="minorEastAsia" w:hAnsiTheme="minorEastAsia" w:eastAsiaTheme="minorEastAsia"/>
          <w:color w:val="auto"/>
          <w:sz w:val="36"/>
          <w:szCs w:val="21"/>
        </w:rPr>
        <w:t>纪律和监督</w:t>
      </w:r>
      <w:bookmarkEnd w:id="299"/>
      <w:bookmarkEnd w:id="300"/>
    </w:p>
    <w:p w14:paraId="40A7E43C">
      <w:pPr>
        <w:pStyle w:val="4"/>
        <w:spacing w:before="0" w:after="0" w:line="360" w:lineRule="auto"/>
        <w:ind w:firstLine="157"/>
        <w:rPr>
          <w:rFonts w:hint="eastAsia" w:asciiTheme="minorEastAsia" w:hAnsiTheme="minorEastAsia" w:eastAsiaTheme="minorEastAsia"/>
          <w:color w:val="auto"/>
          <w:sz w:val="32"/>
          <w:szCs w:val="21"/>
        </w:rPr>
      </w:pPr>
      <w:bookmarkStart w:id="307" w:name="_Toc492300613"/>
      <w:bookmarkStart w:id="308" w:name="_Toc27212"/>
      <w:r>
        <w:rPr>
          <w:rFonts w:asciiTheme="minorEastAsia" w:hAnsiTheme="minorEastAsia" w:eastAsiaTheme="minorEastAsia"/>
          <w:color w:val="auto"/>
          <w:sz w:val="32"/>
          <w:szCs w:val="21"/>
        </w:rPr>
        <w:t>8.1 对</w:t>
      </w:r>
      <w:r>
        <w:rPr>
          <w:rFonts w:hint="eastAsia" w:asciiTheme="minorEastAsia" w:hAnsiTheme="minorEastAsia" w:eastAsiaTheme="minorEastAsia"/>
          <w:color w:val="auto"/>
          <w:sz w:val="32"/>
          <w:szCs w:val="21"/>
        </w:rPr>
        <w:t>比选人</w:t>
      </w:r>
      <w:r>
        <w:rPr>
          <w:rFonts w:asciiTheme="minorEastAsia" w:hAnsiTheme="minorEastAsia" w:eastAsiaTheme="minorEastAsia"/>
          <w:color w:val="auto"/>
          <w:sz w:val="32"/>
          <w:szCs w:val="21"/>
        </w:rPr>
        <w:t>的纪律要求</w:t>
      </w:r>
      <w:bookmarkEnd w:id="307"/>
      <w:bookmarkEnd w:id="308"/>
    </w:p>
    <w:p w14:paraId="03EB9E9A">
      <w:pPr>
        <w:autoSpaceDE w:val="0"/>
        <w:autoSpaceDN w:val="0"/>
        <w:adjustRightInd w:val="0"/>
        <w:snapToGrid w:val="0"/>
        <w:spacing w:line="360" w:lineRule="auto"/>
        <w:ind w:firstLine="440"/>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不得泄露</w:t>
      </w:r>
      <w:r>
        <w:rPr>
          <w:rFonts w:hint="eastAsia" w:asciiTheme="minorEastAsia" w:hAnsiTheme="minorEastAsia" w:eastAsiaTheme="minorEastAsia"/>
          <w:color w:val="auto"/>
          <w:sz w:val="22"/>
          <w:szCs w:val="24"/>
        </w:rPr>
        <w:t>比选竞标</w:t>
      </w:r>
      <w:r>
        <w:rPr>
          <w:rFonts w:asciiTheme="minorEastAsia" w:hAnsiTheme="minorEastAsia" w:eastAsiaTheme="minorEastAsia"/>
          <w:color w:val="auto"/>
          <w:sz w:val="22"/>
          <w:szCs w:val="24"/>
        </w:rPr>
        <w:t>活动中应当保密的情况和资料，不得与竞标人串通损害国家利益、社会公共利益或者他人合法权益</w:t>
      </w:r>
      <w:r>
        <w:rPr>
          <w:rFonts w:ascii="宋体" w:hAnsi="宋体"/>
          <w:snapToGrid w:val="0"/>
          <w:color w:val="auto"/>
          <w:kern w:val="0"/>
          <w:sz w:val="22"/>
        </w:rPr>
        <w:t>，</w:t>
      </w:r>
      <w:r>
        <w:rPr>
          <w:rFonts w:ascii="宋体" w:hAnsi="宋体"/>
          <w:color w:val="auto"/>
          <w:sz w:val="22"/>
          <w:szCs w:val="24"/>
        </w:rPr>
        <w:t>禁止</w:t>
      </w:r>
      <w:r>
        <w:rPr>
          <w:rFonts w:hint="eastAsia" w:ascii="宋体" w:hAnsi="宋体"/>
          <w:color w:val="auto"/>
          <w:sz w:val="22"/>
          <w:szCs w:val="24"/>
        </w:rPr>
        <w:t>比选人</w:t>
      </w:r>
      <w:r>
        <w:rPr>
          <w:rFonts w:ascii="宋体" w:hAnsi="宋体"/>
          <w:color w:val="auto"/>
          <w:sz w:val="22"/>
          <w:szCs w:val="24"/>
        </w:rPr>
        <w:t>与竞标人串通</w:t>
      </w:r>
      <w:r>
        <w:rPr>
          <w:rFonts w:hint="eastAsia" w:ascii="宋体" w:hAnsi="宋体"/>
          <w:color w:val="auto"/>
          <w:sz w:val="22"/>
          <w:szCs w:val="24"/>
        </w:rPr>
        <w:t>竞标</w:t>
      </w:r>
      <w:r>
        <w:rPr>
          <w:rFonts w:asciiTheme="minorEastAsia" w:hAnsiTheme="minorEastAsia" w:eastAsiaTheme="minorEastAsia"/>
          <w:color w:val="auto"/>
          <w:sz w:val="22"/>
          <w:szCs w:val="24"/>
        </w:rPr>
        <w:t>。</w:t>
      </w:r>
    </w:p>
    <w:p w14:paraId="01303465">
      <w:pPr>
        <w:autoSpaceDE w:val="0"/>
        <w:autoSpaceDN w:val="0"/>
        <w:adjustRightInd w:val="0"/>
        <w:snapToGrid w:val="0"/>
        <w:spacing w:line="360" w:lineRule="auto"/>
        <w:ind w:firstLine="440"/>
        <w:rPr>
          <w:rFonts w:hint="eastAsia" w:ascii="宋体" w:hAnsi="宋体"/>
          <w:color w:val="auto"/>
          <w:sz w:val="22"/>
          <w:szCs w:val="24"/>
        </w:rPr>
      </w:pPr>
      <w:r>
        <w:rPr>
          <w:rFonts w:ascii="宋体" w:hAnsi="宋体"/>
          <w:color w:val="auto"/>
          <w:sz w:val="22"/>
          <w:szCs w:val="24"/>
        </w:rPr>
        <w:t>有下列情形之一的，属于</w:t>
      </w:r>
      <w:r>
        <w:rPr>
          <w:rFonts w:hint="eastAsia" w:ascii="宋体" w:hAnsi="宋体"/>
          <w:color w:val="auto"/>
          <w:sz w:val="22"/>
          <w:szCs w:val="24"/>
        </w:rPr>
        <w:t>比选人</w:t>
      </w:r>
      <w:r>
        <w:rPr>
          <w:rFonts w:ascii="宋体" w:hAnsi="宋体"/>
          <w:color w:val="auto"/>
          <w:sz w:val="22"/>
          <w:szCs w:val="24"/>
        </w:rPr>
        <w:t>与竞标人串通</w:t>
      </w:r>
      <w:r>
        <w:rPr>
          <w:rFonts w:hint="eastAsia" w:ascii="宋体" w:hAnsi="宋体"/>
          <w:color w:val="auto"/>
          <w:sz w:val="22"/>
          <w:szCs w:val="24"/>
        </w:rPr>
        <w:t>竞标</w:t>
      </w:r>
      <w:r>
        <w:rPr>
          <w:rFonts w:ascii="宋体" w:hAnsi="宋体"/>
          <w:color w:val="auto"/>
          <w:sz w:val="22"/>
          <w:szCs w:val="24"/>
        </w:rPr>
        <w:t>：</w:t>
      </w:r>
    </w:p>
    <w:p w14:paraId="3156ADE1">
      <w:pPr>
        <w:autoSpaceDE w:val="0"/>
        <w:autoSpaceDN w:val="0"/>
        <w:adjustRightInd w:val="0"/>
        <w:snapToGrid w:val="0"/>
        <w:spacing w:line="360" w:lineRule="auto"/>
        <w:ind w:firstLine="440"/>
        <w:rPr>
          <w:rFonts w:hint="eastAsia" w:ascii="宋体" w:hAnsi="宋体"/>
          <w:color w:val="auto"/>
          <w:sz w:val="22"/>
          <w:szCs w:val="24"/>
        </w:rPr>
      </w:pPr>
      <w:r>
        <w:rPr>
          <w:rFonts w:ascii="宋体" w:hAnsi="宋体"/>
          <w:color w:val="auto"/>
          <w:sz w:val="22"/>
          <w:szCs w:val="24"/>
        </w:rPr>
        <w:t>（1）</w:t>
      </w:r>
      <w:r>
        <w:rPr>
          <w:rFonts w:hint="eastAsia" w:ascii="宋体" w:hAnsi="宋体"/>
          <w:color w:val="auto"/>
          <w:sz w:val="22"/>
          <w:szCs w:val="24"/>
        </w:rPr>
        <w:t>比选人</w:t>
      </w:r>
      <w:r>
        <w:rPr>
          <w:rFonts w:ascii="宋体" w:hAnsi="宋体"/>
          <w:color w:val="auto"/>
          <w:sz w:val="22"/>
          <w:szCs w:val="24"/>
        </w:rPr>
        <w:t>在开标前开启竞标文件并将有关信息泄露给其他竞标人</w:t>
      </w:r>
      <w:r>
        <w:rPr>
          <w:rFonts w:hint="eastAsia" w:ascii="宋体" w:hAnsi="宋体"/>
          <w:color w:val="auto"/>
          <w:sz w:val="22"/>
          <w:szCs w:val="24"/>
        </w:rPr>
        <w:t>；</w:t>
      </w:r>
    </w:p>
    <w:p w14:paraId="65596A80">
      <w:pPr>
        <w:autoSpaceDE w:val="0"/>
        <w:autoSpaceDN w:val="0"/>
        <w:adjustRightInd w:val="0"/>
        <w:snapToGrid w:val="0"/>
        <w:spacing w:line="360" w:lineRule="auto"/>
        <w:ind w:firstLine="440"/>
        <w:rPr>
          <w:rFonts w:hint="eastAsia" w:ascii="宋体" w:hAnsi="宋体"/>
          <w:color w:val="auto"/>
          <w:sz w:val="22"/>
          <w:szCs w:val="24"/>
        </w:rPr>
      </w:pPr>
      <w:r>
        <w:rPr>
          <w:rFonts w:ascii="宋体" w:hAnsi="宋体"/>
          <w:color w:val="auto"/>
          <w:sz w:val="22"/>
          <w:szCs w:val="24"/>
        </w:rPr>
        <w:t>（2）</w:t>
      </w:r>
      <w:r>
        <w:rPr>
          <w:rFonts w:hint="eastAsia" w:ascii="宋体" w:hAnsi="宋体"/>
          <w:color w:val="auto"/>
          <w:sz w:val="22"/>
          <w:szCs w:val="24"/>
        </w:rPr>
        <w:t>比选人</w:t>
      </w:r>
      <w:r>
        <w:rPr>
          <w:rFonts w:ascii="宋体" w:hAnsi="宋体"/>
          <w:color w:val="auto"/>
          <w:sz w:val="22"/>
          <w:szCs w:val="24"/>
        </w:rPr>
        <w:t>直接或者间接向竞标人泄露标底、评标委员会成员等信息；</w:t>
      </w:r>
    </w:p>
    <w:p w14:paraId="3257AD12">
      <w:pPr>
        <w:autoSpaceDE w:val="0"/>
        <w:autoSpaceDN w:val="0"/>
        <w:adjustRightInd w:val="0"/>
        <w:snapToGrid w:val="0"/>
        <w:spacing w:line="360" w:lineRule="auto"/>
        <w:ind w:firstLine="440"/>
        <w:rPr>
          <w:rFonts w:hint="eastAsia" w:ascii="宋体" w:hAnsi="宋体"/>
          <w:color w:val="auto"/>
          <w:sz w:val="22"/>
          <w:szCs w:val="24"/>
        </w:rPr>
      </w:pPr>
      <w:r>
        <w:rPr>
          <w:rFonts w:ascii="宋体" w:hAnsi="宋体"/>
          <w:color w:val="auto"/>
          <w:sz w:val="22"/>
          <w:szCs w:val="24"/>
        </w:rPr>
        <w:t>（3）</w:t>
      </w:r>
      <w:r>
        <w:rPr>
          <w:rFonts w:hint="eastAsia" w:ascii="宋体" w:hAnsi="宋体"/>
          <w:color w:val="auto"/>
          <w:sz w:val="22"/>
          <w:szCs w:val="24"/>
        </w:rPr>
        <w:t>比选人</w:t>
      </w:r>
      <w:r>
        <w:rPr>
          <w:rFonts w:ascii="宋体" w:hAnsi="宋体"/>
          <w:color w:val="auto"/>
          <w:sz w:val="22"/>
          <w:szCs w:val="24"/>
        </w:rPr>
        <w:t>明示或者暗示竞标人压低或者抬高</w:t>
      </w:r>
      <w:r>
        <w:rPr>
          <w:rFonts w:hint="eastAsia" w:ascii="宋体" w:hAnsi="宋体"/>
          <w:color w:val="auto"/>
          <w:sz w:val="22"/>
          <w:szCs w:val="24"/>
        </w:rPr>
        <w:t>竞标</w:t>
      </w:r>
      <w:r>
        <w:rPr>
          <w:rFonts w:ascii="宋体" w:hAnsi="宋体"/>
          <w:color w:val="auto"/>
          <w:sz w:val="22"/>
          <w:szCs w:val="24"/>
        </w:rPr>
        <w:t>报价；</w:t>
      </w:r>
    </w:p>
    <w:p w14:paraId="6897515F">
      <w:pPr>
        <w:autoSpaceDE w:val="0"/>
        <w:autoSpaceDN w:val="0"/>
        <w:adjustRightInd w:val="0"/>
        <w:snapToGrid w:val="0"/>
        <w:spacing w:line="360" w:lineRule="auto"/>
        <w:ind w:firstLine="440"/>
        <w:rPr>
          <w:rFonts w:hint="eastAsia" w:ascii="宋体" w:hAnsi="宋体"/>
          <w:color w:val="auto"/>
          <w:sz w:val="22"/>
          <w:szCs w:val="24"/>
        </w:rPr>
      </w:pPr>
      <w:r>
        <w:rPr>
          <w:rFonts w:ascii="宋体" w:hAnsi="宋体"/>
          <w:color w:val="auto"/>
          <w:sz w:val="22"/>
          <w:szCs w:val="24"/>
        </w:rPr>
        <w:t>（4）</w:t>
      </w:r>
      <w:r>
        <w:rPr>
          <w:rFonts w:hint="eastAsia" w:ascii="宋体" w:hAnsi="宋体"/>
          <w:color w:val="auto"/>
          <w:sz w:val="22"/>
          <w:szCs w:val="24"/>
        </w:rPr>
        <w:t>比选人</w:t>
      </w:r>
      <w:r>
        <w:rPr>
          <w:rFonts w:ascii="宋体" w:hAnsi="宋体"/>
          <w:color w:val="auto"/>
          <w:sz w:val="22"/>
          <w:szCs w:val="24"/>
        </w:rPr>
        <w:t>授意竞标人撤换、修改竞标文件；</w:t>
      </w:r>
    </w:p>
    <w:p w14:paraId="10198E72">
      <w:pPr>
        <w:autoSpaceDE w:val="0"/>
        <w:autoSpaceDN w:val="0"/>
        <w:adjustRightInd w:val="0"/>
        <w:snapToGrid w:val="0"/>
        <w:spacing w:line="360" w:lineRule="auto"/>
        <w:ind w:firstLine="440"/>
        <w:rPr>
          <w:rFonts w:hint="eastAsia" w:ascii="宋体" w:hAnsi="宋体"/>
          <w:color w:val="auto"/>
          <w:sz w:val="22"/>
          <w:szCs w:val="24"/>
        </w:rPr>
      </w:pPr>
      <w:r>
        <w:rPr>
          <w:rFonts w:ascii="宋体" w:hAnsi="宋体"/>
          <w:color w:val="auto"/>
          <w:sz w:val="22"/>
          <w:szCs w:val="24"/>
        </w:rPr>
        <w:t>（5）</w:t>
      </w:r>
      <w:r>
        <w:rPr>
          <w:rFonts w:hint="eastAsia" w:ascii="宋体" w:hAnsi="宋体"/>
          <w:color w:val="auto"/>
          <w:sz w:val="22"/>
          <w:szCs w:val="24"/>
        </w:rPr>
        <w:t>比选人</w:t>
      </w:r>
      <w:r>
        <w:rPr>
          <w:rFonts w:ascii="宋体" w:hAnsi="宋体"/>
          <w:color w:val="auto"/>
          <w:sz w:val="22"/>
          <w:szCs w:val="24"/>
        </w:rPr>
        <w:t>明示或者暗示竞标人为特定竞标人中标提供方便；</w:t>
      </w:r>
    </w:p>
    <w:p w14:paraId="3F7A523A">
      <w:pPr>
        <w:spacing w:line="360" w:lineRule="auto"/>
        <w:ind w:firstLine="440" w:firstLineChars="200"/>
        <w:rPr>
          <w:rFonts w:hint="eastAsia" w:asciiTheme="minorEastAsia" w:hAnsiTheme="minorEastAsia" w:eastAsiaTheme="minorEastAsia"/>
          <w:color w:val="auto"/>
          <w:sz w:val="22"/>
          <w:szCs w:val="24"/>
        </w:rPr>
      </w:pPr>
      <w:r>
        <w:rPr>
          <w:rFonts w:ascii="宋体" w:hAnsi="宋体"/>
          <w:color w:val="auto"/>
          <w:sz w:val="22"/>
          <w:szCs w:val="24"/>
        </w:rPr>
        <w:t>（6）</w:t>
      </w:r>
      <w:r>
        <w:rPr>
          <w:rFonts w:hint="eastAsia" w:ascii="宋体" w:hAnsi="宋体"/>
          <w:color w:val="auto"/>
          <w:sz w:val="22"/>
          <w:szCs w:val="24"/>
        </w:rPr>
        <w:t>比选人</w:t>
      </w:r>
      <w:r>
        <w:rPr>
          <w:rFonts w:ascii="宋体" w:hAnsi="宋体"/>
          <w:color w:val="auto"/>
          <w:sz w:val="22"/>
          <w:szCs w:val="24"/>
        </w:rPr>
        <w:t>与竞标人为谋求特定竞标人中标而采取的其他串通行为。</w:t>
      </w:r>
    </w:p>
    <w:p w14:paraId="52B1585B">
      <w:pPr>
        <w:pStyle w:val="4"/>
        <w:spacing w:before="0" w:after="0" w:line="360" w:lineRule="auto"/>
        <w:ind w:firstLine="157"/>
        <w:rPr>
          <w:rFonts w:hint="eastAsia" w:asciiTheme="minorEastAsia" w:hAnsiTheme="minorEastAsia" w:eastAsiaTheme="minorEastAsia"/>
          <w:color w:val="auto"/>
          <w:sz w:val="32"/>
          <w:szCs w:val="21"/>
        </w:rPr>
      </w:pPr>
      <w:bookmarkStart w:id="309" w:name="_Toc492300614"/>
      <w:bookmarkStart w:id="310" w:name="_Toc8618"/>
      <w:r>
        <w:rPr>
          <w:rFonts w:asciiTheme="minorEastAsia" w:hAnsiTheme="minorEastAsia" w:eastAsiaTheme="minorEastAsia"/>
          <w:color w:val="auto"/>
          <w:sz w:val="32"/>
          <w:szCs w:val="21"/>
        </w:rPr>
        <w:t>8.2 对竞标人的纪律要求</w:t>
      </w:r>
      <w:bookmarkEnd w:id="309"/>
      <w:bookmarkEnd w:id="310"/>
    </w:p>
    <w:p w14:paraId="78977A5D">
      <w:pPr>
        <w:autoSpaceDE w:val="0"/>
        <w:autoSpaceDN w:val="0"/>
        <w:adjustRightInd w:val="0"/>
        <w:snapToGrid w:val="0"/>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竞标人不得相互串通</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或者与</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串通</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，不得向</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或者评标委员会成员行贿谋取中标，不得以他人名义</w:t>
      </w:r>
      <w:r>
        <w:rPr>
          <w:rFonts w:hint="eastAsia" w:asciiTheme="minorEastAsia" w:hAnsiTheme="minorEastAsia" w:eastAsiaTheme="minorEastAsia"/>
          <w:color w:val="auto"/>
          <w:sz w:val="22"/>
          <w:szCs w:val="24"/>
        </w:rPr>
        <w:t>竞标</w:t>
      </w:r>
      <w:r>
        <w:rPr>
          <w:rFonts w:asciiTheme="minorEastAsia" w:hAnsiTheme="minorEastAsia" w:eastAsiaTheme="minorEastAsia"/>
          <w:color w:val="auto"/>
          <w:sz w:val="22"/>
          <w:szCs w:val="24"/>
        </w:rPr>
        <w:t>或者以其他方式弄虚作假骗取中标；竞标人不得以任何方式干扰、影响评标工作</w:t>
      </w:r>
      <w:r>
        <w:rPr>
          <w:rFonts w:hint="eastAsia" w:asciiTheme="minorEastAsia" w:hAnsiTheme="minorEastAsia" w:eastAsiaTheme="minorEastAsia"/>
          <w:color w:val="auto"/>
          <w:sz w:val="22"/>
          <w:szCs w:val="24"/>
        </w:rPr>
        <w:t>。</w:t>
      </w:r>
    </w:p>
    <w:p w14:paraId="663E43C9">
      <w:pPr>
        <w:autoSpaceDE w:val="0"/>
        <w:autoSpaceDN w:val="0"/>
        <w:adjustRightInd w:val="0"/>
        <w:snapToGrid w:val="0"/>
        <w:spacing w:line="360" w:lineRule="auto"/>
        <w:ind w:firstLine="440" w:firstLineChars="200"/>
        <w:rPr>
          <w:rFonts w:hint="eastAsia" w:ascii="宋体" w:hAnsi="宋体"/>
          <w:snapToGrid w:val="0"/>
          <w:color w:val="auto"/>
          <w:kern w:val="0"/>
          <w:sz w:val="22"/>
        </w:rPr>
      </w:pPr>
      <w:r>
        <w:rPr>
          <w:rFonts w:hint="eastAsia" w:ascii="宋体" w:hAnsi="宋体"/>
          <w:snapToGrid w:val="0"/>
          <w:color w:val="auto"/>
          <w:kern w:val="0"/>
          <w:sz w:val="22"/>
        </w:rPr>
        <w:t xml:space="preserve">8.2.1 </w:t>
      </w:r>
      <w:r>
        <w:rPr>
          <w:rFonts w:ascii="宋体" w:hAnsi="宋体"/>
          <w:color w:val="auto"/>
          <w:sz w:val="22"/>
          <w:szCs w:val="24"/>
        </w:rPr>
        <w:t>有下列情形之一的，属于竞标人相互串通</w:t>
      </w:r>
      <w:r>
        <w:rPr>
          <w:rFonts w:hint="eastAsia" w:ascii="宋体" w:hAnsi="宋体"/>
          <w:color w:val="auto"/>
          <w:sz w:val="22"/>
          <w:szCs w:val="24"/>
        </w:rPr>
        <w:t>竞标</w:t>
      </w:r>
      <w:r>
        <w:rPr>
          <w:rFonts w:ascii="宋体" w:hAnsi="宋体"/>
          <w:color w:val="auto"/>
          <w:sz w:val="22"/>
          <w:szCs w:val="24"/>
        </w:rPr>
        <w:t>：</w:t>
      </w:r>
    </w:p>
    <w:p w14:paraId="7DBB558D">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（1）竞标人之间协商</w:t>
      </w:r>
      <w:r>
        <w:rPr>
          <w:rFonts w:hint="eastAsia" w:ascii="宋体" w:hAnsi="宋体"/>
          <w:color w:val="auto"/>
          <w:sz w:val="22"/>
          <w:szCs w:val="24"/>
        </w:rPr>
        <w:t>竞标</w:t>
      </w:r>
      <w:r>
        <w:rPr>
          <w:rFonts w:ascii="宋体" w:hAnsi="宋体"/>
          <w:color w:val="auto"/>
          <w:sz w:val="22"/>
          <w:szCs w:val="24"/>
        </w:rPr>
        <w:t>报价等竞标文件的实质性内容；</w:t>
      </w:r>
    </w:p>
    <w:p w14:paraId="16CDF2C5">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（2）竞标人之间约定中标人；</w:t>
      </w:r>
    </w:p>
    <w:p w14:paraId="75E71C72">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（3）竞标人之间约定部分竞标人放弃</w:t>
      </w:r>
      <w:r>
        <w:rPr>
          <w:rFonts w:hint="eastAsia" w:ascii="宋体" w:hAnsi="宋体"/>
          <w:color w:val="auto"/>
          <w:sz w:val="22"/>
          <w:szCs w:val="24"/>
        </w:rPr>
        <w:t>竞标</w:t>
      </w:r>
      <w:r>
        <w:rPr>
          <w:rFonts w:ascii="宋体" w:hAnsi="宋体"/>
          <w:color w:val="auto"/>
          <w:sz w:val="22"/>
          <w:szCs w:val="24"/>
        </w:rPr>
        <w:t>或者中标；</w:t>
      </w:r>
    </w:p>
    <w:p w14:paraId="3E3B3A0D">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（4）属于同一集团、协会、商会等组织成员的竞标人按照该组织要求协同</w:t>
      </w:r>
      <w:r>
        <w:rPr>
          <w:rFonts w:hint="eastAsia" w:ascii="宋体" w:hAnsi="宋体"/>
          <w:color w:val="auto"/>
          <w:sz w:val="22"/>
          <w:szCs w:val="24"/>
        </w:rPr>
        <w:t>竞标</w:t>
      </w:r>
      <w:r>
        <w:rPr>
          <w:rFonts w:ascii="宋体" w:hAnsi="宋体"/>
          <w:color w:val="auto"/>
          <w:sz w:val="22"/>
          <w:szCs w:val="24"/>
        </w:rPr>
        <w:t>；</w:t>
      </w:r>
    </w:p>
    <w:p w14:paraId="012EC949">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（5）竞标人之间为谋取中标或者排斥特定竞标人而采取的其他联合行动。</w:t>
      </w:r>
    </w:p>
    <w:p w14:paraId="7AECB0B6">
      <w:pPr>
        <w:autoSpaceDE w:val="0"/>
        <w:autoSpaceDN w:val="0"/>
        <w:adjustRightInd w:val="0"/>
        <w:snapToGrid w:val="0"/>
        <w:spacing w:line="360" w:lineRule="auto"/>
        <w:ind w:firstLine="440" w:firstLineChars="200"/>
        <w:rPr>
          <w:rFonts w:hint="eastAsia" w:ascii="宋体" w:hAnsi="宋体"/>
          <w:color w:val="auto"/>
          <w:sz w:val="22"/>
          <w:szCs w:val="24"/>
        </w:rPr>
      </w:pPr>
      <w:r>
        <w:rPr>
          <w:rFonts w:hint="eastAsia" w:ascii="宋体" w:hAnsi="宋体"/>
          <w:color w:val="auto"/>
          <w:sz w:val="22"/>
          <w:szCs w:val="24"/>
        </w:rPr>
        <w:t xml:space="preserve">8.2.2 </w:t>
      </w:r>
      <w:r>
        <w:rPr>
          <w:rFonts w:ascii="宋体" w:hAnsi="宋体"/>
          <w:color w:val="auto"/>
          <w:sz w:val="22"/>
          <w:szCs w:val="24"/>
        </w:rPr>
        <w:t>有下列情形之一的，视为竞标人相互串通</w:t>
      </w:r>
      <w:r>
        <w:rPr>
          <w:rFonts w:hint="eastAsia" w:ascii="宋体" w:hAnsi="宋体"/>
          <w:color w:val="auto"/>
          <w:sz w:val="22"/>
          <w:szCs w:val="24"/>
        </w:rPr>
        <w:t>竞标</w:t>
      </w:r>
      <w:r>
        <w:rPr>
          <w:rFonts w:ascii="宋体" w:hAnsi="宋体"/>
          <w:color w:val="auto"/>
          <w:sz w:val="22"/>
          <w:szCs w:val="24"/>
        </w:rPr>
        <w:t>：</w:t>
      </w:r>
    </w:p>
    <w:p w14:paraId="654422FD">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（1）不同竞标人的竞标文件由同一单位或者个人编制；</w:t>
      </w:r>
    </w:p>
    <w:p w14:paraId="01FF2672">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（2）不同竞标人委托同一单位或者个人办理</w:t>
      </w:r>
      <w:r>
        <w:rPr>
          <w:rFonts w:hint="eastAsia" w:ascii="宋体" w:hAnsi="宋体"/>
          <w:color w:val="auto"/>
          <w:sz w:val="22"/>
          <w:szCs w:val="24"/>
        </w:rPr>
        <w:t>竞标</w:t>
      </w:r>
      <w:r>
        <w:rPr>
          <w:rFonts w:ascii="宋体" w:hAnsi="宋体"/>
          <w:color w:val="auto"/>
          <w:sz w:val="22"/>
          <w:szCs w:val="24"/>
        </w:rPr>
        <w:t>事宜；</w:t>
      </w:r>
    </w:p>
    <w:p w14:paraId="3472916C">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（3）不同竞标人的竞标文件载明的项目管理成员为同一人；</w:t>
      </w:r>
    </w:p>
    <w:p w14:paraId="2A41A3F2">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（4）不同竞标人的竞标文件异常一致或者</w:t>
      </w:r>
      <w:r>
        <w:rPr>
          <w:rFonts w:hint="eastAsia" w:ascii="宋体" w:hAnsi="宋体"/>
          <w:color w:val="auto"/>
          <w:sz w:val="22"/>
          <w:szCs w:val="24"/>
        </w:rPr>
        <w:t>竞标</w:t>
      </w:r>
      <w:r>
        <w:rPr>
          <w:rFonts w:ascii="宋体" w:hAnsi="宋体"/>
          <w:color w:val="auto"/>
          <w:sz w:val="22"/>
          <w:szCs w:val="24"/>
        </w:rPr>
        <w:t>报价呈规律性差异；</w:t>
      </w:r>
    </w:p>
    <w:p w14:paraId="333B3EE0">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（5）不同竞标人的竞标文件相互混装；</w:t>
      </w:r>
    </w:p>
    <w:p w14:paraId="02E7E78D">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（6）不同竞标人的竞标保证金从同一单位或者个人的账户转出</w:t>
      </w:r>
      <w:r>
        <w:rPr>
          <w:rFonts w:hint="eastAsia" w:ascii="宋体" w:hAnsi="宋体"/>
          <w:color w:val="auto"/>
          <w:sz w:val="22"/>
          <w:szCs w:val="24"/>
        </w:rPr>
        <w:t>；</w:t>
      </w:r>
    </w:p>
    <w:p w14:paraId="15AACD57">
      <w:pPr>
        <w:autoSpaceDE w:val="0"/>
        <w:autoSpaceDN w:val="0"/>
        <w:adjustRightInd w:val="0"/>
        <w:snapToGrid w:val="0"/>
        <w:spacing w:line="360" w:lineRule="auto"/>
        <w:ind w:firstLine="440" w:firstLineChars="200"/>
        <w:rPr>
          <w:rFonts w:hint="eastAsia" w:ascii="宋体" w:hAnsi="宋体"/>
          <w:color w:val="auto"/>
          <w:sz w:val="22"/>
          <w:szCs w:val="24"/>
        </w:rPr>
      </w:pPr>
      <w:r>
        <w:rPr>
          <w:rFonts w:hint="eastAsia" w:ascii="宋体" w:hAnsi="宋体"/>
          <w:color w:val="auto"/>
          <w:sz w:val="22"/>
          <w:szCs w:val="24"/>
        </w:rPr>
        <w:t xml:space="preserve">8.2.3 </w:t>
      </w:r>
      <w:r>
        <w:rPr>
          <w:rFonts w:ascii="宋体" w:hAnsi="宋体"/>
          <w:color w:val="auto"/>
          <w:sz w:val="22"/>
          <w:szCs w:val="24"/>
        </w:rPr>
        <w:t>使用通过受让或者租借等方式获取的资格、资质证书</w:t>
      </w:r>
      <w:r>
        <w:rPr>
          <w:rFonts w:hint="eastAsia" w:ascii="宋体" w:hAnsi="宋体"/>
          <w:color w:val="auto"/>
          <w:sz w:val="22"/>
          <w:szCs w:val="24"/>
        </w:rPr>
        <w:t>竞标</w:t>
      </w:r>
      <w:r>
        <w:rPr>
          <w:rFonts w:ascii="宋体" w:hAnsi="宋体"/>
          <w:color w:val="auto"/>
          <w:sz w:val="22"/>
          <w:szCs w:val="24"/>
        </w:rPr>
        <w:t>的，属于以他人名义</w:t>
      </w:r>
      <w:r>
        <w:rPr>
          <w:rFonts w:hint="eastAsia" w:ascii="宋体" w:hAnsi="宋体"/>
          <w:color w:val="auto"/>
          <w:sz w:val="22"/>
          <w:szCs w:val="24"/>
        </w:rPr>
        <w:t>竞标</w:t>
      </w:r>
      <w:r>
        <w:rPr>
          <w:rFonts w:ascii="宋体" w:hAnsi="宋体"/>
          <w:color w:val="auto"/>
          <w:sz w:val="22"/>
          <w:szCs w:val="24"/>
        </w:rPr>
        <w:t>。</w:t>
      </w:r>
    </w:p>
    <w:p w14:paraId="5494302A">
      <w:pPr>
        <w:autoSpaceDE w:val="0"/>
        <w:autoSpaceDN w:val="0"/>
        <w:adjustRightInd w:val="0"/>
        <w:snapToGrid w:val="0"/>
        <w:spacing w:line="360" w:lineRule="auto"/>
        <w:ind w:firstLine="440" w:firstLineChars="200"/>
        <w:rPr>
          <w:rFonts w:hint="eastAsia" w:ascii="宋体" w:hAnsi="宋体"/>
          <w:color w:val="auto"/>
          <w:sz w:val="22"/>
          <w:szCs w:val="24"/>
        </w:rPr>
      </w:pPr>
      <w:r>
        <w:rPr>
          <w:rFonts w:hint="eastAsia" w:ascii="宋体" w:hAnsi="宋体"/>
          <w:color w:val="auto"/>
          <w:sz w:val="22"/>
          <w:szCs w:val="24"/>
        </w:rPr>
        <w:t xml:space="preserve">8.2.4 </w:t>
      </w:r>
      <w:r>
        <w:rPr>
          <w:rFonts w:ascii="宋体" w:hAnsi="宋体"/>
          <w:color w:val="auto"/>
          <w:sz w:val="22"/>
          <w:szCs w:val="24"/>
        </w:rPr>
        <w:t>竞标人有下列情形之一的，属于以其他方式弄虚作假的行为：</w:t>
      </w:r>
    </w:p>
    <w:p w14:paraId="54089685">
      <w:pPr>
        <w:autoSpaceDE w:val="0"/>
        <w:autoSpaceDN w:val="0"/>
        <w:adjustRightInd w:val="0"/>
        <w:snapToGrid w:val="0"/>
        <w:spacing w:line="360" w:lineRule="auto"/>
        <w:ind w:firstLine="440" w:firstLineChars="200"/>
        <w:rPr>
          <w:rFonts w:hint="eastAsia" w:ascii="宋体" w:hAnsi="宋体"/>
          <w:color w:val="auto"/>
          <w:sz w:val="22"/>
          <w:szCs w:val="24"/>
        </w:rPr>
      </w:pPr>
      <w:r>
        <w:rPr>
          <w:rFonts w:hint="eastAsia" w:ascii="宋体" w:hAnsi="宋体"/>
          <w:color w:val="auto"/>
          <w:sz w:val="22"/>
          <w:szCs w:val="24"/>
        </w:rPr>
        <w:t>（1）</w:t>
      </w:r>
      <w:r>
        <w:rPr>
          <w:rFonts w:ascii="宋体" w:hAnsi="宋体"/>
          <w:color w:val="auto"/>
          <w:sz w:val="22"/>
          <w:szCs w:val="24"/>
        </w:rPr>
        <w:t>使用伪造、变造的许可证件；</w:t>
      </w:r>
    </w:p>
    <w:p w14:paraId="68834F4B">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w:t>
      </w:r>
      <w:r>
        <w:rPr>
          <w:rFonts w:hint="eastAsia" w:ascii="宋体" w:hAnsi="宋体"/>
          <w:color w:val="auto"/>
          <w:sz w:val="22"/>
          <w:szCs w:val="24"/>
        </w:rPr>
        <w:t>2</w:t>
      </w:r>
      <w:r>
        <w:rPr>
          <w:rFonts w:ascii="宋体" w:hAnsi="宋体"/>
          <w:color w:val="auto"/>
          <w:sz w:val="22"/>
          <w:szCs w:val="24"/>
        </w:rPr>
        <w:t>）提供虚假的财务状况或者业绩；</w:t>
      </w:r>
    </w:p>
    <w:p w14:paraId="1085EE6E">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w:t>
      </w:r>
      <w:r>
        <w:rPr>
          <w:rFonts w:hint="eastAsia" w:ascii="宋体" w:hAnsi="宋体"/>
          <w:color w:val="auto"/>
          <w:sz w:val="22"/>
          <w:szCs w:val="24"/>
        </w:rPr>
        <w:t>3</w:t>
      </w:r>
      <w:r>
        <w:rPr>
          <w:rFonts w:ascii="宋体" w:hAnsi="宋体"/>
          <w:color w:val="auto"/>
          <w:sz w:val="22"/>
          <w:szCs w:val="24"/>
        </w:rPr>
        <w:t>）提供虚假的项目负责人或者主要技术人员简历、劳动关系证明；</w:t>
      </w:r>
    </w:p>
    <w:p w14:paraId="7D18A0F0">
      <w:pPr>
        <w:autoSpaceDE w:val="0"/>
        <w:autoSpaceDN w:val="0"/>
        <w:adjustRightInd w:val="0"/>
        <w:snapToGrid w:val="0"/>
        <w:spacing w:line="360" w:lineRule="auto"/>
        <w:ind w:firstLine="440" w:firstLineChars="200"/>
        <w:rPr>
          <w:rFonts w:hint="eastAsia" w:ascii="宋体" w:hAnsi="宋体"/>
          <w:color w:val="auto"/>
          <w:sz w:val="22"/>
          <w:szCs w:val="24"/>
        </w:rPr>
      </w:pPr>
      <w:r>
        <w:rPr>
          <w:rFonts w:ascii="宋体" w:hAnsi="宋体"/>
          <w:color w:val="auto"/>
          <w:sz w:val="22"/>
          <w:szCs w:val="24"/>
        </w:rPr>
        <w:t>（</w:t>
      </w:r>
      <w:r>
        <w:rPr>
          <w:rFonts w:hint="eastAsia" w:ascii="宋体" w:hAnsi="宋体"/>
          <w:color w:val="auto"/>
          <w:sz w:val="22"/>
          <w:szCs w:val="24"/>
        </w:rPr>
        <w:t>4</w:t>
      </w:r>
      <w:r>
        <w:rPr>
          <w:rFonts w:ascii="宋体" w:hAnsi="宋体"/>
          <w:color w:val="auto"/>
          <w:sz w:val="22"/>
          <w:szCs w:val="24"/>
        </w:rPr>
        <w:t>）提供虚假的信用状况；</w:t>
      </w:r>
    </w:p>
    <w:p w14:paraId="34E3131F">
      <w:pPr>
        <w:spacing w:line="360" w:lineRule="auto"/>
        <w:ind w:firstLine="440" w:firstLineChars="200"/>
        <w:rPr>
          <w:rFonts w:hint="eastAsia" w:asciiTheme="minorEastAsia" w:hAnsiTheme="minorEastAsia" w:eastAsiaTheme="minorEastAsia"/>
          <w:color w:val="auto"/>
          <w:sz w:val="22"/>
          <w:szCs w:val="24"/>
        </w:rPr>
      </w:pPr>
      <w:r>
        <w:rPr>
          <w:rFonts w:ascii="宋体" w:hAnsi="宋体"/>
          <w:color w:val="auto"/>
          <w:sz w:val="22"/>
          <w:szCs w:val="24"/>
        </w:rPr>
        <w:t>（</w:t>
      </w:r>
      <w:r>
        <w:rPr>
          <w:rFonts w:hint="eastAsia" w:ascii="宋体" w:hAnsi="宋体"/>
          <w:color w:val="auto"/>
          <w:sz w:val="22"/>
          <w:szCs w:val="24"/>
        </w:rPr>
        <w:t>5</w:t>
      </w:r>
      <w:r>
        <w:rPr>
          <w:rFonts w:ascii="宋体" w:hAnsi="宋体"/>
          <w:color w:val="auto"/>
          <w:sz w:val="22"/>
          <w:szCs w:val="24"/>
        </w:rPr>
        <w:t>）其他弄虚作假的行为。</w:t>
      </w:r>
    </w:p>
    <w:p w14:paraId="06615086">
      <w:pPr>
        <w:pStyle w:val="4"/>
        <w:spacing w:before="0" w:after="0" w:line="360" w:lineRule="auto"/>
        <w:ind w:firstLine="157"/>
        <w:rPr>
          <w:rFonts w:hint="eastAsia" w:asciiTheme="minorEastAsia" w:hAnsiTheme="minorEastAsia" w:eastAsiaTheme="minorEastAsia"/>
          <w:color w:val="auto"/>
          <w:sz w:val="32"/>
          <w:szCs w:val="21"/>
        </w:rPr>
      </w:pPr>
      <w:bookmarkStart w:id="311" w:name="_Toc492300615"/>
      <w:bookmarkStart w:id="312" w:name="_Toc19123"/>
      <w:r>
        <w:rPr>
          <w:rFonts w:asciiTheme="minorEastAsia" w:hAnsiTheme="minorEastAsia" w:eastAsiaTheme="minorEastAsia"/>
          <w:color w:val="auto"/>
          <w:sz w:val="32"/>
          <w:szCs w:val="21"/>
        </w:rPr>
        <w:t>8.3 对评标委员会成员的纪律要求</w:t>
      </w:r>
      <w:bookmarkEnd w:id="311"/>
      <w:bookmarkEnd w:id="312"/>
    </w:p>
    <w:p w14:paraId="5E5AEA5D">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评标委员会成员不得收受他人的财物或者其他好处，不得向他人透露对竞标文件的评审</w:t>
      </w:r>
      <w:bookmarkStart w:id="313" w:name="_Toc384308253"/>
      <w:bookmarkStart w:id="314" w:name="_Toc361508628"/>
      <w:bookmarkStart w:id="315" w:name="_Toc369531559"/>
      <w:bookmarkStart w:id="316" w:name="_Toc352691515"/>
      <w:bookmarkStart w:id="317" w:name="_Toc13644"/>
      <w:r>
        <w:rPr>
          <w:rFonts w:asciiTheme="minorEastAsia" w:hAnsiTheme="minorEastAsia" w:eastAsiaTheme="minorEastAsia"/>
          <w:color w:val="auto"/>
          <w:sz w:val="22"/>
          <w:szCs w:val="24"/>
        </w:rPr>
        <w:t>和比较、中标候选人</w:t>
      </w:r>
      <w:bookmarkEnd w:id="301"/>
      <w:bookmarkEnd w:id="302"/>
      <w:bookmarkEnd w:id="303"/>
      <w:bookmarkEnd w:id="304"/>
      <w:bookmarkEnd w:id="305"/>
      <w:bookmarkEnd w:id="306"/>
      <w:bookmarkEnd w:id="313"/>
      <w:bookmarkEnd w:id="314"/>
      <w:bookmarkEnd w:id="315"/>
      <w:bookmarkEnd w:id="316"/>
      <w:bookmarkEnd w:id="317"/>
      <w:r>
        <w:rPr>
          <w:rFonts w:asciiTheme="minorEastAsia" w:hAnsiTheme="minorEastAsia" w:eastAsiaTheme="minorEastAsia"/>
          <w:color w:val="auto"/>
          <w:sz w:val="22"/>
          <w:szCs w:val="24"/>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r>
        <w:rPr>
          <w:rFonts w:hint="eastAsia" w:asciiTheme="minorEastAsia" w:hAnsiTheme="minorEastAsia" w:eastAsiaTheme="minorEastAsia"/>
          <w:color w:val="auto"/>
          <w:sz w:val="22"/>
          <w:szCs w:val="24"/>
        </w:rPr>
        <w:t>，不得对比选文件中“附件A</w:t>
      </w:r>
      <w:r>
        <w:rPr>
          <w:rFonts w:asciiTheme="minorEastAsia" w:hAnsiTheme="minorEastAsia" w:eastAsiaTheme="minorEastAsia"/>
          <w:color w:val="auto"/>
          <w:sz w:val="22"/>
          <w:szCs w:val="24"/>
        </w:rPr>
        <w:t xml:space="preserve"> </w:t>
      </w:r>
      <w:r>
        <w:rPr>
          <w:rFonts w:hint="eastAsia" w:asciiTheme="minorEastAsia" w:hAnsiTheme="minorEastAsia" w:eastAsiaTheme="minorEastAsia"/>
          <w:color w:val="auto"/>
          <w:sz w:val="22"/>
          <w:szCs w:val="24"/>
        </w:rPr>
        <w:t>否决竞标情况一览表”以外的内容予以否决竞标，否则对评标委员会成员按《重庆市综合评标专家库和评标专家管理暂行办法》进行处理</w:t>
      </w:r>
      <w:r>
        <w:rPr>
          <w:rFonts w:asciiTheme="minorEastAsia" w:hAnsiTheme="minorEastAsia" w:eastAsiaTheme="minorEastAsia"/>
          <w:color w:val="auto"/>
          <w:sz w:val="22"/>
          <w:szCs w:val="24"/>
        </w:rPr>
        <w:t>。</w:t>
      </w:r>
    </w:p>
    <w:p w14:paraId="60DDC8C6">
      <w:pPr>
        <w:pStyle w:val="4"/>
        <w:spacing w:before="0" w:after="0" w:line="360" w:lineRule="auto"/>
        <w:ind w:firstLine="157"/>
        <w:rPr>
          <w:rFonts w:hint="eastAsia" w:asciiTheme="minorEastAsia" w:hAnsiTheme="minorEastAsia" w:eastAsiaTheme="minorEastAsia"/>
          <w:color w:val="auto"/>
          <w:sz w:val="32"/>
          <w:szCs w:val="21"/>
        </w:rPr>
      </w:pPr>
      <w:bookmarkStart w:id="318" w:name="_Toc17181"/>
      <w:bookmarkStart w:id="319" w:name="_Toc492300616"/>
      <w:r>
        <w:rPr>
          <w:rFonts w:asciiTheme="minorEastAsia" w:hAnsiTheme="minorEastAsia" w:eastAsiaTheme="minorEastAsia"/>
          <w:color w:val="auto"/>
          <w:sz w:val="32"/>
          <w:szCs w:val="21"/>
        </w:rPr>
        <w:t>8.4 对与评标活动有关的工作人员的纪律要求</w:t>
      </w:r>
      <w:bookmarkEnd w:id="318"/>
      <w:bookmarkEnd w:id="319"/>
    </w:p>
    <w:p w14:paraId="376C4FB6">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与评标活动有关的工作人员不得收受他人的财物或者其他好处，不得向他人透露对竞标文件</w:t>
      </w:r>
      <w:bookmarkStart w:id="320" w:name="_Toc247527594"/>
      <w:bookmarkStart w:id="321" w:name="_Toc361508629"/>
      <w:bookmarkStart w:id="322" w:name="_Toc152045569"/>
      <w:bookmarkStart w:id="323" w:name="_Toc300834992"/>
      <w:bookmarkStart w:id="324" w:name="_Toc19429"/>
      <w:bookmarkStart w:id="325" w:name="_Toc152042345"/>
      <w:bookmarkStart w:id="326" w:name="_Toc352691516"/>
      <w:bookmarkStart w:id="327" w:name="_Toc384308254"/>
      <w:bookmarkStart w:id="328" w:name="_Toc144974537"/>
      <w:bookmarkStart w:id="329" w:name="_Toc369531560"/>
      <w:bookmarkStart w:id="330" w:name="_Toc247513993"/>
      <w:r>
        <w:rPr>
          <w:rFonts w:asciiTheme="minorEastAsia" w:hAnsiTheme="minorEastAsia" w:eastAsiaTheme="minorEastAsia"/>
          <w:color w:val="auto"/>
          <w:sz w:val="22"/>
          <w:szCs w:val="24"/>
        </w:rPr>
        <w:t>的评审和比较、中标</w:t>
      </w:r>
      <w:bookmarkEnd w:id="320"/>
      <w:bookmarkEnd w:id="321"/>
      <w:bookmarkEnd w:id="322"/>
      <w:bookmarkEnd w:id="323"/>
      <w:bookmarkEnd w:id="324"/>
      <w:bookmarkEnd w:id="325"/>
      <w:bookmarkEnd w:id="326"/>
      <w:bookmarkEnd w:id="327"/>
      <w:bookmarkEnd w:id="328"/>
      <w:bookmarkEnd w:id="329"/>
      <w:bookmarkEnd w:id="330"/>
      <w:r>
        <w:rPr>
          <w:rFonts w:asciiTheme="minorEastAsia" w:hAnsiTheme="minorEastAsia" w:eastAsiaTheme="minorEastAsia"/>
          <w:color w:val="auto"/>
          <w:sz w:val="22"/>
          <w:szCs w:val="24"/>
        </w:rPr>
        <w:t>候选人的推荐情况以及评标有关的其他情况。在评标活动中，与评标活动有关的工作人员不得擅离职守，影响评标程序正常进行。</w:t>
      </w:r>
    </w:p>
    <w:p w14:paraId="513AD5A7">
      <w:pPr>
        <w:pStyle w:val="4"/>
        <w:spacing w:before="0" w:after="0" w:line="360" w:lineRule="auto"/>
        <w:ind w:firstLine="157"/>
        <w:rPr>
          <w:rFonts w:hint="eastAsia" w:asciiTheme="minorEastAsia" w:hAnsiTheme="minorEastAsia" w:eastAsiaTheme="minorEastAsia"/>
          <w:color w:val="auto"/>
          <w:sz w:val="32"/>
          <w:szCs w:val="21"/>
        </w:rPr>
      </w:pPr>
      <w:bookmarkStart w:id="331" w:name="_Toc7294"/>
      <w:bookmarkStart w:id="332" w:name="_Toc492300617"/>
      <w:r>
        <w:rPr>
          <w:rFonts w:asciiTheme="minorEastAsia" w:hAnsiTheme="minorEastAsia" w:eastAsiaTheme="minorEastAsia"/>
          <w:color w:val="auto"/>
          <w:sz w:val="32"/>
          <w:szCs w:val="21"/>
        </w:rPr>
        <w:t>8.5 投诉</w:t>
      </w:r>
      <w:bookmarkEnd w:id="331"/>
      <w:bookmarkEnd w:id="332"/>
    </w:p>
    <w:p w14:paraId="59234E05">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8.5.1 竞标人或者其他利害关系人认为</w:t>
      </w:r>
      <w:r>
        <w:rPr>
          <w:rFonts w:hint="eastAsia" w:asciiTheme="minorEastAsia" w:hAnsiTheme="minorEastAsia" w:eastAsiaTheme="minorEastAsia"/>
          <w:color w:val="auto"/>
          <w:sz w:val="22"/>
          <w:szCs w:val="24"/>
        </w:rPr>
        <w:t>比选竞标</w:t>
      </w:r>
      <w:r>
        <w:rPr>
          <w:rFonts w:asciiTheme="minorEastAsia" w:hAnsiTheme="minorEastAsia" w:eastAsiaTheme="minorEastAsia"/>
          <w:color w:val="auto"/>
          <w:sz w:val="22"/>
          <w:szCs w:val="24"/>
        </w:rPr>
        <w:t>活动不符合法律、行政法规规定的，可以自知道或者应当知道之日起10日内向有关行政监督部门投诉。投诉应当有明确的请求和必要的证明材料。</w:t>
      </w:r>
    </w:p>
    <w:p w14:paraId="3A74F44D">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8.5.2 竞标人或者其他利害关系人对比选文件、开标和评标结果提出投诉的，应当按照竞标人须知第5.3款和第7.2款的规定先向</w:t>
      </w:r>
      <w:r>
        <w:rPr>
          <w:rFonts w:hint="eastAsia" w:asciiTheme="minorEastAsia" w:hAnsiTheme="minorEastAsia" w:eastAsiaTheme="minorEastAsia"/>
          <w:color w:val="auto"/>
          <w:sz w:val="22"/>
          <w:szCs w:val="24"/>
        </w:rPr>
        <w:t>比选人</w:t>
      </w:r>
      <w:r>
        <w:rPr>
          <w:rFonts w:asciiTheme="minorEastAsia" w:hAnsiTheme="minorEastAsia" w:eastAsiaTheme="minorEastAsia"/>
          <w:color w:val="auto"/>
          <w:sz w:val="22"/>
          <w:szCs w:val="24"/>
        </w:rPr>
        <w:t>提出异议。异议答复期间</w:t>
      </w:r>
      <w:bookmarkStart w:id="333" w:name="_Toc152042346"/>
      <w:bookmarkStart w:id="334" w:name="_Toc300834993"/>
      <w:bookmarkStart w:id="335" w:name="_Toc152045570"/>
      <w:bookmarkStart w:id="336" w:name="_Toc384308255"/>
      <w:bookmarkStart w:id="337" w:name="_Toc369531561"/>
      <w:bookmarkStart w:id="338" w:name="_Toc12776"/>
      <w:bookmarkStart w:id="339" w:name="_Toc352691517"/>
      <w:bookmarkStart w:id="340" w:name="_Toc247527595"/>
      <w:bookmarkStart w:id="341" w:name="_Toc144974538"/>
      <w:bookmarkStart w:id="342" w:name="_Toc361508630"/>
      <w:bookmarkStart w:id="343" w:name="_Toc247513994"/>
      <w:r>
        <w:rPr>
          <w:rFonts w:asciiTheme="minorEastAsia" w:hAnsiTheme="minorEastAsia" w:eastAsiaTheme="minorEastAsia"/>
          <w:color w:val="auto"/>
          <w:sz w:val="22"/>
          <w:szCs w:val="24"/>
        </w:rPr>
        <w:t>不计算在第8.5.</w:t>
      </w:r>
      <w:bookmarkEnd w:id="333"/>
      <w:bookmarkEnd w:id="334"/>
      <w:bookmarkEnd w:id="335"/>
      <w:bookmarkEnd w:id="336"/>
      <w:bookmarkEnd w:id="337"/>
      <w:bookmarkEnd w:id="338"/>
      <w:bookmarkEnd w:id="339"/>
      <w:bookmarkEnd w:id="340"/>
      <w:bookmarkEnd w:id="341"/>
      <w:bookmarkEnd w:id="342"/>
      <w:bookmarkEnd w:id="343"/>
      <w:r>
        <w:rPr>
          <w:rFonts w:asciiTheme="minorEastAsia" w:hAnsiTheme="minorEastAsia" w:eastAsiaTheme="minorEastAsia"/>
          <w:color w:val="auto"/>
          <w:sz w:val="22"/>
          <w:szCs w:val="24"/>
        </w:rPr>
        <w:t>1项规定的期限内。</w:t>
      </w:r>
    </w:p>
    <w:p w14:paraId="33CD09B0">
      <w:pPr>
        <w:pStyle w:val="3"/>
        <w:spacing w:before="0" w:after="0" w:line="360" w:lineRule="auto"/>
        <w:ind w:firstLine="723"/>
        <w:rPr>
          <w:rFonts w:hint="eastAsia" w:asciiTheme="minorEastAsia" w:hAnsiTheme="minorEastAsia" w:eastAsiaTheme="minorEastAsia"/>
          <w:color w:val="auto"/>
          <w:sz w:val="36"/>
          <w:szCs w:val="21"/>
        </w:rPr>
      </w:pPr>
      <w:bookmarkStart w:id="344" w:name="_Toc12524"/>
      <w:bookmarkStart w:id="345" w:name="_Toc492300619"/>
      <w:r>
        <w:rPr>
          <w:rFonts w:hint="eastAsia" w:asciiTheme="minorEastAsia" w:hAnsiTheme="minorEastAsia" w:eastAsiaTheme="minorEastAsia"/>
          <w:color w:val="auto"/>
          <w:sz w:val="36"/>
          <w:szCs w:val="21"/>
        </w:rPr>
        <w:t>9</w:t>
      </w:r>
      <w:r>
        <w:rPr>
          <w:rFonts w:asciiTheme="minorEastAsia" w:hAnsiTheme="minorEastAsia" w:eastAsiaTheme="minorEastAsia"/>
          <w:color w:val="auto"/>
          <w:sz w:val="36"/>
          <w:szCs w:val="21"/>
        </w:rPr>
        <w:t>. 需要补充的其他内容</w:t>
      </w:r>
      <w:bookmarkEnd w:id="344"/>
      <w:bookmarkEnd w:id="345"/>
    </w:p>
    <w:p w14:paraId="5BF96500">
      <w:pPr>
        <w:spacing w:line="360" w:lineRule="auto"/>
        <w:ind w:firstLine="440" w:firstLineChars="20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需要补充的其他内容：见竞标人须知前附表。</w:t>
      </w:r>
    </w:p>
    <w:p w14:paraId="09A49675">
      <w:pPr>
        <w:spacing w:line="400" w:lineRule="exact"/>
        <w:ind w:firstLine="440"/>
        <w:rPr>
          <w:rFonts w:hint="eastAsia" w:asciiTheme="minorEastAsia" w:hAnsiTheme="minorEastAsia" w:eastAsiaTheme="minorEastAsia"/>
          <w:color w:val="auto"/>
          <w:sz w:val="22"/>
          <w:szCs w:val="24"/>
        </w:rPr>
        <w:sectPr>
          <w:footerReference r:id="rId3" w:type="default"/>
          <w:pgSz w:w="11907" w:h="16840"/>
          <w:pgMar w:top="1304" w:right="1134" w:bottom="1304" w:left="1304" w:header="850" w:footer="992" w:gutter="0"/>
          <w:pgNumType w:start="1"/>
          <w:cols w:space="720" w:num="1"/>
          <w:docGrid w:linePitch="286" w:charSpace="0"/>
        </w:sectPr>
      </w:pPr>
    </w:p>
    <w:p w14:paraId="0A2CB7BC">
      <w:pPr>
        <w:pStyle w:val="2"/>
        <w:spacing w:before="0" w:after="0" w:line="360" w:lineRule="auto"/>
        <w:ind w:firstLine="964"/>
        <w:jc w:val="center"/>
        <w:rPr>
          <w:rFonts w:hint="eastAsia" w:asciiTheme="minorEastAsia" w:hAnsiTheme="minorEastAsia" w:eastAsiaTheme="minorEastAsia"/>
          <w:color w:val="auto"/>
          <w:sz w:val="48"/>
          <w:szCs w:val="21"/>
        </w:rPr>
      </w:pPr>
      <w:bookmarkStart w:id="346" w:name="_Toc6300"/>
      <w:bookmarkStart w:id="347" w:name="_Toc57820625"/>
      <w:bookmarkStart w:id="348" w:name="_Toc509218774"/>
      <w:r>
        <w:rPr>
          <w:rFonts w:asciiTheme="minorEastAsia" w:hAnsiTheme="minorEastAsia" w:eastAsiaTheme="minorEastAsia"/>
          <w:color w:val="auto"/>
          <w:sz w:val="48"/>
          <w:szCs w:val="21"/>
        </w:rPr>
        <w:t xml:space="preserve">第三章 </w:t>
      </w:r>
      <w:r>
        <w:rPr>
          <w:rFonts w:hint="eastAsia" w:asciiTheme="minorEastAsia" w:hAnsiTheme="minorEastAsia" w:eastAsiaTheme="minorEastAsia"/>
          <w:color w:val="auto"/>
          <w:sz w:val="48"/>
          <w:szCs w:val="21"/>
        </w:rPr>
        <w:t xml:space="preserve"> </w:t>
      </w:r>
      <w:r>
        <w:rPr>
          <w:rFonts w:asciiTheme="minorEastAsia" w:hAnsiTheme="minorEastAsia" w:eastAsiaTheme="minorEastAsia"/>
          <w:color w:val="auto"/>
          <w:sz w:val="48"/>
          <w:szCs w:val="21"/>
        </w:rPr>
        <w:t>评标办法（综合评估法）</w:t>
      </w:r>
      <w:bookmarkEnd w:id="346"/>
      <w:bookmarkEnd w:id="347"/>
      <w:bookmarkEnd w:id="348"/>
      <w:bookmarkStart w:id="349" w:name="_Toc430530499"/>
      <w:bookmarkStart w:id="350" w:name="_Toc287607811"/>
      <w:bookmarkStart w:id="351" w:name="_Toc287620750"/>
      <w:bookmarkStart w:id="352" w:name="_Toc224103383"/>
      <w:bookmarkStart w:id="353" w:name="_Toc277082617"/>
    </w:p>
    <w:p w14:paraId="709167BC">
      <w:pPr>
        <w:pStyle w:val="3"/>
        <w:spacing w:before="0" w:after="0" w:line="360" w:lineRule="auto"/>
        <w:ind w:firstLine="723"/>
        <w:rPr>
          <w:rFonts w:hint="eastAsia" w:asciiTheme="minorEastAsia" w:hAnsiTheme="minorEastAsia" w:eastAsiaTheme="minorEastAsia"/>
          <w:color w:val="auto"/>
          <w:sz w:val="36"/>
          <w:szCs w:val="21"/>
        </w:rPr>
      </w:pPr>
      <w:bookmarkStart w:id="354" w:name="_Toc509218775"/>
      <w:bookmarkStart w:id="355" w:name="_Toc4581"/>
      <w:bookmarkStart w:id="356" w:name="_Toc57820626"/>
      <w:r>
        <w:rPr>
          <w:rFonts w:hint="eastAsia" w:asciiTheme="minorEastAsia" w:hAnsiTheme="minorEastAsia" w:eastAsiaTheme="minorEastAsia"/>
          <w:color w:val="auto"/>
          <w:sz w:val="36"/>
          <w:szCs w:val="21"/>
        </w:rPr>
        <w:t>评标办法前附表</w:t>
      </w:r>
      <w:bookmarkEnd w:id="354"/>
      <w:bookmarkEnd w:id="355"/>
      <w:bookmarkEnd w:id="356"/>
    </w:p>
    <w:bookmarkEnd w:id="349"/>
    <w:bookmarkEnd w:id="350"/>
    <w:bookmarkEnd w:id="351"/>
    <w:bookmarkEnd w:id="352"/>
    <w:bookmarkEnd w:id="353"/>
    <w:p w14:paraId="1545793B">
      <w:pPr>
        <w:spacing w:line="400" w:lineRule="exact"/>
        <w:ind w:firstLine="440" w:firstLineChars="200"/>
        <w:rPr>
          <w:rFonts w:hint="eastAsia" w:ascii="宋体" w:hAnsi="宋体"/>
          <w:color w:val="auto"/>
          <w:spacing w:val="4"/>
          <w:kern w:val="0"/>
          <w:sz w:val="22"/>
        </w:rPr>
      </w:pPr>
      <w:r>
        <w:rPr>
          <w:rFonts w:ascii="宋体" w:hAnsi="宋体"/>
          <w:color w:val="auto"/>
          <w:sz w:val="22"/>
        </w:rPr>
        <w:t>评标办法中的评审内容必须和竞标人须知中的对应内容一致，若竞标人须知中未作要求的内容，不得列入评标办法作为评定依据。</w:t>
      </w:r>
    </w:p>
    <w:tbl>
      <w:tblPr>
        <w:tblStyle w:val="40"/>
        <w:tblW w:w="9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1559"/>
        <w:gridCol w:w="2268"/>
        <w:gridCol w:w="4855"/>
      </w:tblGrid>
      <w:tr w14:paraId="3B91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00" w:type="dxa"/>
            <w:tcBorders>
              <w:top w:val="single" w:color="auto" w:sz="4" w:space="0"/>
              <w:left w:val="single" w:color="auto" w:sz="4" w:space="0"/>
              <w:bottom w:val="single" w:color="auto" w:sz="4" w:space="0"/>
              <w:right w:val="single" w:color="auto" w:sz="4" w:space="0"/>
            </w:tcBorders>
            <w:vAlign w:val="center"/>
          </w:tcPr>
          <w:p w14:paraId="25488F7F">
            <w:pPr>
              <w:spacing w:line="400" w:lineRule="exact"/>
              <w:jc w:val="center"/>
              <w:rPr>
                <w:rFonts w:hint="eastAsia" w:asciiTheme="minorEastAsia" w:hAnsiTheme="minorEastAsia" w:eastAsiaTheme="minorEastAsia" w:cstheme="minorEastAsia"/>
                <w:b/>
                <w:color w:val="auto"/>
                <w:sz w:val="22"/>
                <w:szCs w:val="24"/>
              </w:rPr>
            </w:pPr>
            <w:r>
              <w:rPr>
                <w:rFonts w:hint="eastAsia" w:asciiTheme="minorEastAsia" w:hAnsiTheme="minorEastAsia" w:eastAsiaTheme="minorEastAsia" w:cstheme="minorEastAsia"/>
                <w:b/>
                <w:color w:val="auto"/>
                <w:sz w:val="22"/>
                <w:szCs w:val="24"/>
              </w:rPr>
              <w:t>条款号</w:t>
            </w:r>
          </w:p>
        </w:tc>
        <w:tc>
          <w:tcPr>
            <w:tcW w:w="1559" w:type="dxa"/>
            <w:tcBorders>
              <w:top w:val="single" w:color="auto" w:sz="4" w:space="0"/>
              <w:left w:val="single" w:color="auto" w:sz="4" w:space="0"/>
              <w:bottom w:val="single" w:color="auto" w:sz="4" w:space="0"/>
              <w:right w:val="single" w:color="auto" w:sz="4" w:space="0"/>
            </w:tcBorders>
            <w:vAlign w:val="center"/>
          </w:tcPr>
          <w:p w14:paraId="6BB5C46A">
            <w:pPr>
              <w:spacing w:line="400" w:lineRule="exact"/>
              <w:jc w:val="center"/>
              <w:rPr>
                <w:rFonts w:hint="eastAsia" w:asciiTheme="minorEastAsia" w:hAnsiTheme="minorEastAsia" w:eastAsiaTheme="minorEastAsia" w:cstheme="minorEastAsia"/>
                <w:b/>
                <w:color w:val="auto"/>
                <w:sz w:val="22"/>
                <w:szCs w:val="24"/>
              </w:rPr>
            </w:pPr>
            <w:r>
              <w:rPr>
                <w:rFonts w:hint="eastAsia" w:asciiTheme="minorEastAsia" w:hAnsiTheme="minorEastAsia" w:eastAsiaTheme="minorEastAsia" w:cstheme="minorEastAsia"/>
                <w:b/>
                <w:color w:val="auto"/>
                <w:sz w:val="22"/>
                <w:szCs w:val="24"/>
              </w:rPr>
              <w:t>评审因素</w:t>
            </w:r>
          </w:p>
        </w:tc>
        <w:tc>
          <w:tcPr>
            <w:tcW w:w="7123" w:type="dxa"/>
            <w:gridSpan w:val="2"/>
            <w:tcBorders>
              <w:top w:val="single" w:color="auto" w:sz="4" w:space="0"/>
              <w:left w:val="single" w:color="auto" w:sz="4" w:space="0"/>
              <w:bottom w:val="single" w:color="auto" w:sz="4" w:space="0"/>
              <w:right w:val="single" w:color="auto" w:sz="4" w:space="0"/>
            </w:tcBorders>
            <w:vAlign w:val="center"/>
          </w:tcPr>
          <w:p w14:paraId="373D0913">
            <w:pPr>
              <w:spacing w:line="400" w:lineRule="exact"/>
              <w:jc w:val="center"/>
              <w:rPr>
                <w:rFonts w:hint="eastAsia" w:asciiTheme="minorEastAsia" w:hAnsiTheme="minorEastAsia" w:eastAsiaTheme="minorEastAsia" w:cstheme="minorEastAsia"/>
                <w:b/>
                <w:color w:val="auto"/>
                <w:sz w:val="22"/>
                <w:szCs w:val="24"/>
              </w:rPr>
            </w:pPr>
            <w:r>
              <w:rPr>
                <w:rFonts w:hint="eastAsia" w:asciiTheme="minorEastAsia" w:hAnsiTheme="minorEastAsia" w:eastAsiaTheme="minorEastAsia" w:cstheme="minorEastAsia"/>
                <w:b/>
                <w:color w:val="auto"/>
                <w:sz w:val="22"/>
                <w:szCs w:val="24"/>
              </w:rPr>
              <w:t>评审标准</w:t>
            </w:r>
          </w:p>
        </w:tc>
      </w:tr>
      <w:tr w14:paraId="1138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tcBorders>
              <w:top w:val="single" w:color="auto" w:sz="4" w:space="0"/>
              <w:left w:val="single" w:color="auto" w:sz="4" w:space="0"/>
              <w:bottom w:val="single" w:color="auto" w:sz="4" w:space="0"/>
              <w:right w:val="single" w:color="auto" w:sz="4" w:space="0"/>
            </w:tcBorders>
            <w:vAlign w:val="center"/>
          </w:tcPr>
          <w:p w14:paraId="684D578A">
            <w:pPr>
              <w:spacing w:line="400" w:lineRule="exact"/>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sz w:val="22"/>
                <w:szCs w:val="24"/>
              </w:rPr>
              <w:t>1</w:t>
            </w:r>
          </w:p>
        </w:tc>
        <w:tc>
          <w:tcPr>
            <w:tcW w:w="1559" w:type="dxa"/>
            <w:tcBorders>
              <w:top w:val="single" w:color="auto" w:sz="4" w:space="0"/>
              <w:left w:val="single" w:color="auto" w:sz="4" w:space="0"/>
              <w:bottom w:val="single" w:color="auto" w:sz="4" w:space="0"/>
              <w:right w:val="single" w:color="auto" w:sz="4" w:space="0"/>
            </w:tcBorders>
            <w:vAlign w:val="center"/>
          </w:tcPr>
          <w:p w14:paraId="7A244224">
            <w:pPr>
              <w:widowControl/>
              <w:spacing w:line="400" w:lineRule="exact"/>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kern w:val="0"/>
                <w:sz w:val="22"/>
                <w:szCs w:val="24"/>
              </w:rPr>
              <w:t>评标办法</w:t>
            </w:r>
          </w:p>
        </w:tc>
        <w:tc>
          <w:tcPr>
            <w:tcW w:w="7123" w:type="dxa"/>
            <w:gridSpan w:val="2"/>
            <w:tcBorders>
              <w:top w:val="single" w:color="auto" w:sz="4" w:space="0"/>
              <w:left w:val="single" w:color="auto" w:sz="4" w:space="0"/>
              <w:bottom w:val="single" w:color="auto" w:sz="4" w:space="0"/>
              <w:right w:val="single" w:color="auto" w:sz="4" w:space="0"/>
            </w:tcBorders>
            <w:vAlign w:val="center"/>
          </w:tcPr>
          <w:p w14:paraId="5C0A4654">
            <w:pPr>
              <w:widowControl/>
              <w:spacing w:line="400" w:lineRule="exact"/>
              <w:ind w:firstLine="456" w:firstLineChars="200"/>
              <w:jc w:val="left"/>
              <w:rPr>
                <w:rFonts w:hint="eastAsia" w:asciiTheme="minorEastAsia" w:hAnsiTheme="minorEastAsia" w:eastAsiaTheme="minorEastAsia" w:cstheme="minorEastAsia"/>
                <w:i/>
                <w:color w:val="auto"/>
                <w:spacing w:val="4"/>
                <w:kern w:val="0"/>
                <w:sz w:val="22"/>
              </w:rPr>
            </w:pPr>
            <w:r>
              <w:rPr>
                <w:rFonts w:hint="eastAsia" w:asciiTheme="minorEastAsia" w:hAnsiTheme="minorEastAsia" w:eastAsiaTheme="minorEastAsia" w:cstheme="minorEastAsia"/>
                <w:color w:val="auto"/>
                <w:spacing w:val="4"/>
                <w:kern w:val="0"/>
                <w:sz w:val="22"/>
              </w:rPr>
              <w:t>本次评标采用综合评估法，若出现竞标人综合评分相等时，评标委员会依次按照以下优先顺序推荐中标候选人：竞标人综合评分相等的，以竞标报价低的优先，若出现竞标人竞标报价相同的，由评标委员会按照</w:t>
            </w:r>
            <w:r>
              <w:rPr>
                <w:rFonts w:hint="eastAsia" w:asciiTheme="minorEastAsia" w:hAnsiTheme="minorEastAsia" w:eastAsiaTheme="minorEastAsia" w:cstheme="minorEastAsia"/>
                <w:color w:val="auto"/>
                <w:spacing w:val="4"/>
                <w:kern w:val="0"/>
                <w:sz w:val="22"/>
                <w:u w:val="single"/>
              </w:rPr>
              <w:t>随机抽选</w:t>
            </w:r>
            <w:r>
              <w:rPr>
                <w:rFonts w:hint="eastAsia" w:asciiTheme="minorEastAsia" w:hAnsiTheme="minorEastAsia" w:eastAsiaTheme="minorEastAsia" w:cstheme="minorEastAsia"/>
                <w:color w:val="auto"/>
                <w:spacing w:val="4"/>
                <w:kern w:val="0"/>
                <w:sz w:val="22"/>
              </w:rPr>
              <w:t>原则排序。</w:t>
            </w:r>
          </w:p>
        </w:tc>
      </w:tr>
      <w:tr w14:paraId="6D77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restart"/>
            <w:tcBorders>
              <w:top w:val="single" w:color="auto" w:sz="4" w:space="0"/>
              <w:left w:val="single" w:color="auto" w:sz="4" w:space="0"/>
              <w:right w:val="single" w:color="auto" w:sz="4" w:space="0"/>
            </w:tcBorders>
            <w:vAlign w:val="center"/>
          </w:tcPr>
          <w:p w14:paraId="4F77868E">
            <w:pPr>
              <w:spacing w:line="400" w:lineRule="exact"/>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kern w:val="0"/>
                <w:sz w:val="22"/>
                <w:szCs w:val="24"/>
              </w:rPr>
              <w:t>2.1.1</w:t>
            </w:r>
          </w:p>
        </w:tc>
        <w:tc>
          <w:tcPr>
            <w:tcW w:w="1559" w:type="dxa"/>
            <w:vMerge w:val="restart"/>
            <w:tcBorders>
              <w:top w:val="single" w:color="auto" w:sz="4" w:space="0"/>
              <w:left w:val="single" w:color="auto" w:sz="4" w:space="0"/>
              <w:right w:val="single" w:color="auto" w:sz="4" w:space="0"/>
            </w:tcBorders>
            <w:vAlign w:val="center"/>
          </w:tcPr>
          <w:p w14:paraId="3771D844">
            <w:pPr>
              <w:spacing w:line="400" w:lineRule="exact"/>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kern w:val="0"/>
                <w:sz w:val="22"/>
                <w:szCs w:val="24"/>
              </w:rPr>
              <w:t>资格评审标准</w:t>
            </w:r>
          </w:p>
        </w:tc>
        <w:tc>
          <w:tcPr>
            <w:tcW w:w="2268" w:type="dxa"/>
            <w:tcBorders>
              <w:top w:val="single" w:color="auto" w:sz="4" w:space="0"/>
              <w:left w:val="single" w:color="auto" w:sz="4" w:space="0"/>
              <w:bottom w:val="single" w:color="auto" w:sz="4" w:space="0"/>
              <w:right w:val="single" w:color="auto" w:sz="4" w:space="0"/>
            </w:tcBorders>
            <w:vAlign w:val="center"/>
          </w:tcPr>
          <w:p w14:paraId="25828B03">
            <w:pPr>
              <w:snapToGrid w:val="0"/>
              <w:spacing w:line="400" w:lineRule="exact"/>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资质要求</w:t>
            </w:r>
          </w:p>
        </w:tc>
        <w:tc>
          <w:tcPr>
            <w:tcW w:w="4855" w:type="dxa"/>
            <w:tcBorders>
              <w:top w:val="single" w:color="auto" w:sz="4" w:space="0"/>
              <w:left w:val="single" w:color="auto" w:sz="4" w:space="0"/>
              <w:bottom w:val="single" w:color="auto" w:sz="4" w:space="0"/>
              <w:right w:val="single" w:color="auto" w:sz="4" w:space="0"/>
            </w:tcBorders>
            <w:vAlign w:val="center"/>
          </w:tcPr>
          <w:p w14:paraId="1C1BB18E">
            <w:pPr>
              <w:spacing w:line="400" w:lineRule="exact"/>
              <w:ind w:firstLine="440" w:firstLineChars="200"/>
              <w:jc w:val="left"/>
              <w:rPr>
                <w:rFonts w:hint="eastAsia" w:asciiTheme="minorEastAsia" w:hAnsiTheme="minorEastAsia" w:eastAsiaTheme="minorEastAsia" w:cstheme="minorEastAsia"/>
                <w:i/>
                <w:color w:val="auto"/>
                <w:spacing w:val="4"/>
                <w:kern w:val="0"/>
                <w:sz w:val="22"/>
              </w:rPr>
            </w:pPr>
            <w:r>
              <w:rPr>
                <w:rFonts w:hint="eastAsia" w:asciiTheme="minorEastAsia" w:hAnsiTheme="minorEastAsia" w:eastAsiaTheme="minorEastAsia" w:cstheme="minorEastAsia"/>
                <w:color w:val="auto"/>
                <w:kern w:val="0"/>
                <w:sz w:val="22"/>
                <w:szCs w:val="24"/>
              </w:rPr>
              <w:t>符合第二章“竞标人须知前附表”第1.4.1项规定</w:t>
            </w:r>
          </w:p>
        </w:tc>
      </w:tr>
      <w:tr w14:paraId="61A5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right w:val="single" w:color="auto" w:sz="4" w:space="0"/>
            </w:tcBorders>
            <w:vAlign w:val="center"/>
          </w:tcPr>
          <w:p w14:paraId="18F6C73B">
            <w:pPr>
              <w:spacing w:line="400" w:lineRule="exact"/>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right w:val="single" w:color="auto" w:sz="4" w:space="0"/>
            </w:tcBorders>
            <w:vAlign w:val="center"/>
          </w:tcPr>
          <w:p w14:paraId="4E45DFF3">
            <w:pPr>
              <w:spacing w:line="400" w:lineRule="exact"/>
              <w:rPr>
                <w:rFonts w:hint="eastAsia" w:asciiTheme="minorEastAsia" w:hAnsiTheme="minorEastAsia" w:eastAsiaTheme="minorEastAsia" w:cstheme="minorEastAsia"/>
                <w:color w:val="auto"/>
                <w:sz w:val="22"/>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69AD4BFC">
            <w:pPr>
              <w:snapToGrid w:val="0"/>
              <w:spacing w:line="400" w:lineRule="exact"/>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竞标截止日竞标资格情况</w:t>
            </w:r>
          </w:p>
        </w:tc>
        <w:tc>
          <w:tcPr>
            <w:tcW w:w="4855" w:type="dxa"/>
            <w:tcBorders>
              <w:top w:val="single" w:color="auto" w:sz="4" w:space="0"/>
              <w:left w:val="single" w:color="auto" w:sz="4" w:space="0"/>
              <w:bottom w:val="single" w:color="auto" w:sz="4" w:space="0"/>
              <w:right w:val="single" w:color="auto" w:sz="4" w:space="0"/>
            </w:tcBorders>
            <w:vAlign w:val="center"/>
          </w:tcPr>
          <w:p w14:paraId="3848F32A">
            <w:pPr>
              <w:spacing w:line="400" w:lineRule="exact"/>
              <w:ind w:firstLine="440" w:firstLineChars="200"/>
              <w:jc w:val="left"/>
              <w:rPr>
                <w:rFonts w:hint="eastAsia" w:asciiTheme="minorEastAsia" w:hAnsiTheme="minorEastAsia" w:eastAsiaTheme="minorEastAsia" w:cstheme="minorEastAsia"/>
                <w:i/>
                <w:color w:val="auto"/>
                <w:spacing w:val="4"/>
                <w:kern w:val="0"/>
                <w:sz w:val="22"/>
              </w:rPr>
            </w:pPr>
            <w:r>
              <w:rPr>
                <w:rFonts w:hint="eastAsia" w:asciiTheme="minorEastAsia" w:hAnsiTheme="minorEastAsia" w:eastAsiaTheme="minorEastAsia" w:cstheme="minorEastAsia"/>
                <w:color w:val="auto"/>
                <w:kern w:val="0"/>
                <w:sz w:val="22"/>
                <w:szCs w:val="24"/>
              </w:rPr>
              <w:t>符合第二章“竞标人须知前附表”第1.4.1项规定</w:t>
            </w:r>
          </w:p>
        </w:tc>
      </w:tr>
      <w:tr w14:paraId="6A14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right w:val="single" w:color="auto" w:sz="4" w:space="0"/>
            </w:tcBorders>
            <w:vAlign w:val="center"/>
          </w:tcPr>
          <w:p w14:paraId="22396C5E">
            <w:pPr>
              <w:spacing w:line="400" w:lineRule="exact"/>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right w:val="single" w:color="auto" w:sz="4" w:space="0"/>
            </w:tcBorders>
            <w:vAlign w:val="center"/>
          </w:tcPr>
          <w:p w14:paraId="0FFF1F2E">
            <w:pPr>
              <w:spacing w:line="400" w:lineRule="exact"/>
              <w:rPr>
                <w:rFonts w:hint="eastAsia" w:asciiTheme="minorEastAsia" w:hAnsiTheme="minorEastAsia" w:eastAsiaTheme="minorEastAsia" w:cstheme="minorEastAsia"/>
                <w:color w:val="auto"/>
                <w:sz w:val="22"/>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495BD0B2">
            <w:pPr>
              <w:snapToGrid w:val="0"/>
              <w:spacing w:after="108" w:afterLines="25" w:line="400" w:lineRule="exact"/>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人员要求</w:t>
            </w:r>
          </w:p>
        </w:tc>
        <w:tc>
          <w:tcPr>
            <w:tcW w:w="4855" w:type="dxa"/>
            <w:tcBorders>
              <w:top w:val="single" w:color="auto" w:sz="4" w:space="0"/>
              <w:left w:val="single" w:color="auto" w:sz="4" w:space="0"/>
              <w:bottom w:val="single" w:color="auto" w:sz="4" w:space="0"/>
              <w:right w:val="single" w:color="auto" w:sz="4" w:space="0"/>
            </w:tcBorders>
            <w:vAlign w:val="center"/>
          </w:tcPr>
          <w:p w14:paraId="62622437">
            <w:pPr>
              <w:spacing w:line="400" w:lineRule="exact"/>
              <w:ind w:firstLine="440" w:firstLineChars="200"/>
              <w:jc w:val="left"/>
              <w:rPr>
                <w:rFonts w:hint="eastAsia" w:asciiTheme="minorEastAsia" w:hAnsiTheme="minorEastAsia" w:eastAsiaTheme="minorEastAsia" w:cstheme="minorEastAsia"/>
                <w:i/>
                <w:color w:val="auto"/>
                <w:spacing w:val="4"/>
                <w:kern w:val="0"/>
                <w:sz w:val="22"/>
              </w:rPr>
            </w:pPr>
            <w:r>
              <w:rPr>
                <w:rFonts w:hint="eastAsia" w:asciiTheme="minorEastAsia" w:hAnsiTheme="minorEastAsia" w:eastAsiaTheme="minorEastAsia" w:cstheme="minorEastAsia"/>
                <w:color w:val="auto"/>
                <w:kern w:val="0"/>
                <w:sz w:val="22"/>
                <w:szCs w:val="24"/>
              </w:rPr>
              <w:t>符合第二章“竞标人须知前附表”第1.4.1项规定</w:t>
            </w:r>
          </w:p>
        </w:tc>
      </w:tr>
      <w:tr w14:paraId="728A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bottom w:val="single" w:color="auto" w:sz="4" w:space="0"/>
              <w:right w:val="single" w:color="auto" w:sz="4" w:space="0"/>
            </w:tcBorders>
            <w:vAlign w:val="center"/>
          </w:tcPr>
          <w:p w14:paraId="230A2727">
            <w:pPr>
              <w:spacing w:line="400" w:lineRule="exact"/>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bottom w:val="single" w:color="auto" w:sz="4" w:space="0"/>
              <w:right w:val="single" w:color="auto" w:sz="4" w:space="0"/>
            </w:tcBorders>
            <w:vAlign w:val="center"/>
          </w:tcPr>
          <w:p w14:paraId="578CC93A">
            <w:pPr>
              <w:spacing w:line="400" w:lineRule="exact"/>
              <w:rPr>
                <w:rFonts w:hint="eastAsia" w:asciiTheme="minorEastAsia" w:hAnsiTheme="minorEastAsia" w:eastAsiaTheme="minorEastAsia" w:cstheme="minorEastAsia"/>
                <w:color w:val="auto"/>
                <w:sz w:val="22"/>
                <w:szCs w:val="24"/>
              </w:rPr>
            </w:pPr>
          </w:p>
        </w:tc>
        <w:tc>
          <w:tcPr>
            <w:tcW w:w="2268" w:type="dxa"/>
            <w:tcBorders>
              <w:top w:val="single" w:color="auto" w:sz="4" w:space="0"/>
              <w:left w:val="single" w:color="auto" w:sz="4" w:space="0"/>
              <w:bottom w:val="single" w:color="auto" w:sz="4" w:space="0"/>
              <w:right w:val="single" w:color="auto" w:sz="4" w:space="0"/>
            </w:tcBorders>
          </w:tcPr>
          <w:p w14:paraId="4F10898A">
            <w:pPr>
              <w:spacing w:line="400" w:lineRule="exact"/>
              <w:jc w:val="left"/>
              <w:rPr>
                <w:rFonts w:hint="eastAsia" w:asciiTheme="minorEastAsia" w:hAnsiTheme="minorEastAsia" w:eastAsiaTheme="minorEastAsia" w:cstheme="minorEastAsia"/>
                <w:i/>
                <w:color w:val="auto"/>
                <w:spacing w:val="4"/>
                <w:kern w:val="0"/>
                <w:sz w:val="22"/>
              </w:rPr>
            </w:pPr>
            <w:r>
              <w:rPr>
                <w:rFonts w:hint="eastAsia" w:asciiTheme="minorEastAsia" w:hAnsiTheme="minorEastAsia" w:eastAsiaTheme="minorEastAsia" w:cstheme="minorEastAsia"/>
                <w:color w:val="auto"/>
                <w:kern w:val="0"/>
                <w:sz w:val="22"/>
                <w:szCs w:val="24"/>
              </w:rPr>
              <w:t>其他要求</w:t>
            </w:r>
          </w:p>
        </w:tc>
        <w:tc>
          <w:tcPr>
            <w:tcW w:w="4855" w:type="dxa"/>
            <w:tcBorders>
              <w:top w:val="single" w:color="auto" w:sz="4" w:space="0"/>
              <w:left w:val="single" w:color="auto" w:sz="4" w:space="0"/>
              <w:bottom w:val="single" w:color="auto" w:sz="4" w:space="0"/>
              <w:right w:val="single" w:color="auto" w:sz="4" w:space="0"/>
            </w:tcBorders>
            <w:vAlign w:val="center"/>
          </w:tcPr>
          <w:p w14:paraId="48795A4F">
            <w:pPr>
              <w:spacing w:line="400" w:lineRule="exact"/>
              <w:ind w:firstLine="440" w:firstLineChars="200"/>
              <w:jc w:val="left"/>
              <w:rPr>
                <w:rFonts w:hint="eastAsia" w:asciiTheme="minorEastAsia" w:hAnsiTheme="minorEastAsia" w:eastAsiaTheme="minorEastAsia" w:cstheme="minorEastAsia"/>
                <w:i/>
                <w:color w:val="auto"/>
                <w:spacing w:val="4"/>
                <w:kern w:val="0"/>
                <w:sz w:val="22"/>
              </w:rPr>
            </w:pPr>
            <w:r>
              <w:rPr>
                <w:rFonts w:hint="eastAsia" w:asciiTheme="minorEastAsia" w:hAnsiTheme="minorEastAsia" w:eastAsiaTheme="minorEastAsia" w:cstheme="minorEastAsia"/>
                <w:color w:val="auto"/>
                <w:kern w:val="0"/>
                <w:sz w:val="22"/>
                <w:szCs w:val="24"/>
              </w:rPr>
              <w:t>符合第二章“竞标人须知前附表”第1.4.1项规定</w:t>
            </w:r>
          </w:p>
        </w:tc>
      </w:tr>
      <w:tr w14:paraId="4F52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restart"/>
            <w:tcBorders>
              <w:left w:val="single" w:color="auto" w:sz="4" w:space="0"/>
              <w:right w:val="single" w:color="auto" w:sz="4" w:space="0"/>
            </w:tcBorders>
            <w:vAlign w:val="center"/>
          </w:tcPr>
          <w:p w14:paraId="42A271EA">
            <w:pPr>
              <w:spacing w:line="400" w:lineRule="exact"/>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kern w:val="0"/>
                <w:sz w:val="22"/>
                <w:szCs w:val="24"/>
              </w:rPr>
              <w:t>2.1.2</w:t>
            </w:r>
          </w:p>
        </w:tc>
        <w:tc>
          <w:tcPr>
            <w:tcW w:w="1559" w:type="dxa"/>
            <w:vMerge w:val="restart"/>
            <w:tcBorders>
              <w:left w:val="single" w:color="auto" w:sz="4" w:space="0"/>
              <w:right w:val="single" w:color="auto" w:sz="4" w:space="0"/>
            </w:tcBorders>
            <w:vAlign w:val="center"/>
          </w:tcPr>
          <w:p w14:paraId="6CF908A1">
            <w:pPr>
              <w:spacing w:line="400" w:lineRule="exact"/>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kern w:val="0"/>
                <w:sz w:val="22"/>
                <w:szCs w:val="24"/>
              </w:rPr>
              <w:t>形式评审标准</w:t>
            </w:r>
          </w:p>
        </w:tc>
        <w:tc>
          <w:tcPr>
            <w:tcW w:w="2268" w:type="dxa"/>
            <w:tcBorders>
              <w:top w:val="single" w:color="auto" w:sz="4" w:space="0"/>
              <w:left w:val="single" w:color="auto" w:sz="4" w:space="0"/>
              <w:bottom w:val="single" w:color="auto" w:sz="4" w:space="0"/>
              <w:right w:val="single" w:color="auto" w:sz="4" w:space="0"/>
            </w:tcBorders>
            <w:vAlign w:val="center"/>
          </w:tcPr>
          <w:p w14:paraId="28CCF489">
            <w:pPr>
              <w:spacing w:line="400" w:lineRule="exact"/>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竞标人名称</w:t>
            </w:r>
          </w:p>
        </w:tc>
        <w:tc>
          <w:tcPr>
            <w:tcW w:w="4855" w:type="dxa"/>
            <w:tcBorders>
              <w:top w:val="single" w:color="auto" w:sz="4" w:space="0"/>
              <w:left w:val="single" w:color="auto" w:sz="4" w:space="0"/>
              <w:bottom w:val="single" w:color="auto" w:sz="4" w:space="0"/>
              <w:right w:val="single" w:color="auto" w:sz="4" w:space="0"/>
            </w:tcBorders>
            <w:vAlign w:val="center"/>
          </w:tcPr>
          <w:p w14:paraId="59CE02E9">
            <w:pPr>
              <w:spacing w:line="400" w:lineRule="exact"/>
              <w:ind w:firstLine="440" w:firstLineChars="200"/>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与营业执照一致，依法变更名称的应提交相应证明材料。</w:t>
            </w:r>
          </w:p>
        </w:tc>
      </w:tr>
      <w:tr w14:paraId="40A1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right w:val="single" w:color="auto" w:sz="4" w:space="0"/>
            </w:tcBorders>
            <w:vAlign w:val="center"/>
          </w:tcPr>
          <w:p w14:paraId="2C383C4C">
            <w:pPr>
              <w:spacing w:line="400" w:lineRule="exact"/>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right w:val="single" w:color="auto" w:sz="4" w:space="0"/>
            </w:tcBorders>
            <w:vAlign w:val="center"/>
          </w:tcPr>
          <w:p w14:paraId="046DF05A">
            <w:pPr>
              <w:spacing w:line="400" w:lineRule="exact"/>
              <w:rPr>
                <w:rFonts w:hint="eastAsia" w:asciiTheme="minorEastAsia" w:hAnsiTheme="minorEastAsia" w:eastAsiaTheme="minorEastAsia" w:cstheme="minorEastAsia"/>
                <w:color w:val="auto"/>
                <w:sz w:val="22"/>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08AA5DC7">
            <w:pPr>
              <w:spacing w:line="400" w:lineRule="exact"/>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竞标文件格式</w:t>
            </w:r>
          </w:p>
        </w:tc>
        <w:tc>
          <w:tcPr>
            <w:tcW w:w="4855" w:type="dxa"/>
            <w:tcBorders>
              <w:top w:val="single" w:color="auto" w:sz="4" w:space="0"/>
              <w:left w:val="single" w:color="auto" w:sz="4" w:space="0"/>
              <w:bottom w:val="single" w:color="auto" w:sz="4" w:space="0"/>
              <w:right w:val="single" w:color="auto" w:sz="4" w:space="0"/>
            </w:tcBorders>
            <w:vAlign w:val="center"/>
          </w:tcPr>
          <w:p w14:paraId="0ADC4DCC">
            <w:pPr>
              <w:spacing w:line="400" w:lineRule="exact"/>
              <w:ind w:firstLine="440" w:firstLineChars="200"/>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符合第二章“竞标人须知”第3.7款的要求。</w:t>
            </w:r>
          </w:p>
        </w:tc>
      </w:tr>
      <w:tr w14:paraId="63A2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right w:val="single" w:color="auto" w:sz="4" w:space="0"/>
            </w:tcBorders>
            <w:vAlign w:val="center"/>
          </w:tcPr>
          <w:p w14:paraId="075D75FA">
            <w:pPr>
              <w:spacing w:line="400" w:lineRule="exact"/>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right w:val="single" w:color="auto" w:sz="4" w:space="0"/>
            </w:tcBorders>
            <w:vAlign w:val="center"/>
          </w:tcPr>
          <w:p w14:paraId="27839AD0">
            <w:pPr>
              <w:spacing w:line="400" w:lineRule="exact"/>
              <w:rPr>
                <w:rFonts w:hint="eastAsia" w:asciiTheme="minorEastAsia" w:hAnsiTheme="minorEastAsia" w:eastAsiaTheme="minorEastAsia" w:cstheme="minorEastAsia"/>
                <w:color w:val="auto"/>
                <w:sz w:val="22"/>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7ED6F0BB">
            <w:pPr>
              <w:spacing w:line="400" w:lineRule="exact"/>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竞标文件的签署</w:t>
            </w:r>
          </w:p>
        </w:tc>
        <w:tc>
          <w:tcPr>
            <w:tcW w:w="4855" w:type="dxa"/>
            <w:tcBorders>
              <w:top w:val="single" w:color="auto" w:sz="4" w:space="0"/>
              <w:left w:val="single" w:color="auto" w:sz="4" w:space="0"/>
              <w:bottom w:val="single" w:color="auto" w:sz="4" w:space="0"/>
              <w:right w:val="single" w:color="auto" w:sz="4" w:space="0"/>
            </w:tcBorders>
            <w:vAlign w:val="center"/>
          </w:tcPr>
          <w:p w14:paraId="16DE279A">
            <w:pPr>
              <w:autoSpaceDE w:val="0"/>
              <w:autoSpaceDN w:val="0"/>
              <w:adjustRightInd w:val="0"/>
              <w:snapToGrid w:val="0"/>
              <w:spacing w:line="400" w:lineRule="exact"/>
              <w:ind w:firstLine="440" w:firstLineChars="200"/>
              <w:rPr>
                <w:rFonts w:hint="eastAsia" w:asciiTheme="minorEastAsia" w:hAnsiTheme="minorEastAsia" w:eastAsiaTheme="minorEastAsia" w:cstheme="minorEastAsia"/>
                <w:color w:val="auto"/>
                <w:kern w:val="0"/>
                <w:sz w:val="22"/>
                <w:szCs w:val="24"/>
              </w:rPr>
            </w:pPr>
            <w:r>
              <w:rPr>
                <w:rFonts w:hint="eastAsia" w:ascii="宋体" w:hAnsi="宋体"/>
                <w:color w:val="auto"/>
                <w:kern w:val="0"/>
                <w:sz w:val="22"/>
                <w:szCs w:val="24"/>
              </w:rPr>
              <w:t>第五章竞标</w:t>
            </w:r>
            <w:r>
              <w:rPr>
                <w:rFonts w:ascii="宋体" w:hAnsi="宋体"/>
                <w:color w:val="auto"/>
                <w:kern w:val="0"/>
                <w:sz w:val="22"/>
                <w:szCs w:val="24"/>
              </w:rPr>
              <w:t>文件</w:t>
            </w:r>
            <w:r>
              <w:rPr>
                <w:rFonts w:hint="eastAsia" w:ascii="宋体" w:hAnsi="宋体"/>
                <w:color w:val="auto"/>
                <w:kern w:val="0"/>
                <w:sz w:val="22"/>
                <w:szCs w:val="24"/>
              </w:rPr>
              <w:t>格式要求</w:t>
            </w:r>
            <w:r>
              <w:rPr>
                <w:rFonts w:ascii="宋体" w:hAnsi="宋体"/>
                <w:color w:val="auto"/>
                <w:kern w:val="0"/>
                <w:sz w:val="22"/>
                <w:szCs w:val="24"/>
              </w:rPr>
              <w:t>法定代表人或其委托代理人签字（或盖章）</w:t>
            </w:r>
            <w:r>
              <w:rPr>
                <w:rFonts w:hint="eastAsia" w:ascii="宋体" w:hAnsi="宋体"/>
                <w:color w:val="auto"/>
                <w:kern w:val="0"/>
                <w:sz w:val="22"/>
                <w:szCs w:val="24"/>
              </w:rPr>
              <w:t>的须</w:t>
            </w:r>
            <w:r>
              <w:rPr>
                <w:rFonts w:ascii="宋体" w:hAnsi="宋体"/>
                <w:color w:val="auto"/>
                <w:kern w:val="0"/>
                <w:sz w:val="22"/>
                <w:szCs w:val="24"/>
              </w:rPr>
              <w:t>齐全。</w:t>
            </w:r>
          </w:p>
        </w:tc>
      </w:tr>
      <w:tr w14:paraId="7A5E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bottom w:val="single" w:color="auto" w:sz="4" w:space="0"/>
              <w:right w:val="single" w:color="auto" w:sz="4" w:space="0"/>
            </w:tcBorders>
            <w:vAlign w:val="center"/>
          </w:tcPr>
          <w:p w14:paraId="5A08866F">
            <w:pPr>
              <w:spacing w:line="400" w:lineRule="exact"/>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bottom w:val="single" w:color="auto" w:sz="4" w:space="0"/>
              <w:right w:val="single" w:color="auto" w:sz="4" w:space="0"/>
            </w:tcBorders>
            <w:vAlign w:val="center"/>
          </w:tcPr>
          <w:p w14:paraId="141A44D7">
            <w:pPr>
              <w:spacing w:line="400" w:lineRule="exact"/>
              <w:rPr>
                <w:rFonts w:hint="eastAsia" w:asciiTheme="minorEastAsia" w:hAnsiTheme="minorEastAsia" w:eastAsiaTheme="minorEastAsia" w:cstheme="minorEastAsia"/>
                <w:color w:val="auto"/>
                <w:sz w:val="22"/>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4ECFB0E4">
            <w:pPr>
              <w:spacing w:line="400" w:lineRule="exact"/>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委托代理人</w:t>
            </w:r>
          </w:p>
        </w:tc>
        <w:tc>
          <w:tcPr>
            <w:tcW w:w="4855" w:type="dxa"/>
            <w:tcBorders>
              <w:top w:val="single" w:color="auto" w:sz="4" w:space="0"/>
              <w:left w:val="single" w:color="auto" w:sz="4" w:space="0"/>
              <w:bottom w:val="single" w:color="auto" w:sz="4" w:space="0"/>
              <w:right w:val="single" w:color="auto" w:sz="4" w:space="0"/>
            </w:tcBorders>
            <w:vAlign w:val="center"/>
          </w:tcPr>
          <w:p w14:paraId="10C1EAEE">
            <w:pPr>
              <w:spacing w:line="400" w:lineRule="exact"/>
              <w:ind w:firstLine="440" w:firstLineChars="200"/>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竞标人法定代表人的委托代理人有法定代表人签署的授权委托书。</w:t>
            </w:r>
          </w:p>
        </w:tc>
      </w:tr>
      <w:tr w14:paraId="3587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restart"/>
            <w:tcBorders>
              <w:left w:val="single" w:color="auto" w:sz="4" w:space="0"/>
              <w:right w:val="single" w:color="auto" w:sz="4" w:space="0"/>
            </w:tcBorders>
            <w:vAlign w:val="center"/>
          </w:tcPr>
          <w:p w14:paraId="1293205A">
            <w:pPr>
              <w:spacing w:line="400" w:lineRule="exact"/>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sz w:val="22"/>
                <w:szCs w:val="24"/>
              </w:rPr>
              <w:t>2.1.3</w:t>
            </w:r>
          </w:p>
        </w:tc>
        <w:tc>
          <w:tcPr>
            <w:tcW w:w="1559" w:type="dxa"/>
            <w:vMerge w:val="restart"/>
            <w:tcBorders>
              <w:left w:val="single" w:color="auto" w:sz="4" w:space="0"/>
              <w:right w:val="single" w:color="auto" w:sz="4" w:space="0"/>
            </w:tcBorders>
            <w:vAlign w:val="center"/>
          </w:tcPr>
          <w:p w14:paraId="314CE0A8">
            <w:pPr>
              <w:spacing w:line="400" w:lineRule="exact"/>
              <w:jc w:val="center"/>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响应性评审</w:t>
            </w:r>
          </w:p>
          <w:p w14:paraId="6D535D34">
            <w:pPr>
              <w:spacing w:line="400" w:lineRule="exact"/>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kern w:val="0"/>
                <w:sz w:val="22"/>
                <w:szCs w:val="24"/>
              </w:rPr>
              <w:t>标准</w:t>
            </w:r>
          </w:p>
        </w:tc>
        <w:tc>
          <w:tcPr>
            <w:tcW w:w="2268" w:type="dxa"/>
            <w:tcBorders>
              <w:top w:val="single" w:color="auto" w:sz="4" w:space="0"/>
              <w:left w:val="single" w:color="auto" w:sz="4" w:space="0"/>
              <w:bottom w:val="single" w:color="auto" w:sz="4" w:space="0"/>
              <w:right w:val="single" w:color="auto" w:sz="4" w:space="0"/>
            </w:tcBorders>
            <w:vAlign w:val="center"/>
          </w:tcPr>
          <w:p w14:paraId="322B7B5E">
            <w:pPr>
              <w:spacing w:line="460" w:lineRule="exact"/>
              <w:jc w:val="left"/>
              <w:rPr>
                <w:rFonts w:hint="eastAsia" w:ascii="宋体" w:hAnsi="宋体"/>
                <w:color w:val="auto"/>
                <w:kern w:val="0"/>
                <w:sz w:val="22"/>
                <w:szCs w:val="24"/>
              </w:rPr>
            </w:pPr>
            <w:r>
              <w:rPr>
                <w:rFonts w:hint="eastAsia" w:ascii="宋体" w:hAnsi="宋体"/>
                <w:color w:val="auto"/>
                <w:kern w:val="0"/>
                <w:sz w:val="22"/>
                <w:szCs w:val="24"/>
              </w:rPr>
              <w:t>竞标</w:t>
            </w:r>
            <w:r>
              <w:rPr>
                <w:rFonts w:ascii="宋体" w:hAnsi="宋体"/>
                <w:color w:val="auto"/>
                <w:kern w:val="0"/>
                <w:sz w:val="22"/>
                <w:szCs w:val="24"/>
              </w:rPr>
              <w:t>报价</w:t>
            </w:r>
          </w:p>
        </w:tc>
        <w:tc>
          <w:tcPr>
            <w:tcW w:w="4855" w:type="dxa"/>
            <w:tcBorders>
              <w:top w:val="single" w:color="auto" w:sz="4" w:space="0"/>
              <w:left w:val="single" w:color="auto" w:sz="4" w:space="0"/>
              <w:bottom w:val="single" w:color="auto" w:sz="4" w:space="0"/>
              <w:right w:val="single" w:color="auto" w:sz="4" w:space="0"/>
            </w:tcBorders>
            <w:vAlign w:val="center"/>
          </w:tcPr>
          <w:p w14:paraId="49289925">
            <w:pPr>
              <w:spacing w:line="460" w:lineRule="exact"/>
              <w:ind w:firstLine="440" w:firstLineChars="200"/>
              <w:rPr>
                <w:rFonts w:hint="eastAsia" w:ascii="宋体" w:hAnsi="宋体"/>
                <w:color w:val="auto"/>
                <w:kern w:val="0"/>
                <w:sz w:val="22"/>
                <w:szCs w:val="24"/>
              </w:rPr>
            </w:pPr>
            <w:r>
              <w:rPr>
                <w:rFonts w:hint="eastAsia" w:ascii="宋体" w:hAnsi="宋体"/>
                <w:color w:val="auto"/>
                <w:kern w:val="0"/>
                <w:sz w:val="22"/>
                <w:szCs w:val="24"/>
              </w:rPr>
              <w:t>竞标</w:t>
            </w:r>
            <w:r>
              <w:rPr>
                <w:rFonts w:ascii="宋体" w:hAnsi="宋体"/>
                <w:color w:val="auto"/>
                <w:kern w:val="0"/>
                <w:sz w:val="22"/>
                <w:szCs w:val="24"/>
              </w:rPr>
              <w:t>报价不得高于</w:t>
            </w:r>
            <w:r>
              <w:rPr>
                <w:rFonts w:hint="eastAsia" w:ascii="宋体" w:hAnsi="宋体"/>
                <w:color w:val="auto"/>
                <w:kern w:val="0"/>
                <w:sz w:val="22"/>
                <w:szCs w:val="24"/>
              </w:rPr>
              <w:t>比选人</w:t>
            </w:r>
            <w:r>
              <w:rPr>
                <w:rFonts w:ascii="宋体" w:hAnsi="宋体"/>
                <w:color w:val="auto"/>
                <w:kern w:val="0"/>
                <w:sz w:val="22"/>
                <w:szCs w:val="24"/>
              </w:rPr>
              <w:t>公布的最高限价</w:t>
            </w:r>
            <w:r>
              <w:rPr>
                <w:rFonts w:hint="eastAsia" w:ascii="宋体" w:hAnsi="宋体"/>
                <w:color w:val="auto"/>
                <w:kern w:val="0"/>
                <w:sz w:val="22"/>
                <w:szCs w:val="24"/>
              </w:rPr>
              <w:t>。</w:t>
            </w:r>
          </w:p>
        </w:tc>
      </w:tr>
      <w:tr w14:paraId="0716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right w:val="single" w:color="auto" w:sz="4" w:space="0"/>
            </w:tcBorders>
            <w:vAlign w:val="center"/>
          </w:tcPr>
          <w:p w14:paraId="3A68E70C">
            <w:pPr>
              <w:spacing w:line="400" w:lineRule="exact"/>
              <w:jc w:val="center"/>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right w:val="single" w:color="auto" w:sz="4" w:space="0"/>
            </w:tcBorders>
            <w:vAlign w:val="center"/>
          </w:tcPr>
          <w:p w14:paraId="65748EB9">
            <w:pPr>
              <w:spacing w:line="400" w:lineRule="exact"/>
              <w:jc w:val="center"/>
              <w:rPr>
                <w:rFonts w:hint="eastAsia" w:asciiTheme="minorEastAsia" w:hAnsiTheme="minorEastAsia" w:eastAsiaTheme="minorEastAsia" w:cstheme="minorEastAsia"/>
                <w:color w:val="auto"/>
                <w:kern w:val="0"/>
                <w:sz w:val="22"/>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43944778">
            <w:pPr>
              <w:spacing w:line="400" w:lineRule="exact"/>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竞标内容</w:t>
            </w:r>
          </w:p>
        </w:tc>
        <w:tc>
          <w:tcPr>
            <w:tcW w:w="4855" w:type="dxa"/>
            <w:tcBorders>
              <w:top w:val="single" w:color="auto" w:sz="4" w:space="0"/>
              <w:left w:val="single" w:color="auto" w:sz="4" w:space="0"/>
              <w:bottom w:val="single" w:color="auto" w:sz="4" w:space="0"/>
              <w:right w:val="single" w:color="auto" w:sz="4" w:space="0"/>
            </w:tcBorders>
            <w:vAlign w:val="center"/>
          </w:tcPr>
          <w:p w14:paraId="2A868E87">
            <w:pPr>
              <w:spacing w:line="400" w:lineRule="exact"/>
              <w:ind w:firstLine="440" w:firstLineChars="200"/>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符合第二章“竞标人须知前附表”第1.3.1项规定</w:t>
            </w:r>
          </w:p>
        </w:tc>
      </w:tr>
      <w:tr w14:paraId="1A9E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right w:val="single" w:color="auto" w:sz="4" w:space="0"/>
            </w:tcBorders>
            <w:vAlign w:val="center"/>
          </w:tcPr>
          <w:p w14:paraId="080E9B29">
            <w:pPr>
              <w:spacing w:line="400" w:lineRule="exact"/>
              <w:jc w:val="center"/>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right w:val="single" w:color="auto" w:sz="4" w:space="0"/>
            </w:tcBorders>
            <w:vAlign w:val="center"/>
          </w:tcPr>
          <w:p w14:paraId="3363354F">
            <w:pPr>
              <w:spacing w:line="400" w:lineRule="exact"/>
              <w:jc w:val="center"/>
              <w:rPr>
                <w:rFonts w:hint="eastAsia" w:asciiTheme="minorEastAsia" w:hAnsiTheme="minorEastAsia" w:eastAsiaTheme="minorEastAsia" w:cstheme="minorEastAsia"/>
                <w:color w:val="auto"/>
                <w:kern w:val="0"/>
                <w:sz w:val="22"/>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0000E122">
            <w:pPr>
              <w:spacing w:line="400" w:lineRule="exact"/>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竞标保证金</w:t>
            </w:r>
          </w:p>
        </w:tc>
        <w:tc>
          <w:tcPr>
            <w:tcW w:w="4855" w:type="dxa"/>
            <w:tcBorders>
              <w:top w:val="single" w:color="auto" w:sz="4" w:space="0"/>
              <w:left w:val="single" w:color="auto" w:sz="4" w:space="0"/>
              <w:bottom w:val="single" w:color="auto" w:sz="4" w:space="0"/>
              <w:right w:val="single" w:color="auto" w:sz="4" w:space="0"/>
            </w:tcBorders>
            <w:vAlign w:val="center"/>
          </w:tcPr>
          <w:p w14:paraId="3CC98921">
            <w:pPr>
              <w:spacing w:line="400" w:lineRule="exact"/>
              <w:ind w:firstLine="440" w:firstLineChars="200"/>
              <w:jc w:val="left"/>
              <w:rPr>
                <w:rFonts w:hint="eastAsia" w:ascii="宋体" w:hAnsi="宋体"/>
                <w:color w:val="auto"/>
                <w:sz w:val="22"/>
              </w:rPr>
            </w:pPr>
            <w:r>
              <w:rPr>
                <w:rFonts w:hint="eastAsia" w:ascii="宋体" w:hAnsi="宋体"/>
                <w:color w:val="auto"/>
                <w:sz w:val="22"/>
              </w:rPr>
              <w:t>符合第二章“竞标人须知前附表”第3.4.1项规定</w:t>
            </w:r>
          </w:p>
        </w:tc>
      </w:tr>
      <w:tr w14:paraId="10BF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right w:val="single" w:color="auto" w:sz="4" w:space="0"/>
            </w:tcBorders>
            <w:vAlign w:val="center"/>
          </w:tcPr>
          <w:p w14:paraId="4D5B34AD">
            <w:pPr>
              <w:spacing w:line="400" w:lineRule="exact"/>
              <w:jc w:val="center"/>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right w:val="single" w:color="auto" w:sz="4" w:space="0"/>
            </w:tcBorders>
            <w:vAlign w:val="center"/>
          </w:tcPr>
          <w:p w14:paraId="3F00B0C2">
            <w:pPr>
              <w:spacing w:line="400" w:lineRule="exact"/>
              <w:jc w:val="center"/>
              <w:rPr>
                <w:rFonts w:hint="eastAsia" w:asciiTheme="minorEastAsia" w:hAnsiTheme="minorEastAsia" w:eastAsiaTheme="minorEastAsia" w:cstheme="minorEastAsia"/>
                <w:color w:val="auto"/>
                <w:kern w:val="0"/>
                <w:sz w:val="22"/>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1889C923">
            <w:pPr>
              <w:spacing w:line="400" w:lineRule="exact"/>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服务期限</w:t>
            </w:r>
          </w:p>
        </w:tc>
        <w:tc>
          <w:tcPr>
            <w:tcW w:w="4855" w:type="dxa"/>
            <w:tcBorders>
              <w:top w:val="single" w:color="auto" w:sz="4" w:space="0"/>
              <w:left w:val="single" w:color="auto" w:sz="4" w:space="0"/>
              <w:bottom w:val="single" w:color="auto" w:sz="4" w:space="0"/>
              <w:right w:val="single" w:color="auto" w:sz="4" w:space="0"/>
            </w:tcBorders>
            <w:vAlign w:val="center"/>
          </w:tcPr>
          <w:p w14:paraId="78F60234">
            <w:pPr>
              <w:spacing w:line="400" w:lineRule="exact"/>
              <w:ind w:firstLine="440" w:firstLineChars="200"/>
              <w:jc w:val="left"/>
              <w:rPr>
                <w:rFonts w:hint="eastAsia" w:asciiTheme="minorEastAsia" w:hAnsiTheme="minorEastAsia" w:eastAsiaTheme="minorEastAsia" w:cstheme="minorEastAsia"/>
                <w:color w:val="auto"/>
                <w:kern w:val="0"/>
                <w:sz w:val="22"/>
                <w:szCs w:val="24"/>
              </w:rPr>
            </w:pPr>
            <w:r>
              <w:rPr>
                <w:rFonts w:hint="eastAsia" w:ascii="宋体" w:hAnsi="宋体"/>
                <w:color w:val="auto"/>
                <w:sz w:val="22"/>
              </w:rPr>
              <w:t>符合第二章“竞标人须知</w:t>
            </w:r>
            <w:r>
              <w:rPr>
                <w:rFonts w:hint="eastAsia" w:asciiTheme="minorEastAsia" w:hAnsiTheme="minorEastAsia" w:eastAsiaTheme="minorEastAsia" w:cstheme="minorEastAsia"/>
                <w:color w:val="auto"/>
                <w:kern w:val="0"/>
                <w:sz w:val="22"/>
                <w:szCs w:val="24"/>
              </w:rPr>
              <w:t>前附表</w:t>
            </w:r>
            <w:r>
              <w:rPr>
                <w:rFonts w:hint="eastAsia" w:ascii="宋体" w:hAnsi="宋体"/>
                <w:color w:val="auto"/>
                <w:sz w:val="22"/>
              </w:rPr>
              <w:t>”第1.3.2项规定</w:t>
            </w:r>
            <w:r>
              <w:rPr>
                <w:rFonts w:hint="eastAsia" w:asciiTheme="minorEastAsia" w:hAnsiTheme="minorEastAsia" w:eastAsiaTheme="minorEastAsia" w:cstheme="minorEastAsia"/>
                <w:color w:val="auto"/>
                <w:kern w:val="0"/>
                <w:sz w:val="22"/>
                <w:szCs w:val="24"/>
              </w:rPr>
              <w:t xml:space="preserve"> </w:t>
            </w:r>
          </w:p>
        </w:tc>
      </w:tr>
      <w:tr w14:paraId="00B0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right w:val="single" w:color="auto" w:sz="4" w:space="0"/>
            </w:tcBorders>
            <w:vAlign w:val="center"/>
          </w:tcPr>
          <w:p w14:paraId="1B709D5A">
            <w:pPr>
              <w:spacing w:line="400" w:lineRule="exact"/>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right w:val="single" w:color="auto" w:sz="4" w:space="0"/>
            </w:tcBorders>
            <w:vAlign w:val="center"/>
          </w:tcPr>
          <w:p w14:paraId="4A51453C">
            <w:pPr>
              <w:spacing w:line="400" w:lineRule="exact"/>
              <w:rPr>
                <w:rFonts w:hint="eastAsia" w:asciiTheme="minorEastAsia" w:hAnsiTheme="minorEastAsia" w:eastAsiaTheme="minorEastAsia" w:cstheme="minorEastAsia"/>
                <w:color w:val="auto"/>
                <w:sz w:val="22"/>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2AD9E9D6">
            <w:pPr>
              <w:snapToGrid w:val="0"/>
              <w:spacing w:line="400" w:lineRule="exact"/>
              <w:jc w:val="left"/>
              <w:rPr>
                <w:rFonts w:hint="eastAsia" w:asciiTheme="minorEastAsia" w:hAnsiTheme="minorEastAsia" w:eastAsiaTheme="minorEastAsia" w:cstheme="minorEastAsia"/>
                <w:color w:val="auto"/>
                <w:kern w:val="0"/>
                <w:sz w:val="22"/>
                <w:lang w:bidi="ar"/>
              </w:rPr>
            </w:pPr>
            <w:r>
              <w:rPr>
                <w:rFonts w:hint="eastAsia" w:asciiTheme="minorEastAsia" w:hAnsiTheme="minorEastAsia" w:eastAsiaTheme="minorEastAsia" w:cstheme="minorEastAsia"/>
                <w:color w:val="auto"/>
                <w:kern w:val="0"/>
                <w:sz w:val="22"/>
                <w:szCs w:val="24"/>
              </w:rPr>
              <w:t>质量标准</w:t>
            </w:r>
          </w:p>
        </w:tc>
        <w:tc>
          <w:tcPr>
            <w:tcW w:w="4855" w:type="dxa"/>
            <w:tcBorders>
              <w:top w:val="single" w:color="auto" w:sz="4" w:space="0"/>
              <w:left w:val="single" w:color="auto" w:sz="4" w:space="0"/>
              <w:bottom w:val="single" w:color="auto" w:sz="4" w:space="0"/>
              <w:right w:val="single" w:color="auto" w:sz="4" w:space="0"/>
            </w:tcBorders>
            <w:vAlign w:val="center"/>
          </w:tcPr>
          <w:p w14:paraId="04EC84D2">
            <w:pPr>
              <w:tabs>
                <w:tab w:val="left" w:pos="601"/>
                <w:tab w:val="left" w:pos="669"/>
              </w:tabs>
              <w:snapToGrid w:val="0"/>
              <w:spacing w:line="400" w:lineRule="exact"/>
              <w:ind w:firstLine="440" w:firstLineChars="200"/>
              <w:rPr>
                <w:rFonts w:hint="eastAsia" w:asciiTheme="minorEastAsia" w:hAnsiTheme="minorEastAsia" w:eastAsiaTheme="minorEastAsia" w:cstheme="minorEastAsia"/>
                <w:color w:val="auto"/>
                <w:kern w:val="0"/>
                <w:sz w:val="22"/>
              </w:rPr>
            </w:pPr>
            <w:r>
              <w:rPr>
                <w:rFonts w:hint="eastAsia" w:ascii="宋体" w:hAnsi="宋体"/>
                <w:color w:val="auto"/>
                <w:sz w:val="22"/>
              </w:rPr>
              <w:t>符合第二章“竞标人须知</w:t>
            </w:r>
            <w:r>
              <w:rPr>
                <w:rFonts w:hint="eastAsia" w:asciiTheme="minorEastAsia" w:hAnsiTheme="minorEastAsia" w:eastAsiaTheme="minorEastAsia" w:cstheme="minorEastAsia"/>
                <w:color w:val="auto"/>
                <w:kern w:val="0"/>
                <w:sz w:val="22"/>
                <w:szCs w:val="24"/>
              </w:rPr>
              <w:t>前附表</w:t>
            </w:r>
            <w:r>
              <w:rPr>
                <w:rFonts w:hint="eastAsia" w:ascii="宋体" w:hAnsi="宋体"/>
                <w:color w:val="auto"/>
                <w:sz w:val="22"/>
              </w:rPr>
              <w:t>”第1.3.3项规定</w:t>
            </w:r>
            <w:r>
              <w:rPr>
                <w:rFonts w:hint="eastAsia" w:asciiTheme="minorEastAsia" w:hAnsiTheme="minorEastAsia" w:eastAsiaTheme="minorEastAsia" w:cstheme="minorEastAsia"/>
                <w:color w:val="auto"/>
                <w:kern w:val="0"/>
                <w:sz w:val="22"/>
              </w:rPr>
              <w:t xml:space="preserve"> </w:t>
            </w:r>
          </w:p>
        </w:tc>
      </w:tr>
      <w:tr w14:paraId="55DC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right w:val="single" w:color="auto" w:sz="4" w:space="0"/>
            </w:tcBorders>
            <w:vAlign w:val="center"/>
          </w:tcPr>
          <w:p w14:paraId="014C2208">
            <w:pPr>
              <w:spacing w:line="400" w:lineRule="exact"/>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right w:val="single" w:color="auto" w:sz="4" w:space="0"/>
            </w:tcBorders>
            <w:vAlign w:val="center"/>
          </w:tcPr>
          <w:p w14:paraId="60C246AD">
            <w:pPr>
              <w:spacing w:line="400" w:lineRule="exact"/>
              <w:rPr>
                <w:rFonts w:hint="eastAsia" w:asciiTheme="minorEastAsia" w:hAnsiTheme="minorEastAsia" w:eastAsiaTheme="minorEastAsia" w:cstheme="minorEastAsia"/>
                <w:color w:val="auto"/>
                <w:sz w:val="22"/>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181E41E9">
            <w:pPr>
              <w:snapToGrid w:val="0"/>
              <w:spacing w:line="400" w:lineRule="exact"/>
              <w:jc w:val="left"/>
              <w:rPr>
                <w:rFonts w:hint="eastAsia" w:asciiTheme="minorEastAsia" w:hAnsiTheme="minorEastAsia" w:eastAsiaTheme="minorEastAsia" w:cstheme="minorEastAsia"/>
                <w:color w:val="auto"/>
                <w:kern w:val="0"/>
                <w:sz w:val="22"/>
                <w:lang w:bidi="ar"/>
              </w:rPr>
            </w:pPr>
            <w:r>
              <w:rPr>
                <w:rFonts w:hint="eastAsia" w:asciiTheme="minorEastAsia" w:hAnsiTheme="minorEastAsia" w:eastAsiaTheme="minorEastAsia" w:cstheme="minorEastAsia"/>
                <w:color w:val="auto"/>
                <w:kern w:val="0"/>
                <w:sz w:val="22"/>
                <w:szCs w:val="24"/>
              </w:rPr>
              <w:t>竞标有效期</w:t>
            </w:r>
          </w:p>
        </w:tc>
        <w:tc>
          <w:tcPr>
            <w:tcW w:w="4855" w:type="dxa"/>
            <w:tcBorders>
              <w:top w:val="single" w:color="auto" w:sz="4" w:space="0"/>
              <w:left w:val="single" w:color="auto" w:sz="4" w:space="0"/>
              <w:bottom w:val="single" w:color="auto" w:sz="4" w:space="0"/>
              <w:right w:val="single" w:color="auto" w:sz="4" w:space="0"/>
            </w:tcBorders>
            <w:vAlign w:val="center"/>
          </w:tcPr>
          <w:p w14:paraId="5BD357D1">
            <w:pPr>
              <w:tabs>
                <w:tab w:val="left" w:pos="601"/>
                <w:tab w:val="left" w:pos="669"/>
              </w:tabs>
              <w:snapToGrid w:val="0"/>
              <w:spacing w:line="400" w:lineRule="exact"/>
              <w:ind w:firstLine="440" w:firstLineChars="200"/>
              <w:rPr>
                <w:rFonts w:hint="eastAsia" w:asciiTheme="minorEastAsia" w:hAnsiTheme="minorEastAsia" w:eastAsiaTheme="minorEastAsia" w:cstheme="minorEastAsia"/>
                <w:color w:val="auto"/>
                <w:kern w:val="0"/>
                <w:sz w:val="22"/>
              </w:rPr>
            </w:pPr>
            <w:r>
              <w:rPr>
                <w:rFonts w:hint="eastAsia" w:ascii="宋体" w:hAnsi="宋体"/>
                <w:color w:val="auto"/>
                <w:sz w:val="22"/>
              </w:rPr>
              <w:t>符合第二章“竞标人须知</w:t>
            </w:r>
            <w:r>
              <w:rPr>
                <w:rFonts w:hint="eastAsia" w:asciiTheme="minorEastAsia" w:hAnsiTheme="minorEastAsia" w:eastAsiaTheme="minorEastAsia" w:cstheme="minorEastAsia"/>
                <w:color w:val="auto"/>
                <w:kern w:val="0"/>
                <w:sz w:val="22"/>
                <w:szCs w:val="24"/>
              </w:rPr>
              <w:t>前附表</w:t>
            </w:r>
            <w:r>
              <w:rPr>
                <w:rFonts w:hint="eastAsia" w:ascii="宋体" w:hAnsi="宋体"/>
                <w:color w:val="auto"/>
                <w:sz w:val="22"/>
              </w:rPr>
              <w:t>”第3.3.1项规定</w:t>
            </w:r>
          </w:p>
        </w:tc>
      </w:tr>
      <w:tr w14:paraId="52A3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right w:val="single" w:color="auto" w:sz="4" w:space="0"/>
            </w:tcBorders>
            <w:vAlign w:val="center"/>
          </w:tcPr>
          <w:p w14:paraId="13CD4757">
            <w:pPr>
              <w:spacing w:line="400" w:lineRule="exact"/>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right w:val="single" w:color="auto" w:sz="4" w:space="0"/>
            </w:tcBorders>
            <w:vAlign w:val="center"/>
          </w:tcPr>
          <w:p w14:paraId="453698DD">
            <w:pPr>
              <w:spacing w:line="400" w:lineRule="exact"/>
              <w:rPr>
                <w:rFonts w:hint="eastAsia" w:asciiTheme="minorEastAsia" w:hAnsiTheme="minorEastAsia" w:eastAsiaTheme="minorEastAsia" w:cstheme="minorEastAsia"/>
                <w:color w:val="auto"/>
                <w:sz w:val="22"/>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5A934255">
            <w:pPr>
              <w:snapToGrid w:val="0"/>
              <w:spacing w:line="400" w:lineRule="exact"/>
              <w:jc w:val="left"/>
              <w:rPr>
                <w:rFonts w:hint="eastAsia" w:asciiTheme="minorEastAsia" w:hAnsiTheme="minorEastAsia" w:eastAsiaTheme="minorEastAsia" w:cstheme="minorEastAsia"/>
                <w:color w:val="auto"/>
                <w:kern w:val="0"/>
                <w:sz w:val="22"/>
                <w:lang w:bidi="ar"/>
              </w:rPr>
            </w:pPr>
            <w:r>
              <w:rPr>
                <w:rFonts w:hint="eastAsia" w:ascii="宋体" w:hAnsi="宋体" w:cs="宋体"/>
                <w:color w:val="auto"/>
                <w:kern w:val="0"/>
                <w:sz w:val="22"/>
                <w:szCs w:val="24"/>
              </w:rPr>
              <w:t>权利义务</w:t>
            </w:r>
          </w:p>
        </w:tc>
        <w:tc>
          <w:tcPr>
            <w:tcW w:w="4855" w:type="dxa"/>
            <w:tcBorders>
              <w:top w:val="single" w:color="auto" w:sz="4" w:space="0"/>
              <w:left w:val="single" w:color="auto" w:sz="4" w:space="0"/>
              <w:bottom w:val="single" w:color="auto" w:sz="4" w:space="0"/>
              <w:right w:val="single" w:color="auto" w:sz="4" w:space="0"/>
            </w:tcBorders>
            <w:vAlign w:val="center"/>
          </w:tcPr>
          <w:p w14:paraId="5E648DDE">
            <w:pPr>
              <w:spacing w:after="87" w:afterLines="20" w:line="400" w:lineRule="exact"/>
              <w:ind w:firstLine="440" w:firstLineChars="200"/>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符合第四章“合同条款及格式”规定，竞标文件不应附有比选人不能接受的条件。（由竞标人承诺，格式自拟）</w:t>
            </w:r>
          </w:p>
        </w:tc>
      </w:tr>
      <w:tr w14:paraId="1F95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vMerge w:val="continue"/>
            <w:tcBorders>
              <w:left w:val="single" w:color="auto" w:sz="4" w:space="0"/>
              <w:bottom w:val="single" w:color="auto" w:sz="4" w:space="0"/>
              <w:right w:val="single" w:color="auto" w:sz="4" w:space="0"/>
            </w:tcBorders>
            <w:vAlign w:val="center"/>
          </w:tcPr>
          <w:p w14:paraId="64764D7F">
            <w:pPr>
              <w:spacing w:line="400" w:lineRule="exact"/>
              <w:rPr>
                <w:rFonts w:hint="eastAsia" w:asciiTheme="minorEastAsia" w:hAnsiTheme="minorEastAsia" w:eastAsiaTheme="minorEastAsia" w:cstheme="minorEastAsia"/>
                <w:color w:val="auto"/>
                <w:sz w:val="22"/>
                <w:szCs w:val="24"/>
              </w:rPr>
            </w:pPr>
          </w:p>
        </w:tc>
        <w:tc>
          <w:tcPr>
            <w:tcW w:w="1559" w:type="dxa"/>
            <w:vMerge w:val="continue"/>
            <w:tcBorders>
              <w:left w:val="single" w:color="auto" w:sz="4" w:space="0"/>
              <w:bottom w:val="single" w:color="auto" w:sz="4" w:space="0"/>
              <w:right w:val="single" w:color="auto" w:sz="4" w:space="0"/>
            </w:tcBorders>
            <w:vAlign w:val="center"/>
          </w:tcPr>
          <w:p w14:paraId="2987E77E">
            <w:pPr>
              <w:spacing w:line="400" w:lineRule="exact"/>
              <w:rPr>
                <w:rFonts w:hint="eastAsia" w:asciiTheme="minorEastAsia" w:hAnsiTheme="minorEastAsia" w:eastAsiaTheme="minorEastAsia" w:cstheme="minorEastAsia"/>
                <w:color w:val="auto"/>
                <w:sz w:val="22"/>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5DC884E5">
            <w:pPr>
              <w:spacing w:line="400" w:lineRule="exact"/>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实质性要求</w:t>
            </w:r>
          </w:p>
        </w:tc>
        <w:tc>
          <w:tcPr>
            <w:tcW w:w="4855" w:type="dxa"/>
            <w:tcBorders>
              <w:top w:val="single" w:color="auto" w:sz="4" w:space="0"/>
              <w:left w:val="single" w:color="auto" w:sz="4" w:space="0"/>
              <w:bottom w:val="single" w:color="auto" w:sz="4" w:space="0"/>
              <w:right w:val="single" w:color="auto" w:sz="4" w:space="0"/>
            </w:tcBorders>
            <w:vAlign w:val="center"/>
          </w:tcPr>
          <w:p w14:paraId="709F20E7">
            <w:pPr>
              <w:spacing w:after="87" w:afterLines="20" w:line="400" w:lineRule="exact"/>
              <w:ind w:firstLine="440" w:firstLineChars="200"/>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符合第二章“竞标人须知”第1.4.3项规定。</w:t>
            </w:r>
          </w:p>
          <w:p w14:paraId="23BE2459">
            <w:pPr>
              <w:spacing w:after="87" w:afterLines="20" w:line="400" w:lineRule="exact"/>
              <w:ind w:firstLine="440" w:firstLineChars="200"/>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本次竞标不得有串通竞标、弄虚作假等其他违反招投标相关法律、法规行为。</w:t>
            </w:r>
          </w:p>
          <w:p w14:paraId="5085297F">
            <w:pPr>
              <w:spacing w:after="87" w:afterLines="20" w:line="400" w:lineRule="exact"/>
              <w:ind w:firstLine="440" w:firstLineChars="200"/>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sz w:val="22"/>
                <w:szCs w:val="24"/>
              </w:rPr>
              <w:t>按评标委员会要求澄清、说明或补正。</w:t>
            </w:r>
          </w:p>
        </w:tc>
      </w:tr>
      <w:tr w14:paraId="1A7F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tcBorders>
              <w:top w:val="single" w:color="auto" w:sz="4" w:space="0"/>
              <w:left w:val="single" w:color="auto" w:sz="4" w:space="0"/>
              <w:bottom w:val="single" w:color="auto" w:sz="4" w:space="0"/>
              <w:right w:val="single" w:color="auto" w:sz="4" w:space="0"/>
            </w:tcBorders>
            <w:vAlign w:val="center"/>
          </w:tcPr>
          <w:p w14:paraId="50B44E58">
            <w:pPr>
              <w:widowControl/>
              <w:spacing w:line="400" w:lineRule="exact"/>
              <w:jc w:val="center"/>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2.2</w:t>
            </w:r>
          </w:p>
        </w:tc>
        <w:tc>
          <w:tcPr>
            <w:tcW w:w="1559" w:type="dxa"/>
            <w:tcBorders>
              <w:top w:val="single" w:color="auto" w:sz="4" w:space="0"/>
              <w:left w:val="single" w:color="auto" w:sz="4" w:space="0"/>
              <w:bottom w:val="single" w:color="auto" w:sz="4" w:space="0"/>
              <w:right w:val="single" w:color="auto" w:sz="4" w:space="0"/>
            </w:tcBorders>
            <w:vAlign w:val="center"/>
          </w:tcPr>
          <w:p w14:paraId="302E6847">
            <w:pPr>
              <w:widowControl/>
              <w:spacing w:line="400" w:lineRule="exact"/>
              <w:jc w:val="left"/>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kern w:val="0"/>
                <w:sz w:val="22"/>
                <w:lang w:bidi="ar"/>
              </w:rPr>
              <w:t>分值构成</w:t>
            </w:r>
          </w:p>
        </w:tc>
        <w:tc>
          <w:tcPr>
            <w:tcW w:w="7123" w:type="dxa"/>
            <w:gridSpan w:val="2"/>
            <w:tcBorders>
              <w:top w:val="single" w:color="auto" w:sz="4" w:space="0"/>
              <w:left w:val="single" w:color="auto" w:sz="4" w:space="0"/>
              <w:bottom w:val="single" w:color="auto" w:sz="4" w:space="0"/>
              <w:right w:val="single" w:color="auto" w:sz="4" w:space="0"/>
            </w:tcBorders>
            <w:vAlign w:val="center"/>
          </w:tcPr>
          <w:p w14:paraId="7F632B41">
            <w:pPr>
              <w:snapToGrid w:val="0"/>
              <w:spacing w:line="400" w:lineRule="exact"/>
              <w:ind w:firstLine="440" w:firstLineChars="200"/>
              <w:rPr>
                <w:rFonts w:hint="eastAsia" w:asciiTheme="minorEastAsia" w:hAnsiTheme="minorEastAsia" w:eastAsiaTheme="minorEastAsia" w:cstheme="minorEastAsia"/>
                <w:i/>
                <w:color w:val="auto"/>
                <w:kern w:val="0"/>
                <w:sz w:val="22"/>
                <w:szCs w:val="24"/>
              </w:rPr>
            </w:pPr>
            <w:r>
              <w:rPr>
                <w:rFonts w:hint="eastAsia" w:asciiTheme="minorEastAsia" w:hAnsiTheme="minorEastAsia" w:eastAsiaTheme="minorEastAsia" w:cstheme="minorEastAsia"/>
                <w:color w:val="auto"/>
                <w:kern w:val="0"/>
                <w:sz w:val="22"/>
                <w:szCs w:val="24"/>
              </w:rPr>
              <w:t>竞标报价</w:t>
            </w:r>
            <w:r>
              <w:rPr>
                <w:rFonts w:asciiTheme="minorEastAsia" w:hAnsiTheme="minorEastAsia" w:eastAsiaTheme="minorEastAsia" w:cstheme="minorEastAsia"/>
                <w:color w:val="auto"/>
                <w:kern w:val="0"/>
                <w:sz w:val="22"/>
                <w:szCs w:val="24"/>
                <w:u w:val="single"/>
              </w:rPr>
              <w:t>100</w:t>
            </w:r>
            <w:r>
              <w:rPr>
                <w:rFonts w:hint="eastAsia" w:asciiTheme="minorEastAsia" w:hAnsiTheme="minorEastAsia" w:eastAsiaTheme="minorEastAsia" w:cstheme="minorEastAsia"/>
                <w:color w:val="auto"/>
                <w:kern w:val="0"/>
                <w:sz w:val="22"/>
                <w:szCs w:val="24"/>
              </w:rPr>
              <w:t>分。</w:t>
            </w:r>
          </w:p>
        </w:tc>
      </w:tr>
      <w:tr w14:paraId="17F9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tcBorders>
              <w:top w:val="single" w:color="auto" w:sz="4" w:space="0"/>
              <w:left w:val="single" w:color="auto" w:sz="4" w:space="0"/>
              <w:right w:val="single" w:color="auto" w:sz="4" w:space="0"/>
            </w:tcBorders>
            <w:vAlign w:val="center"/>
          </w:tcPr>
          <w:p w14:paraId="223B39B5">
            <w:pPr>
              <w:spacing w:line="400" w:lineRule="exact"/>
              <w:jc w:val="center"/>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2.2.</w:t>
            </w:r>
            <w:r>
              <w:rPr>
                <w:rFonts w:asciiTheme="minorEastAsia" w:hAnsiTheme="minorEastAsia" w:eastAsiaTheme="minorEastAsia" w:cstheme="minorEastAsia"/>
                <w:color w:val="auto"/>
                <w:kern w:val="0"/>
                <w:sz w:val="22"/>
                <w:szCs w:val="24"/>
              </w:rPr>
              <w:t>1</w:t>
            </w:r>
          </w:p>
        </w:tc>
        <w:tc>
          <w:tcPr>
            <w:tcW w:w="1559" w:type="dxa"/>
            <w:tcBorders>
              <w:top w:val="single" w:color="auto" w:sz="4" w:space="0"/>
              <w:left w:val="single" w:color="auto" w:sz="4" w:space="0"/>
              <w:right w:val="single" w:color="auto" w:sz="4" w:space="0"/>
            </w:tcBorders>
            <w:vAlign w:val="center"/>
          </w:tcPr>
          <w:p w14:paraId="5521A021">
            <w:pPr>
              <w:spacing w:line="400" w:lineRule="exact"/>
              <w:jc w:val="center"/>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评标基准价计算方法</w:t>
            </w:r>
          </w:p>
        </w:tc>
        <w:tc>
          <w:tcPr>
            <w:tcW w:w="2268" w:type="dxa"/>
            <w:tcBorders>
              <w:top w:val="single" w:color="auto" w:sz="4" w:space="0"/>
              <w:left w:val="single" w:color="auto" w:sz="4" w:space="0"/>
              <w:right w:val="single" w:color="auto" w:sz="4" w:space="0"/>
            </w:tcBorders>
            <w:vAlign w:val="center"/>
          </w:tcPr>
          <w:p w14:paraId="060907DB">
            <w:pPr>
              <w:spacing w:line="400" w:lineRule="exact"/>
              <w:jc w:val="center"/>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竞标总报价</w:t>
            </w:r>
          </w:p>
        </w:tc>
        <w:tc>
          <w:tcPr>
            <w:tcW w:w="4855" w:type="dxa"/>
            <w:tcBorders>
              <w:top w:val="single" w:color="auto" w:sz="4" w:space="0"/>
              <w:left w:val="single" w:color="auto" w:sz="4" w:space="0"/>
              <w:bottom w:val="single" w:color="auto" w:sz="4" w:space="0"/>
              <w:right w:val="single" w:color="auto" w:sz="4" w:space="0"/>
            </w:tcBorders>
          </w:tcPr>
          <w:p w14:paraId="237F0552">
            <w:pPr>
              <w:snapToGrid w:val="0"/>
              <w:spacing w:line="400" w:lineRule="exact"/>
              <w:ind w:firstLine="440" w:firstLineChars="200"/>
              <w:rPr>
                <w:rFonts w:hint="eastAsia" w:asciiTheme="minorEastAsia" w:hAnsiTheme="minorEastAsia" w:eastAsiaTheme="minorEastAsia" w:cstheme="minorEastAsia"/>
                <w:color w:val="auto"/>
                <w:kern w:val="0"/>
                <w:sz w:val="22"/>
              </w:rPr>
            </w:pPr>
            <w:r>
              <w:rPr>
                <w:rFonts w:hint="eastAsia" w:asciiTheme="minorEastAsia" w:hAnsiTheme="minorEastAsia" w:eastAsiaTheme="minorEastAsia" w:cstheme="minorEastAsia"/>
                <w:color w:val="auto"/>
                <w:kern w:val="0"/>
                <w:sz w:val="22"/>
              </w:rPr>
              <w:t>所有通过初步评审合格的竞标人</w:t>
            </w:r>
            <w:r>
              <w:rPr>
                <w:rFonts w:hint="eastAsia" w:asciiTheme="minorEastAsia" w:hAnsiTheme="minorEastAsia" w:eastAsiaTheme="minorEastAsia" w:cstheme="minorEastAsia"/>
                <w:color w:val="auto"/>
                <w:sz w:val="22"/>
              </w:rPr>
              <w:t>的竞标总报</w:t>
            </w:r>
            <w:r>
              <w:rPr>
                <w:rFonts w:hint="eastAsia" w:asciiTheme="minorEastAsia" w:hAnsiTheme="minorEastAsia" w:eastAsiaTheme="minorEastAsia" w:cstheme="minorEastAsia"/>
                <w:color w:val="auto"/>
                <w:kern w:val="0"/>
                <w:sz w:val="22"/>
              </w:rPr>
              <w:t>价中去掉六分之一（不能整除的按小数点前整数取整，不足六家报价则不去掉）的最低价和相同家数的最高价后的算术平均值，即为本项目竞标总报价的评标基准价。</w:t>
            </w:r>
          </w:p>
          <w:p w14:paraId="5AFBED6F">
            <w:pPr>
              <w:snapToGrid w:val="0"/>
              <w:spacing w:line="400" w:lineRule="exact"/>
              <w:ind w:firstLine="440" w:firstLineChars="200"/>
              <w:rPr>
                <w:rFonts w:hint="eastAsia" w:asciiTheme="minorEastAsia" w:hAnsiTheme="minorEastAsia" w:eastAsiaTheme="minorEastAsia" w:cstheme="minorEastAsia"/>
                <w:color w:val="auto"/>
                <w:kern w:val="0"/>
                <w:sz w:val="22"/>
              </w:rPr>
            </w:pPr>
            <w:r>
              <w:rPr>
                <w:rFonts w:hint="eastAsia" w:asciiTheme="minorEastAsia" w:hAnsiTheme="minorEastAsia" w:eastAsiaTheme="minorEastAsia" w:cstheme="minorEastAsia"/>
                <w:color w:val="auto"/>
                <w:kern w:val="0"/>
                <w:sz w:val="22"/>
              </w:rPr>
              <w:t>评标基准价计算的最终结果取小数点后四位，第五位四舍五入。</w:t>
            </w:r>
          </w:p>
          <w:p w14:paraId="0DD0A294">
            <w:pPr>
              <w:snapToGrid w:val="0"/>
              <w:spacing w:line="400" w:lineRule="exact"/>
              <w:ind w:firstLine="440" w:firstLineChars="200"/>
              <w:jc w:val="left"/>
              <w:rPr>
                <w:rFonts w:hint="eastAsia" w:asciiTheme="minorEastAsia" w:hAnsiTheme="minorEastAsia" w:eastAsiaTheme="minorEastAsia" w:cstheme="minorEastAsia"/>
                <w:color w:val="auto"/>
                <w:kern w:val="0"/>
                <w:sz w:val="22"/>
              </w:rPr>
            </w:pPr>
            <w:r>
              <w:rPr>
                <w:rFonts w:hint="eastAsia" w:asciiTheme="minorEastAsia" w:hAnsiTheme="minorEastAsia" w:eastAsiaTheme="minorEastAsia" w:cstheme="minorEastAsia"/>
                <w:color w:val="auto"/>
                <w:kern w:val="0"/>
                <w:sz w:val="22"/>
              </w:rPr>
              <w:t>在评标基准价计算完成后（除计算错误外），在后续的评审中不得再对其做出调整。</w:t>
            </w:r>
          </w:p>
        </w:tc>
      </w:tr>
      <w:tr w14:paraId="250A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tcBorders>
              <w:top w:val="single" w:color="auto" w:sz="4" w:space="0"/>
              <w:left w:val="single" w:color="auto" w:sz="4" w:space="0"/>
              <w:right w:val="single" w:color="auto" w:sz="4" w:space="0"/>
            </w:tcBorders>
            <w:vAlign w:val="center"/>
          </w:tcPr>
          <w:p w14:paraId="644BB747">
            <w:pPr>
              <w:spacing w:line="400" w:lineRule="exact"/>
              <w:jc w:val="center"/>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2.3</w:t>
            </w:r>
          </w:p>
        </w:tc>
        <w:tc>
          <w:tcPr>
            <w:tcW w:w="1559" w:type="dxa"/>
            <w:tcBorders>
              <w:top w:val="single" w:color="auto" w:sz="4" w:space="0"/>
              <w:left w:val="single" w:color="auto" w:sz="4" w:space="0"/>
              <w:right w:val="single" w:color="auto" w:sz="4" w:space="0"/>
            </w:tcBorders>
            <w:vAlign w:val="center"/>
          </w:tcPr>
          <w:p w14:paraId="47C309B7">
            <w:pPr>
              <w:spacing w:line="400" w:lineRule="exact"/>
              <w:jc w:val="center"/>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偏差率计算</w:t>
            </w:r>
          </w:p>
        </w:tc>
        <w:tc>
          <w:tcPr>
            <w:tcW w:w="7123" w:type="dxa"/>
            <w:gridSpan w:val="2"/>
            <w:tcBorders>
              <w:top w:val="single" w:color="auto" w:sz="4" w:space="0"/>
              <w:left w:val="single" w:color="auto" w:sz="4" w:space="0"/>
              <w:bottom w:val="single" w:color="auto" w:sz="4" w:space="0"/>
              <w:right w:val="single" w:color="auto" w:sz="4" w:space="0"/>
            </w:tcBorders>
            <w:vAlign w:val="center"/>
          </w:tcPr>
          <w:p w14:paraId="2058930A">
            <w:pPr>
              <w:spacing w:line="400" w:lineRule="exact"/>
              <w:ind w:firstLine="440" w:firstLineChars="200"/>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竞标总报价的偏差率计算公式</w:t>
            </w:r>
          </w:p>
          <w:p w14:paraId="010DAD25">
            <w:pPr>
              <w:spacing w:line="400" w:lineRule="exact"/>
              <w:ind w:firstLine="440" w:firstLineChars="200"/>
              <w:jc w:val="lef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偏差率</w:t>
            </w:r>
            <w:r>
              <w:rPr>
                <w:rFonts w:hint="eastAsia" w:asciiTheme="minorEastAsia" w:hAnsiTheme="minorEastAsia" w:eastAsiaTheme="minorEastAsia" w:cstheme="minorEastAsia"/>
                <w:color w:val="auto"/>
                <w:kern w:val="0"/>
                <w:sz w:val="32"/>
                <w:szCs w:val="32"/>
              </w:rPr>
              <w:t>=</w:t>
            </w:r>
            <w:r>
              <w:rPr>
                <w:rFonts w:hint="eastAsia" w:asciiTheme="minorEastAsia" w:hAnsiTheme="minorEastAsia" w:eastAsiaTheme="minorEastAsia" w:cstheme="minorEastAsia"/>
                <w:color w:val="auto"/>
                <w:kern w:val="0"/>
                <w:sz w:val="22"/>
                <w:szCs w:val="24"/>
              </w:rPr>
              <w:t>100％×（竞标人竞标总报价一评标基准价）／评标基准价</w:t>
            </w:r>
          </w:p>
          <w:p w14:paraId="04B81500">
            <w:pPr>
              <w:spacing w:line="400" w:lineRule="exact"/>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kern w:val="0"/>
                <w:sz w:val="22"/>
                <w:szCs w:val="24"/>
              </w:rPr>
              <w:t>偏差率计算的最终结果取小数点后两位</w:t>
            </w:r>
            <w:r>
              <w:rPr>
                <w:rFonts w:hint="eastAsia" w:asciiTheme="minorEastAsia" w:hAnsiTheme="minorEastAsia" w:eastAsiaTheme="minorEastAsia" w:cstheme="minorEastAsia"/>
                <w:color w:val="auto"/>
                <w:kern w:val="0"/>
                <w:sz w:val="22"/>
              </w:rPr>
              <w:t>，小数点后第三位“四舍五入”。</w:t>
            </w:r>
          </w:p>
        </w:tc>
      </w:tr>
      <w:tr w14:paraId="7038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tcBorders>
              <w:top w:val="single" w:color="auto" w:sz="4" w:space="0"/>
              <w:left w:val="single" w:color="auto" w:sz="4" w:space="0"/>
              <w:bottom w:val="single" w:color="auto" w:sz="4" w:space="0"/>
              <w:right w:val="single" w:color="auto" w:sz="4" w:space="0"/>
            </w:tcBorders>
            <w:vAlign w:val="center"/>
          </w:tcPr>
          <w:p w14:paraId="16A2BD26">
            <w:pPr>
              <w:spacing w:line="400" w:lineRule="exact"/>
              <w:jc w:val="center"/>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sz w:val="22"/>
                <w:szCs w:val="24"/>
              </w:rPr>
              <w:t>3</w:t>
            </w:r>
          </w:p>
        </w:tc>
        <w:tc>
          <w:tcPr>
            <w:tcW w:w="1559" w:type="dxa"/>
            <w:tcBorders>
              <w:top w:val="single" w:color="auto" w:sz="4" w:space="0"/>
              <w:left w:val="single" w:color="auto" w:sz="4" w:space="0"/>
              <w:bottom w:val="single" w:color="auto" w:sz="4" w:space="0"/>
              <w:right w:val="single" w:color="auto" w:sz="4" w:space="0"/>
            </w:tcBorders>
            <w:vAlign w:val="center"/>
          </w:tcPr>
          <w:p w14:paraId="7C3F216C">
            <w:pPr>
              <w:spacing w:line="400" w:lineRule="exact"/>
              <w:jc w:val="center"/>
              <w:rPr>
                <w:rFonts w:hint="eastAsia" w:asciiTheme="minorEastAsia" w:hAnsiTheme="minorEastAsia" w:eastAsiaTheme="minorEastAsia" w:cstheme="minorEastAsia"/>
                <w:color w:val="auto"/>
                <w:kern w:val="0"/>
                <w:sz w:val="22"/>
                <w:szCs w:val="24"/>
              </w:rPr>
            </w:pPr>
            <w:r>
              <w:rPr>
                <w:rFonts w:hint="eastAsia" w:asciiTheme="minorEastAsia" w:hAnsiTheme="minorEastAsia" w:eastAsiaTheme="minorEastAsia" w:cstheme="minorEastAsia"/>
                <w:color w:val="auto"/>
                <w:sz w:val="22"/>
                <w:szCs w:val="24"/>
              </w:rPr>
              <w:t>评标程序</w:t>
            </w:r>
          </w:p>
        </w:tc>
        <w:tc>
          <w:tcPr>
            <w:tcW w:w="7123" w:type="dxa"/>
            <w:gridSpan w:val="2"/>
            <w:tcBorders>
              <w:top w:val="single" w:color="auto" w:sz="4" w:space="0"/>
              <w:left w:val="single" w:color="auto" w:sz="4" w:space="0"/>
              <w:bottom w:val="single" w:color="auto" w:sz="4" w:space="0"/>
              <w:right w:val="single" w:color="auto" w:sz="4" w:space="0"/>
            </w:tcBorders>
          </w:tcPr>
          <w:p w14:paraId="1CF220CA">
            <w:pPr>
              <w:spacing w:line="400" w:lineRule="exact"/>
              <w:ind w:firstLine="440" w:firstLineChars="200"/>
              <w:rPr>
                <w:rFonts w:hint="eastAsia"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1.按本章评标办法前附表第</w:t>
            </w:r>
            <w:r>
              <w:rPr>
                <w:rFonts w:asciiTheme="minorEastAsia" w:hAnsiTheme="minorEastAsia" w:eastAsiaTheme="minorEastAsia" w:cstheme="minorEastAsia"/>
                <w:color w:val="auto"/>
                <w:sz w:val="22"/>
              </w:rPr>
              <w:t>2.1.1-2.1.3</w:t>
            </w:r>
            <w:r>
              <w:rPr>
                <w:rFonts w:hint="eastAsia" w:asciiTheme="minorEastAsia" w:hAnsiTheme="minorEastAsia" w:eastAsiaTheme="minorEastAsia" w:cstheme="minorEastAsia"/>
                <w:color w:val="auto"/>
                <w:sz w:val="22"/>
              </w:rPr>
              <w:t>款进行初步评审，未通过初步评审或评标委员会认定为无效的竞标文件的不再进行后续评审。</w:t>
            </w:r>
          </w:p>
          <w:p w14:paraId="0FE09A83">
            <w:pPr>
              <w:spacing w:after="43" w:afterLines="10" w:line="400" w:lineRule="exact"/>
              <w:ind w:firstLine="440" w:firstLineChars="200"/>
              <w:jc w:val="left"/>
              <w:rPr>
                <w:rFonts w:hint="eastAsia"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2.经评审合格的竞标人按照本章第2.2.</w:t>
            </w:r>
            <w:r>
              <w:rPr>
                <w:rFonts w:asciiTheme="minorEastAsia" w:hAnsiTheme="minorEastAsia" w:eastAsiaTheme="minorEastAsia" w:cstheme="minorEastAsia"/>
                <w:color w:val="auto"/>
                <w:sz w:val="22"/>
              </w:rPr>
              <w:t>1</w:t>
            </w:r>
            <w:r>
              <w:rPr>
                <w:rFonts w:hint="eastAsia" w:asciiTheme="minorEastAsia" w:hAnsiTheme="minorEastAsia" w:eastAsiaTheme="minorEastAsia" w:cstheme="minorEastAsia"/>
                <w:color w:val="auto"/>
                <w:sz w:val="22"/>
              </w:rPr>
              <w:t>项计算方法计算评标基准价，并按本附表第3.1.1目规定的评分方法对竞标报价进行评分。</w:t>
            </w:r>
          </w:p>
          <w:p w14:paraId="36943EC0">
            <w:pPr>
              <w:spacing w:line="400" w:lineRule="exact"/>
              <w:ind w:firstLine="440" w:firstLineChars="200"/>
              <w:rPr>
                <w:rFonts w:hint="eastAsia"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3.对竞标报价得分进行汇总，确定得分由高至低前三名竞标人为中标候选人。</w:t>
            </w:r>
          </w:p>
        </w:tc>
      </w:tr>
      <w:tr w14:paraId="6F5A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tcBorders>
              <w:left w:val="single" w:color="auto" w:sz="4" w:space="0"/>
              <w:right w:val="single" w:color="auto" w:sz="4" w:space="0"/>
            </w:tcBorders>
            <w:vAlign w:val="center"/>
          </w:tcPr>
          <w:p w14:paraId="32DEFC5C">
            <w:pPr>
              <w:spacing w:line="400" w:lineRule="exact"/>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sz w:val="22"/>
                <w:szCs w:val="24"/>
              </w:rPr>
              <w:t>3.1.</w:t>
            </w:r>
            <w:r>
              <w:rPr>
                <w:rFonts w:asciiTheme="minorEastAsia" w:hAnsiTheme="minorEastAsia" w:eastAsiaTheme="minorEastAsia" w:cstheme="minorEastAsia"/>
                <w:color w:val="auto"/>
                <w:sz w:val="22"/>
                <w:szCs w:val="24"/>
              </w:rPr>
              <w:t>1</w:t>
            </w:r>
          </w:p>
        </w:tc>
        <w:tc>
          <w:tcPr>
            <w:tcW w:w="1559" w:type="dxa"/>
            <w:tcBorders>
              <w:left w:val="single" w:color="auto" w:sz="4" w:space="0"/>
              <w:right w:val="single" w:color="auto" w:sz="4" w:space="0"/>
            </w:tcBorders>
            <w:vAlign w:val="center"/>
          </w:tcPr>
          <w:p w14:paraId="2F842094">
            <w:pPr>
              <w:spacing w:line="400" w:lineRule="exact"/>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sz w:val="22"/>
                <w:szCs w:val="24"/>
              </w:rPr>
              <w:t>竞标报价</w:t>
            </w:r>
            <w:r>
              <w:rPr>
                <w:rFonts w:hint="eastAsia" w:asciiTheme="minorEastAsia" w:hAnsiTheme="minorEastAsia" w:eastAsiaTheme="minorEastAsia" w:cstheme="minorEastAsia"/>
                <w:color w:val="auto"/>
                <w:kern w:val="0"/>
                <w:sz w:val="22"/>
                <w:szCs w:val="24"/>
              </w:rPr>
              <w:t>得分</w:t>
            </w:r>
            <w:r>
              <w:rPr>
                <w:rFonts w:asciiTheme="minorEastAsia" w:hAnsiTheme="minorEastAsia" w:eastAsiaTheme="minorEastAsia" w:cstheme="minorEastAsia"/>
                <w:color w:val="auto"/>
                <w:kern w:val="0"/>
                <w:sz w:val="22"/>
                <w:szCs w:val="24"/>
              </w:rPr>
              <w:t>（A）</w:t>
            </w:r>
          </w:p>
        </w:tc>
        <w:tc>
          <w:tcPr>
            <w:tcW w:w="2268" w:type="dxa"/>
            <w:tcBorders>
              <w:top w:val="single" w:color="auto" w:sz="4" w:space="0"/>
              <w:left w:val="single" w:color="auto" w:sz="4" w:space="0"/>
              <w:right w:val="single" w:color="auto" w:sz="4" w:space="0"/>
            </w:tcBorders>
            <w:vAlign w:val="center"/>
          </w:tcPr>
          <w:p w14:paraId="7AE2885B">
            <w:pPr>
              <w:spacing w:line="400" w:lineRule="exact"/>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sz w:val="22"/>
                <w:szCs w:val="24"/>
              </w:rPr>
              <w:t>竞标总报价</w:t>
            </w:r>
          </w:p>
        </w:tc>
        <w:tc>
          <w:tcPr>
            <w:tcW w:w="4855" w:type="dxa"/>
            <w:tcBorders>
              <w:left w:val="single" w:color="auto" w:sz="4" w:space="0"/>
              <w:bottom w:val="single" w:color="auto" w:sz="4" w:space="0"/>
              <w:right w:val="single" w:color="auto" w:sz="4" w:space="0"/>
            </w:tcBorders>
          </w:tcPr>
          <w:p w14:paraId="5F960CE8">
            <w:pPr>
              <w:spacing w:line="400" w:lineRule="exact"/>
              <w:ind w:firstLine="440" w:firstLineChars="200"/>
              <w:rPr>
                <w:rFonts w:hint="eastAsia"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kern w:val="0"/>
                <w:sz w:val="22"/>
              </w:rPr>
              <w:t>所有通过初步评审的竞标人，竞标</w:t>
            </w:r>
            <w:r>
              <w:rPr>
                <w:rFonts w:hint="eastAsia" w:ascii="宋体" w:hAnsi="宋体"/>
                <w:color w:val="auto"/>
                <w:kern w:val="0"/>
                <w:szCs w:val="21"/>
              </w:rPr>
              <w:t>报价得本附表第2.2项规定分值的满分</w:t>
            </w:r>
            <w:r>
              <w:rPr>
                <w:rFonts w:hint="eastAsia" w:ascii="宋体" w:hAnsi="宋体"/>
                <w:color w:val="auto"/>
                <w:kern w:val="0"/>
                <w:szCs w:val="21"/>
                <w:u w:val="single"/>
              </w:rPr>
              <w:t xml:space="preserve"> 100 </w:t>
            </w:r>
            <w:r>
              <w:rPr>
                <w:rFonts w:hint="eastAsia" w:ascii="宋体" w:hAnsi="宋体"/>
                <w:color w:val="auto"/>
                <w:kern w:val="0"/>
                <w:szCs w:val="21"/>
              </w:rPr>
              <w:t>分</w:t>
            </w:r>
            <w:r>
              <w:rPr>
                <w:rFonts w:hint="eastAsia" w:asciiTheme="minorEastAsia" w:hAnsiTheme="minorEastAsia" w:eastAsiaTheme="minorEastAsia" w:cstheme="minorEastAsia"/>
                <w:color w:val="auto"/>
                <w:sz w:val="22"/>
              </w:rPr>
              <w:t>。在此基础上，竞标总报价与评标基准价相比，每增加1%扣</w:t>
            </w:r>
            <w:r>
              <w:rPr>
                <w:rFonts w:hint="eastAsia" w:asciiTheme="minorEastAsia" w:hAnsiTheme="minorEastAsia" w:eastAsiaTheme="minorEastAsia" w:cstheme="minorEastAsia"/>
                <w:color w:val="auto"/>
                <w:sz w:val="22"/>
                <w:u w:val="single"/>
              </w:rPr>
              <w:t>0.5</w:t>
            </w:r>
            <w:r>
              <w:rPr>
                <w:rFonts w:hint="eastAsia" w:asciiTheme="minorEastAsia" w:hAnsiTheme="minorEastAsia" w:eastAsiaTheme="minorEastAsia" w:cstheme="minorEastAsia"/>
                <w:color w:val="auto"/>
                <w:sz w:val="22"/>
              </w:rPr>
              <w:t>分，每减少1%扣</w:t>
            </w:r>
            <w:r>
              <w:rPr>
                <w:rFonts w:hint="eastAsia" w:asciiTheme="minorEastAsia" w:hAnsiTheme="minorEastAsia" w:eastAsiaTheme="minorEastAsia" w:cstheme="minorEastAsia"/>
                <w:color w:val="auto"/>
                <w:sz w:val="22"/>
                <w:u w:val="single"/>
              </w:rPr>
              <w:t>0.</w:t>
            </w:r>
            <w:r>
              <w:rPr>
                <w:rFonts w:asciiTheme="minorEastAsia" w:hAnsiTheme="minorEastAsia" w:eastAsiaTheme="minorEastAsia" w:cstheme="minorEastAsia"/>
                <w:color w:val="auto"/>
                <w:sz w:val="22"/>
                <w:u w:val="single"/>
              </w:rPr>
              <w:t>5</w:t>
            </w:r>
            <w:r>
              <w:rPr>
                <w:rFonts w:hint="eastAsia" w:asciiTheme="minorEastAsia" w:hAnsiTheme="minorEastAsia" w:eastAsiaTheme="minorEastAsia" w:cstheme="minorEastAsia"/>
                <w:color w:val="auto"/>
                <w:sz w:val="22"/>
              </w:rPr>
              <w:t>分，</w:t>
            </w:r>
            <w:r>
              <w:rPr>
                <w:rFonts w:asciiTheme="minorEastAsia" w:hAnsiTheme="minorEastAsia" w:eastAsiaTheme="minorEastAsia" w:cstheme="minorEastAsia"/>
                <w:color w:val="auto"/>
                <w:sz w:val="22"/>
              </w:rPr>
              <w:t>扣完为止</w:t>
            </w:r>
            <w:r>
              <w:rPr>
                <w:rFonts w:hint="eastAsia" w:asciiTheme="minorEastAsia" w:hAnsiTheme="minorEastAsia" w:eastAsiaTheme="minorEastAsia" w:cstheme="minorEastAsia"/>
                <w:color w:val="auto"/>
                <w:sz w:val="22"/>
              </w:rPr>
              <w:t>。</w:t>
            </w:r>
          </w:p>
          <w:p w14:paraId="1A7A183E">
            <w:pPr>
              <w:spacing w:line="400" w:lineRule="exact"/>
              <w:ind w:firstLine="440" w:firstLineChars="200"/>
              <w:rPr>
                <w:rFonts w:hint="eastAsia"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按插入法计算得分。</w:t>
            </w:r>
          </w:p>
          <w:p w14:paraId="5900D4F1">
            <w:pPr>
              <w:spacing w:line="400" w:lineRule="exact"/>
              <w:ind w:firstLine="440" w:firstLineChars="200"/>
              <w:rPr>
                <w:rFonts w:hint="eastAsia"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kern w:val="0"/>
                <w:sz w:val="22"/>
              </w:rPr>
              <w:t>未参与评标基准价计算的竞标总报价，仍应参加计算相应分值。</w:t>
            </w:r>
          </w:p>
          <w:p w14:paraId="0FF61A43">
            <w:pPr>
              <w:spacing w:after="43" w:afterLines="10" w:line="400" w:lineRule="exact"/>
              <w:ind w:firstLine="440" w:firstLineChars="200"/>
              <w:jc w:val="left"/>
              <w:rPr>
                <w:rFonts w:hint="eastAsia" w:asciiTheme="minorEastAsia" w:hAnsiTheme="minorEastAsia" w:eastAsiaTheme="minorEastAsia" w:cstheme="minorEastAsia"/>
                <w:color w:val="auto"/>
                <w:kern w:val="0"/>
                <w:sz w:val="22"/>
              </w:rPr>
            </w:pPr>
            <w:r>
              <w:rPr>
                <w:rFonts w:hint="eastAsia" w:asciiTheme="minorEastAsia" w:hAnsiTheme="minorEastAsia" w:eastAsiaTheme="minorEastAsia" w:cstheme="minorEastAsia"/>
                <w:color w:val="auto"/>
                <w:kern w:val="0"/>
                <w:sz w:val="22"/>
              </w:rPr>
              <w:t>竞标总报价得分最终结果取小数点后两位，第三位四舍五入。</w:t>
            </w:r>
          </w:p>
        </w:tc>
      </w:tr>
      <w:tr w14:paraId="7D88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0" w:type="dxa"/>
            <w:tcBorders>
              <w:left w:val="single" w:color="auto" w:sz="4" w:space="0"/>
              <w:bottom w:val="single" w:color="auto" w:sz="4" w:space="0"/>
              <w:right w:val="single" w:color="auto" w:sz="4" w:space="0"/>
            </w:tcBorders>
            <w:vAlign w:val="center"/>
          </w:tcPr>
          <w:p w14:paraId="757E2D57">
            <w:pPr>
              <w:spacing w:line="400" w:lineRule="exact"/>
              <w:ind w:firstLine="19" w:firstLineChars="9"/>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sz w:val="22"/>
              </w:rPr>
              <w:t>3.1.</w:t>
            </w:r>
            <w:r>
              <w:rPr>
                <w:rFonts w:asciiTheme="minorEastAsia" w:hAnsiTheme="minorEastAsia" w:eastAsiaTheme="minorEastAsia" w:cstheme="minorEastAsia"/>
                <w:color w:val="auto"/>
                <w:sz w:val="22"/>
              </w:rPr>
              <w:t>2</w:t>
            </w:r>
          </w:p>
        </w:tc>
        <w:tc>
          <w:tcPr>
            <w:tcW w:w="1559" w:type="dxa"/>
            <w:tcBorders>
              <w:left w:val="single" w:color="auto" w:sz="4" w:space="0"/>
              <w:bottom w:val="single" w:color="auto" w:sz="4" w:space="0"/>
              <w:right w:val="single" w:color="auto" w:sz="4" w:space="0"/>
            </w:tcBorders>
            <w:vAlign w:val="center"/>
          </w:tcPr>
          <w:p w14:paraId="049E582C">
            <w:pPr>
              <w:spacing w:line="400" w:lineRule="exact"/>
              <w:jc w:val="center"/>
              <w:rPr>
                <w:rFonts w:hint="eastAsia" w:asciiTheme="minorEastAsia" w:hAnsiTheme="minorEastAsia" w:eastAsiaTheme="minorEastAsia" w:cstheme="minorEastAsia"/>
                <w:color w:val="auto"/>
                <w:sz w:val="22"/>
                <w:szCs w:val="24"/>
              </w:rPr>
            </w:pPr>
            <w:r>
              <w:rPr>
                <w:rFonts w:hint="eastAsia" w:asciiTheme="minorEastAsia" w:hAnsiTheme="minorEastAsia" w:eastAsiaTheme="minorEastAsia" w:cstheme="minorEastAsia"/>
                <w:color w:val="auto"/>
                <w:sz w:val="22"/>
              </w:rPr>
              <w:t>竞标人得分</w:t>
            </w:r>
          </w:p>
        </w:tc>
        <w:tc>
          <w:tcPr>
            <w:tcW w:w="7123" w:type="dxa"/>
            <w:gridSpan w:val="2"/>
            <w:tcBorders>
              <w:left w:val="single" w:color="auto" w:sz="4" w:space="0"/>
              <w:bottom w:val="single" w:color="auto" w:sz="4" w:space="0"/>
              <w:right w:val="single" w:color="auto" w:sz="4" w:space="0"/>
            </w:tcBorders>
            <w:vAlign w:val="center"/>
          </w:tcPr>
          <w:p w14:paraId="49A9434F">
            <w:pPr>
              <w:spacing w:line="400" w:lineRule="exact"/>
              <w:ind w:firstLine="19" w:firstLineChars="9"/>
              <w:jc w:val="center"/>
              <w:rPr>
                <w:rFonts w:hint="eastAsia" w:asciiTheme="minorEastAsia" w:hAnsiTheme="minorEastAsia" w:eastAsiaTheme="minorEastAsia" w:cstheme="minorEastAsia"/>
                <w:color w:val="auto"/>
                <w:kern w:val="0"/>
                <w:sz w:val="22"/>
              </w:rPr>
            </w:pPr>
            <w:r>
              <w:rPr>
                <w:rFonts w:hint="eastAsia" w:asciiTheme="minorEastAsia" w:hAnsiTheme="minorEastAsia" w:eastAsiaTheme="minorEastAsia" w:cstheme="minorEastAsia"/>
                <w:color w:val="auto"/>
                <w:sz w:val="22"/>
              </w:rPr>
              <w:t>竞标人得分=A</w:t>
            </w:r>
          </w:p>
        </w:tc>
      </w:tr>
    </w:tbl>
    <w:p w14:paraId="6905CEBD">
      <w:pPr>
        <w:pStyle w:val="3"/>
        <w:spacing w:before="0" w:after="0" w:line="360" w:lineRule="auto"/>
        <w:ind w:firstLine="720"/>
        <w:rPr>
          <w:rFonts w:hint="eastAsia" w:asciiTheme="minorEastAsia" w:hAnsiTheme="minorEastAsia" w:eastAsiaTheme="minorEastAsia"/>
          <w:b w:val="0"/>
          <w:snapToGrid w:val="0"/>
          <w:color w:val="auto"/>
          <w:sz w:val="36"/>
          <w:szCs w:val="21"/>
        </w:rPr>
      </w:pPr>
      <w:bookmarkStart w:id="357" w:name="_Toc33106452"/>
      <w:r>
        <w:rPr>
          <w:rFonts w:ascii="宋体" w:hAnsi="宋体"/>
          <w:b w:val="0"/>
          <w:snapToGrid w:val="0"/>
          <w:color w:val="auto"/>
          <w:sz w:val="36"/>
          <w:szCs w:val="21"/>
        </w:rPr>
        <w:br w:type="page"/>
      </w:r>
      <w:bookmarkStart w:id="358" w:name="_Toc13260"/>
      <w:bookmarkStart w:id="359" w:name="_Toc57795929"/>
      <w:r>
        <w:rPr>
          <w:rFonts w:hint="eastAsia" w:cs="宋体" w:asciiTheme="minorEastAsia" w:hAnsiTheme="minorEastAsia" w:eastAsiaTheme="minorEastAsia"/>
          <w:color w:val="auto"/>
          <w:szCs w:val="32"/>
        </w:rPr>
        <w:t>1. 评标方法</w:t>
      </w:r>
      <w:bookmarkEnd w:id="357"/>
      <w:bookmarkEnd w:id="358"/>
      <w:bookmarkEnd w:id="359"/>
    </w:p>
    <w:p w14:paraId="1ED91C94">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本次评标采用综合</w:t>
      </w:r>
      <w:r>
        <w:rPr>
          <w:rFonts w:hint="eastAsia" w:asciiTheme="minorEastAsia" w:hAnsiTheme="minorEastAsia" w:eastAsiaTheme="minorEastAsia"/>
          <w:color w:val="auto"/>
          <w:kern w:val="0"/>
          <w:sz w:val="22"/>
        </w:rPr>
        <w:t>评估</w:t>
      </w:r>
      <w:r>
        <w:rPr>
          <w:rFonts w:asciiTheme="minorEastAsia" w:hAnsiTheme="minorEastAsia" w:eastAsiaTheme="minorEastAsia"/>
          <w:color w:val="auto"/>
          <w:kern w:val="0"/>
          <w:sz w:val="22"/>
        </w:rPr>
        <w:t>法</w:t>
      </w:r>
      <w:r>
        <w:rPr>
          <w:rFonts w:asciiTheme="minorEastAsia" w:hAnsiTheme="minorEastAsia" w:eastAsiaTheme="minorEastAsia"/>
          <w:color w:val="auto"/>
          <w:spacing w:val="-47"/>
          <w:kern w:val="0"/>
          <w:sz w:val="22"/>
        </w:rPr>
        <w:t>。</w:t>
      </w:r>
      <w:r>
        <w:rPr>
          <w:rFonts w:asciiTheme="minorEastAsia" w:hAnsiTheme="minorEastAsia" w:eastAsiaTheme="minorEastAsia"/>
          <w:color w:val="auto"/>
          <w:kern w:val="0"/>
          <w:sz w:val="22"/>
        </w:rPr>
        <w:t xml:space="preserve">评标委员会按照本章第 </w:t>
      </w:r>
      <w:r>
        <w:rPr>
          <w:rFonts w:asciiTheme="minorEastAsia" w:hAnsiTheme="minorEastAsia" w:eastAsiaTheme="minorEastAsia"/>
          <w:color w:val="auto"/>
          <w:spacing w:val="1"/>
          <w:kern w:val="0"/>
          <w:sz w:val="22"/>
        </w:rPr>
        <w:t>2</w:t>
      </w:r>
      <w:r>
        <w:rPr>
          <w:rFonts w:asciiTheme="minorEastAsia" w:hAnsiTheme="minorEastAsia" w:eastAsiaTheme="minorEastAsia"/>
          <w:color w:val="auto"/>
          <w:spacing w:val="-1"/>
          <w:kern w:val="0"/>
          <w:sz w:val="22"/>
        </w:rPr>
        <w:t>.</w:t>
      </w:r>
      <w:r>
        <w:rPr>
          <w:rFonts w:hint="eastAsia" w:asciiTheme="minorEastAsia" w:hAnsiTheme="minorEastAsia" w:eastAsiaTheme="minorEastAsia"/>
          <w:color w:val="auto"/>
          <w:kern w:val="0"/>
          <w:sz w:val="22"/>
        </w:rPr>
        <w:t>2</w:t>
      </w:r>
      <w:r>
        <w:rPr>
          <w:rFonts w:asciiTheme="minorEastAsia" w:hAnsiTheme="minorEastAsia" w:eastAsiaTheme="minorEastAsia"/>
          <w:color w:val="auto"/>
          <w:kern w:val="0"/>
          <w:sz w:val="22"/>
        </w:rPr>
        <w:t>款</w:t>
      </w:r>
      <w:r>
        <w:rPr>
          <w:rFonts w:asciiTheme="minorEastAsia" w:hAnsiTheme="minorEastAsia" w:eastAsiaTheme="minorEastAsia"/>
          <w:color w:val="auto"/>
          <w:spacing w:val="-1"/>
          <w:kern w:val="0"/>
          <w:sz w:val="22"/>
        </w:rPr>
        <w:t>规</w:t>
      </w:r>
      <w:r>
        <w:rPr>
          <w:rFonts w:asciiTheme="minorEastAsia" w:hAnsiTheme="minorEastAsia" w:eastAsiaTheme="minorEastAsia"/>
          <w:color w:val="auto"/>
          <w:kern w:val="0"/>
          <w:sz w:val="22"/>
        </w:rPr>
        <w:t>定的评分标准进行</w:t>
      </w:r>
      <w:r>
        <w:rPr>
          <w:rFonts w:hint="eastAsia" w:asciiTheme="minorEastAsia" w:hAnsiTheme="minorEastAsia" w:eastAsiaTheme="minorEastAsia"/>
          <w:color w:val="auto"/>
          <w:kern w:val="0"/>
          <w:sz w:val="22"/>
        </w:rPr>
        <w:t>评分</w:t>
      </w:r>
      <w:r>
        <w:rPr>
          <w:rFonts w:asciiTheme="minorEastAsia" w:hAnsiTheme="minorEastAsia" w:eastAsiaTheme="minorEastAsia"/>
          <w:color w:val="auto"/>
          <w:kern w:val="0"/>
          <w:sz w:val="22"/>
        </w:rPr>
        <w:t>，按得分由高到低顺序推荐中标候选人</w:t>
      </w:r>
      <w:r>
        <w:rPr>
          <w:rFonts w:asciiTheme="minorEastAsia" w:hAnsiTheme="minorEastAsia" w:eastAsiaTheme="minorEastAsia"/>
          <w:color w:val="auto"/>
          <w:spacing w:val="-20"/>
          <w:kern w:val="0"/>
          <w:sz w:val="22"/>
        </w:rPr>
        <w:t>，</w:t>
      </w:r>
      <w:r>
        <w:rPr>
          <w:rFonts w:asciiTheme="minorEastAsia" w:hAnsiTheme="minorEastAsia" w:eastAsiaTheme="minorEastAsia"/>
          <w:color w:val="auto"/>
          <w:kern w:val="0"/>
          <w:sz w:val="22"/>
        </w:rPr>
        <w:t>或根据</w:t>
      </w:r>
      <w:r>
        <w:rPr>
          <w:rFonts w:hint="eastAsia" w:asciiTheme="minorEastAsia" w:hAnsiTheme="minorEastAsia" w:eastAsiaTheme="minorEastAsia"/>
          <w:color w:val="auto"/>
          <w:kern w:val="0"/>
          <w:sz w:val="22"/>
        </w:rPr>
        <w:t>比选人</w:t>
      </w:r>
      <w:r>
        <w:rPr>
          <w:rFonts w:asciiTheme="minorEastAsia" w:hAnsiTheme="minorEastAsia" w:eastAsiaTheme="minorEastAsia"/>
          <w:color w:val="auto"/>
          <w:kern w:val="0"/>
          <w:sz w:val="22"/>
        </w:rPr>
        <w:t>授权直接确定中标人</w:t>
      </w:r>
      <w:r>
        <w:rPr>
          <w:rFonts w:hint="eastAsia" w:asciiTheme="minorEastAsia" w:hAnsiTheme="minorEastAsia" w:eastAsiaTheme="minorEastAsia"/>
          <w:color w:val="auto"/>
          <w:kern w:val="0"/>
          <w:sz w:val="22"/>
        </w:rPr>
        <w:t>，若出现竞标人综合评分相等的，以评标办法前附表约定的原则确定排序</w:t>
      </w:r>
      <w:r>
        <w:rPr>
          <w:rFonts w:asciiTheme="minorEastAsia" w:hAnsiTheme="minorEastAsia" w:eastAsiaTheme="minorEastAsia"/>
          <w:color w:val="auto"/>
          <w:spacing w:val="-31"/>
          <w:kern w:val="0"/>
          <w:sz w:val="22"/>
        </w:rPr>
        <w:t>。</w:t>
      </w:r>
    </w:p>
    <w:p w14:paraId="0A2A0D2C">
      <w:pPr>
        <w:pStyle w:val="3"/>
        <w:spacing w:before="0" w:after="0" w:line="360" w:lineRule="auto"/>
        <w:ind w:firstLine="643"/>
        <w:rPr>
          <w:rFonts w:hint="eastAsia" w:cs="宋体" w:asciiTheme="minorEastAsia" w:hAnsiTheme="minorEastAsia" w:eastAsiaTheme="minorEastAsia"/>
          <w:color w:val="auto"/>
          <w:szCs w:val="32"/>
        </w:rPr>
      </w:pPr>
      <w:bookmarkStart w:id="360" w:name="_Toc57795930"/>
      <w:bookmarkStart w:id="361" w:name="_Toc287620752"/>
      <w:bookmarkStart w:id="362" w:name="_Toc287607813"/>
      <w:bookmarkStart w:id="363" w:name="_Toc509218777"/>
      <w:bookmarkStart w:id="364" w:name="_Toc30723"/>
      <w:bookmarkStart w:id="365" w:name="_Toc224103385"/>
      <w:bookmarkStart w:id="366" w:name="_Toc33106453"/>
      <w:bookmarkStart w:id="367" w:name="_Toc200513199"/>
      <w:bookmarkStart w:id="368" w:name="_Toc430530501"/>
      <w:bookmarkStart w:id="369" w:name="_Toc277082619"/>
      <w:r>
        <w:rPr>
          <w:rFonts w:hint="eastAsia" w:cs="宋体" w:asciiTheme="minorEastAsia" w:hAnsiTheme="minorEastAsia" w:eastAsiaTheme="minorEastAsia"/>
          <w:color w:val="auto"/>
          <w:szCs w:val="32"/>
        </w:rPr>
        <w:t>2. 评审标准</w:t>
      </w:r>
      <w:bookmarkEnd w:id="360"/>
      <w:bookmarkEnd w:id="361"/>
      <w:bookmarkEnd w:id="362"/>
      <w:bookmarkEnd w:id="363"/>
      <w:bookmarkEnd w:id="364"/>
      <w:bookmarkEnd w:id="365"/>
      <w:bookmarkEnd w:id="366"/>
      <w:bookmarkEnd w:id="367"/>
      <w:bookmarkEnd w:id="368"/>
      <w:bookmarkEnd w:id="369"/>
    </w:p>
    <w:p w14:paraId="0A47F554">
      <w:pPr>
        <w:pStyle w:val="4"/>
        <w:spacing w:before="0" w:after="0" w:line="360" w:lineRule="auto"/>
        <w:ind w:firstLine="108"/>
        <w:rPr>
          <w:rFonts w:hint="eastAsia" w:asciiTheme="minorEastAsia" w:hAnsiTheme="minorEastAsia" w:eastAsiaTheme="minorEastAsia"/>
          <w:color w:val="auto"/>
          <w:kern w:val="0"/>
          <w:sz w:val="22"/>
          <w:szCs w:val="22"/>
        </w:rPr>
      </w:pPr>
      <w:bookmarkStart w:id="370" w:name="_Toc509218778"/>
      <w:bookmarkStart w:id="371" w:name="_Toc430530502"/>
      <w:bookmarkStart w:id="372" w:name="_Toc200513200"/>
      <w:bookmarkStart w:id="373" w:name="_Toc287620753"/>
      <w:bookmarkStart w:id="374" w:name="_Toc287607814"/>
      <w:bookmarkStart w:id="375" w:name="_Toc5255"/>
      <w:bookmarkStart w:id="376" w:name="_Toc57795931"/>
      <w:bookmarkStart w:id="377" w:name="_Toc277082620"/>
      <w:bookmarkStart w:id="378" w:name="_Toc33106454"/>
      <w:bookmarkStart w:id="379" w:name="_Toc224103386"/>
      <w:r>
        <w:rPr>
          <w:rFonts w:hint="eastAsia" w:cs="宋体" w:asciiTheme="minorEastAsia" w:hAnsiTheme="minorEastAsia" w:eastAsiaTheme="minorEastAsia"/>
          <w:color w:val="auto"/>
          <w:sz w:val="22"/>
          <w:szCs w:val="22"/>
        </w:rPr>
        <w:t>2.1 初步评审标准</w:t>
      </w:r>
      <w:bookmarkEnd w:id="370"/>
      <w:bookmarkEnd w:id="371"/>
      <w:bookmarkEnd w:id="372"/>
      <w:bookmarkEnd w:id="373"/>
      <w:bookmarkEnd w:id="374"/>
      <w:bookmarkEnd w:id="375"/>
      <w:bookmarkEnd w:id="376"/>
      <w:bookmarkEnd w:id="377"/>
      <w:bookmarkEnd w:id="378"/>
      <w:bookmarkEnd w:id="379"/>
    </w:p>
    <w:p w14:paraId="059B4EAB">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2.</w:t>
      </w:r>
      <w:r>
        <w:rPr>
          <w:rFonts w:hint="eastAsia" w:asciiTheme="minorEastAsia" w:hAnsiTheme="minorEastAsia" w:eastAsiaTheme="minorEastAsia"/>
          <w:color w:val="auto"/>
          <w:kern w:val="0"/>
          <w:sz w:val="22"/>
        </w:rPr>
        <w:t>1</w:t>
      </w:r>
      <w:r>
        <w:rPr>
          <w:rFonts w:asciiTheme="minorEastAsia" w:hAnsiTheme="minorEastAsia" w:eastAsiaTheme="minorEastAsia"/>
          <w:color w:val="auto"/>
          <w:kern w:val="0"/>
          <w:sz w:val="22"/>
        </w:rPr>
        <w:t>.</w:t>
      </w:r>
      <w:r>
        <w:rPr>
          <w:rFonts w:hint="eastAsia" w:asciiTheme="minorEastAsia" w:hAnsiTheme="minorEastAsia" w:eastAsiaTheme="minorEastAsia"/>
          <w:color w:val="auto"/>
          <w:kern w:val="0"/>
          <w:sz w:val="22"/>
        </w:rPr>
        <w:t>1</w:t>
      </w:r>
      <w:r>
        <w:rPr>
          <w:rFonts w:asciiTheme="minorEastAsia" w:hAnsiTheme="minorEastAsia" w:eastAsiaTheme="minorEastAsia"/>
          <w:color w:val="auto"/>
          <w:kern w:val="0"/>
          <w:sz w:val="22"/>
        </w:rPr>
        <w:t xml:space="preserve"> 资格评审标准：见评标办法前附表。</w:t>
      </w:r>
    </w:p>
    <w:p w14:paraId="32259D9C">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2.</w:t>
      </w:r>
      <w:r>
        <w:rPr>
          <w:rFonts w:hint="eastAsia" w:asciiTheme="minorEastAsia" w:hAnsiTheme="minorEastAsia" w:eastAsiaTheme="minorEastAsia"/>
          <w:color w:val="auto"/>
          <w:kern w:val="0"/>
          <w:sz w:val="22"/>
        </w:rPr>
        <w:t>1</w:t>
      </w:r>
      <w:r>
        <w:rPr>
          <w:rFonts w:asciiTheme="minorEastAsia" w:hAnsiTheme="minorEastAsia" w:eastAsiaTheme="minorEastAsia"/>
          <w:color w:val="auto"/>
          <w:kern w:val="0"/>
          <w:sz w:val="22"/>
        </w:rPr>
        <w:t>.</w:t>
      </w:r>
      <w:r>
        <w:rPr>
          <w:rFonts w:hint="eastAsia" w:asciiTheme="minorEastAsia" w:hAnsiTheme="minorEastAsia" w:eastAsiaTheme="minorEastAsia"/>
          <w:color w:val="auto"/>
          <w:kern w:val="0"/>
          <w:sz w:val="22"/>
        </w:rPr>
        <w:t>2</w:t>
      </w:r>
      <w:r>
        <w:rPr>
          <w:rFonts w:asciiTheme="minorEastAsia" w:hAnsiTheme="minorEastAsia" w:eastAsiaTheme="minorEastAsia"/>
          <w:color w:val="auto"/>
          <w:kern w:val="0"/>
          <w:sz w:val="22"/>
        </w:rPr>
        <w:t xml:space="preserve"> 形式评审标准：见评标办法前附表。</w:t>
      </w:r>
    </w:p>
    <w:p w14:paraId="681C38F2">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2.</w:t>
      </w:r>
      <w:r>
        <w:rPr>
          <w:rFonts w:hint="eastAsia" w:asciiTheme="minorEastAsia" w:hAnsiTheme="minorEastAsia" w:eastAsiaTheme="minorEastAsia"/>
          <w:color w:val="auto"/>
          <w:kern w:val="0"/>
          <w:sz w:val="22"/>
        </w:rPr>
        <w:t>1</w:t>
      </w:r>
      <w:r>
        <w:rPr>
          <w:rFonts w:asciiTheme="minorEastAsia" w:hAnsiTheme="minorEastAsia" w:eastAsiaTheme="minorEastAsia"/>
          <w:color w:val="auto"/>
          <w:kern w:val="0"/>
          <w:sz w:val="22"/>
        </w:rPr>
        <w:t>.</w:t>
      </w:r>
      <w:r>
        <w:rPr>
          <w:rFonts w:hint="eastAsia" w:asciiTheme="minorEastAsia" w:hAnsiTheme="minorEastAsia" w:eastAsiaTheme="minorEastAsia"/>
          <w:color w:val="auto"/>
          <w:kern w:val="0"/>
          <w:sz w:val="22"/>
        </w:rPr>
        <w:t>3</w:t>
      </w:r>
      <w:r>
        <w:rPr>
          <w:rFonts w:asciiTheme="minorEastAsia" w:hAnsiTheme="minorEastAsia" w:eastAsiaTheme="minorEastAsia"/>
          <w:color w:val="auto"/>
          <w:kern w:val="0"/>
          <w:sz w:val="22"/>
        </w:rPr>
        <w:t xml:space="preserve"> 响应性评审标准：见评标办法前附表。</w:t>
      </w:r>
    </w:p>
    <w:p w14:paraId="1DC17C80">
      <w:pPr>
        <w:pStyle w:val="4"/>
        <w:spacing w:before="0" w:after="0" w:line="360" w:lineRule="auto"/>
        <w:ind w:firstLine="108"/>
        <w:rPr>
          <w:rFonts w:hint="eastAsia" w:cs="宋体" w:asciiTheme="minorEastAsia" w:hAnsiTheme="minorEastAsia" w:eastAsiaTheme="minorEastAsia"/>
          <w:color w:val="auto"/>
          <w:sz w:val="22"/>
          <w:szCs w:val="22"/>
        </w:rPr>
      </w:pPr>
      <w:bookmarkStart w:id="380" w:name="_Toc57795932"/>
      <w:bookmarkStart w:id="381" w:name="_Toc224103387"/>
      <w:bookmarkStart w:id="382" w:name="_Toc277082621"/>
      <w:bookmarkStart w:id="383" w:name="_Toc200513201"/>
      <w:bookmarkStart w:id="384" w:name="_Toc430530503"/>
      <w:bookmarkStart w:id="385" w:name="_Toc3762"/>
      <w:bookmarkStart w:id="386" w:name="_Toc509218779"/>
      <w:bookmarkStart w:id="387" w:name="_Toc287620754"/>
      <w:bookmarkStart w:id="388" w:name="_Toc33106455"/>
      <w:bookmarkStart w:id="389" w:name="_Toc287607815"/>
      <w:r>
        <w:rPr>
          <w:rFonts w:hint="eastAsia" w:cs="宋体" w:asciiTheme="minorEastAsia" w:hAnsiTheme="minorEastAsia" w:eastAsiaTheme="minorEastAsia"/>
          <w:color w:val="auto"/>
          <w:sz w:val="22"/>
          <w:szCs w:val="22"/>
        </w:rPr>
        <w:t>2.2 分值构成与评分标准</w:t>
      </w:r>
      <w:bookmarkEnd w:id="380"/>
      <w:bookmarkEnd w:id="381"/>
      <w:bookmarkEnd w:id="382"/>
      <w:bookmarkEnd w:id="383"/>
      <w:bookmarkEnd w:id="384"/>
      <w:bookmarkEnd w:id="385"/>
      <w:bookmarkEnd w:id="386"/>
      <w:bookmarkEnd w:id="387"/>
      <w:bookmarkEnd w:id="388"/>
      <w:bookmarkEnd w:id="389"/>
    </w:p>
    <w:p w14:paraId="22D1F326">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2.</w:t>
      </w:r>
      <w:r>
        <w:rPr>
          <w:rFonts w:hint="eastAsia" w:asciiTheme="minorEastAsia" w:hAnsiTheme="minorEastAsia" w:eastAsiaTheme="minorEastAsia"/>
          <w:color w:val="auto"/>
          <w:kern w:val="0"/>
          <w:sz w:val="22"/>
        </w:rPr>
        <w:t>2</w:t>
      </w:r>
      <w:r>
        <w:rPr>
          <w:rFonts w:asciiTheme="minorEastAsia" w:hAnsiTheme="minorEastAsia" w:eastAsiaTheme="minorEastAsia"/>
          <w:color w:val="auto"/>
          <w:kern w:val="0"/>
          <w:sz w:val="22"/>
        </w:rPr>
        <w:t xml:space="preserve"> </w:t>
      </w:r>
      <w:r>
        <w:rPr>
          <w:rFonts w:hint="eastAsia" w:cs="宋体" w:asciiTheme="minorEastAsia" w:hAnsiTheme="minorEastAsia" w:eastAsiaTheme="minorEastAsia"/>
          <w:color w:val="auto"/>
          <w:sz w:val="22"/>
        </w:rPr>
        <w:t>分值构成</w:t>
      </w:r>
    </w:p>
    <w:p w14:paraId="6B69B891">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hint="eastAsia" w:asciiTheme="minorEastAsia" w:hAnsiTheme="minorEastAsia" w:eastAsiaTheme="minorEastAsia"/>
          <w:color w:val="auto"/>
          <w:kern w:val="0"/>
          <w:sz w:val="22"/>
        </w:rPr>
        <w:t>竞标</w:t>
      </w:r>
      <w:r>
        <w:rPr>
          <w:rFonts w:asciiTheme="minorEastAsia" w:hAnsiTheme="minorEastAsia" w:eastAsiaTheme="minorEastAsia"/>
          <w:color w:val="auto"/>
          <w:spacing w:val="-1"/>
          <w:kern w:val="0"/>
          <w:sz w:val="22"/>
        </w:rPr>
        <w:t>报</w:t>
      </w:r>
      <w:r>
        <w:rPr>
          <w:rFonts w:asciiTheme="minorEastAsia" w:hAnsiTheme="minorEastAsia" w:eastAsiaTheme="minorEastAsia"/>
          <w:color w:val="auto"/>
          <w:kern w:val="0"/>
          <w:sz w:val="22"/>
        </w:rPr>
        <w:t>价：见评标办法前附表</w:t>
      </w:r>
      <w:r>
        <w:rPr>
          <w:rFonts w:hint="eastAsia" w:asciiTheme="minorEastAsia" w:hAnsiTheme="minorEastAsia" w:eastAsiaTheme="minorEastAsia"/>
          <w:color w:val="auto"/>
          <w:kern w:val="0"/>
          <w:sz w:val="22"/>
        </w:rPr>
        <w:t>。</w:t>
      </w:r>
    </w:p>
    <w:p w14:paraId="51DA829E">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2.</w:t>
      </w:r>
      <w:r>
        <w:rPr>
          <w:rFonts w:hint="eastAsia" w:asciiTheme="minorEastAsia" w:hAnsiTheme="minorEastAsia" w:eastAsiaTheme="minorEastAsia"/>
          <w:color w:val="auto"/>
          <w:kern w:val="0"/>
          <w:sz w:val="22"/>
        </w:rPr>
        <w:t>2</w:t>
      </w:r>
      <w:r>
        <w:rPr>
          <w:rFonts w:asciiTheme="minorEastAsia" w:hAnsiTheme="minorEastAsia" w:eastAsiaTheme="minorEastAsia"/>
          <w:color w:val="auto"/>
          <w:kern w:val="0"/>
          <w:sz w:val="22"/>
        </w:rPr>
        <w:t>.1 评标基准价计算</w:t>
      </w:r>
    </w:p>
    <w:p w14:paraId="46D1CFA0">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hint="eastAsia" w:asciiTheme="minorEastAsia" w:hAnsiTheme="minorEastAsia" w:eastAsiaTheme="minorEastAsia"/>
          <w:color w:val="auto"/>
          <w:kern w:val="0"/>
          <w:sz w:val="22"/>
        </w:rPr>
        <w:t>评标基准价的计算方法：</w:t>
      </w:r>
      <w:r>
        <w:rPr>
          <w:rFonts w:asciiTheme="minorEastAsia" w:hAnsiTheme="minorEastAsia" w:eastAsiaTheme="minorEastAsia"/>
          <w:color w:val="auto"/>
          <w:kern w:val="0"/>
          <w:sz w:val="22"/>
        </w:rPr>
        <w:t>见评标办法前附表。</w:t>
      </w:r>
    </w:p>
    <w:p w14:paraId="7A16FA00">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2.</w:t>
      </w:r>
      <w:r>
        <w:rPr>
          <w:rFonts w:hint="eastAsia" w:asciiTheme="minorEastAsia" w:hAnsiTheme="minorEastAsia" w:eastAsiaTheme="minorEastAsia"/>
          <w:color w:val="auto"/>
          <w:kern w:val="0"/>
          <w:sz w:val="22"/>
        </w:rPr>
        <w:t>3 竞标</w:t>
      </w:r>
      <w:r>
        <w:rPr>
          <w:rFonts w:asciiTheme="minorEastAsia" w:hAnsiTheme="minorEastAsia" w:eastAsiaTheme="minorEastAsia"/>
          <w:color w:val="auto"/>
          <w:kern w:val="0"/>
          <w:sz w:val="22"/>
        </w:rPr>
        <w:t>报价的偏差率计算</w:t>
      </w:r>
    </w:p>
    <w:p w14:paraId="5E81B9C6">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hint="eastAsia" w:asciiTheme="minorEastAsia" w:hAnsiTheme="minorEastAsia" w:eastAsiaTheme="minorEastAsia"/>
          <w:color w:val="auto"/>
          <w:kern w:val="0"/>
          <w:sz w:val="22"/>
        </w:rPr>
        <w:t>竞标</w:t>
      </w:r>
      <w:r>
        <w:rPr>
          <w:rFonts w:asciiTheme="minorEastAsia" w:hAnsiTheme="minorEastAsia" w:eastAsiaTheme="minorEastAsia"/>
          <w:color w:val="auto"/>
          <w:kern w:val="0"/>
          <w:sz w:val="22"/>
        </w:rPr>
        <w:t>报价的偏差率计算公式：见评标办法前附表</w:t>
      </w:r>
      <w:r>
        <w:rPr>
          <w:rFonts w:hint="eastAsia" w:asciiTheme="minorEastAsia" w:hAnsiTheme="minorEastAsia" w:eastAsiaTheme="minorEastAsia"/>
          <w:color w:val="auto"/>
          <w:kern w:val="0"/>
          <w:sz w:val="22"/>
        </w:rPr>
        <w:t>。</w:t>
      </w:r>
    </w:p>
    <w:p w14:paraId="31C0D0CC">
      <w:pPr>
        <w:pStyle w:val="3"/>
        <w:spacing w:before="0" w:after="0" w:line="360" w:lineRule="auto"/>
        <w:ind w:firstLine="643"/>
        <w:rPr>
          <w:rFonts w:hint="eastAsia" w:cs="宋体" w:asciiTheme="minorEastAsia" w:hAnsiTheme="minorEastAsia" w:eastAsiaTheme="minorEastAsia"/>
          <w:color w:val="auto"/>
          <w:szCs w:val="32"/>
        </w:rPr>
      </w:pPr>
      <w:bookmarkStart w:id="390" w:name="_Toc200513202"/>
      <w:bookmarkStart w:id="391" w:name="_Toc224103388"/>
      <w:bookmarkStart w:id="392" w:name="_Toc287620755"/>
      <w:bookmarkStart w:id="393" w:name="_Toc20354"/>
      <w:bookmarkStart w:id="394" w:name="_Toc277082622"/>
      <w:bookmarkStart w:id="395" w:name="_Toc33106456"/>
      <w:bookmarkStart w:id="396" w:name="_Toc287607816"/>
      <w:bookmarkStart w:id="397" w:name="_Toc509218780"/>
      <w:bookmarkStart w:id="398" w:name="_Toc430530504"/>
      <w:bookmarkStart w:id="399" w:name="_Toc57795933"/>
      <w:r>
        <w:rPr>
          <w:rFonts w:hint="eastAsia" w:cs="宋体" w:asciiTheme="minorEastAsia" w:hAnsiTheme="minorEastAsia" w:eastAsiaTheme="minorEastAsia"/>
          <w:color w:val="auto"/>
          <w:szCs w:val="32"/>
        </w:rPr>
        <w:t>3. 评标程序</w:t>
      </w:r>
      <w:bookmarkEnd w:id="390"/>
      <w:bookmarkEnd w:id="391"/>
      <w:bookmarkEnd w:id="392"/>
      <w:bookmarkEnd w:id="393"/>
      <w:bookmarkEnd w:id="394"/>
      <w:bookmarkEnd w:id="395"/>
      <w:bookmarkEnd w:id="396"/>
      <w:bookmarkEnd w:id="397"/>
      <w:bookmarkEnd w:id="398"/>
      <w:bookmarkEnd w:id="399"/>
    </w:p>
    <w:p w14:paraId="4D170337">
      <w:pPr>
        <w:pStyle w:val="4"/>
        <w:spacing w:before="0" w:after="0" w:line="360" w:lineRule="auto"/>
        <w:ind w:firstLine="108"/>
        <w:rPr>
          <w:rFonts w:hint="eastAsia" w:cs="宋体" w:asciiTheme="minorEastAsia" w:hAnsiTheme="minorEastAsia" w:eastAsiaTheme="minorEastAsia"/>
          <w:color w:val="auto"/>
          <w:sz w:val="22"/>
          <w:szCs w:val="22"/>
        </w:rPr>
      </w:pPr>
      <w:bookmarkStart w:id="400" w:name="_Toc287620756"/>
      <w:bookmarkStart w:id="401" w:name="_Toc277082623"/>
      <w:bookmarkStart w:id="402" w:name="_Toc224103389"/>
      <w:bookmarkStart w:id="403" w:name="_Toc33106457"/>
      <w:bookmarkStart w:id="404" w:name="_Toc509218781"/>
      <w:bookmarkStart w:id="405" w:name="_Toc430530505"/>
      <w:bookmarkStart w:id="406" w:name="_Toc287607817"/>
      <w:bookmarkStart w:id="407" w:name="_Toc57795934"/>
      <w:bookmarkStart w:id="408" w:name="_Toc25548"/>
      <w:bookmarkStart w:id="409" w:name="_Toc200513203"/>
      <w:r>
        <w:rPr>
          <w:rFonts w:hint="eastAsia" w:cs="宋体" w:asciiTheme="minorEastAsia" w:hAnsiTheme="minorEastAsia" w:eastAsiaTheme="minorEastAsia"/>
          <w:color w:val="auto"/>
          <w:sz w:val="22"/>
          <w:szCs w:val="22"/>
        </w:rPr>
        <w:t>3.1 初步评审</w:t>
      </w:r>
      <w:bookmarkEnd w:id="400"/>
      <w:bookmarkEnd w:id="401"/>
      <w:bookmarkEnd w:id="402"/>
      <w:bookmarkEnd w:id="403"/>
      <w:bookmarkEnd w:id="404"/>
      <w:bookmarkEnd w:id="405"/>
      <w:bookmarkEnd w:id="406"/>
      <w:bookmarkEnd w:id="407"/>
      <w:bookmarkEnd w:id="408"/>
      <w:bookmarkEnd w:id="409"/>
    </w:p>
    <w:p w14:paraId="06E33E69">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3.1.1 评标委员会依据本章第 2.</w:t>
      </w:r>
      <w:r>
        <w:rPr>
          <w:rFonts w:hint="eastAsia" w:asciiTheme="minorEastAsia" w:hAnsiTheme="minorEastAsia" w:eastAsiaTheme="minorEastAsia"/>
          <w:color w:val="auto"/>
          <w:kern w:val="0"/>
          <w:sz w:val="22"/>
        </w:rPr>
        <w:t>1</w:t>
      </w:r>
      <w:r>
        <w:rPr>
          <w:rFonts w:asciiTheme="minorEastAsia" w:hAnsiTheme="minorEastAsia" w:eastAsiaTheme="minorEastAsia"/>
          <w:color w:val="auto"/>
          <w:kern w:val="0"/>
          <w:sz w:val="22"/>
        </w:rPr>
        <w:t xml:space="preserve"> 款规定的标准对竞标文件进行</w:t>
      </w:r>
      <w:r>
        <w:rPr>
          <w:rFonts w:hint="eastAsia" w:asciiTheme="minorEastAsia" w:hAnsiTheme="minorEastAsia" w:eastAsiaTheme="minorEastAsia"/>
          <w:color w:val="auto"/>
          <w:kern w:val="0"/>
          <w:sz w:val="22"/>
        </w:rPr>
        <w:t>初步</w:t>
      </w:r>
      <w:r>
        <w:rPr>
          <w:rFonts w:asciiTheme="minorEastAsia" w:hAnsiTheme="minorEastAsia" w:eastAsiaTheme="minorEastAsia"/>
          <w:color w:val="auto"/>
          <w:kern w:val="0"/>
          <w:sz w:val="22"/>
        </w:rPr>
        <w:t>评审。有一项不符合评审标准的，作否决</w:t>
      </w:r>
      <w:r>
        <w:rPr>
          <w:rFonts w:hint="eastAsia" w:asciiTheme="minorEastAsia" w:hAnsiTheme="minorEastAsia" w:eastAsiaTheme="minorEastAsia"/>
          <w:color w:val="auto"/>
          <w:kern w:val="0"/>
          <w:sz w:val="22"/>
        </w:rPr>
        <w:t>竞标</w:t>
      </w:r>
      <w:r>
        <w:rPr>
          <w:rFonts w:asciiTheme="minorEastAsia" w:hAnsiTheme="minorEastAsia" w:eastAsiaTheme="minorEastAsia"/>
          <w:color w:val="auto"/>
          <w:kern w:val="0"/>
          <w:sz w:val="22"/>
        </w:rPr>
        <w:t>处理。</w:t>
      </w:r>
    </w:p>
    <w:p w14:paraId="56DDE50F">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3.1.2 竞标人有以下情形之一的，其</w:t>
      </w:r>
      <w:r>
        <w:rPr>
          <w:rFonts w:hint="eastAsia" w:asciiTheme="minorEastAsia" w:hAnsiTheme="minorEastAsia" w:eastAsiaTheme="minorEastAsia"/>
          <w:color w:val="auto"/>
          <w:kern w:val="0"/>
          <w:sz w:val="22"/>
        </w:rPr>
        <w:t>竞标</w:t>
      </w:r>
      <w:r>
        <w:rPr>
          <w:rFonts w:asciiTheme="minorEastAsia" w:hAnsiTheme="minorEastAsia" w:eastAsiaTheme="minorEastAsia"/>
          <w:color w:val="auto"/>
          <w:kern w:val="0"/>
          <w:sz w:val="22"/>
        </w:rPr>
        <w:t>作否决</w:t>
      </w:r>
      <w:r>
        <w:rPr>
          <w:rFonts w:hint="eastAsia" w:asciiTheme="minorEastAsia" w:hAnsiTheme="minorEastAsia" w:eastAsiaTheme="minorEastAsia"/>
          <w:color w:val="auto"/>
          <w:kern w:val="0"/>
          <w:sz w:val="22"/>
        </w:rPr>
        <w:t>竞标</w:t>
      </w:r>
      <w:r>
        <w:rPr>
          <w:rFonts w:asciiTheme="minorEastAsia" w:hAnsiTheme="minorEastAsia" w:eastAsiaTheme="minorEastAsia"/>
          <w:color w:val="auto"/>
          <w:kern w:val="0"/>
          <w:sz w:val="22"/>
        </w:rPr>
        <w:t>处理：</w:t>
      </w:r>
    </w:p>
    <w:p w14:paraId="19A96304">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w:t>
      </w:r>
      <w:r>
        <w:rPr>
          <w:rFonts w:asciiTheme="minorEastAsia" w:hAnsiTheme="minorEastAsia" w:eastAsiaTheme="minorEastAsia"/>
          <w:color w:val="auto"/>
          <w:spacing w:val="1"/>
          <w:kern w:val="0"/>
          <w:sz w:val="22"/>
        </w:rPr>
        <w:t>1</w:t>
      </w:r>
      <w:r>
        <w:rPr>
          <w:rFonts w:asciiTheme="minorEastAsia" w:hAnsiTheme="minorEastAsia" w:eastAsiaTheme="minorEastAsia"/>
          <w:color w:val="auto"/>
          <w:kern w:val="0"/>
          <w:sz w:val="22"/>
        </w:rPr>
        <w:t>）第二</w:t>
      </w:r>
      <w:r>
        <w:rPr>
          <w:rFonts w:asciiTheme="minorEastAsia" w:hAnsiTheme="minorEastAsia" w:eastAsiaTheme="minorEastAsia"/>
          <w:color w:val="auto"/>
          <w:spacing w:val="-1"/>
          <w:kern w:val="0"/>
          <w:sz w:val="22"/>
        </w:rPr>
        <w:t>章</w:t>
      </w:r>
      <w:r>
        <w:rPr>
          <w:rFonts w:hint="eastAsia" w:asciiTheme="minorEastAsia" w:hAnsiTheme="minorEastAsia" w:eastAsiaTheme="minorEastAsia"/>
          <w:color w:val="auto"/>
          <w:kern w:val="0"/>
          <w:sz w:val="22"/>
        </w:rPr>
        <w:t>“</w:t>
      </w:r>
      <w:r>
        <w:rPr>
          <w:rFonts w:asciiTheme="minorEastAsia" w:hAnsiTheme="minorEastAsia" w:eastAsiaTheme="minorEastAsia"/>
          <w:color w:val="auto"/>
          <w:kern w:val="0"/>
          <w:sz w:val="22"/>
        </w:rPr>
        <w:t>竞标人须知</w:t>
      </w:r>
      <w:r>
        <w:rPr>
          <w:rFonts w:hint="eastAsia" w:asciiTheme="minorEastAsia" w:hAnsiTheme="minorEastAsia" w:eastAsiaTheme="minorEastAsia"/>
          <w:color w:val="auto"/>
          <w:kern w:val="0"/>
          <w:sz w:val="22"/>
        </w:rPr>
        <w:t>”</w:t>
      </w:r>
      <w:r>
        <w:rPr>
          <w:rFonts w:asciiTheme="minorEastAsia" w:hAnsiTheme="minorEastAsia" w:eastAsiaTheme="minorEastAsia"/>
          <w:color w:val="auto"/>
          <w:kern w:val="0"/>
          <w:sz w:val="22"/>
        </w:rPr>
        <w:t>第</w:t>
      </w:r>
      <w:r>
        <w:rPr>
          <w:rFonts w:asciiTheme="minorEastAsia" w:hAnsiTheme="minorEastAsia" w:eastAsiaTheme="minorEastAsia"/>
          <w:color w:val="auto"/>
          <w:spacing w:val="1"/>
          <w:kern w:val="0"/>
          <w:sz w:val="22"/>
        </w:rPr>
        <w:t>1</w:t>
      </w:r>
      <w:r>
        <w:rPr>
          <w:rFonts w:asciiTheme="minorEastAsia" w:hAnsiTheme="minorEastAsia" w:eastAsiaTheme="minorEastAsia"/>
          <w:color w:val="auto"/>
          <w:spacing w:val="-1"/>
          <w:kern w:val="0"/>
          <w:sz w:val="22"/>
        </w:rPr>
        <w:t>.</w:t>
      </w:r>
      <w:r>
        <w:rPr>
          <w:rFonts w:asciiTheme="minorEastAsia" w:hAnsiTheme="minorEastAsia" w:eastAsiaTheme="minorEastAsia"/>
          <w:color w:val="auto"/>
          <w:spacing w:val="1"/>
          <w:kern w:val="0"/>
          <w:sz w:val="22"/>
        </w:rPr>
        <w:t>4</w:t>
      </w:r>
      <w:r>
        <w:rPr>
          <w:rFonts w:asciiTheme="minorEastAsia" w:hAnsiTheme="minorEastAsia" w:eastAsiaTheme="minorEastAsia"/>
          <w:color w:val="auto"/>
          <w:spacing w:val="-1"/>
          <w:kern w:val="0"/>
          <w:sz w:val="22"/>
        </w:rPr>
        <w:t>.</w:t>
      </w:r>
      <w:r>
        <w:rPr>
          <w:rFonts w:asciiTheme="minorEastAsia" w:hAnsiTheme="minorEastAsia" w:eastAsiaTheme="minorEastAsia"/>
          <w:color w:val="auto"/>
          <w:kern w:val="0"/>
          <w:sz w:val="22"/>
        </w:rPr>
        <w:t>3项规定的任何一种情形的；</w:t>
      </w:r>
    </w:p>
    <w:p w14:paraId="12485FE1">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w:t>
      </w:r>
      <w:r>
        <w:rPr>
          <w:rFonts w:asciiTheme="minorEastAsia" w:hAnsiTheme="minorEastAsia" w:eastAsiaTheme="minorEastAsia"/>
          <w:color w:val="auto"/>
          <w:spacing w:val="1"/>
          <w:kern w:val="0"/>
          <w:sz w:val="22"/>
        </w:rPr>
        <w:t>2</w:t>
      </w:r>
      <w:r>
        <w:rPr>
          <w:rFonts w:asciiTheme="minorEastAsia" w:hAnsiTheme="minorEastAsia" w:eastAsiaTheme="minorEastAsia"/>
          <w:color w:val="auto"/>
          <w:kern w:val="0"/>
          <w:sz w:val="22"/>
        </w:rPr>
        <w:t>）</w:t>
      </w:r>
      <w:r>
        <w:rPr>
          <w:rFonts w:hint="eastAsia" w:asciiTheme="minorEastAsia" w:hAnsiTheme="minorEastAsia" w:eastAsiaTheme="minorEastAsia"/>
          <w:color w:val="auto"/>
          <w:kern w:val="0"/>
          <w:sz w:val="22"/>
        </w:rPr>
        <w:t>本次竞标有串通竞标、弄虚作假等其他违反招投标相关法律、法规行为的</w:t>
      </w:r>
      <w:r>
        <w:rPr>
          <w:rFonts w:asciiTheme="minorEastAsia" w:hAnsiTheme="minorEastAsia" w:eastAsiaTheme="minorEastAsia"/>
          <w:color w:val="auto"/>
          <w:kern w:val="0"/>
          <w:sz w:val="22"/>
        </w:rPr>
        <w:t>；</w:t>
      </w:r>
    </w:p>
    <w:p w14:paraId="7D9302E4">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w:t>
      </w:r>
      <w:r>
        <w:rPr>
          <w:rFonts w:asciiTheme="minorEastAsia" w:hAnsiTheme="minorEastAsia" w:eastAsiaTheme="minorEastAsia"/>
          <w:color w:val="auto"/>
          <w:spacing w:val="1"/>
          <w:kern w:val="0"/>
          <w:sz w:val="22"/>
        </w:rPr>
        <w:t>3</w:t>
      </w:r>
      <w:r>
        <w:rPr>
          <w:rFonts w:asciiTheme="minorEastAsia" w:hAnsiTheme="minorEastAsia" w:eastAsiaTheme="minorEastAsia"/>
          <w:color w:val="auto"/>
          <w:kern w:val="0"/>
          <w:sz w:val="22"/>
        </w:rPr>
        <w:t>）</w:t>
      </w:r>
      <w:r>
        <w:rPr>
          <w:rFonts w:hint="eastAsia" w:asciiTheme="minorEastAsia" w:hAnsiTheme="minorEastAsia" w:eastAsiaTheme="minorEastAsia"/>
          <w:color w:val="auto"/>
          <w:kern w:val="0"/>
          <w:sz w:val="22"/>
        </w:rPr>
        <w:t>拒绝</w:t>
      </w:r>
      <w:r>
        <w:rPr>
          <w:rFonts w:asciiTheme="minorEastAsia" w:hAnsiTheme="minorEastAsia" w:eastAsiaTheme="minorEastAsia"/>
          <w:color w:val="auto"/>
          <w:kern w:val="0"/>
          <w:sz w:val="22"/>
        </w:rPr>
        <w:t>按</w:t>
      </w:r>
      <w:r>
        <w:rPr>
          <w:rFonts w:asciiTheme="minorEastAsia" w:hAnsiTheme="minorEastAsia" w:eastAsiaTheme="minorEastAsia"/>
          <w:color w:val="auto"/>
          <w:spacing w:val="-1"/>
          <w:kern w:val="0"/>
          <w:sz w:val="22"/>
        </w:rPr>
        <w:t>评</w:t>
      </w:r>
      <w:r>
        <w:rPr>
          <w:rFonts w:asciiTheme="minorEastAsia" w:hAnsiTheme="minorEastAsia" w:eastAsiaTheme="minorEastAsia"/>
          <w:color w:val="auto"/>
          <w:kern w:val="0"/>
          <w:sz w:val="22"/>
        </w:rPr>
        <w:t>标委员会要求澄清、说明或补正的</w:t>
      </w:r>
      <w:r>
        <w:rPr>
          <w:rFonts w:hint="eastAsia" w:asciiTheme="minorEastAsia" w:hAnsiTheme="minorEastAsia" w:eastAsiaTheme="minorEastAsia"/>
          <w:color w:val="auto"/>
          <w:kern w:val="0"/>
          <w:sz w:val="22"/>
        </w:rPr>
        <w:t>。</w:t>
      </w:r>
    </w:p>
    <w:p w14:paraId="0BE2E1F6">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hint="eastAsia" w:asciiTheme="minorEastAsia" w:hAnsiTheme="minorEastAsia" w:eastAsiaTheme="minorEastAsia"/>
          <w:color w:val="auto"/>
          <w:kern w:val="0"/>
          <w:sz w:val="22"/>
        </w:rPr>
        <w:t>（4）编制竞标文件时不得对第五章“竞标文件格式”的相应要素作实质性修改，否则视为重大偏差，由评标委员会作否决竞标处理。</w:t>
      </w:r>
    </w:p>
    <w:p w14:paraId="1A035B08">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 xml:space="preserve">3.1.3  </w:t>
      </w:r>
      <w:r>
        <w:rPr>
          <w:rFonts w:hint="eastAsia" w:asciiTheme="minorEastAsia" w:hAnsiTheme="minorEastAsia" w:eastAsiaTheme="minorEastAsia"/>
          <w:color w:val="auto"/>
          <w:kern w:val="0"/>
          <w:sz w:val="22"/>
        </w:rPr>
        <w:t>竞标</w:t>
      </w:r>
      <w:r>
        <w:rPr>
          <w:rFonts w:asciiTheme="minorEastAsia" w:hAnsiTheme="minorEastAsia" w:eastAsiaTheme="minorEastAsia"/>
          <w:color w:val="auto"/>
          <w:kern w:val="0"/>
          <w:sz w:val="22"/>
        </w:rPr>
        <w:t>报价有算术错误的，评标委员会按以下原则对</w:t>
      </w:r>
      <w:r>
        <w:rPr>
          <w:rFonts w:hint="eastAsia" w:asciiTheme="minorEastAsia" w:hAnsiTheme="minorEastAsia" w:eastAsiaTheme="minorEastAsia"/>
          <w:color w:val="auto"/>
          <w:kern w:val="0"/>
          <w:sz w:val="22"/>
        </w:rPr>
        <w:t>竞标</w:t>
      </w:r>
      <w:r>
        <w:rPr>
          <w:rFonts w:asciiTheme="minorEastAsia" w:hAnsiTheme="minorEastAsia" w:eastAsiaTheme="minorEastAsia"/>
          <w:color w:val="auto"/>
          <w:kern w:val="0"/>
          <w:sz w:val="22"/>
        </w:rPr>
        <w:t>报价进行修正，修正的价格经竞标人书面确认后具有约束力</w:t>
      </w:r>
      <w:r>
        <w:rPr>
          <w:rFonts w:hint="eastAsia" w:cs="宋体" w:asciiTheme="minorEastAsia" w:hAnsiTheme="minorEastAsia" w:eastAsiaTheme="minorEastAsia"/>
          <w:color w:val="auto"/>
          <w:sz w:val="22"/>
        </w:rPr>
        <w:t>，修正原则如下：</w:t>
      </w:r>
    </w:p>
    <w:p w14:paraId="0DC81262">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（1）</w:t>
      </w:r>
      <w:r>
        <w:rPr>
          <w:rFonts w:hint="eastAsia" w:asciiTheme="minorEastAsia" w:hAnsiTheme="minorEastAsia" w:eastAsiaTheme="minorEastAsia"/>
          <w:color w:val="auto"/>
          <w:kern w:val="0"/>
          <w:sz w:val="22"/>
        </w:rPr>
        <w:t>竞标文件中大写金额与小写金额不一致时，以大写金额为准</w:t>
      </w:r>
      <w:r>
        <w:rPr>
          <w:rFonts w:asciiTheme="minorEastAsia" w:hAnsiTheme="minorEastAsia" w:eastAsiaTheme="minorEastAsia"/>
          <w:color w:val="auto"/>
          <w:kern w:val="0"/>
          <w:sz w:val="22"/>
        </w:rPr>
        <w:t>；</w:t>
      </w:r>
    </w:p>
    <w:p w14:paraId="4F75F039">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hint="eastAsia" w:asciiTheme="minorEastAsia" w:hAnsiTheme="minorEastAsia" w:eastAsiaTheme="minorEastAsia"/>
          <w:color w:val="auto"/>
          <w:kern w:val="0"/>
          <w:sz w:val="22"/>
        </w:rPr>
        <w:t>（2）竞标文件中用数字表示的数额与用文字表示的数额不一致时，以文字数额为准。</w:t>
      </w:r>
    </w:p>
    <w:p w14:paraId="7A8DA481">
      <w:pPr>
        <w:pStyle w:val="4"/>
        <w:spacing w:before="0" w:after="0" w:line="360" w:lineRule="auto"/>
        <w:ind w:firstLine="108"/>
        <w:rPr>
          <w:rFonts w:hint="eastAsia" w:cs="宋体" w:asciiTheme="minorEastAsia" w:hAnsiTheme="minorEastAsia" w:eastAsiaTheme="minorEastAsia"/>
          <w:color w:val="auto"/>
          <w:sz w:val="22"/>
          <w:szCs w:val="22"/>
        </w:rPr>
      </w:pPr>
      <w:bookmarkStart w:id="410" w:name="_Toc287620757"/>
      <w:bookmarkStart w:id="411" w:name="_Toc13483"/>
      <w:bookmarkStart w:id="412" w:name="_Toc57795935"/>
      <w:bookmarkStart w:id="413" w:name="_Toc430530506"/>
      <w:bookmarkStart w:id="414" w:name="_Toc277082624"/>
      <w:bookmarkStart w:id="415" w:name="_Toc509218782"/>
      <w:bookmarkStart w:id="416" w:name="_Toc33106458"/>
      <w:bookmarkStart w:id="417" w:name="_Toc287607818"/>
      <w:bookmarkStart w:id="418" w:name="_Toc224103390"/>
      <w:bookmarkStart w:id="419" w:name="_Toc200513204"/>
      <w:r>
        <w:rPr>
          <w:rFonts w:hint="eastAsia" w:cs="宋体" w:asciiTheme="minorEastAsia" w:hAnsiTheme="minorEastAsia" w:eastAsiaTheme="minorEastAsia"/>
          <w:color w:val="auto"/>
          <w:sz w:val="22"/>
          <w:szCs w:val="22"/>
        </w:rPr>
        <w:t>3.2 详细评审</w:t>
      </w:r>
      <w:bookmarkEnd w:id="410"/>
      <w:bookmarkEnd w:id="411"/>
      <w:bookmarkEnd w:id="412"/>
      <w:bookmarkEnd w:id="413"/>
      <w:bookmarkEnd w:id="414"/>
      <w:bookmarkEnd w:id="415"/>
      <w:bookmarkEnd w:id="416"/>
      <w:bookmarkEnd w:id="417"/>
      <w:bookmarkEnd w:id="418"/>
      <w:bookmarkEnd w:id="419"/>
    </w:p>
    <w:p w14:paraId="26ECD4FD">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3.2.1 评标委员会按</w:t>
      </w:r>
      <w:r>
        <w:rPr>
          <w:rFonts w:hint="eastAsia" w:asciiTheme="minorEastAsia" w:hAnsiTheme="minorEastAsia" w:eastAsiaTheme="minorEastAsia"/>
          <w:color w:val="auto"/>
          <w:kern w:val="0"/>
          <w:sz w:val="22"/>
        </w:rPr>
        <w:t>评标办法前附表</w:t>
      </w:r>
      <w:r>
        <w:rPr>
          <w:rFonts w:asciiTheme="minorEastAsia" w:hAnsiTheme="minorEastAsia" w:eastAsiaTheme="minorEastAsia"/>
          <w:color w:val="auto"/>
          <w:kern w:val="0"/>
          <w:sz w:val="22"/>
        </w:rPr>
        <w:t>第3.</w:t>
      </w:r>
      <w:r>
        <w:rPr>
          <w:rFonts w:hint="eastAsia" w:asciiTheme="minorEastAsia" w:hAnsiTheme="minorEastAsia" w:eastAsiaTheme="minorEastAsia"/>
          <w:color w:val="auto"/>
          <w:kern w:val="0"/>
          <w:sz w:val="22"/>
        </w:rPr>
        <w:t>1</w:t>
      </w:r>
      <w:r>
        <w:rPr>
          <w:rFonts w:asciiTheme="minorEastAsia" w:hAnsiTheme="minorEastAsia" w:eastAsiaTheme="minorEastAsia"/>
          <w:color w:val="auto"/>
          <w:kern w:val="0"/>
          <w:sz w:val="22"/>
        </w:rPr>
        <w:t>.1</w:t>
      </w:r>
      <w:r>
        <w:rPr>
          <w:rFonts w:hint="eastAsia" w:asciiTheme="minorEastAsia" w:hAnsiTheme="minorEastAsia" w:eastAsiaTheme="minorEastAsia"/>
          <w:color w:val="auto"/>
          <w:kern w:val="0"/>
          <w:sz w:val="22"/>
        </w:rPr>
        <w:t>款</w:t>
      </w:r>
      <w:r>
        <w:rPr>
          <w:rFonts w:asciiTheme="minorEastAsia" w:hAnsiTheme="minorEastAsia" w:eastAsiaTheme="minorEastAsia"/>
          <w:color w:val="auto"/>
          <w:kern w:val="0"/>
          <w:sz w:val="22"/>
        </w:rPr>
        <w:t>规定的评审因素和分值</w:t>
      </w:r>
      <w:r>
        <w:rPr>
          <w:rFonts w:hint="eastAsia" w:asciiTheme="minorEastAsia" w:hAnsiTheme="minorEastAsia" w:eastAsiaTheme="minorEastAsia"/>
          <w:color w:val="auto"/>
          <w:kern w:val="0"/>
          <w:sz w:val="22"/>
        </w:rPr>
        <w:t>计算竞标报价得分</w:t>
      </w:r>
      <w:r>
        <w:rPr>
          <w:rFonts w:asciiTheme="minorEastAsia" w:hAnsiTheme="minorEastAsia" w:eastAsiaTheme="minorEastAsia"/>
          <w:color w:val="auto"/>
          <w:kern w:val="0"/>
          <w:sz w:val="22"/>
        </w:rPr>
        <w:t>。</w:t>
      </w:r>
    </w:p>
    <w:p w14:paraId="66B3A594">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 xml:space="preserve">3.2.2  </w:t>
      </w:r>
      <w:r>
        <w:rPr>
          <w:rFonts w:hint="eastAsia" w:asciiTheme="minorEastAsia" w:hAnsiTheme="minorEastAsia" w:eastAsiaTheme="minorEastAsia"/>
          <w:color w:val="auto"/>
          <w:kern w:val="0"/>
          <w:sz w:val="22"/>
        </w:rPr>
        <w:t>最终</w:t>
      </w:r>
      <w:r>
        <w:rPr>
          <w:rFonts w:asciiTheme="minorEastAsia" w:hAnsiTheme="minorEastAsia" w:eastAsiaTheme="minorEastAsia"/>
          <w:color w:val="auto"/>
          <w:kern w:val="0"/>
          <w:sz w:val="22"/>
        </w:rPr>
        <w:t>计算</w:t>
      </w:r>
      <w:r>
        <w:rPr>
          <w:rFonts w:hint="eastAsia" w:asciiTheme="minorEastAsia" w:hAnsiTheme="minorEastAsia" w:eastAsiaTheme="minorEastAsia"/>
          <w:color w:val="auto"/>
          <w:kern w:val="0"/>
          <w:sz w:val="22"/>
        </w:rPr>
        <w:t>结果</w:t>
      </w:r>
      <w:r>
        <w:rPr>
          <w:rFonts w:asciiTheme="minorEastAsia" w:hAnsiTheme="minorEastAsia" w:eastAsiaTheme="minorEastAsia"/>
          <w:color w:val="auto"/>
          <w:kern w:val="0"/>
          <w:sz w:val="22"/>
        </w:rPr>
        <w:t>保留小数点后两位，小数点后第三位</w:t>
      </w:r>
      <w:r>
        <w:rPr>
          <w:rFonts w:hint="eastAsia" w:asciiTheme="minorEastAsia" w:hAnsiTheme="minorEastAsia" w:eastAsiaTheme="minorEastAsia"/>
          <w:color w:val="auto"/>
          <w:kern w:val="0"/>
          <w:sz w:val="22"/>
        </w:rPr>
        <w:t>“</w:t>
      </w:r>
      <w:r>
        <w:rPr>
          <w:rFonts w:asciiTheme="minorEastAsia" w:hAnsiTheme="minorEastAsia" w:eastAsiaTheme="minorEastAsia"/>
          <w:color w:val="auto"/>
          <w:kern w:val="0"/>
          <w:sz w:val="22"/>
        </w:rPr>
        <w:t>四舍五入</w:t>
      </w:r>
      <w:r>
        <w:rPr>
          <w:rFonts w:hint="eastAsia" w:asciiTheme="minorEastAsia" w:hAnsiTheme="minorEastAsia" w:eastAsiaTheme="minorEastAsia"/>
          <w:color w:val="auto"/>
          <w:kern w:val="0"/>
          <w:sz w:val="22"/>
        </w:rPr>
        <w:t>”</w:t>
      </w:r>
      <w:r>
        <w:rPr>
          <w:rFonts w:asciiTheme="minorEastAsia" w:hAnsiTheme="minorEastAsia" w:eastAsiaTheme="minorEastAsia"/>
          <w:color w:val="auto"/>
          <w:kern w:val="0"/>
          <w:sz w:val="22"/>
        </w:rPr>
        <w:t>。</w:t>
      </w:r>
    </w:p>
    <w:p w14:paraId="14E41D66">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3.2.3  竞标人得分=A</w:t>
      </w:r>
      <w:r>
        <w:rPr>
          <w:rFonts w:hint="eastAsia" w:asciiTheme="minorEastAsia" w:hAnsiTheme="minorEastAsia" w:eastAsiaTheme="minorEastAsia"/>
          <w:color w:val="auto"/>
          <w:kern w:val="0"/>
          <w:sz w:val="22"/>
        </w:rPr>
        <w:t>。</w:t>
      </w:r>
    </w:p>
    <w:p w14:paraId="0E48847C">
      <w:pPr>
        <w:pStyle w:val="4"/>
        <w:spacing w:before="0" w:after="0" w:line="360" w:lineRule="auto"/>
        <w:ind w:firstLine="108"/>
        <w:rPr>
          <w:rFonts w:hint="eastAsia" w:cs="宋体" w:asciiTheme="minorEastAsia" w:hAnsiTheme="minorEastAsia" w:eastAsiaTheme="minorEastAsia"/>
          <w:color w:val="auto"/>
          <w:sz w:val="22"/>
          <w:szCs w:val="22"/>
        </w:rPr>
      </w:pPr>
      <w:bookmarkStart w:id="420" w:name="_Toc33106459"/>
      <w:bookmarkStart w:id="421" w:name="_Toc277082625"/>
      <w:bookmarkStart w:id="422" w:name="_Toc8967"/>
      <w:bookmarkStart w:id="423" w:name="_Toc287620758"/>
      <w:bookmarkStart w:id="424" w:name="_Toc57795936"/>
      <w:bookmarkStart w:id="425" w:name="_Toc224103391"/>
      <w:bookmarkStart w:id="426" w:name="_Toc287607819"/>
      <w:bookmarkStart w:id="427" w:name="_Toc430530507"/>
      <w:bookmarkStart w:id="428" w:name="_Toc509218783"/>
      <w:bookmarkStart w:id="429" w:name="_Toc200513205"/>
      <w:r>
        <w:rPr>
          <w:rFonts w:hint="eastAsia" w:cs="宋体" w:asciiTheme="minorEastAsia" w:hAnsiTheme="minorEastAsia" w:eastAsiaTheme="minorEastAsia"/>
          <w:color w:val="auto"/>
          <w:sz w:val="22"/>
          <w:szCs w:val="22"/>
        </w:rPr>
        <w:t>3.3 竞标文件的澄清和补正</w:t>
      </w:r>
      <w:bookmarkEnd w:id="420"/>
      <w:bookmarkEnd w:id="421"/>
      <w:bookmarkEnd w:id="422"/>
      <w:bookmarkEnd w:id="423"/>
      <w:bookmarkEnd w:id="424"/>
      <w:bookmarkEnd w:id="425"/>
      <w:bookmarkEnd w:id="426"/>
      <w:bookmarkEnd w:id="427"/>
      <w:bookmarkEnd w:id="428"/>
      <w:bookmarkEnd w:id="429"/>
    </w:p>
    <w:p w14:paraId="0F0F45E4">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3.3.1 在评标过程中，评标委员会可以书面形式要求竞标人对所提交竞标文件中不明确的内容进行书面澄清或说明，或者对细微偏差进行补正。评标委员会不接受竞标人主动提出的澄清、说明或补正。</w:t>
      </w:r>
    </w:p>
    <w:p w14:paraId="57F9022F">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3.3.2 澄清、说明和补正不得改变竞标文件的实质性内容。竞标人的书面澄清、说明和补正属于竞标文件的组成部分。</w:t>
      </w:r>
    </w:p>
    <w:p w14:paraId="06D5B46C">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3.3.3 评标委员会对竞标人提交的澄清、说明或补正有疑问的，可以要求竞标人进一步澄清、说明或补正，直至满足评标委员会的要求。</w:t>
      </w:r>
    </w:p>
    <w:p w14:paraId="4F774390">
      <w:pPr>
        <w:pStyle w:val="4"/>
        <w:spacing w:before="0" w:after="0" w:line="360" w:lineRule="auto"/>
        <w:ind w:firstLine="108"/>
        <w:rPr>
          <w:rFonts w:hint="eastAsia" w:cs="宋体" w:asciiTheme="minorEastAsia" w:hAnsiTheme="minorEastAsia" w:eastAsiaTheme="minorEastAsia"/>
          <w:color w:val="auto"/>
          <w:sz w:val="22"/>
          <w:szCs w:val="22"/>
        </w:rPr>
      </w:pPr>
      <w:bookmarkStart w:id="430" w:name="_Toc287620759"/>
      <w:bookmarkStart w:id="431" w:name="_Toc22135"/>
      <w:bookmarkStart w:id="432" w:name="_Toc277082626"/>
      <w:bookmarkStart w:id="433" w:name="_Toc200513206"/>
      <w:bookmarkStart w:id="434" w:name="_Toc33106460"/>
      <w:bookmarkStart w:id="435" w:name="_Toc509218784"/>
      <w:bookmarkStart w:id="436" w:name="_Toc430530508"/>
      <w:bookmarkStart w:id="437" w:name="_Toc57795937"/>
      <w:bookmarkStart w:id="438" w:name="_Toc224103392"/>
      <w:bookmarkStart w:id="439" w:name="_Toc287607820"/>
      <w:r>
        <w:rPr>
          <w:rFonts w:hint="eastAsia" w:cs="宋体" w:asciiTheme="minorEastAsia" w:hAnsiTheme="minorEastAsia" w:eastAsiaTheme="minorEastAsia"/>
          <w:color w:val="auto"/>
          <w:sz w:val="22"/>
          <w:szCs w:val="22"/>
        </w:rPr>
        <w:t>3.4 评标结果</w:t>
      </w:r>
      <w:bookmarkEnd w:id="430"/>
      <w:bookmarkEnd w:id="431"/>
      <w:bookmarkEnd w:id="432"/>
      <w:bookmarkEnd w:id="433"/>
      <w:bookmarkEnd w:id="434"/>
      <w:bookmarkEnd w:id="435"/>
      <w:bookmarkEnd w:id="436"/>
      <w:bookmarkEnd w:id="437"/>
      <w:bookmarkEnd w:id="438"/>
      <w:bookmarkEnd w:id="439"/>
    </w:p>
    <w:p w14:paraId="2D67CB39">
      <w:pPr>
        <w:autoSpaceDE w:val="0"/>
        <w:autoSpaceDN w:val="0"/>
        <w:adjustRightInd w:val="0"/>
        <w:snapToGrid w:val="0"/>
        <w:spacing w:line="360" w:lineRule="auto"/>
        <w:ind w:firstLine="440" w:firstLineChars="200"/>
        <w:rPr>
          <w:rFonts w:hint="eastAsia" w:asciiTheme="minorEastAsia" w:hAnsiTheme="minorEastAsia" w:eastAsiaTheme="minorEastAsia"/>
          <w:color w:val="auto"/>
          <w:kern w:val="0"/>
          <w:sz w:val="22"/>
        </w:rPr>
      </w:pPr>
      <w:r>
        <w:rPr>
          <w:rFonts w:asciiTheme="minorEastAsia" w:hAnsiTheme="minorEastAsia" w:eastAsiaTheme="minorEastAsia"/>
          <w:color w:val="auto"/>
          <w:kern w:val="0"/>
          <w:sz w:val="22"/>
        </w:rPr>
        <w:t>3.</w:t>
      </w:r>
      <w:r>
        <w:rPr>
          <w:rFonts w:asciiTheme="minorEastAsia" w:hAnsiTheme="minorEastAsia" w:eastAsiaTheme="minorEastAsia"/>
          <w:color w:val="auto"/>
          <w:spacing w:val="-1"/>
          <w:kern w:val="0"/>
          <w:sz w:val="22"/>
        </w:rPr>
        <w:t>4</w:t>
      </w:r>
      <w:r>
        <w:rPr>
          <w:rFonts w:asciiTheme="minorEastAsia" w:hAnsiTheme="minorEastAsia" w:eastAsiaTheme="minorEastAsia"/>
          <w:color w:val="auto"/>
          <w:kern w:val="0"/>
          <w:sz w:val="22"/>
        </w:rPr>
        <w:t>.1 除第二章</w:t>
      </w:r>
      <w:r>
        <w:rPr>
          <w:rFonts w:hint="eastAsia" w:asciiTheme="minorEastAsia" w:hAnsiTheme="minorEastAsia" w:eastAsiaTheme="minorEastAsia"/>
          <w:color w:val="auto"/>
          <w:kern w:val="0"/>
          <w:sz w:val="22"/>
        </w:rPr>
        <w:t>“</w:t>
      </w:r>
      <w:r>
        <w:rPr>
          <w:rFonts w:asciiTheme="minorEastAsia" w:hAnsiTheme="minorEastAsia" w:eastAsiaTheme="minorEastAsia"/>
          <w:color w:val="auto"/>
          <w:kern w:val="0"/>
          <w:sz w:val="22"/>
        </w:rPr>
        <w:t>竞标人须知</w:t>
      </w:r>
      <w:r>
        <w:rPr>
          <w:rFonts w:hint="eastAsia" w:asciiTheme="minorEastAsia" w:hAnsiTheme="minorEastAsia" w:eastAsiaTheme="minorEastAsia"/>
          <w:color w:val="auto"/>
          <w:kern w:val="0"/>
          <w:sz w:val="22"/>
        </w:rPr>
        <w:t>”</w:t>
      </w:r>
      <w:r>
        <w:rPr>
          <w:rFonts w:asciiTheme="minorEastAsia" w:hAnsiTheme="minorEastAsia" w:eastAsiaTheme="minorEastAsia"/>
          <w:color w:val="auto"/>
          <w:kern w:val="0"/>
          <w:sz w:val="22"/>
        </w:rPr>
        <w:t>前</w:t>
      </w:r>
      <w:r>
        <w:rPr>
          <w:rFonts w:asciiTheme="minorEastAsia" w:hAnsiTheme="minorEastAsia" w:eastAsiaTheme="minorEastAsia"/>
          <w:color w:val="auto"/>
          <w:spacing w:val="1"/>
          <w:kern w:val="0"/>
          <w:sz w:val="22"/>
        </w:rPr>
        <w:t>附</w:t>
      </w:r>
      <w:r>
        <w:rPr>
          <w:rFonts w:asciiTheme="minorEastAsia" w:hAnsiTheme="minorEastAsia" w:eastAsiaTheme="minorEastAsia"/>
          <w:color w:val="auto"/>
          <w:kern w:val="0"/>
          <w:sz w:val="22"/>
        </w:rPr>
        <w:t>表授权直</w:t>
      </w:r>
      <w:r>
        <w:rPr>
          <w:rFonts w:asciiTheme="minorEastAsia" w:hAnsiTheme="minorEastAsia" w:eastAsiaTheme="minorEastAsia"/>
          <w:color w:val="auto"/>
          <w:spacing w:val="1"/>
          <w:kern w:val="0"/>
          <w:sz w:val="22"/>
        </w:rPr>
        <w:t>接</w:t>
      </w:r>
      <w:r>
        <w:rPr>
          <w:rFonts w:asciiTheme="minorEastAsia" w:hAnsiTheme="minorEastAsia" w:eastAsiaTheme="minorEastAsia"/>
          <w:color w:val="auto"/>
          <w:kern w:val="0"/>
          <w:sz w:val="22"/>
        </w:rPr>
        <w:t>确定中标</w:t>
      </w:r>
      <w:r>
        <w:rPr>
          <w:rFonts w:asciiTheme="minorEastAsia" w:hAnsiTheme="minorEastAsia" w:eastAsiaTheme="minorEastAsia"/>
          <w:color w:val="auto"/>
          <w:spacing w:val="1"/>
          <w:kern w:val="0"/>
          <w:sz w:val="22"/>
        </w:rPr>
        <w:t>人</w:t>
      </w:r>
      <w:r>
        <w:rPr>
          <w:rFonts w:asciiTheme="minorEastAsia" w:hAnsiTheme="minorEastAsia" w:eastAsiaTheme="minorEastAsia"/>
          <w:color w:val="auto"/>
          <w:kern w:val="0"/>
          <w:sz w:val="22"/>
        </w:rPr>
        <w:t>外，评标</w:t>
      </w:r>
      <w:r>
        <w:rPr>
          <w:rFonts w:asciiTheme="minorEastAsia" w:hAnsiTheme="minorEastAsia" w:eastAsiaTheme="minorEastAsia"/>
          <w:color w:val="auto"/>
          <w:spacing w:val="1"/>
          <w:kern w:val="0"/>
          <w:sz w:val="22"/>
        </w:rPr>
        <w:t>委</w:t>
      </w:r>
      <w:r>
        <w:rPr>
          <w:rFonts w:asciiTheme="minorEastAsia" w:hAnsiTheme="minorEastAsia" w:eastAsiaTheme="minorEastAsia"/>
          <w:color w:val="auto"/>
          <w:kern w:val="0"/>
          <w:sz w:val="22"/>
        </w:rPr>
        <w:t>员会按照</w:t>
      </w:r>
      <w:r>
        <w:rPr>
          <w:rFonts w:asciiTheme="minorEastAsia" w:hAnsiTheme="minorEastAsia" w:eastAsiaTheme="minorEastAsia"/>
          <w:color w:val="auto"/>
          <w:spacing w:val="1"/>
          <w:kern w:val="0"/>
          <w:sz w:val="22"/>
        </w:rPr>
        <w:t>得分</w:t>
      </w:r>
      <w:r>
        <w:rPr>
          <w:rFonts w:asciiTheme="minorEastAsia" w:hAnsiTheme="minorEastAsia" w:eastAsiaTheme="minorEastAsia"/>
          <w:color w:val="auto"/>
          <w:kern w:val="0"/>
          <w:sz w:val="22"/>
        </w:rPr>
        <w:t>由高到低的顺序推荐中标候选人。</w:t>
      </w:r>
    </w:p>
    <w:p w14:paraId="01EC105E">
      <w:pPr>
        <w:autoSpaceDE w:val="0"/>
        <w:autoSpaceDN w:val="0"/>
        <w:adjustRightInd w:val="0"/>
        <w:snapToGrid w:val="0"/>
        <w:spacing w:line="360" w:lineRule="auto"/>
        <w:ind w:firstLine="444" w:firstLineChars="200"/>
        <w:rPr>
          <w:rFonts w:hint="eastAsia" w:ascii="宋体" w:hAnsi="宋体"/>
          <w:color w:val="auto"/>
          <w:kern w:val="0"/>
          <w:szCs w:val="21"/>
        </w:rPr>
      </w:pPr>
      <w:r>
        <w:rPr>
          <w:rFonts w:asciiTheme="minorEastAsia" w:hAnsiTheme="minorEastAsia" w:eastAsiaTheme="minorEastAsia"/>
          <w:color w:val="auto"/>
          <w:spacing w:val="1"/>
          <w:kern w:val="0"/>
          <w:sz w:val="22"/>
        </w:rPr>
        <w:t>3</w:t>
      </w:r>
      <w:r>
        <w:rPr>
          <w:rFonts w:asciiTheme="minorEastAsia" w:hAnsiTheme="minorEastAsia" w:eastAsiaTheme="minorEastAsia"/>
          <w:color w:val="auto"/>
          <w:kern w:val="0"/>
          <w:sz w:val="22"/>
        </w:rPr>
        <w:t>.4.2 评标</w:t>
      </w:r>
      <w:r>
        <w:rPr>
          <w:rFonts w:asciiTheme="minorEastAsia" w:hAnsiTheme="minorEastAsia" w:eastAsiaTheme="minorEastAsia"/>
          <w:color w:val="auto"/>
          <w:spacing w:val="-1"/>
          <w:kern w:val="0"/>
          <w:sz w:val="22"/>
        </w:rPr>
        <w:t>委</w:t>
      </w:r>
      <w:r>
        <w:rPr>
          <w:rFonts w:asciiTheme="minorEastAsia" w:hAnsiTheme="minorEastAsia" w:eastAsiaTheme="minorEastAsia"/>
          <w:color w:val="auto"/>
          <w:kern w:val="0"/>
          <w:sz w:val="22"/>
        </w:rPr>
        <w:t>员会完成评标后，应当向</w:t>
      </w:r>
      <w:r>
        <w:rPr>
          <w:rFonts w:hint="eastAsia" w:asciiTheme="minorEastAsia" w:hAnsiTheme="minorEastAsia" w:eastAsiaTheme="minorEastAsia"/>
          <w:color w:val="auto"/>
          <w:kern w:val="0"/>
          <w:sz w:val="22"/>
        </w:rPr>
        <w:t>比选人</w:t>
      </w:r>
      <w:r>
        <w:rPr>
          <w:rFonts w:asciiTheme="minorEastAsia" w:hAnsiTheme="minorEastAsia" w:eastAsiaTheme="minorEastAsia"/>
          <w:color w:val="auto"/>
          <w:kern w:val="0"/>
          <w:sz w:val="22"/>
        </w:rPr>
        <w:t>提交书面评标报告。</w:t>
      </w:r>
    </w:p>
    <w:p w14:paraId="583CA4A3">
      <w:pPr>
        <w:pStyle w:val="30"/>
        <w:spacing w:line="360" w:lineRule="auto"/>
        <w:ind w:left="420" w:firstLine="643"/>
        <w:rPr>
          <w:rFonts w:hint="eastAsia" w:ascii="宋体" w:hAnsi="宋体"/>
          <w:b/>
          <w:color w:val="auto"/>
          <w:sz w:val="32"/>
          <w:szCs w:val="32"/>
          <w:lang w:eastAsia="zh-CN"/>
        </w:rPr>
      </w:pPr>
      <w:r>
        <w:rPr>
          <w:rFonts w:ascii="宋体" w:hAnsi="宋体"/>
          <w:b/>
          <w:color w:val="auto"/>
          <w:sz w:val="32"/>
          <w:szCs w:val="32"/>
          <w:u w:val="none"/>
          <w:lang w:eastAsia="zh-CN"/>
        </w:rPr>
        <w:br w:type="page"/>
      </w:r>
    </w:p>
    <w:p w14:paraId="2984EDCA">
      <w:pPr>
        <w:pStyle w:val="30"/>
        <w:spacing w:line="360" w:lineRule="auto"/>
        <w:ind w:firstLine="643"/>
        <w:rPr>
          <w:rFonts w:hint="eastAsia" w:ascii="宋体" w:hAnsi="宋体"/>
          <w:b/>
          <w:color w:val="auto"/>
          <w:sz w:val="32"/>
          <w:szCs w:val="32"/>
          <w:u w:val="none"/>
          <w:lang w:eastAsia="zh-CN"/>
        </w:rPr>
      </w:pPr>
      <w:r>
        <w:rPr>
          <w:rFonts w:ascii="宋体" w:hAnsi="宋体"/>
          <w:b/>
          <w:color w:val="auto"/>
          <w:sz w:val="32"/>
          <w:szCs w:val="32"/>
          <w:u w:val="none"/>
          <w:lang w:eastAsia="zh-CN"/>
        </w:rPr>
        <w:t>附件A：</w:t>
      </w:r>
      <w:r>
        <w:rPr>
          <w:rFonts w:hint="eastAsia" w:ascii="宋体" w:hAnsi="宋体"/>
          <w:b/>
          <w:color w:val="auto"/>
          <w:sz w:val="32"/>
          <w:szCs w:val="32"/>
          <w:u w:val="none"/>
          <w:lang w:eastAsia="zh-CN"/>
        </w:rPr>
        <w:t>否决竞标情况一览表</w:t>
      </w:r>
      <w:r>
        <w:rPr>
          <w:rFonts w:ascii="宋体" w:hAnsi="宋体"/>
          <w:b/>
          <w:color w:val="auto"/>
          <w:sz w:val="32"/>
          <w:szCs w:val="32"/>
          <w:u w:val="none"/>
          <w:lang w:eastAsia="zh-CN"/>
        </w:rPr>
        <w:t xml:space="preserve"> </w:t>
      </w:r>
    </w:p>
    <w:p w14:paraId="6BA3306D">
      <w:pPr>
        <w:pStyle w:val="30"/>
        <w:spacing w:line="360" w:lineRule="auto"/>
        <w:ind w:firstLine="440" w:firstLineChars="200"/>
        <w:jc w:val="both"/>
        <w:rPr>
          <w:rFonts w:hint="eastAsia" w:ascii="宋体" w:hAnsi="宋体"/>
          <w:color w:val="auto"/>
          <w:sz w:val="22"/>
          <w:szCs w:val="22"/>
          <w:u w:val="none"/>
          <w:lang w:eastAsia="zh-CN"/>
        </w:rPr>
      </w:pPr>
      <w:r>
        <w:rPr>
          <w:rFonts w:hint="eastAsia" w:ascii="宋体" w:hAnsi="宋体"/>
          <w:color w:val="auto"/>
          <w:sz w:val="22"/>
          <w:szCs w:val="22"/>
          <w:u w:val="none"/>
          <w:lang w:eastAsia="zh-CN"/>
        </w:rPr>
        <w:t>竞标文件存在本一览表下列情形之一的，竞标文件视为重大偏差并作否决竞标处理，否则，评标委员会不得视为重大偏差而否决竞标人的竞标文件</w:t>
      </w:r>
      <w:r>
        <w:rPr>
          <w:rFonts w:ascii="宋体" w:hAnsi="宋体"/>
          <w:color w:val="auto"/>
          <w:sz w:val="22"/>
          <w:szCs w:val="22"/>
          <w:u w:val="none"/>
          <w:lang w:eastAsia="zh-CN"/>
        </w:rPr>
        <w:t>。</w:t>
      </w:r>
    </w:p>
    <w:tbl>
      <w:tblPr>
        <w:tblStyle w:val="40"/>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559"/>
        <w:gridCol w:w="6634"/>
      </w:tblGrid>
      <w:tr w14:paraId="530C598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Align w:val="center"/>
          </w:tcPr>
          <w:p w14:paraId="6E85C1D4">
            <w:pPr>
              <w:spacing w:line="400" w:lineRule="exact"/>
              <w:jc w:val="center"/>
              <w:rPr>
                <w:rFonts w:hint="eastAsia" w:ascii="宋体" w:hAnsi="宋体"/>
                <w:b/>
                <w:color w:val="auto"/>
                <w:sz w:val="22"/>
              </w:rPr>
            </w:pPr>
            <w:r>
              <w:rPr>
                <w:rFonts w:ascii="宋体" w:hAnsi="宋体"/>
                <w:b/>
                <w:color w:val="auto"/>
                <w:sz w:val="22"/>
              </w:rPr>
              <w:t>章节号</w:t>
            </w:r>
          </w:p>
        </w:tc>
        <w:tc>
          <w:tcPr>
            <w:tcW w:w="1559" w:type="dxa"/>
            <w:vAlign w:val="center"/>
          </w:tcPr>
          <w:p w14:paraId="1C69C227">
            <w:pPr>
              <w:spacing w:line="400" w:lineRule="exact"/>
              <w:jc w:val="center"/>
              <w:rPr>
                <w:rFonts w:hint="eastAsia" w:ascii="宋体" w:hAnsi="宋体"/>
                <w:b/>
                <w:color w:val="auto"/>
                <w:sz w:val="22"/>
              </w:rPr>
            </w:pPr>
            <w:r>
              <w:rPr>
                <w:rFonts w:ascii="宋体" w:hAnsi="宋体"/>
                <w:b/>
                <w:color w:val="auto"/>
                <w:sz w:val="22"/>
              </w:rPr>
              <w:t>条款名称</w:t>
            </w:r>
          </w:p>
        </w:tc>
        <w:tc>
          <w:tcPr>
            <w:tcW w:w="6634" w:type="dxa"/>
            <w:vAlign w:val="center"/>
          </w:tcPr>
          <w:p w14:paraId="204A0772">
            <w:pPr>
              <w:spacing w:line="400" w:lineRule="exact"/>
              <w:jc w:val="center"/>
              <w:rPr>
                <w:rFonts w:hint="eastAsia" w:ascii="宋体" w:hAnsi="宋体"/>
                <w:b/>
                <w:color w:val="auto"/>
                <w:sz w:val="22"/>
              </w:rPr>
            </w:pPr>
            <w:r>
              <w:rPr>
                <w:rFonts w:ascii="宋体" w:hAnsi="宋体"/>
                <w:b/>
                <w:color w:val="auto"/>
                <w:sz w:val="22"/>
              </w:rPr>
              <w:t>否决</w:t>
            </w:r>
            <w:r>
              <w:rPr>
                <w:rFonts w:hint="eastAsia" w:ascii="宋体" w:hAnsi="宋体"/>
                <w:b/>
                <w:color w:val="auto"/>
                <w:sz w:val="22"/>
              </w:rPr>
              <w:t>竞标</w:t>
            </w:r>
            <w:r>
              <w:rPr>
                <w:rFonts w:ascii="宋体" w:hAnsi="宋体"/>
                <w:b/>
                <w:color w:val="auto"/>
                <w:sz w:val="22"/>
              </w:rPr>
              <w:t>条件</w:t>
            </w:r>
          </w:p>
        </w:tc>
      </w:tr>
      <w:tr w14:paraId="22C4A09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76" w:type="dxa"/>
            <w:vMerge w:val="restart"/>
            <w:vAlign w:val="center"/>
          </w:tcPr>
          <w:p w14:paraId="1BD2B9CE">
            <w:pPr>
              <w:spacing w:line="400" w:lineRule="exact"/>
              <w:jc w:val="center"/>
              <w:rPr>
                <w:rFonts w:hint="eastAsia" w:ascii="宋体" w:hAnsi="宋体"/>
                <w:color w:val="auto"/>
                <w:sz w:val="22"/>
              </w:rPr>
            </w:pPr>
            <w:r>
              <w:rPr>
                <w:rFonts w:hint="eastAsia" w:ascii="宋体" w:hAnsi="宋体"/>
                <w:color w:val="auto"/>
                <w:sz w:val="22"/>
              </w:rPr>
              <w:t>第三章</w:t>
            </w:r>
          </w:p>
        </w:tc>
        <w:tc>
          <w:tcPr>
            <w:tcW w:w="1559" w:type="dxa"/>
            <w:vMerge w:val="restart"/>
            <w:vAlign w:val="center"/>
          </w:tcPr>
          <w:p w14:paraId="7E2EC4B0">
            <w:pPr>
              <w:spacing w:line="400" w:lineRule="exact"/>
              <w:jc w:val="center"/>
              <w:rPr>
                <w:rFonts w:hint="eastAsia" w:ascii="宋体" w:hAnsi="宋体"/>
                <w:color w:val="auto"/>
                <w:sz w:val="22"/>
              </w:rPr>
            </w:pPr>
            <w:r>
              <w:rPr>
                <w:rFonts w:hint="eastAsia" w:ascii="宋体" w:hAnsi="宋体"/>
                <w:color w:val="auto"/>
                <w:sz w:val="22"/>
              </w:rPr>
              <w:t>资格评审</w:t>
            </w:r>
          </w:p>
        </w:tc>
        <w:tc>
          <w:tcPr>
            <w:tcW w:w="6634" w:type="dxa"/>
            <w:vAlign w:val="center"/>
          </w:tcPr>
          <w:p w14:paraId="633C7E42">
            <w:pPr>
              <w:spacing w:line="400" w:lineRule="exact"/>
              <w:ind w:firstLine="440" w:firstLineChars="200"/>
              <w:rPr>
                <w:rFonts w:hint="eastAsia" w:ascii="宋体" w:hAnsi="宋体"/>
                <w:color w:val="auto"/>
                <w:sz w:val="22"/>
              </w:rPr>
            </w:pPr>
            <w:r>
              <w:rPr>
                <w:rFonts w:hint="eastAsia" w:ascii="宋体" w:hAnsi="宋体"/>
                <w:color w:val="auto"/>
                <w:sz w:val="22"/>
              </w:rPr>
              <w:t>A-1竞标人的资质要求须满足竞标人须知前附表1.4.1项的要求，否则由评标委员会作否决竞标处理。</w:t>
            </w:r>
          </w:p>
        </w:tc>
      </w:tr>
      <w:tr w14:paraId="7FB2F0E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76" w:type="dxa"/>
            <w:vMerge w:val="continue"/>
            <w:vAlign w:val="center"/>
          </w:tcPr>
          <w:p w14:paraId="6C5188EF">
            <w:pPr>
              <w:spacing w:line="400" w:lineRule="exact"/>
              <w:jc w:val="center"/>
              <w:rPr>
                <w:rFonts w:hint="eastAsia" w:ascii="宋体" w:hAnsi="宋体"/>
                <w:color w:val="auto"/>
                <w:sz w:val="22"/>
              </w:rPr>
            </w:pPr>
          </w:p>
        </w:tc>
        <w:tc>
          <w:tcPr>
            <w:tcW w:w="1559" w:type="dxa"/>
            <w:vMerge w:val="continue"/>
            <w:vAlign w:val="center"/>
          </w:tcPr>
          <w:p w14:paraId="0EFF2EFD">
            <w:pPr>
              <w:spacing w:line="400" w:lineRule="exact"/>
              <w:jc w:val="center"/>
              <w:rPr>
                <w:rFonts w:hint="eastAsia" w:ascii="宋体" w:hAnsi="宋体"/>
                <w:color w:val="auto"/>
                <w:sz w:val="22"/>
              </w:rPr>
            </w:pPr>
          </w:p>
        </w:tc>
        <w:tc>
          <w:tcPr>
            <w:tcW w:w="6634" w:type="dxa"/>
            <w:vAlign w:val="center"/>
          </w:tcPr>
          <w:p w14:paraId="6EBA649E">
            <w:pPr>
              <w:spacing w:line="400" w:lineRule="exact"/>
              <w:ind w:firstLine="440" w:firstLineChars="200"/>
              <w:rPr>
                <w:rFonts w:hint="eastAsia" w:ascii="宋体" w:hAnsi="宋体"/>
                <w:color w:val="auto"/>
                <w:sz w:val="22"/>
              </w:rPr>
            </w:pPr>
            <w:r>
              <w:rPr>
                <w:rFonts w:hint="eastAsia" w:ascii="宋体" w:hAnsi="宋体"/>
                <w:color w:val="auto"/>
                <w:sz w:val="22"/>
              </w:rPr>
              <w:t>A-2竞标人的业绩要求须满足竞标人须知前附表1.4.1项的要求，否则由评标委员会作否决竞标处理。</w:t>
            </w:r>
          </w:p>
        </w:tc>
      </w:tr>
      <w:tr w14:paraId="7F88620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76" w:type="dxa"/>
            <w:vMerge w:val="continue"/>
            <w:vAlign w:val="center"/>
          </w:tcPr>
          <w:p w14:paraId="0ED03F76">
            <w:pPr>
              <w:spacing w:line="400" w:lineRule="exact"/>
              <w:jc w:val="center"/>
              <w:rPr>
                <w:rFonts w:hint="eastAsia" w:ascii="宋体" w:hAnsi="宋体"/>
                <w:color w:val="auto"/>
                <w:sz w:val="22"/>
              </w:rPr>
            </w:pPr>
          </w:p>
        </w:tc>
        <w:tc>
          <w:tcPr>
            <w:tcW w:w="1559" w:type="dxa"/>
            <w:vMerge w:val="continue"/>
            <w:vAlign w:val="center"/>
          </w:tcPr>
          <w:p w14:paraId="661F433E">
            <w:pPr>
              <w:spacing w:line="400" w:lineRule="exact"/>
              <w:jc w:val="center"/>
              <w:rPr>
                <w:rFonts w:hint="eastAsia" w:ascii="宋体" w:hAnsi="宋体"/>
                <w:color w:val="auto"/>
                <w:sz w:val="22"/>
              </w:rPr>
            </w:pPr>
          </w:p>
        </w:tc>
        <w:tc>
          <w:tcPr>
            <w:tcW w:w="6634" w:type="dxa"/>
            <w:vAlign w:val="center"/>
          </w:tcPr>
          <w:p w14:paraId="58639643">
            <w:pPr>
              <w:spacing w:line="400" w:lineRule="exact"/>
              <w:ind w:firstLine="440" w:firstLineChars="200"/>
              <w:rPr>
                <w:rFonts w:hint="eastAsia" w:ascii="宋体" w:hAnsi="宋体"/>
                <w:color w:val="auto"/>
                <w:sz w:val="22"/>
              </w:rPr>
            </w:pPr>
            <w:r>
              <w:rPr>
                <w:rFonts w:hint="eastAsia" w:ascii="宋体" w:hAnsi="宋体"/>
                <w:color w:val="auto"/>
                <w:sz w:val="22"/>
              </w:rPr>
              <w:t>A-3竞标人的竞标截止日竞标资格情况须满足竞标人须知前附表1.4.1项的要求，否则由评标委员会作否决竞标处理。</w:t>
            </w:r>
          </w:p>
        </w:tc>
      </w:tr>
      <w:tr w14:paraId="3DAB49A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76" w:type="dxa"/>
            <w:vMerge w:val="continue"/>
            <w:vAlign w:val="center"/>
          </w:tcPr>
          <w:p w14:paraId="2E2590A5">
            <w:pPr>
              <w:spacing w:line="400" w:lineRule="exact"/>
              <w:jc w:val="center"/>
              <w:rPr>
                <w:rFonts w:hint="eastAsia" w:ascii="宋体" w:hAnsi="宋体"/>
                <w:color w:val="auto"/>
                <w:sz w:val="22"/>
              </w:rPr>
            </w:pPr>
          </w:p>
        </w:tc>
        <w:tc>
          <w:tcPr>
            <w:tcW w:w="1559" w:type="dxa"/>
            <w:vMerge w:val="continue"/>
            <w:vAlign w:val="center"/>
          </w:tcPr>
          <w:p w14:paraId="722AC535">
            <w:pPr>
              <w:spacing w:line="400" w:lineRule="exact"/>
              <w:jc w:val="center"/>
              <w:rPr>
                <w:rFonts w:hint="eastAsia" w:ascii="宋体" w:hAnsi="宋体"/>
                <w:color w:val="auto"/>
                <w:sz w:val="22"/>
              </w:rPr>
            </w:pPr>
          </w:p>
        </w:tc>
        <w:tc>
          <w:tcPr>
            <w:tcW w:w="6634" w:type="dxa"/>
            <w:vAlign w:val="center"/>
          </w:tcPr>
          <w:p w14:paraId="6DDC7617">
            <w:pPr>
              <w:spacing w:line="400" w:lineRule="exact"/>
              <w:ind w:firstLine="440" w:firstLineChars="200"/>
              <w:rPr>
                <w:rFonts w:hint="eastAsia" w:ascii="宋体" w:hAnsi="宋体"/>
                <w:color w:val="auto"/>
                <w:sz w:val="22"/>
              </w:rPr>
            </w:pPr>
            <w:r>
              <w:rPr>
                <w:rFonts w:hint="eastAsia" w:ascii="宋体" w:hAnsi="宋体"/>
                <w:color w:val="auto"/>
                <w:sz w:val="22"/>
              </w:rPr>
              <w:t>A-4竞标人的人员要求须满足竞标人须知前附表1.4.1项的要求，否则由评标委员会作否决竞标处理。</w:t>
            </w:r>
          </w:p>
        </w:tc>
      </w:tr>
      <w:tr w14:paraId="497F467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76" w:type="dxa"/>
            <w:vMerge w:val="continue"/>
            <w:vAlign w:val="center"/>
          </w:tcPr>
          <w:p w14:paraId="6F35DB97">
            <w:pPr>
              <w:spacing w:line="400" w:lineRule="exact"/>
              <w:jc w:val="center"/>
              <w:rPr>
                <w:rFonts w:hint="eastAsia" w:ascii="宋体" w:hAnsi="宋体"/>
                <w:color w:val="auto"/>
                <w:sz w:val="22"/>
              </w:rPr>
            </w:pPr>
          </w:p>
        </w:tc>
        <w:tc>
          <w:tcPr>
            <w:tcW w:w="1559" w:type="dxa"/>
            <w:vMerge w:val="continue"/>
            <w:vAlign w:val="center"/>
          </w:tcPr>
          <w:p w14:paraId="00363216">
            <w:pPr>
              <w:spacing w:line="400" w:lineRule="exact"/>
              <w:jc w:val="center"/>
              <w:rPr>
                <w:rFonts w:hint="eastAsia" w:ascii="宋体" w:hAnsi="宋体"/>
                <w:color w:val="auto"/>
                <w:sz w:val="22"/>
              </w:rPr>
            </w:pPr>
          </w:p>
        </w:tc>
        <w:tc>
          <w:tcPr>
            <w:tcW w:w="6634" w:type="dxa"/>
            <w:vAlign w:val="center"/>
          </w:tcPr>
          <w:p w14:paraId="3A2C1DC8">
            <w:pPr>
              <w:spacing w:line="400" w:lineRule="exact"/>
              <w:ind w:firstLine="440" w:firstLineChars="200"/>
              <w:rPr>
                <w:rFonts w:hint="eastAsia" w:ascii="宋体" w:hAnsi="宋体"/>
                <w:color w:val="auto"/>
                <w:sz w:val="22"/>
              </w:rPr>
            </w:pPr>
            <w:r>
              <w:rPr>
                <w:rFonts w:hint="eastAsia" w:ascii="宋体" w:hAnsi="宋体"/>
                <w:color w:val="auto"/>
                <w:sz w:val="22"/>
              </w:rPr>
              <w:t>A-5竞标人的其他要求须满足竞标人须知前附表1.4.1项的要求，否则由评标委员会作否决竞标处理。</w:t>
            </w:r>
          </w:p>
        </w:tc>
      </w:tr>
      <w:tr w14:paraId="292DDA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32BE3B89">
            <w:pPr>
              <w:spacing w:line="400" w:lineRule="exact"/>
              <w:jc w:val="center"/>
              <w:rPr>
                <w:rFonts w:hint="eastAsia" w:ascii="宋体" w:hAnsi="宋体"/>
                <w:color w:val="auto"/>
                <w:sz w:val="22"/>
              </w:rPr>
            </w:pPr>
          </w:p>
        </w:tc>
        <w:tc>
          <w:tcPr>
            <w:tcW w:w="1559" w:type="dxa"/>
            <w:vMerge w:val="restart"/>
            <w:vAlign w:val="center"/>
          </w:tcPr>
          <w:p w14:paraId="46FED27B">
            <w:pPr>
              <w:spacing w:line="400" w:lineRule="exact"/>
              <w:jc w:val="center"/>
              <w:rPr>
                <w:rFonts w:hint="eastAsia" w:ascii="宋体" w:hAnsi="宋体"/>
                <w:color w:val="auto"/>
                <w:sz w:val="22"/>
              </w:rPr>
            </w:pPr>
            <w:r>
              <w:rPr>
                <w:rFonts w:hint="eastAsia" w:ascii="宋体" w:hAnsi="宋体"/>
                <w:color w:val="auto"/>
                <w:sz w:val="22"/>
              </w:rPr>
              <w:t>形式评审</w:t>
            </w:r>
          </w:p>
        </w:tc>
        <w:tc>
          <w:tcPr>
            <w:tcW w:w="6634" w:type="dxa"/>
          </w:tcPr>
          <w:p w14:paraId="38DD9F1D">
            <w:pPr>
              <w:spacing w:line="400" w:lineRule="exact"/>
              <w:ind w:firstLine="440" w:firstLineChars="200"/>
              <w:rPr>
                <w:rFonts w:hint="eastAsia" w:ascii="宋体" w:hAnsi="宋体"/>
                <w:color w:val="auto"/>
                <w:sz w:val="22"/>
              </w:rPr>
            </w:pPr>
            <w:r>
              <w:rPr>
                <w:rFonts w:hint="eastAsia" w:ascii="宋体" w:hAnsi="宋体"/>
                <w:color w:val="auto"/>
                <w:sz w:val="22"/>
              </w:rPr>
              <w:t>A-6竞标人名称必须与营业执照一致，依法变更名称的应提交相应证明材料，</w:t>
            </w:r>
            <w:r>
              <w:rPr>
                <w:rFonts w:ascii="宋体" w:hAnsi="宋体"/>
                <w:color w:val="auto"/>
                <w:sz w:val="22"/>
              </w:rPr>
              <w:t>否则</w:t>
            </w:r>
            <w:r>
              <w:rPr>
                <w:rFonts w:hint="eastAsia" w:ascii="宋体" w:hAnsi="宋体"/>
                <w:color w:val="auto"/>
                <w:sz w:val="22"/>
              </w:rPr>
              <w:t>由评标委员会</w:t>
            </w:r>
            <w:r>
              <w:rPr>
                <w:rFonts w:ascii="宋体" w:hAnsi="宋体"/>
                <w:color w:val="auto"/>
                <w:sz w:val="22"/>
              </w:rPr>
              <w:t>作否决</w:t>
            </w:r>
            <w:r>
              <w:rPr>
                <w:rFonts w:hint="eastAsia" w:ascii="宋体" w:hAnsi="宋体"/>
                <w:color w:val="auto"/>
                <w:sz w:val="22"/>
              </w:rPr>
              <w:t>竞标</w:t>
            </w:r>
            <w:r>
              <w:rPr>
                <w:rFonts w:ascii="宋体" w:hAnsi="宋体"/>
                <w:color w:val="auto"/>
                <w:sz w:val="22"/>
              </w:rPr>
              <w:t>处理。</w:t>
            </w:r>
          </w:p>
        </w:tc>
      </w:tr>
      <w:tr w14:paraId="6DBF514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5F2903B7">
            <w:pPr>
              <w:spacing w:line="400" w:lineRule="exact"/>
              <w:jc w:val="center"/>
              <w:rPr>
                <w:rFonts w:hint="eastAsia" w:ascii="宋体" w:hAnsi="宋体"/>
                <w:color w:val="auto"/>
                <w:sz w:val="22"/>
              </w:rPr>
            </w:pPr>
          </w:p>
        </w:tc>
        <w:tc>
          <w:tcPr>
            <w:tcW w:w="1559" w:type="dxa"/>
            <w:vMerge w:val="continue"/>
            <w:vAlign w:val="center"/>
          </w:tcPr>
          <w:p w14:paraId="43806A48">
            <w:pPr>
              <w:spacing w:line="400" w:lineRule="exact"/>
              <w:jc w:val="center"/>
              <w:rPr>
                <w:rFonts w:hint="eastAsia" w:ascii="宋体" w:hAnsi="宋体"/>
                <w:color w:val="auto"/>
                <w:sz w:val="22"/>
              </w:rPr>
            </w:pPr>
          </w:p>
        </w:tc>
        <w:tc>
          <w:tcPr>
            <w:tcW w:w="6634" w:type="dxa"/>
          </w:tcPr>
          <w:p w14:paraId="307A2E17">
            <w:pPr>
              <w:spacing w:line="400" w:lineRule="exact"/>
              <w:ind w:firstLine="440" w:firstLineChars="200"/>
              <w:rPr>
                <w:rFonts w:hint="eastAsia" w:ascii="宋体" w:hAnsi="宋体"/>
                <w:color w:val="auto"/>
                <w:sz w:val="22"/>
              </w:rPr>
            </w:pPr>
            <w:r>
              <w:rPr>
                <w:rFonts w:hint="eastAsia" w:ascii="宋体" w:hAnsi="宋体"/>
                <w:color w:val="auto"/>
                <w:sz w:val="22"/>
              </w:rPr>
              <w:t>A-7竞标文件格式符合第二章“竞标人须知”第3.7款的要求，否则由评标委员会作否决竞标处理。</w:t>
            </w:r>
          </w:p>
          <w:p w14:paraId="5A46EB57">
            <w:pPr>
              <w:spacing w:line="400" w:lineRule="exact"/>
              <w:ind w:firstLine="440" w:firstLineChars="200"/>
              <w:rPr>
                <w:rFonts w:hint="eastAsia" w:ascii="宋体" w:hAnsi="宋体"/>
                <w:color w:val="auto"/>
                <w:sz w:val="22"/>
              </w:rPr>
            </w:pPr>
            <w:r>
              <w:rPr>
                <w:rFonts w:hint="eastAsia" w:ascii="宋体" w:hAnsi="宋体"/>
                <w:color w:val="auto"/>
                <w:sz w:val="22"/>
              </w:rPr>
              <w:t>编制竞标文件时不得对第五章“竞标文件格式”的相应要素作实质性修改，否则视为重大偏差，由评标委员会作否决竞标处理。</w:t>
            </w:r>
          </w:p>
        </w:tc>
      </w:tr>
      <w:tr w14:paraId="04DBFED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5F9E077A">
            <w:pPr>
              <w:spacing w:line="400" w:lineRule="exact"/>
              <w:jc w:val="center"/>
              <w:rPr>
                <w:rFonts w:hint="eastAsia" w:ascii="宋体" w:hAnsi="宋体"/>
                <w:color w:val="auto"/>
                <w:sz w:val="22"/>
              </w:rPr>
            </w:pPr>
          </w:p>
        </w:tc>
        <w:tc>
          <w:tcPr>
            <w:tcW w:w="1559" w:type="dxa"/>
            <w:vMerge w:val="continue"/>
            <w:vAlign w:val="center"/>
          </w:tcPr>
          <w:p w14:paraId="4C91C8BC">
            <w:pPr>
              <w:spacing w:line="400" w:lineRule="exact"/>
              <w:jc w:val="center"/>
              <w:rPr>
                <w:rFonts w:hint="eastAsia" w:ascii="宋体" w:hAnsi="宋体"/>
                <w:color w:val="auto"/>
                <w:sz w:val="22"/>
              </w:rPr>
            </w:pPr>
          </w:p>
        </w:tc>
        <w:tc>
          <w:tcPr>
            <w:tcW w:w="6634" w:type="dxa"/>
          </w:tcPr>
          <w:p w14:paraId="0FCE9FFA">
            <w:pPr>
              <w:spacing w:line="400" w:lineRule="exact"/>
              <w:ind w:firstLine="440" w:firstLineChars="200"/>
              <w:rPr>
                <w:rFonts w:hint="eastAsia" w:ascii="宋体" w:hAnsi="宋体"/>
                <w:color w:val="auto"/>
                <w:sz w:val="22"/>
              </w:rPr>
            </w:pPr>
            <w:r>
              <w:rPr>
                <w:rFonts w:hint="eastAsia" w:ascii="宋体" w:hAnsi="宋体"/>
                <w:color w:val="auto"/>
                <w:sz w:val="22"/>
              </w:rPr>
              <w:t>A-8</w:t>
            </w:r>
            <w:r>
              <w:rPr>
                <w:rFonts w:hint="eastAsia" w:ascii="宋体" w:hAnsi="宋体"/>
                <w:color w:val="auto"/>
                <w:kern w:val="0"/>
                <w:sz w:val="22"/>
                <w:szCs w:val="24"/>
              </w:rPr>
              <w:t>第五章竞标</w:t>
            </w:r>
            <w:r>
              <w:rPr>
                <w:rFonts w:ascii="宋体" w:hAnsi="宋体"/>
                <w:color w:val="auto"/>
                <w:kern w:val="0"/>
                <w:sz w:val="22"/>
                <w:szCs w:val="24"/>
              </w:rPr>
              <w:t>文件</w:t>
            </w:r>
            <w:r>
              <w:rPr>
                <w:rFonts w:hint="eastAsia" w:ascii="宋体" w:hAnsi="宋体"/>
                <w:color w:val="auto"/>
                <w:kern w:val="0"/>
                <w:sz w:val="22"/>
                <w:szCs w:val="24"/>
              </w:rPr>
              <w:t>格式要求</w:t>
            </w:r>
            <w:r>
              <w:rPr>
                <w:rFonts w:ascii="宋体" w:hAnsi="宋体"/>
                <w:color w:val="auto"/>
                <w:kern w:val="0"/>
                <w:sz w:val="22"/>
                <w:szCs w:val="24"/>
              </w:rPr>
              <w:t>法定代表人或其委托代理人签字（或盖章）</w:t>
            </w:r>
            <w:r>
              <w:rPr>
                <w:rFonts w:hint="eastAsia" w:ascii="宋体" w:hAnsi="宋体"/>
                <w:color w:val="auto"/>
                <w:kern w:val="0"/>
                <w:sz w:val="22"/>
                <w:szCs w:val="24"/>
              </w:rPr>
              <w:t>的须</w:t>
            </w:r>
            <w:r>
              <w:rPr>
                <w:rFonts w:ascii="宋体" w:hAnsi="宋体"/>
                <w:color w:val="auto"/>
                <w:kern w:val="0"/>
                <w:sz w:val="22"/>
                <w:szCs w:val="24"/>
              </w:rPr>
              <w:t>齐全。</w:t>
            </w:r>
          </w:p>
        </w:tc>
      </w:tr>
      <w:tr w14:paraId="12DF7A1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06CBF006">
            <w:pPr>
              <w:spacing w:line="400" w:lineRule="exact"/>
              <w:jc w:val="center"/>
              <w:rPr>
                <w:rFonts w:hint="eastAsia" w:ascii="宋体" w:hAnsi="宋体"/>
                <w:color w:val="auto"/>
                <w:sz w:val="22"/>
              </w:rPr>
            </w:pPr>
          </w:p>
        </w:tc>
        <w:tc>
          <w:tcPr>
            <w:tcW w:w="1559" w:type="dxa"/>
            <w:vMerge w:val="continue"/>
            <w:tcBorders>
              <w:bottom w:val="single" w:color="auto" w:sz="4" w:space="0"/>
            </w:tcBorders>
            <w:vAlign w:val="center"/>
          </w:tcPr>
          <w:p w14:paraId="58C3C3F6">
            <w:pPr>
              <w:spacing w:line="400" w:lineRule="exact"/>
              <w:jc w:val="center"/>
              <w:rPr>
                <w:rFonts w:hint="eastAsia" w:ascii="宋体" w:hAnsi="宋体"/>
                <w:color w:val="auto"/>
                <w:sz w:val="22"/>
              </w:rPr>
            </w:pPr>
          </w:p>
        </w:tc>
        <w:tc>
          <w:tcPr>
            <w:tcW w:w="6634" w:type="dxa"/>
          </w:tcPr>
          <w:p w14:paraId="69418D88">
            <w:pPr>
              <w:spacing w:line="400" w:lineRule="exact"/>
              <w:ind w:firstLine="440" w:firstLineChars="200"/>
              <w:rPr>
                <w:rFonts w:hint="eastAsia" w:ascii="宋体" w:hAnsi="宋体"/>
                <w:color w:val="auto"/>
                <w:sz w:val="22"/>
              </w:rPr>
            </w:pPr>
            <w:r>
              <w:rPr>
                <w:rFonts w:hint="eastAsia" w:ascii="宋体" w:hAnsi="宋体"/>
                <w:color w:val="auto"/>
                <w:sz w:val="22"/>
              </w:rPr>
              <w:t>A-9竞标人法定代表人的委托代理人有法定代表人签署的授权委托书。否则由评标委员会作否决竞标处理。</w:t>
            </w:r>
          </w:p>
        </w:tc>
      </w:tr>
      <w:tr w14:paraId="04E92DE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225B9C79">
            <w:pPr>
              <w:spacing w:line="400" w:lineRule="exact"/>
              <w:jc w:val="center"/>
              <w:rPr>
                <w:rFonts w:hint="eastAsia" w:ascii="宋体" w:hAnsi="宋体"/>
                <w:color w:val="auto"/>
                <w:sz w:val="22"/>
              </w:rPr>
            </w:pPr>
          </w:p>
        </w:tc>
        <w:tc>
          <w:tcPr>
            <w:tcW w:w="1559" w:type="dxa"/>
            <w:vMerge w:val="restart"/>
            <w:tcBorders>
              <w:top w:val="single" w:color="auto" w:sz="4" w:space="0"/>
            </w:tcBorders>
            <w:vAlign w:val="center"/>
          </w:tcPr>
          <w:p w14:paraId="2F8E98D0">
            <w:pPr>
              <w:spacing w:line="400" w:lineRule="exact"/>
              <w:jc w:val="center"/>
              <w:rPr>
                <w:rFonts w:hint="eastAsia" w:ascii="宋体" w:hAnsi="宋体"/>
                <w:color w:val="auto"/>
                <w:sz w:val="22"/>
              </w:rPr>
            </w:pPr>
            <w:r>
              <w:rPr>
                <w:rFonts w:hint="eastAsia" w:ascii="宋体" w:hAnsi="宋体"/>
                <w:color w:val="auto"/>
                <w:sz w:val="22"/>
              </w:rPr>
              <w:t>响应性评审</w:t>
            </w:r>
          </w:p>
        </w:tc>
        <w:tc>
          <w:tcPr>
            <w:tcW w:w="6634" w:type="dxa"/>
            <w:vAlign w:val="center"/>
          </w:tcPr>
          <w:p w14:paraId="0C8928A6">
            <w:pPr>
              <w:spacing w:line="400" w:lineRule="exact"/>
              <w:ind w:firstLine="440" w:firstLineChars="200"/>
              <w:rPr>
                <w:rFonts w:hint="eastAsia" w:ascii="宋体" w:hAnsi="宋体"/>
                <w:color w:val="auto"/>
                <w:sz w:val="22"/>
              </w:rPr>
            </w:pPr>
            <w:r>
              <w:rPr>
                <w:rFonts w:hint="eastAsia" w:ascii="宋体" w:hAnsi="宋体"/>
                <w:color w:val="auto"/>
                <w:sz w:val="22"/>
              </w:rPr>
              <w:t>A-10竞标内容符合第二章“竞标人须知”第1.3.1项规定，否则由评标委员会作否决竞标处理。</w:t>
            </w:r>
          </w:p>
        </w:tc>
      </w:tr>
      <w:tr w14:paraId="4DDD17C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00933A09">
            <w:pPr>
              <w:spacing w:line="400" w:lineRule="exact"/>
              <w:jc w:val="center"/>
              <w:rPr>
                <w:rFonts w:hint="eastAsia" w:ascii="宋体" w:hAnsi="宋体"/>
                <w:color w:val="auto"/>
                <w:sz w:val="22"/>
              </w:rPr>
            </w:pPr>
          </w:p>
        </w:tc>
        <w:tc>
          <w:tcPr>
            <w:tcW w:w="1559" w:type="dxa"/>
            <w:vMerge w:val="continue"/>
            <w:vAlign w:val="center"/>
          </w:tcPr>
          <w:p w14:paraId="2B261E72">
            <w:pPr>
              <w:spacing w:line="400" w:lineRule="exact"/>
              <w:jc w:val="center"/>
              <w:rPr>
                <w:rFonts w:hint="eastAsia" w:ascii="宋体" w:hAnsi="宋体"/>
                <w:color w:val="auto"/>
                <w:sz w:val="22"/>
              </w:rPr>
            </w:pPr>
          </w:p>
        </w:tc>
        <w:tc>
          <w:tcPr>
            <w:tcW w:w="6634" w:type="dxa"/>
            <w:vAlign w:val="center"/>
          </w:tcPr>
          <w:p w14:paraId="706AD793">
            <w:pPr>
              <w:spacing w:line="400" w:lineRule="exact"/>
              <w:ind w:firstLine="440" w:firstLineChars="200"/>
              <w:rPr>
                <w:rFonts w:hint="eastAsia" w:ascii="宋体" w:hAnsi="宋体"/>
                <w:color w:val="auto"/>
                <w:sz w:val="22"/>
              </w:rPr>
            </w:pPr>
            <w:r>
              <w:rPr>
                <w:rFonts w:hint="eastAsia" w:ascii="宋体" w:hAnsi="宋体"/>
                <w:color w:val="auto"/>
                <w:sz w:val="22"/>
              </w:rPr>
              <w:t>A-11 竞标人应按竞标人须知前附表第3.4.1款规定递交竞标保证金，否则由评标委员会作否决竞标处理。</w:t>
            </w:r>
          </w:p>
        </w:tc>
      </w:tr>
      <w:tr w14:paraId="5AD2D3B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35E608C8">
            <w:pPr>
              <w:spacing w:line="400" w:lineRule="exact"/>
              <w:jc w:val="center"/>
              <w:rPr>
                <w:rFonts w:hint="eastAsia" w:ascii="宋体" w:hAnsi="宋体"/>
                <w:color w:val="auto"/>
                <w:sz w:val="22"/>
              </w:rPr>
            </w:pPr>
          </w:p>
        </w:tc>
        <w:tc>
          <w:tcPr>
            <w:tcW w:w="1559" w:type="dxa"/>
            <w:vMerge w:val="continue"/>
            <w:vAlign w:val="center"/>
          </w:tcPr>
          <w:p w14:paraId="54EBB22D">
            <w:pPr>
              <w:spacing w:line="400" w:lineRule="exact"/>
              <w:jc w:val="center"/>
              <w:rPr>
                <w:rFonts w:hint="eastAsia" w:ascii="宋体" w:hAnsi="宋体"/>
                <w:color w:val="auto"/>
                <w:sz w:val="22"/>
              </w:rPr>
            </w:pPr>
          </w:p>
        </w:tc>
        <w:tc>
          <w:tcPr>
            <w:tcW w:w="6634" w:type="dxa"/>
            <w:vAlign w:val="center"/>
          </w:tcPr>
          <w:p w14:paraId="711F5A29">
            <w:pPr>
              <w:spacing w:line="400" w:lineRule="exact"/>
              <w:ind w:firstLine="440" w:firstLineChars="200"/>
              <w:rPr>
                <w:rFonts w:hint="eastAsia" w:ascii="宋体" w:hAnsi="宋体"/>
                <w:color w:val="auto"/>
                <w:sz w:val="22"/>
              </w:rPr>
            </w:pPr>
            <w:r>
              <w:rPr>
                <w:rFonts w:hint="eastAsia" w:ascii="宋体" w:hAnsi="宋体"/>
                <w:color w:val="auto"/>
                <w:sz w:val="22"/>
              </w:rPr>
              <w:t>A-12符合第四章“合同条款及格式”规定，竞标文件不应附有比选人不能接受的条件。否则由评标委员会作否决竞标处理。（</w:t>
            </w:r>
            <w:r>
              <w:rPr>
                <w:rFonts w:hint="eastAsia" w:asciiTheme="minorEastAsia" w:hAnsiTheme="minorEastAsia" w:eastAsiaTheme="minorEastAsia" w:cstheme="minorEastAsia"/>
                <w:color w:val="auto"/>
                <w:kern w:val="0"/>
                <w:sz w:val="22"/>
                <w:szCs w:val="24"/>
              </w:rPr>
              <w:t>由竞标人承诺，格式自拟。</w:t>
            </w:r>
            <w:r>
              <w:rPr>
                <w:rFonts w:hint="eastAsia" w:ascii="宋体" w:hAnsi="宋体"/>
                <w:color w:val="auto"/>
                <w:sz w:val="22"/>
              </w:rPr>
              <w:t>）</w:t>
            </w:r>
          </w:p>
        </w:tc>
      </w:tr>
      <w:tr w14:paraId="2F84A4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651151B9">
            <w:pPr>
              <w:spacing w:line="400" w:lineRule="exact"/>
              <w:jc w:val="center"/>
              <w:rPr>
                <w:rFonts w:hint="eastAsia" w:ascii="宋体" w:hAnsi="宋体"/>
                <w:color w:val="auto"/>
                <w:sz w:val="22"/>
              </w:rPr>
            </w:pPr>
          </w:p>
        </w:tc>
        <w:tc>
          <w:tcPr>
            <w:tcW w:w="1559" w:type="dxa"/>
            <w:vMerge w:val="continue"/>
            <w:vAlign w:val="center"/>
          </w:tcPr>
          <w:p w14:paraId="6479072A">
            <w:pPr>
              <w:spacing w:line="400" w:lineRule="exact"/>
              <w:jc w:val="center"/>
              <w:rPr>
                <w:rFonts w:hint="eastAsia" w:ascii="宋体" w:hAnsi="宋体"/>
                <w:color w:val="auto"/>
                <w:sz w:val="22"/>
              </w:rPr>
            </w:pPr>
          </w:p>
        </w:tc>
        <w:tc>
          <w:tcPr>
            <w:tcW w:w="6634" w:type="dxa"/>
            <w:vAlign w:val="center"/>
          </w:tcPr>
          <w:p w14:paraId="1214B1C0">
            <w:pPr>
              <w:spacing w:line="400" w:lineRule="exact"/>
              <w:ind w:firstLine="440" w:firstLineChars="200"/>
              <w:rPr>
                <w:rFonts w:hint="eastAsia" w:ascii="宋体" w:hAnsi="宋体"/>
                <w:color w:val="auto"/>
                <w:sz w:val="22"/>
              </w:rPr>
            </w:pPr>
            <w:r>
              <w:rPr>
                <w:rFonts w:hint="eastAsia" w:ascii="宋体" w:hAnsi="宋体"/>
                <w:color w:val="auto"/>
                <w:sz w:val="22"/>
              </w:rPr>
              <w:t>A-13竞标人有以下情形之一的，其竞标文件由评标委员会</w:t>
            </w:r>
            <w:r>
              <w:rPr>
                <w:rFonts w:ascii="宋体" w:hAnsi="宋体"/>
                <w:color w:val="auto"/>
                <w:sz w:val="22"/>
              </w:rPr>
              <w:t>作否决</w:t>
            </w:r>
            <w:r>
              <w:rPr>
                <w:rFonts w:hint="eastAsia" w:ascii="宋体" w:hAnsi="宋体"/>
                <w:color w:val="auto"/>
                <w:sz w:val="22"/>
              </w:rPr>
              <w:t>竞标</w:t>
            </w:r>
            <w:r>
              <w:rPr>
                <w:rFonts w:ascii="宋体" w:hAnsi="宋体"/>
                <w:color w:val="auto"/>
                <w:sz w:val="22"/>
              </w:rPr>
              <w:t>处理</w:t>
            </w:r>
            <w:r>
              <w:rPr>
                <w:rFonts w:hint="eastAsia" w:ascii="宋体" w:hAnsi="宋体"/>
                <w:color w:val="auto"/>
                <w:sz w:val="22"/>
              </w:rPr>
              <w:t>：</w:t>
            </w:r>
          </w:p>
          <w:p w14:paraId="3EF3BDE9">
            <w:pPr>
              <w:spacing w:after="87" w:afterLines="20" w:line="400" w:lineRule="exact"/>
              <w:ind w:firstLine="440" w:firstLineChars="200"/>
              <w:rPr>
                <w:rFonts w:hint="eastAsia" w:ascii="宋体" w:hAnsi="宋体"/>
                <w:color w:val="auto"/>
                <w:sz w:val="22"/>
              </w:rPr>
            </w:pPr>
            <w:r>
              <w:rPr>
                <w:rFonts w:hint="eastAsia" w:ascii="宋体" w:hAnsi="宋体"/>
                <w:color w:val="auto"/>
                <w:sz w:val="22"/>
              </w:rPr>
              <w:t>1.第二章“竞标人须知”第1.4.3项规定的任何一种情形的；</w:t>
            </w:r>
          </w:p>
          <w:p w14:paraId="27C95F19">
            <w:pPr>
              <w:spacing w:line="400" w:lineRule="exact"/>
              <w:ind w:firstLine="440" w:firstLineChars="200"/>
              <w:rPr>
                <w:rFonts w:hint="eastAsia" w:ascii="宋体" w:hAnsi="宋体"/>
                <w:color w:val="auto"/>
                <w:sz w:val="22"/>
              </w:rPr>
            </w:pPr>
            <w:r>
              <w:rPr>
                <w:rFonts w:hint="eastAsia" w:ascii="宋体" w:hAnsi="宋体"/>
                <w:color w:val="auto"/>
                <w:sz w:val="22"/>
              </w:rPr>
              <w:t>2.本次竞标有串通竞标、弄虚作假等违反招投标相关法律、法规的行为的；</w:t>
            </w:r>
          </w:p>
          <w:p w14:paraId="7352188C">
            <w:pPr>
              <w:spacing w:line="400" w:lineRule="exact"/>
              <w:ind w:firstLine="440" w:firstLineChars="200"/>
              <w:rPr>
                <w:rFonts w:hint="eastAsia" w:ascii="宋体" w:hAnsi="宋体"/>
                <w:color w:val="auto"/>
                <w:sz w:val="22"/>
              </w:rPr>
            </w:pPr>
            <w:r>
              <w:rPr>
                <w:rFonts w:hint="eastAsia" w:ascii="宋体" w:hAnsi="宋体"/>
                <w:color w:val="auto"/>
                <w:sz w:val="22"/>
              </w:rPr>
              <w:t>3.拒绝按评标委员会要求澄清、说明或补正的。</w:t>
            </w:r>
          </w:p>
        </w:tc>
      </w:tr>
      <w:tr w14:paraId="1C9BAB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0E9D182B">
            <w:pPr>
              <w:spacing w:line="400" w:lineRule="exact"/>
              <w:jc w:val="center"/>
              <w:rPr>
                <w:rFonts w:hint="eastAsia" w:ascii="宋体" w:hAnsi="宋体"/>
                <w:color w:val="auto"/>
                <w:sz w:val="22"/>
              </w:rPr>
            </w:pPr>
          </w:p>
        </w:tc>
        <w:tc>
          <w:tcPr>
            <w:tcW w:w="1559" w:type="dxa"/>
            <w:vMerge w:val="continue"/>
            <w:vAlign w:val="center"/>
          </w:tcPr>
          <w:p w14:paraId="3BB4EDF5">
            <w:pPr>
              <w:spacing w:line="400" w:lineRule="exact"/>
              <w:jc w:val="center"/>
              <w:rPr>
                <w:rFonts w:hint="eastAsia" w:ascii="宋体" w:hAnsi="宋体"/>
                <w:color w:val="auto"/>
                <w:sz w:val="22"/>
              </w:rPr>
            </w:pPr>
          </w:p>
        </w:tc>
        <w:tc>
          <w:tcPr>
            <w:tcW w:w="6634" w:type="dxa"/>
            <w:vAlign w:val="center"/>
          </w:tcPr>
          <w:p w14:paraId="27199CA8">
            <w:pPr>
              <w:spacing w:line="400" w:lineRule="exact"/>
              <w:ind w:firstLine="440" w:firstLineChars="200"/>
              <w:rPr>
                <w:rFonts w:hint="eastAsia" w:ascii="宋体" w:hAnsi="宋体"/>
                <w:color w:val="auto"/>
                <w:sz w:val="22"/>
              </w:rPr>
            </w:pPr>
            <w:r>
              <w:rPr>
                <w:rFonts w:hint="eastAsia" w:ascii="宋体" w:hAnsi="宋体"/>
                <w:color w:val="auto"/>
                <w:sz w:val="22"/>
              </w:rPr>
              <w:t>A-14服务期符合第二章“竞标人须知</w:t>
            </w:r>
            <w:r>
              <w:rPr>
                <w:rFonts w:hint="eastAsia" w:asciiTheme="minorEastAsia" w:hAnsiTheme="minorEastAsia" w:eastAsiaTheme="minorEastAsia" w:cstheme="minorEastAsia"/>
                <w:color w:val="auto"/>
                <w:kern w:val="0"/>
                <w:sz w:val="22"/>
                <w:szCs w:val="24"/>
              </w:rPr>
              <w:t>前附表</w:t>
            </w:r>
            <w:r>
              <w:rPr>
                <w:rFonts w:hint="eastAsia" w:ascii="宋体" w:hAnsi="宋体"/>
                <w:color w:val="auto"/>
                <w:sz w:val="22"/>
              </w:rPr>
              <w:t>”第1.3.2项规定，否则由评标委员会作否决竞标处理。</w:t>
            </w:r>
          </w:p>
        </w:tc>
      </w:tr>
      <w:tr w14:paraId="6B5AD28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1B1E92B7">
            <w:pPr>
              <w:spacing w:line="400" w:lineRule="exact"/>
              <w:jc w:val="center"/>
              <w:rPr>
                <w:rFonts w:hint="eastAsia" w:ascii="宋体" w:hAnsi="宋体"/>
                <w:color w:val="auto"/>
                <w:sz w:val="22"/>
              </w:rPr>
            </w:pPr>
          </w:p>
        </w:tc>
        <w:tc>
          <w:tcPr>
            <w:tcW w:w="1559" w:type="dxa"/>
            <w:vMerge w:val="continue"/>
            <w:vAlign w:val="center"/>
          </w:tcPr>
          <w:p w14:paraId="7EEF2921">
            <w:pPr>
              <w:spacing w:line="400" w:lineRule="exact"/>
              <w:jc w:val="center"/>
              <w:rPr>
                <w:rFonts w:hint="eastAsia" w:ascii="宋体" w:hAnsi="宋体"/>
                <w:color w:val="auto"/>
                <w:sz w:val="22"/>
              </w:rPr>
            </w:pPr>
          </w:p>
        </w:tc>
        <w:tc>
          <w:tcPr>
            <w:tcW w:w="6634" w:type="dxa"/>
            <w:vAlign w:val="center"/>
          </w:tcPr>
          <w:p w14:paraId="3809CF19">
            <w:pPr>
              <w:spacing w:line="400" w:lineRule="exact"/>
              <w:ind w:firstLine="440" w:firstLineChars="200"/>
              <w:rPr>
                <w:rFonts w:hint="eastAsia" w:ascii="宋体" w:hAnsi="宋体"/>
                <w:color w:val="auto"/>
                <w:sz w:val="22"/>
              </w:rPr>
            </w:pPr>
            <w:r>
              <w:rPr>
                <w:rFonts w:hint="eastAsia" w:ascii="宋体" w:hAnsi="宋体"/>
                <w:color w:val="auto"/>
                <w:sz w:val="22"/>
              </w:rPr>
              <w:t>A-15质量标准符合第二章“竞标人须知</w:t>
            </w:r>
            <w:r>
              <w:rPr>
                <w:rFonts w:hint="eastAsia" w:asciiTheme="minorEastAsia" w:hAnsiTheme="minorEastAsia" w:eastAsiaTheme="minorEastAsia" w:cstheme="minorEastAsia"/>
                <w:color w:val="auto"/>
                <w:kern w:val="0"/>
                <w:sz w:val="22"/>
                <w:szCs w:val="24"/>
              </w:rPr>
              <w:t>前附表</w:t>
            </w:r>
            <w:r>
              <w:rPr>
                <w:rFonts w:hint="eastAsia" w:ascii="宋体" w:hAnsi="宋体"/>
                <w:color w:val="auto"/>
                <w:sz w:val="22"/>
              </w:rPr>
              <w:t>”第1.3.3项规定，否则由评标委员会作否决竞标处理。</w:t>
            </w:r>
          </w:p>
        </w:tc>
      </w:tr>
      <w:tr w14:paraId="04D79A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164AE307">
            <w:pPr>
              <w:spacing w:line="400" w:lineRule="exact"/>
              <w:jc w:val="center"/>
              <w:rPr>
                <w:rFonts w:hint="eastAsia" w:ascii="宋体" w:hAnsi="宋体"/>
                <w:color w:val="auto"/>
                <w:sz w:val="22"/>
              </w:rPr>
            </w:pPr>
          </w:p>
        </w:tc>
        <w:tc>
          <w:tcPr>
            <w:tcW w:w="1559" w:type="dxa"/>
            <w:vMerge w:val="continue"/>
            <w:vAlign w:val="center"/>
          </w:tcPr>
          <w:p w14:paraId="51F44BB3">
            <w:pPr>
              <w:spacing w:line="400" w:lineRule="exact"/>
              <w:jc w:val="center"/>
              <w:rPr>
                <w:rFonts w:hint="eastAsia" w:ascii="宋体" w:hAnsi="宋体"/>
                <w:color w:val="auto"/>
                <w:sz w:val="22"/>
              </w:rPr>
            </w:pPr>
          </w:p>
        </w:tc>
        <w:tc>
          <w:tcPr>
            <w:tcW w:w="6634" w:type="dxa"/>
            <w:vAlign w:val="center"/>
          </w:tcPr>
          <w:p w14:paraId="2408E8CC">
            <w:pPr>
              <w:spacing w:line="400" w:lineRule="exact"/>
              <w:ind w:firstLine="440" w:firstLineChars="200"/>
              <w:rPr>
                <w:rFonts w:hint="eastAsia" w:ascii="宋体" w:hAnsi="宋体"/>
                <w:color w:val="auto"/>
                <w:sz w:val="22"/>
              </w:rPr>
            </w:pPr>
            <w:r>
              <w:rPr>
                <w:rFonts w:hint="eastAsia" w:ascii="宋体" w:hAnsi="宋体"/>
                <w:color w:val="auto"/>
                <w:sz w:val="22"/>
              </w:rPr>
              <w:t>A-16竞标有效期符合第二章“竞标人须知</w:t>
            </w:r>
            <w:r>
              <w:rPr>
                <w:rFonts w:hint="eastAsia" w:asciiTheme="minorEastAsia" w:hAnsiTheme="minorEastAsia" w:eastAsiaTheme="minorEastAsia" w:cstheme="minorEastAsia"/>
                <w:color w:val="auto"/>
                <w:kern w:val="0"/>
                <w:sz w:val="22"/>
                <w:szCs w:val="24"/>
              </w:rPr>
              <w:t>前附表</w:t>
            </w:r>
            <w:r>
              <w:rPr>
                <w:rFonts w:hint="eastAsia" w:ascii="宋体" w:hAnsi="宋体"/>
                <w:color w:val="auto"/>
                <w:sz w:val="22"/>
              </w:rPr>
              <w:t>”第3.3.1项规定，否则由评标委员会作否决竞标处理。</w:t>
            </w:r>
          </w:p>
        </w:tc>
      </w:tr>
      <w:tr w14:paraId="5D58A25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5E53AEA9">
            <w:pPr>
              <w:spacing w:line="400" w:lineRule="exact"/>
              <w:jc w:val="center"/>
              <w:rPr>
                <w:rFonts w:hint="eastAsia" w:ascii="宋体" w:hAnsi="宋体"/>
                <w:color w:val="auto"/>
                <w:sz w:val="22"/>
              </w:rPr>
            </w:pPr>
          </w:p>
        </w:tc>
        <w:tc>
          <w:tcPr>
            <w:tcW w:w="1559" w:type="dxa"/>
            <w:vMerge w:val="continue"/>
            <w:vAlign w:val="center"/>
          </w:tcPr>
          <w:p w14:paraId="4B606E9F">
            <w:pPr>
              <w:spacing w:line="400" w:lineRule="exact"/>
              <w:jc w:val="center"/>
              <w:rPr>
                <w:rFonts w:hint="eastAsia" w:ascii="宋体" w:hAnsi="宋体"/>
                <w:color w:val="auto"/>
                <w:sz w:val="22"/>
              </w:rPr>
            </w:pPr>
          </w:p>
        </w:tc>
        <w:tc>
          <w:tcPr>
            <w:tcW w:w="6634" w:type="dxa"/>
            <w:vAlign w:val="center"/>
          </w:tcPr>
          <w:p w14:paraId="4D80B2D0">
            <w:pPr>
              <w:spacing w:line="400" w:lineRule="exact"/>
              <w:ind w:firstLine="440" w:firstLineChars="200"/>
              <w:rPr>
                <w:rFonts w:hint="eastAsia" w:ascii="宋体" w:hAnsi="宋体"/>
                <w:color w:val="auto"/>
                <w:sz w:val="22"/>
              </w:rPr>
            </w:pPr>
            <w:r>
              <w:rPr>
                <w:rFonts w:hint="eastAsia" w:ascii="宋体" w:hAnsi="宋体"/>
                <w:color w:val="auto"/>
                <w:sz w:val="22"/>
              </w:rPr>
              <w:t>A-17竞标人的竞标报价不得超过竞标报价最高限价，否则由评标委员会作否决竞标处理。</w:t>
            </w:r>
          </w:p>
        </w:tc>
      </w:tr>
      <w:tr w14:paraId="4B5B909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2C59AA98">
            <w:pPr>
              <w:spacing w:line="400" w:lineRule="exact"/>
              <w:jc w:val="center"/>
              <w:rPr>
                <w:rFonts w:hint="eastAsia" w:ascii="宋体" w:hAnsi="宋体"/>
                <w:color w:val="auto"/>
                <w:sz w:val="22"/>
              </w:rPr>
            </w:pPr>
          </w:p>
        </w:tc>
        <w:tc>
          <w:tcPr>
            <w:tcW w:w="1559" w:type="dxa"/>
            <w:vMerge w:val="continue"/>
            <w:vAlign w:val="center"/>
          </w:tcPr>
          <w:p w14:paraId="06F256C6">
            <w:pPr>
              <w:spacing w:line="400" w:lineRule="exact"/>
              <w:jc w:val="center"/>
              <w:rPr>
                <w:rFonts w:hint="eastAsia" w:ascii="宋体" w:hAnsi="宋体"/>
                <w:color w:val="auto"/>
                <w:sz w:val="22"/>
              </w:rPr>
            </w:pPr>
          </w:p>
        </w:tc>
        <w:tc>
          <w:tcPr>
            <w:tcW w:w="6634" w:type="dxa"/>
            <w:vAlign w:val="center"/>
          </w:tcPr>
          <w:p w14:paraId="19F79D55">
            <w:pPr>
              <w:spacing w:line="400" w:lineRule="exact"/>
              <w:ind w:firstLine="440" w:firstLineChars="200"/>
              <w:rPr>
                <w:rFonts w:hint="eastAsia" w:ascii="宋体" w:hAnsi="宋体"/>
                <w:color w:val="auto"/>
                <w:sz w:val="22"/>
              </w:rPr>
            </w:pPr>
            <w:r>
              <w:rPr>
                <w:rFonts w:hint="eastAsia" w:ascii="宋体" w:hAnsi="宋体"/>
                <w:color w:val="auto"/>
                <w:sz w:val="22"/>
              </w:rPr>
              <w:t>A-18只能有一个有效报价。在比选文件没有规定的情况下，不得提交选择性报价，否则由评标委员会作否决竞标处理。</w:t>
            </w:r>
          </w:p>
        </w:tc>
      </w:tr>
      <w:tr w14:paraId="5B7ACB6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Merge w:val="continue"/>
            <w:vAlign w:val="center"/>
          </w:tcPr>
          <w:p w14:paraId="12C681A4">
            <w:pPr>
              <w:spacing w:line="400" w:lineRule="exact"/>
              <w:jc w:val="center"/>
              <w:rPr>
                <w:rFonts w:hint="eastAsia" w:ascii="宋体" w:hAnsi="宋体"/>
                <w:color w:val="auto"/>
                <w:sz w:val="22"/>
              </w:rPr>
            </w:pPr>
          </w:p>
        </w:tc>
        <w:tc>
          <w:tcPr>
            <w:tcW w:w="1559" w:type="dxa"/>
            <w:vMerge w:val="continue"/>
            <w:vAlign w:val="center"/>
          </w:tcPr>
          <w:p w14:paraId="64683E6D">
            <w:pPr>
              <w:spacing w:line="400" w:lineRule="exact"/>
              <w:jc w:val="center"/>
              <w:rPr>
                <w:rFonts w:hint="eastAsia" w:ascii="宋体" w:hAnsi="宋体"/>
                <w:color w:val="auto"/>
                <w:sz w:val="22"/>
              </w:rPr>
            </w:pPr>
          </w:p>
        </w:tc>
        <w:tc>
          <w:tcPr>
            <w:tcW w:w="6634" w:type="dxa"/>
            <w:vAlign w:val="center"/>
          </w:tcPr>
          <w:p w14:paraId="0E2FD13D">
            <w:pPr>
              <w:spacing w:line="400" w:lineRule="exact"/>
              <w:ind w:firstLine="440" w:firstLineChars="200"/>
              <w:rPr>
                <w:rFonts w:hint="eastAsia" w:ascii="宋体" w:hAnsi="宋体"/>
                <w:color w:val="auto"/>
                <w:sz w:val="22"/>
              </w:rPr>
            </w:pPr>
            <w:r>
              <w:rPr>
                <w:rFonts w:hint="eastAsia" w:ascii="宋体" w:hAnsi="宋体"/>
                <w:color w:val="auto"/>
                <w:sz w:val="22"/>
              </w:rPr>
              <w:t>A-19竞标报价有算术错误的，按照第三章3.评标程序第3.1.3项规定执行，否则由评标委员会作否决竞标处理。</w:t>
            </w:r>
          </w:p>
        </w:tc>
      </w:tr>
      <w:tr w14:paraId="297AF7B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76" w:type="dxa"/>
            <w:vAlign w:val="center"/>
          </w:tcPr>
          <w:p w14:paraId="10D92740">
            <w:pPr>
              <w:spacing w:line="400" w:lineRule="exact"/>
              <w:jc w:val="center"/>
              <w:rPr>
                <w:rFonts w:hint="eastAsia" w:ascii="宋体" w:hAnsi="宋体"/>
                <w:color w:val="auto"/>
                <w:sz w:val="22"/>
              </w:rPr>
            </w:pPr>
            <w:r>
              <w:rPr>
                <w:rFonts w:ascii="宋体" w:hAnsi="宋体"/>
                <w:color w:val="auto"/>
                <w:sz w:val="22"/>
              </w:rPr>
              <w:t>其他</w:t>
            </w:r>
          </w:p>
        </w:tc>
        <w:tc>
          <w:tcPr>
            <w:tcW w:w="1559" w:type="dxa"/>
            <w:vAlign w:val="center"/>
          </w:tcPr>
          <w:p w14:paraId="75C38203">
            <w:pPr>
              <w:spacing w:line="400" w:lineRule="exact"/>
              <w:jc w:val="center"/>
              <w:rPr>
                <w:rFonts w:hint="eastAsia" w:ascii="宋体" w:hAnsi="宋体"/>
                <w:color w:val="auto"/>
                <w:sz w:val="22"/>
              </w:rPr>
            </w:pPr>
          </w:p>
        </w:tc>
        <w:tc>
          <w:tcPr>
            <w:tcW w:w="6634" w:type="dxa"/>
            <w:vAlign w:val="center"/>
          </w:tcPr>
          <w:p w14:paraId="685F9D08">
            <w:pPr>
              <w:rPr>
                <w:rFonts w:hint="eastAsia" w:ascii="宋体" w:hAnsi="宋体" w:cs="宋体"/>
                <w:color w:val="auto"/>
              </w:rPr>
            </w:pPr>
            <w:r>
              <w:rPr>
                <w:rFonts w:hint="eastAsia" w:ascii="宋体" w:hAnsi="宋体" w:cs="宋体"/>
                <w:color w:val="auto"/>
              </w:rPr>
              <w:t>1 .有下列情形之一的，属于竞标人相互串通竞标：</w:t>
            </w:r>
          </w:p>
          <w:p w14:paraId="37182422">
            <w:pPr>
              <w:rPr>
                <w:rFonts w:hint="eastAsia" w:ascii="宋体" w:hAnsi="宋体" w:cs="宋体"/>
                <w:color w:val="auto"/>
              </w:rPr>
            </w:pPr>
            <w:r>
              <w:rPr>
                <w:rFonts w:hint="eastAsia" w:ascii="宋体" w:hAnsi="宋体" w:cs="宋体"/>
                <w:color w:val="auto"/>
              </w:rPr>
              <w:t>（1）竞标人之间协商竞标报价等竞标文件的实质性内容；</w:t>
            </w:r>
          </w:p>
          <w:p w14:paraId="342EF93B">
            <w:pPr>
              <w:rPr>
                <w:rFonts w:hint="eastAsia" w:ascii="宋体" w:hAnsi="宋体" w:cs="宋体"/>
                <w:color w:val="auto"/>
              </w:rPr>
            </w:pPr>
            <w:r>
              <w:rPr>
                <w:rFonts w:hint="eastAsia" w:ascii="宋体" w:hAnsi="宋体" w:cs="宋体"/>
                <w:color w:val="auto"/>
              </w:rPr>
              <w:t>（2）竞标人之间约定中标人；</w:t>
            </w:r>
          </w:p>
          <w:p w14:paraId="091C0DDA">
            <w:pPr>
              <w:rPr>
                <w:rFonts w:hint="eastAsia" w:ascii="宋体" w:hAnsi="宋体" w:cs="宋体"/>
                <w:color w:val="auto"/>
              </w:rPr>
            </w:pPr>
            <w:r>
              <w:rPr>
                <w:rFonts w:hint="eastAsia" w:ascii="宋体" w:hAnsi="宋体" w:cs="宋体"/>
                <w:color w:val="auto"/>
              </w:rPr>
              <w:t>（3）竞标人之间约定部分竞标人放弃竞标或者中标；</w:t>
            </w:r>
          </w:p>
          <w:p w14:paraId="144C0744">
            <w:pPr>
              <w:rPr>
                <w:rFonts w:hint="eastAsia" w:ascii="宋体" w:hAnsi="宋体" w:cs="宋体"/>
                <w:color w:val="auto"/>
              </w:rPr>
            </w:pPr>
            <w:r>
              <w:rPr>
                <w:rFonts w:hint="eastAsia" w:ascii="宋体" w:hAnsi="宋体" w:cs="宋体"/>
                <w:color w:val="auto"/>
              </w:rPr>
              <w:t>（4）属于同一集团、协会、商会等组织成员的竞标人按照该组织要求协同竞标；</w:t>
            </w:r>
          </w:p>
          <w:p w14:paraId="43BF6F7B">
            <w:pPr>
              <w:rPr>
                <w:rFonts w:hint="eastAsia" w:ascii="宋体" w:hAnsi="宋体" w:cs="宋体"/>
                <w:color w:val="auto"/>
              </w:rPr>
            </w:pPr>
            <w:r>
              <w:rPr>
                <w:rFonts w:hint="eastAsia" w:ascii="宋体" w:hAnsi="宋体" w:cs="宋体"/>
                <w:color w:val="auto"/>
              </w:rPr>
              <w:t>（5）竞标人之间为谋取中标或者排斥特定竞标人而采取的其他联合行动。</w:t>
            </w:r>
          </w:p>
          <w:p w14:paraId="222488DE">
            <w:pPr>
              <w:rPr>
                <w:rFonts w:hint="eastAsia" w:ascii="宋体" w:hAnsi="宋体" w:cs="宋体"/>
                <w:color w:val="auto"/>
              </w:rPr>
            </w:pPr>
            <w:r>
              <w:rPr>
                <w:rFonts w:hint="eastAsia" w:ascii="宋体" w:hAnsi="宋体" w:cs="宋体"/>
                <w:color w:val="auto"/>
              </w:rPr>
              <w:t>2 .有下列情形之一的，视为竞标人相互串通竞标：</w:t>
            </w:r>
          </w:p>
          <w:p w14:paraId="6EA3758D">
            <w:pPr>
              <w:rPr>
                <w:rFonts w:hint="eastAsia" w:ascii="宋体" w:hAnsi="宋体" w:cs="宋体"/>
                <w:color w:val="auto"/>
              </w:rPr>
            </w:pPr>
            <w:r>
              <w:rPr>
                <w:rFonts w:hint="eastAsia" w:ascii="宋体" w:hAnsi="宋体" w:cs="宋体"/>
                <w:color w:val="auto"/>
              </w:rPr>
              <w:t>（1）不同竞标人的竞标文件由同一单位或者个人编制；</w:t>
            </w:r>
          </w:p>
          <w:p w14:paraId="0FE19850">
            <w:pPr>
              <w:rPr>
                <w:rFonts w:hint="eastAsia" w:ascii="宋体" w:hAnsi="宋体" w:cs="宋体"/>
                <w:color w:val="auto"/>
              </w:rPr>
            </w:pPr>
            <w:r>
              <w:rPr>
                <w:rFonts w:hint="eastAsia" w:ascii="宋体" w:hAnsi="宋体" w:cs="宋体"/>
                <w:color w:val="auto"/>
              </w:rPr>
              <w:t>（2）不同竞标人委托同一单位或者个人办理竞标事宜；</w:t>
            </w:r>
          </w:p>
          <w:p w14:paraId="5C9CF2BA">
            <w:pPr>
              <w:rPr>
                <w:rFonts w:hint="eastAsia" w:ascii="宋体" w:hAnsi="宋体" w:cs="宋体"/>
                <w:color w:val="auto"/>
              </w:rPr>
            </w:pPr>
            <w:r>
              <w:rPr>
                <w:rFonts w:hint="eastAsia" w:ascii="宋体" w:hAnsi="宋体" w:cs="宋体"/>
                <w:color w:val="auto"/>
              </w:rPr>
              <w:t>（3）不同竞标人的竞标文件载明的项目管理成员为同一人；</w:t>
            </w:r>
          </w:p>
          <w:p w14:paraId="0C18B638">
            <w:pPr>
              <w:rPr>
                <w:rFonts w:hint="eastAsia" w:ascii="宋体" w:hAnsi="宋体" w:cs="宋体"/>
                <w:color w:val="auto"/>
              </w:rPr>
            </w:pPr>
            <w:r>
              <w:rPr>
                <w:rFonts w:hint="eastAsia" w:ascii="宋体" w:hAnsi="宋体" w:cs="宋体"/>
                <w:color w:val="auto"/>
              </w:rPr>
              <w:t>（4）不同竞标人的竞标文件异常一致或者竞标报价呈规律性差异；</w:t>
            </w:r>
          </w:p>
          <w:p w14:paraId="2B13445B">
            <w:pPr>
              <w:rPr>
                <w:rFonts w:hint="eastAsia" w:ascii="宋体" w:hAnsi="宋体" w:cs="宋体"/>
                <w:color w:val="auto"/>
              </w:rPr>
            </w:pPr>
            <w:r>
              <w:rPr>
                <w:rFonts w:hint="eastAsia" w:ascii="宋体" w:hAnsi="宋体" w:cs="宋体"/>
                <w:color w:val="auto"/>
              </w:rPr>
              <w:t>（5）不同竞标人的竞标文件相互混装；</w:t>
            </w:r>
          </w:p>
          <w:p w14:paraId="1D3231E0">
            <w:pPr>
              <w:rPr>
                <w:rFonts w:hint="eastAsia" w:ascii="宋体" w:hAnsi="宋体" w:cs="宋体"/>
                <w:color w:val="auto"/>
              </w:rPr>
            </w:pPr>
            <w:r>
              <w:rPr>
                <w:rFonts w:hint="eastAsia" w:ascii="宋体" w:hAnsi="宋体" w:cs="宋体"/>
                <w:color w:val="auto"/>
              </w:rPr>
              <w:t>（6）不同竞标人的竞标保证金从同一单位或者个人的账户转出；</w:t>
            </w:r>
          </w:p>
          <w:p w14:paraId="29B0178C">
            <w:pPr>
              <w:rPr>
                <w:rFonts w:hint="eastAsia" w:ascii="宋体" w:hAnsi="宋体" w:cs="宋体"/>
                <w:color w:val="auto"/>
              </w:rPr>
            </w:pPr>
            <w:r>
              <w:rPr>
                <w:rFonts w:hint="eastAsia" w:ascii="宋体" w:hAnsi="宋体" w:cs="宋体"/>
                <w:color w:val="auto"/>
              </w:rPr>
              <w:t>3.使用通过受让或者租借等方式获取的资格、资质证书竞标的，属于以他人名义竞标。</w:t>
            </w:r>
          </w:p>
          <w:p w14:paraId="63842009">
            <w:pPr>
              <w:rPr>
                <w:rFonts w:hint="eastAsia" w:ascii="宋体" w:hAnsi="宋体" w:cs="宋体"/>
                <w:color w:val="auto"/>
              </w:rPr>
            </w:pPr>
            <w:r>
              <w:rPr>
                <w:rFonts w:hint="eastAsia" w:ascii="宋体" w:hAnsi="宋体" w:cs="宋体"/>
                <w:color w:val="auto"/>
              </w:rPr>
              <w:t>4.竞标人有下列情形之一的，属于以其他方式弄虚作假的行为：</w:t>
            </w:r>
          </w:p>
          <w:p w14:paraId="5ECDF2BA">
            <w:pPr>
              <w:rPr>
                <w:rFonts w:hint="eastAsia" w:ascii="宋体" w:hAnsi="宋体" w:cs="宋体"/>
                <w:color w:val="auto"/>
              </w:rPr>
            </w:pPr>
            <w:r>
              <w:rPr>
                <w:rFonts w:hint="eastAsia" w:ascii="宋体" w:hAnsi="宋体" w:cs="宋体"/>
                <w:color w:val="auto"/>
              </w:rPr>
              <w:t>（1）使用伪造、变造的许可证件；</w:t>
            </w:r>
          </w:p>
          <w:p w14:paraId="1DE5B445">
            <w:pPr>
              <w:rPr>
                <w:rFonts w:hint="eastAsia" w:ascii="宋体" w:hAnsi="宋体" w:cs="宋体"/>
                <w:color w:val="auto"/>
              </w:rPr>
            </w:pPr>
            <w:r>
              <w:rPr>
                <w:rFonts w:hint="eastAsia" w:ascii="宋体" w:hAnsi="宋体" w:cs="宋体"/>
                <w:color w:val="auto"/>
              </w:rPr>
              <w:t>（2）提供虚假的财务状况或者业绩；</w:t>
            </w:r>
          </w:p>
          <w:p w14:paraId="104187B9">
            <w:pPr>
              <w:rPr>
                <w:rFonts w:hint="eastAsia" w:ascii="宋体" w:hAnsi="宋体" w:cs="宋体"/>
                <w:color w:val="auto"/>
              </w:rPr>
            </w:pPr>
            <w:r>
              <w:rPr>
                <w:rFonts w:hint="eastAsia" w:ascii="宋体" w:hAnsi="宋体" w:cs="宋体"/>
                <w:color w:val="auto"/>
              </w:rPr>
              <w:t>（3）提供虚假的项目负责人或者主要技术人员简历、劳动关系证明；</w:t>
            </w:r>
          </w:p>
          <w:p w14:paraId="3D0070B7">
            <w:pPr>
              <w:rPr>
                <w:rFonts w:hint="eastAsia" w:ascii="宋体" w:hAnsi="宋体" w:cs="宋体"/>
                <w:color w:val="auto"/>
              </w:rPr>
            </w:pPr>
            <w:r>
              <w:rPr>
                <w:rFonts w:hint="eastAsia" w:ascii="宋体" w:hAnsi="宋体" w:cs="宋体"/>
                <w:color w:val="auto"/>
              </w:rPr>
              <w:t>（4）提供虚假的信用状况；</w:t>
            </w:r>
          </w:p>
          <w:p w14:paraId="54F0F246">
            <w:pPr>
              <w:rPr>
                <w:rFonts w:hint="eastAsia" w:ascii="宋体" w:hAnsi="宋体" w:cs="宋体"/>
                <w:color w:val="auto"/>
              </w:rPr>
            </w:pPr>
            <w:r>
              <w:rPr>
                <w:rFonts w:hint="eastAsia" w:ascii="宋体" w:hAnsi="宋体" w:cs="宋体"/>
                <w:color w:val="auto"/>
              </w:rPr>
              <w:t>（5）其他弄虚作假的行为。</w:t>
            </w:r>
          </w:p>
          <w:p w14:paraId="3A8B4072">
            <w:pPr>
              <w:rPr>
                <w:rFonts w:hint="eastAsia" w:ascii="宋体" w:hAnsi="宋体" w:cs="宋体"/>
                <w:color w:val="auto"/>
              </w:rPr>
            </w:pPr>
            <w:r>
              <w:rPr>
                <w:rFonts w:hint="eastAsia" w:ascii="宋体" w:hAnsi="宋体" w:cs="宋体"/>
                <w:color w:val="auto"/>
              </w:rPr>
              <w:t>5.未达到竞标人须知前附表1.4.1相应要求的按否决竞标处理。</w:t>
            </w:r>
          </w:p>
          <w:p w14:paraId="0B34272A">
            <w:pPr>
              <w:rPr>
                <w:rFonts w:hint="eastAsia" w:ascii="宋体" w:hAnsi="宋体" w:cs="宋体"/>
                <w:color w:val="auto"/>
              </w:rPr>
            </w:pPr>
            <w:r>
              <w:rPr>
                <w:rFonts w:hint="eastAsia" w:ascii="宋体" w:hAnsi="宋体" w:cs="宋体"/>
                <w:color w:val="auto"/>
              </w:rPr>
              <w:t>6.竞标人竞标报价超过最高限价的按否决竞标处理。</w:t>
            </w:r>
          </w:p>
          <w:p w14:paraId="6ACF3040">
            <w:pPr>
              <w:rPr>
                <w:rFonts w:hint="eastAsia" w:ascii="宋体" w:hAnsi="宋体" w:cs="宋体"/>
                <w:color w:val="auto"/>
              </w:rPr>
            </w:pPr>
            <w:r>
              <w:rPr>
                <w:rFonts w:hint="eastAsia" w:ascii="宋体" w:hAnsi="宋体" w:cs="宋体"/>
                <w:color w:val="auto"/>
              </w:rPr>
              <w:t>7.已中选重庆文理学院红河A区学生（研究生）公寓建设项目工程总承包EPC单位（中国建筑第四工程局有限公司、南京市市政设计研究院有限责任公司 ），已中选招标控制价编制咨询服务的编制单位、招标限价审核咨询服务的审核单位或全过程造价咨询服务单位，或者与该中选咨询单位及</w:t>
            </w:r>
            <w:r>
              <w:rPr>
                <w:rFonts w:hint="eastAsia" w:ascii="宋体" w:hAnsi="宋体" w:cs="宋体"/>
                <w:color w:val="auto"/>
                <w:sz w:val="22"/>
              </w:rPr>
              <w:t>中标总承包单位</w:t>
            </w:r>
            <w:r>
              <w:rPr>
                <w:rFonts w:hint="eastAsia" w:ascii="宋体" w:hAnsi="宋体" w:cs="宋体"/>
                <w:color w:val="auto"/>
              </w:rPr>
              <w:t>存在控股管理等关联关系的单位，参与本次竞标的按否决竞标处理。</w:t>
            </w:r>
          </w:p>
        </w:tc>
      </w:tr>
    </w:tbl>
    <w:p w14:paraId="6D7E1A0B">
      <w:pPr>
        <w:autoSpaceDE w:val="0"/>
        <w:autoSpaceDN w:val="0"/>
        <w:adjustRightInd w:val="0"/>
        <w:snapToGrid w:val="0"/>
        <w:spacing w:line="360" w:lineRule="auto"/>
        <w:ind w:firstLine="422"/>
        <w:jc w:val="left"/>
        <w:rPr>
          <w:rFonts w:hint="eastAsia" w:ascii="宋体" w:hAnsi="宋体"/>
          <w:b/>
          <w:color w:val="auto"/>
          <w:kern w:val="0"/>
          <w:szCs w:val="21"/>
        </w:rPr>
      </w:pPr>
    </w:p>
    <w:p w14:paraId="19BA0DC9">
      <w:pPr>
        <w:widowControl/>
        <w:ind w:firstLine="422"/>
        <w:jc w:val="left"/>
        <w:rPr>
          <w:rFonts w:hint="eastAsia" w:ascii="宋体" w:hAnsi="宋体"/>
          <w:b/>
          <w:color w:val="auto"/>
          <w:kern w:val="0"/>
          <w:szCs w:val="21"/>
        </w:rPr>
      </w:pPr>
      <w:r>
        <w:rPr>
          <w:rFonts w:ascii="宋体" w:hAnsi="宋体"/>
          <w:b/>
          <w:color w:val="auto"/>
          <w:kern w:val="0"/>
          <w:szCs w:val="21"/>
        </w:rPr>
        <w:br w:type="page"/>
      </w:r>
    </w:p>
    <w:p w14:paraId="11AFA02E">
      <w:pPr>
        <w:autoSpaceDE w:val="0"/>
        <w:autoSpaceDN w:val="0"/>
        <w:adjustRightInd w:val="0"/>
        <w:snapToGrid w:val="0"/>
        <w:spacing w:line="360" w:lineRule="auto"/>
        <w:ind w:firstLine="422"/>
        <w:jc w:val="left"/>
        <w:rPr>
          <w:rFonts w:hint="eastAsia" w:ascii="宋体" w:hAnsi="宋体"/>
          <w:b/>
          <w:color w:val="auto"/>
          <w:kern w:val="0"/>
          <w:szCs w:val="21"/>
        </w:rPr>
      </w:pPr>
    </w:p>
    <w:p w14:paraId="19A0B51E">
      <w:pPr>
        <w:pStyle w:val="2"/>
        <w:spacing w:before="0" w:after="0" w:line="360" w:lineRule="auto"/>
        <w:ind w:firstLine="964"/>
        <w:jc w:val="center"/>
        <w:rPr>
          <w:rFonts w:hint="eastAsia" w:asciiTheme="minorEastAsia" w:hAnsiTheme="minorEastAsia" w:eastAsiaTheme="minorEastAsia"/>
          <w:color w:val="auto"/>
          <w:sz w:val="48"/>
          <w:szCs w:val="21"/>
        </w:rPr>
      </w:pPr>
      <w:bookmarkStart w:id="440" w:name="_Toc430530509"/>
      <w:bookmarkStart w:id="441" w:name="_Toc7244"/>
      <w:bookmarkStart w:id="442" w:name="_Toc57820636"/>
      <w:bookmarkStart w:id="443" w:name="_Toc509218785"/>
      <w:r>
        <w:rPr>
          <w:rFonts w:hint="eastAsia" w:ascii="宋体" w:hAnsi="宋体"/>
          <w:color w:val="auto"/>
          <w:kern w:val="0"/>
          <w:sz w:val="48"/>
          <w:szCs w:val="21"/>
        </w:rPr>
        <w:t>第四章  合同条款及格式</w:t>
      </w:r>
      <w:bookmarkEnd w:id="440"/>
      <w:bookmarkEnd w:id="441"/>
      <w:bookmarkEnd w:id="442"/>
      <w:bookmarkEnd w:id="443"/>
    </w:p>
    <w:p w14:paraId="45510069">
      <w:pPr>
        <w:pStyle w:val="17"/>
        <w:snapToGrid w:val="0"/>
        <w:spacing w:line="400" w:lineRule="atLeast"/>
        <w:ind w:left="0" w:leftChars="0" w:firstLine="440"/>
        <w:rPr>
          <w:rFonts w:hint="eastAsia" w:asciiTheme="minorEastAsia" w:hAnsiTheme="minorEastAsia" w:eastAsiaTheme="minorEastAsia"/>
          <w:color w:val="auto"/>
          <w:sz w:val="22"/>
          <w:szCs w:val="22"/>
        </w:rPr>
      </w:pPr>
    </w:p>
    <w:p w14:paraId="4F89A50B">
      <w:pPr>
        <w:widowControl/>
        <w:ind w:firstLine="440"/>
        <w:jc w:val="left"/>
        <w:rPr>
          <w:rFonts w:hint="eastAsia" w:asciiTheme="minorEastAsia" w:hAnsiTheme="minorEastAsia" w:eastAsiaTheme="minorEastAsia"/>
          <w:color w:val="auto"/>
          <w:sz w:val="22"/>
        </w:rPr>
      </w:pPr>
      <w:r>
        <w:rPr>
          <w:rFonts w:asciiTheme="minorEastAsia" w:hAnsiTheme="minorEastAsia" w:eastAsiaTheme="minorEastAsia"/>
          <w:color w:val="auto"/>
          <w:sz w:val="22"/>
        </w:rPr>
        <w:br w:type="page"/>
      </w:r>
    </w:p>
    <w:p w14:paraId="6E8D7C39">
      <w:pPr>
        <w:pStyle w:val="35"/>
        <w:spacing w:line="280" w:lineRule="atLeast"/>
        <w:ind w:firstLine="643"/>
        <w:jc w:val="center"/>
        <w:rPr>
          <w:rFonts w:hint="eastAsia"/>
          <w:b/>
          <w:bCs/>
          <w:color w:val="auto"/>
          <w:sz w:val="32"/>
          <w:szCs w:val="18"/>
        </w:rPr>
      </w:pPr>
      <w:bookmarkStart w:id="444" w:name="_Toc246996338"/>
      <w:bookmarkStart w:id="445" w:name="_Toc247085853"/>
      <w:bookmarkStart w:id="446" w:name="_Toc246997081"/>
      <w:bookmarkStart w:id="447" w:name="_Toc179632787"/>
      <w:bookmarkStart w:id="448" w:name="_Toc144974578"/>
      <w:bookmarkStart w:id="449" w:name="_Toc152042549"/>
      <w:bookmarkStart w:id="450" w:name="_Toc152045610"/>
      <w:bookmarkStart w:id="451" w:name="_Toc300835199"/>
      <w:bookmarkStart w:id="452" w:name="_Toc144974829"/>
      <w:bookmarkStart w:id="453" w:name="_Toc247527798"/>
      <w:bookmarkStart w:id="454" w:name="_Toc152042388"/>
      <w:bookmarkStart w:id="455" w:name="_Toc247514197"/>
      <w:bookmarkStart w:id="456" w:name="_Toc184635122"/>
    </w:p>
    <w:p w14:paraId="44E37FC2">
      <w:pPr>
        <w:pStyle w:val="35"/>
        <w:spacing w:line="280" w:lineRule="atLeast"/>
        <w:ind w:firstLine="562"/>
        <w:jc w:val="center"/>
        <w:rPr>
          <w:rFonts w:hint="eastAsia"/>
          <w:b/>
          <w:bCs/>
          <w:color w:val="auto"/>
          <w:sz w:val="28"/>
          <w:szCs w:val="18"/>
        </w:rPr>
      </w:pPr>
      <w:bookmarkStart w:id="457" w:name="_Toc22346"/>
    </w:p>
    <w:p w14:paraId="66A9026D">
      <w:pPr>
        <w:pStyle w:val="35"/>
        <w:spacing w:line="280" w:lineRule="atLeast"/>
        <w:ind w:firstLine="643"/>
        <w:jc w:val="center"/>
        <w:rPr>
          <w:rFonts w:hint="eastAsia"/>
          <w:b/>
          <w:bCs/>
          <w:color w:val="auto"/>
          <w:sz w:val="32"/>
          <w:szCs w:val="18"/>
        </w:rPr>
      </w:pPr>
    </w:p>
    <w:p w14:paraId="7CCEFE57">
      <w:pPr>
        <w:pStyle w:val="35"/>
        <w:spacing w:line="280" w:lineRule="atLeast"/>
        <w:jc w:val="center"/>
        <w:rPr>
          <w:rFonts w:hint="eastAsia"/>
          <w:color w:val="auto"/>
          <w:sz w:val="48"/>
          <w:szCs w:val="48"/>
        </w:rPr>
      </w:pPr>
      <w:r>
        <w:rPr>
          <w:rFonts w:hint="eastAsia"/>
          <w:bCs/>
          <w:color w:val="auto"/>
          <w:sz w:val="48"/>
          <w:szCs w:val="48"/>
        </w:rPr>
        <w:t>建设工程造价咨询合同</w:t>
      </w:r>
    </w:p>
    <w:p w14:paraId="2C003B47">
      <w:pPr>
        <w:pStyle w:val="35"/>
        <w:spacing w:line="280" w:lineRule="atLeast"/>
        <w:ind w:firstLine="640"/>
        <w:jc w:val="center"/>
        <w:rPr>
          <w:rFonts w:hint="eastAsia"/>
          <w:color w:val="auto"/>
          <w:sz w:val="32"/>
          <w:szCs w:val="18"/>
        </w:rPr>
      </w:pPr>
    </w:p>
    <w:p w14:paraId="1FEEED62">
      <w:pPr>
        <w:pStyle w:val="35"/>
        <w:spacing w:line="280" w:lineRule="atLeast"/>
        <w:ind w:firstLine="640"/>
        <w:jc w:val="center"/>
        <w:rPr>
          <w:rFonts w:hint="eastAsia"/>
          <w:color w:val="auto"/>
          <w:sz w:val="32"/>
          <w:szCs w:val="32"/>
        </w:rPr>
      </w:pPr>
      <w:r>
        <w:rPr>
          <w:rFonts w:hint="eastAsia"/>
          <w:bCs/>
          <w:color w:val="auto"/>
          <w:sz w:val="32"/>
          <w:szCs w:val="32"/>
        </w:rPr>
        <w:t>重文理审[2026]3号</w:t>
      </w:r>
    </w:p>
    <w:p w14:paraId="2C15933B">
      <w:pPr>
        <w:pStyle w:val="35"/>
        <w:spacing w:line="280" w:lineRule="atLeast"/>
        <w:ind w:firstLine="640"/>
        <w:jc w:val="center"/>
        <w:rPr>
          <w:rFonts w:hint="eastAsia"/>
          <w:color w:val="auto"/>
          <w:sz w:val="32"/>
          <w:szCs w:val="18"/>
        </w:rPr>
      </w:pPr>
    </w:p>
    <w:p w14:paraId="52BE14FA">
      <w:pPr>
        <w:pStyle w:val="35"/>
        <w:spacing w:line="280" w:lineRule="atLeast"/>
        <w:ind w:firstLine="640"/>
        <w:jc w:val="center"/>
        <w:rPr>
          <w:rFonts w:hint="eastAsia"/>
          <w:color w:val="auto"/>
          <w:sz w:val="32"/>
          <w:szCs w:val="18"/>
        </w:rPr>
      </w:pPr>
    </w:p>
    <w:p w14:paraId="61378CCA">
      <w:pPr>
        <w:pStyle w:val="35"/>
        <w:spacing w:line="280" w:lineRule="atLeast"/>
        <w:ind w:firstLine="640"/>
        <w:jc w:val="center"/>
        <w:rPr>
          <w:rFonts w:hint="eastAsia"/>
          <w:color w:val="auto"/>
          <w:sz w:val="32"/>
          <w:szCs w:val="18"/>
        </w:rPr>
      </w:pPr>
    </w:p>
    <w:p w14:paraId="2B2116A6">
      <w:pPr>
        <w:pStyle w:val="35"/>
        <w:spacing w:line="280" w:lineRule="atLeast"/>
        <w:ind w:firstLine="640"/>
        <w:jc w:val="center"/>
        <w:rPr>
          <w:rFonts w:hint="eastAsia"/>
          <w:color w:val="auto"/>
          <w:sz w:val="32"/>
          <w:szCs w:val="18"/>
        </w:rPr>
      </w:pPr>
    </w:p>
    <w:p w14:paraId="2F6E9C0C">
      <w:pPr>
        <w:pStyle w:val="35"/>
        <w:spacing w:line="280" w:lineRule="atLeast"/>
        <w:ind w:firstLine="640"/>
        <w:jc w:val="center"/>
        <w:rPr>
          <w:rFonts w:hint="eastAsia"/>
          <w:color w:val="auto"/>
          <w:sz w:val="32"/>
          <w:szCs w:val="18"/>
        </w:rPr>
      </w:pPr>
    </w:p>
    <w:p w14:paraId="4165459C">
      <w:pPr>
        <w:pStyle w:val="35"/>
        <w:spacing w:line="280" w:lineRule="atLeast"/>
        <w:ind w:firstLine="640"/>
        <w:jc w:val="center"/>
        <w:rPr>
          <w:rFonts w:hint="eastAsia"/>
          <w:color w:val="auto"/>
          <w:sz w:val="32"/>
          <w:szCs w:val="18"/>
        </w:rPr>
      </w:pPr>
    </w:p>
    <w:p w14:paraId="652C55ED">
      <w:pPr>
        <w:pStyle w:val="35"/>
        <w:spacing w:line="280" w:lineRule="atLeast"/>
        <w:ind w:firstLine="640"/>
        <w:jc w:val="center"/>
        <w:rPr>
          <w:rFonts w:hint="eastAsia"/>
          <w:color w:val="auto"/>
          <w:sz w:val="32"/>
          <w:szCs w:val="18"/>
        </w:rPr>
      </w:pPr>
    </w:p>
    <w:p w14:paraId="70E94048">
      <w:pPr>
        <w:pStyle w:val="35"/>
        <w:spacing w:line="720" w:lineRule="auto"/>
        <w:ind w:firstLine="1078" w:firstLineChars="337"/>
        <w:jc w:val="both"/>
        <w:rPr>
          <w:rFonts w:hint="eastAsia"/>
          <w:color w:val="auto"/>
          <w:sz w:val="32"/>
          <w:szCs w:val="18"/>
        </w:rPr>
      </w:pPr>
      <w:r>
        <w:rPr>
          <w:rFonts w:hint="eastAsia"/>
          <w:color w:val="auto"/>
          <w:sz w:val="32"/>
          <w:szCs w:val="18"/>
        </w:rPr>
        <w:t>委托人：</w:t>
      </w:r>
      <w:r>
        <w:rPr>
          <w:rFonts w:hint="eastAsia"/>
          <w:color w:val="auto"/>
          <w:sz w:val="32"/>
          <w:szCs w:val="18"/>
          <w:u w:val="single"/>
        </w:rPr>
        <w:t>重   庆   文   理   学   院</w:t>
      </w:r>
      <w:r>
        <w:rPr>
          <w:rFonts w:hint="eastAsia"/>
          <w:color w:val="auto"/>
          <w:sz w:val="32"/>
          <w:szCs w:val="18"/>
        </w:rPr>
        <w:t xml:space="preserve"> </w:t>
      </w:r>
    </w:p>
    <w:p w14:paraId="3F540C88">
      <w:pPr>
        <w:pStyle w:val="35"/>
        <w:spacing w:line="720" w:lineRule="auto"/>
        <w:ind w:firstLine="1078" w:firstLineChars="337"/>
        <w:jc w:val="both"/>
        <w:rPr>
          <w:rFonts w:hint="eastAsia"/>
          <w:color w:val="auto"/>
          <w:sz w:val="32"/>
          <w:szCs w:val="18"/>
        </w:rPr>
      </w:pPr>
      <w:r>
        <w:rPr>
          <w:rFonts w:hint="eastAsia"/>
          <w:color w:val="auto"/>
          <w:sz w:val="32"/>
          <w:szCs w:val="18"/>
        </w:rPr>
        <w:t>咨询人：</w:t>
      </w:r>
      <w:r>
        <w:rPr>
          <w:rFonts w:hint="eastAsia"/>
          <w:color w:val="auto"/>
          <w:sz w:val="32"/>
          <w:szCs w:val="18"/>
          <w:u w:val="single"/>
        </w:rPr>
        <w:t xml:space="preserve">                          </w:t>
      </w:r>
    </w:p>
    <w:p w14:paraId="16719959">
      <w:pPr>
        <w:pStyle w:val="35"/>
        <w:spacing w:line="280" w:lineRule="atLeast"/>
        <w:ind w:firstLine="360"/>
        <w:rPr>
          <w:rFonts w:hint="eastAsia"/>
          <w:color w:val="auto"/>
          <w:sz w:val="18"/>
          <w:szCs w:val="18"/>
        </w:rPr>
      </w:pPr>
      <w:r>
        <w:rPr>
          <w:rFonts w:hint="eastAsia"/>
          <w:color w:val="auto"/>
          <w:sz w:val="18"/>
          <w:szCs w:val="18"/>
        </w:rPr>
        <w:t>　</w:t>
      </w:r>
    </w:p>
    <w:p w14:paraId="1F1499F1">
      <w:pPr>
        <w:snapToGrid w:val="0"/>
        <w:spacing w:line="300" w:lineRule="auto"/>
        <w:ind w:firstLine="562"/>
        <w:rPr>
          <w:rFonts w:hint="eastAsia" w:ascii="宋体" w:hAnsi="宋体" w:cs="宋体"/>
          <w:b/>
          <w:color w:val="auto"/>
          <w:sz w:val="28"/>
          <w:szCs w:val="28"/>
        </w:rPr>
      </w:pPr>
    </w:p>
    <w:p w14:paraId="74626546">
      <w:pPr>
        <w:snapToGrid w:val="0"/>
        <w:spacing w:line="300" w:lineRule="auto"/>
        <w:ind w:firstLine="562"/>
        <w:jc w:val="center"/>
        <w:rPr>
          <w:rFonts w:hint="eastAsia" w:ascii="宋体" w:hAnsi="宋体" w:cs="宋体"/>
          <w:b/>
          <w:color w:val="auto"/>
          <w:sz w:val="28"/>
          <w:szCs w:val="28"/>
        </w:rPr>
        <w:sectPr>
          <w:footerReference r:id="rId7" w:type="first"/>
          <w:headerReference r:id="rId4" w:type="default"/>
          <w:footerReference r:id="rId5" w:type="default"/>
          <w:footerReference r:id="rId6" w:type="even"/>
          <w:pgSz w:w="11850" w:h="16783"/>
          <w:pgMar w:top="1383" w:right="1080" w:bottom="1383" w:left="1253" w:header="851" w:footer="992" w:gutter="0"/>
          <w:cols w:space="720" w:num="1"/>
          <w:docGrid w:type="lines" w:linePitch="435" w:charSpace="0"/>
        </w:sectPr>
      </w:pPr>
    </w:p>
    <w:p w14:paraId="7DD42D81">
      <w:pPr>
        <w:spacing w:line="600" w:lineRule="exact"/>
        <w:ind w:firstLine="560"/>
        <w:jc w:val="center"/>
        <w:rPr>
          <w:rFonts w:hint="eastAsia" w:ascii="宋体" w:hAnsi="宋体" w:cs="宋体"/>
          <w:b/>
          <w:color w:val="auto"/>
          <w:sz w:val="28"/>
          <w:szCs w:val="28"/>
        </w:rPr>
      </w:pPr>
      <w:r>
        <w:rPr>
          <w:rFonts w:hint="eastAsia" w:ascii="宋体" w:hAnsi="宋体" w:cs="宋体"/>
          <w:b/>
          <w:color w:val="auto"/>
          <w:sz w:val="28"/>
          <w:szCs w:val="28"/>
        </w:rPr>
        <w:t>第一部分   建设工程造价咨询合同</w:t>
      </w:r>
    </w:p>
    <w:p w14:paraId="4FE2B076">
      <w:pPr>
        <w:snapToGrid w:val="0"/>
        <w:spacing w:line="600" w:lineRule="exact"/>
        <w:ind w:firstLine="560" w:firstLineChars="200"/>
        <w:rPr>
          <w:rFonts w:hint="eastAsia" w:ascii="宋体" w:hAnsi="宋体" w:cs="宋体"/>
          <w:color w:val="auto"/>
          <w:sz w:val="28"/>
          <w:szCs w:val="28"/>
          <w:u w:val="single"/>
        </w:rPr>
      </w:pPr>
    </w:p>
    <w:p w14:paraId="46988FC9">
      <w:pPr>
        <w:pStyle w:val="21"/>
        <w:spacing w:line="600" w:lineRule="exact"/>
        <w:ind w:firstLine="562"/>
        <w:rPr>
          <w:rFonts w:hint="eastAsia" w:hAnsi="宋体" w:cs="宋体"/>
          <w:color w:val="auto"/>
          <w:sz w:val="22"/>
        </w:rPr>
      </w:pPr>
      <w:r>
        <w:rPr>
          <w:rFonts w:hint="eastAsia" w:hAnsi="宋体" w:cs="宋体"/>
          <w:b/>
          <w:color w:val="auto"/>
          <w:sz w:val="22"/>
        </w:rPr>
        <w:t>委托人：</w:t>
      </w:r>
      <w:r>
        <w:rPr>
          <w:rFonts w:hint="eastAsia" w:hAnsi="宋体" w:cs="宋体"/>
          <w:color w:val="auto"/>
          <w:sz w:val="22"/>
        </w:rPr>
        <w:t>重庆文理学院（以下简称委托人）</w:t>
      </w:r>
    </w:p>
    <w:p w14:paraId="65D0E197">
      <w:pPr>
        <w:pStyle w:val="21"/>
        <w:spacing w:line="600" w:lineRule="exact"/>
        <w:ind w:firstLine="562"/>
        <w:rPr>
          <w:rFonts w:hint="eastAsia" w:hAnsi="宋体" w:cs="宋体"/>
          <w:color w:val="auto"/>
          <w:sz w:val="22"/>
        </w:rPr>
      </w:pPr>
      <w:r>
        <w:rPr>
          <w:rFonts w:hint="eastAsia" w:hAnsi="宋体" w:cs="宋体"/>
          <w:b/>
          <w:color w:val="auto"/>
          <w:sz w:val="22"/>
        </w:rPr>
        <w:t>咨询人：</w:t>
      </w:r>
      <w:r>
        <w:rPr>
          <w:rFonts w:hint="eastAsia" w:hAnsi="宋体" w:cs="宋体"/>
          <w:color w:val="auto"/>
          <w:sz w:val="22"/>
        </w:rPr>
        <w:t xml:space="preserve">           （以下简称咨询人）</w:t>
      </w:r>
    </w:p>
    <w:p w14:paraId="196B5A50">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经过委托人与咨询人双方协商一致，签订本合同。</w:t>
      </w:r>
    </w:p>
    <w:p w14:paraId="46747D96">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一、委托人委托咨询人为以下项目提供建设工程造价咨询服务：</w:t>
      </w:r>
    </w:p>
    <w:p w14:paraId="7E02CB1D">
      <w:pPr>
        <w:snapToGrid w:val="0"/>
        <w:spacing w:line="600" w:lineRule="exact"/>
        <w:ind w:firstLine="442" w:firstLineChars="200"/>
        <w:rPr>
          <w:rFonts w:hint="eastAsia" w:ascii="宋体" w:hAnsi="宋体" w:cs="宋体"/>
          <w:color w:val="auto"/>
          <w:sz w:val="22"/>
        </w:rPr>
      </w:pPr>
      <w:r>
        <w:rPr>
          <w:rFonts w:hint="eastAsia" w:ascii="宋体" w:hAnsi="宋体" w:cs="宋体"/>
          <w:b/>
          <w:color w:val="auto"/>
          <w:sz w:val="22"/>
        </w:rPr>
        <w:t>1.项目名称：</w:t>
      </w:r>
      <w:r>
        <w:rPr>
          <w:rFonts w:hint="eastAsia" w:ascii="宋体" w:hAnsi="宋体" w:cs="宋体"/>
          <w:color w:val="auto"/>
          <w:sz w:val="22"/>
          <w:u w:val="single"/>
        </w:rPr>
        <w:t>重庆文理学院红河A区学生（研究生）公寓建设项目跟踪审计咨询服务。</w:t>
      </w:r>
    </w:p>
    <w:p w14:paraId="4C371FC1">
      <w:pPr>
        <w:snapToGrid w:val="0"/>
        <w:spacing w:line="600" w:lineRule="exact"/>
        <w:ind w:firstLine="442" w:firstLineChars="200"/>
        <w:rPr>
          <w:rFonts w:hint="eastAsia" w:ascii="宋体" w:hAnsi="宋体" w:cs="宋体"/>
          <w:color w:val="auto"/>
          <w:sz w:val="22"/>
        </w:rPr>
      </w:pPr>
      <w:r>
        <w:rPr>
          <w:rFonts w:hint="eastAsia" w:ascii="宋体" w:hAnsi="宋体" w:cs="宋体"/>
          <w:b/>
          <w:color w:val="auto"/>
          <w:sz w:val="22"/>
        </w:rPr>
        <w:t>2.服务类别：</w:t>
      </w:r>
      <w:r>
        <w:rPr>
          <w:rFonts w:hint="eastAsia" w:ascii="宋体" w:hAnsi="宋体" w:cs="宋体"/>
          <w:color w:val="auto"/>
          <w:sz w:val="22"/>
          <w:u w:val="single"/>
        </w:rPr>
        <w:t>EPC实施阶段全过程跟踪审计咨询服务</w:t>
      </w:r>
    </w:p>
    <w:p w14:paraId="79CA11A4">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二、本合同的措词和用语与所属建设工程造价咨询合同条件及有关附件同义。</w:t>
      </w:r>
    </w:p>
    <w:p w14:paraId="5813BB4F">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三、下列文件均为本合同的组成部分：</w:t>
      </w:r>
    </w:p>
    <w:p w14:paraId="0805B3EC">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1.建设工程造价咨询合同标准条件；</w:t>
      </w:r>
    </w:p>
    <w:p w14:paraId="5DD41FA0">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2.建设工程造价咨询合同专用条件；</w:t>
      </w:r>
    </w:p>
    <w:p w14:paraId="2DCE347D">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3.建设工程造价咨询合同执行中共同签署的补充与修正文件。</w:t>
      </w:r>
    </w:p>
    <w:p w14:paraId="5AC06072">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四、咨询人同意按照本合同的规定，承担本合同专用条件中议定范围内的建设工程造价咨询业务。</w:t>
      </w:r>
    </w:p>
    <w:p w14:paraId="2140E8BB">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五、委托人同意按照本合同规定的期限、方式、币种、额度向咨询人支付酬金。</w:t>
      </w:r>
    </w:p>
    <w:p w14:paraId="522D1650">
      <w:pPr>
        <w:snapToGrid w:val="0"/>
        <w:spacing w:line="360" w:lineRule="auto"/>
        <w:ind w:firstLine="562"/>
        <w:rPr>
          <w:rFonts w:hint="eastAsia" w:ascii="宋体" w:hAnsi="宋体" w:cs="宋体"/>
          <w:color w:val="auto"/>
          <w:sz w:val="22"/>
        </w:rPr>
      </w:pPr>
      <w:r>
        <w:rPr>
          <w:rFonts w:hint="eastAsia" w:ascii="宋体" w:hAnsi="宋体" w:cs="宋体"/>
          <w:color w:val="auto"/>
          <w:sz w:val="22"/>
        </w:rPr>
        <w:t>六、跟踪审计时间要求：本项目服务周期自中标通知书发出之日开始至出具工程竣工结算跟踪审计意见书并经建设单位内部审计部门委托的结算审核咨询单位审核后出具竣工结算审核报告之日（其中：1、审核工程量清单及施工图预算的完成时间：工程量清单及施工图预算资料送审资料接收后，45天内提交本工程工程量清单及施工图预算审核结果初稿；提交工程量清单及施工图预算审核结果初稿后，15天内与建设单位基建管理部门委托的咨询单位完成施工图预算金额核对工作并达成共识后出具预算审核意见书；2、竣工结算跟踪审计意见书的完成时间：工程竣工结算资料收齐后原则上2个月内出具本建设项目竣工结算跟踪审计意见书）为止，特殊情况以委托人要求的完成时间为准。</w:t>
      </w:r>
    </w:p>
    <w:p w14:paraId="26BDE6BC">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七、本合同一式陆份，具有同等法律效力，双方各执叁份。</w:t>
      </w:r>
    </w:p>
    <w:p w14:paraId="5E4994CF">
      <w:pPr>
        <w:snapToGrid w:val="0"/>
        <w:spacing w:line="600" w:lineRule="exact"/>
        <w:ind w:firstLine="560"/>
        <w:rPr>
          <w:rFonts w:hint="eastAsia" w:ascii="宋体" w:hAnsi="宋体" w:cs="宋体"/>
          <w:color w:val="auto"/>
          <w:sz w:val="22"/>
        </w:rPr>
      </w:pPr>
    </w:p>
    <w:p w14:paraId="47DEB339">
      <w:pPr>
        <w:snapToGrid w:val="0"/>
        <w:spacing w:line="600" w:lineRule="exact"/>
        <w:ind w:firstLine="560"/>
        <w:rPr>
          <w:rFonts w:hint="eastAsia" w:ascii="宋体" w:hAnsi="宋体" w:cs="宋体"/>
          <w:color w:val="auto"/>
          <w:sz w:val="22"/>
        </w:rPr>
      </w:pPr>
    </w:p>
    <w:p w14:paraId="458E6C5F">
      <w:pPr>
        <w:snapToGrid w:val="0"/>
        <w:spacing w:line="600" w:lineRule="exact"/>
        <w:ind w:firstLine="560"/>
        <w:rPr>
          <w:rFonts w:hint="eastAsia" w:ascii="宋体" w:hAnsi="宋体" w:cs="宋体"/>
          <w:color w:val="auto"/>
          <w:sz w:val="22"/>
        </w:rPr>
      </w:pPr>
      <w:r>
        <w:rPr>
          <w:rFonts w:hint="eastAsia" w:ascii="宋体" w:hAnsi="宋体" w:cs="宋体"/>
          <w:color w:val="auto"/>
          <w:sz w:val="22"/>
        </w:rPr>
        <w:t>委托人：（盖章）             咨询人：（盖章）</w:t>
      </w:r>
    </w:p>
    <w:p w14:paraId="03E04A1D">
      <w:pPr>
        <w:snapToGrid w:val="0"/>
        <w:spacing w:line="600" w:lineRule="exact"/>
        <w:ind w:firstLine="560"/>
        <w:rPr>
          <w:rFonts w:hint="eastAsia" w:ascii="宋体" w:hAnsi="宋体" w:cs="宋体"/>
          <w:color w:val="auto"/>
          <w:sz w:val="22"/>
        </w:rPr>
      </w:pPr>
    </w:p>
    <w:p w14:paraId="4E87E698">
      <w:pPr>
        <w:snapToGrid w:val="0"/>
        <w:spacing w:line="600" w:lineRule="exact"/>
        <w:ind w:firstLine="560"/>
        <w:rPr>
          <w:rFonts w:hint="eastAsia" w:ascii="宋体" w:hAnsi="宋体" w:cs="宋体"/>
          <w:color w:val="auto"/>
          <w:sz w:val="22"/>
        </w:rPr>
      </w:pPr>
    </w:p>
    <w:p w14:paraId="4EA62790">
      <w:pPr>
        <w:snapToGrid w:val="0"/>
        <w:spacing w:line="600" w:lineRule="exact"/>
        <w:ind w:firstLine="560"/>
        <w:rPr>
          <w:rFonts w:hint="eastAsia" w:ascii="宋体" w:hAnsi="宋体" w:cs="宋体"/>
          <w:color w:val="auto"/>
          <w:sz w:val="22"/>
        </w:rPr>
      </w:pPr>
      <w:r>
        <w:rPr>
          <w:rFonts w:hint="eastAsia" w:ascii="宋体" w:hAnsi="宋体" w:cs="宋体"/>
          <w:color w:val="auto"/>
          <w:sz w:val="22"/>
        </w:rPr>
        <w:t>法定代表人：（签字）         法定代表人：（签字）</w:t>
      </w:r>
    </w:p>
    <w:p w14:paraId="5748B10D">
      <w:pPr>
        <w:snapToGrid w:val="0"/>
        <w:spacing w:line="600" w:lineRule="exact"/>
        <w:ind w:firstLine="560"/>
        <w:rPr>
          <w:rFonts w:hint="eastAsia" w:ascii="宋体" w:hAnsi="宋体" w:cs="宋体"/>
          <w:color w:val="auto"/>
          <w:sz w:val="22"/>
        </w:rPr>
      </w:pPr>
      <w:r>
        <w:rPr>
          <w:rFonts w:hint="eastAsia" w:ascii="宋体" w:hAnsi="宋体" w:cs="宋体"/>
          <w:color w:val="auto"/>
          <w:sz w:val="22"/>
        </w:rPr>
        <w:t xml:space="preserve"> </w:t>
      </w:r>
    </w:p>
    <w:p w14:paraId="1ABD3596">
      <w:pPr>
        <w:snapToGrid w:val="0"/>
        <w:spacing w:line="600" w:lineRule="exact"/>
        <w:ind w:firstLine="560"/>
        <w:rPr>
          <w:rFonts w:hint="eastAsia" w:ascii="宋体" w:hAnsi="宋体" w:cs="宋体"/>
          <w:color w:val="auto"/>
          <w:sz w:val="22"/>
        </w:rPr>
      </w:pPr>
    </w:p>
    <w:p w14:paraId="67BD8A9D">
      <w:pPr>
        <w:snapToGrid w:val="0"/>
        <w:spacing w:line="600" w:lineRule="exact"/>
        <w:ind w:firstLine="560"/>
        <w:rPr>
          <w:rFonts w:hint="eastAsia" w:ascii="宋体" w:hAnsi="宋体" w:cs="宋体"/>
          <w:color w:val="auto"/>
          <w:sz w:val="22"/>
        </w:rPr>
      </w:pPr>
      <w:r>
        <w:rPr>
          <w:rFonts w:hint="eastAsia" w:ascii="宋体" w:hAnsi="宋体" w:cs="宋体"/>
          <w:color w:val="auto"/>
          <w:sz w:val="22"/>
        </w:rPr>
        <w:t>委托代理人：（签字）         委托代理人：（签字）</w:t>
      </w:r>
    </w:p>
    <w:p w14:paraId="6D7BA20B">
      <w:pPr>
        <w:snapToGrid w:val="0"/>
        <w:spacing w:line="600" w:lineRule="exact"/>
        <w:ind w:firstLine="560"/>
        <w:rPr>
          <w:rFonts w:hint="eastAsia" w:ascii="宋体" w:hAnsi="宋体" w:cs="宋体"/>
          <w:color w:val="auto"/>
          <w:sz w:val="22"/>
        </w:rPr>
      </w:pPr>
    </w:p>
    <w:p w14:paraId="3B04673F">
      <w:pPr>
        <w:snapToGrid w:val="0"/>
        <w:spacing w:line="600" w:lineRule="exact"/>
        <w:ind w:right="1280" w:firstLine="560"/>
        <w:rPr>
          <w:rFonts w:hint="eastAsia" w:ascii="宋体" w:hAnsi="宋体" w:cs="宋体"/>
          <w:color w:val="auto"/>
          <w:sz w:val="22"/>
        </w:rPr>
      </w:pPr>
      <w:r>
        <w:rPr>
          <w:rFonts w:hint="eastAsia" w:ascii="宋体" w:hAnsi="宋体" w:cs="宋体"/>
          <w:color w:val="auto"/>
          <w:sz w:val="22"/>
        </w:rPr>
        <w:t xml:space="preserve">住    所：                   住    所：                              </w:t>
      </w:r>
    </w:p>
    <w:p w14:paraId="32F9C16A">
      <w:pPr>
        <w:snapToGrid w:val="0"/>
        <w:spacing w:line="600" w:lineRule="exact"/>
        <w:ind w:left="4400" w:hanging="4400" w:hangingChars="2000"/>
        <w:jc w:val="left"/>
        <w:rPr>
          <w:rFonts w:hint="eastAsia" w:ascii="宋体" w:hAnsi="宋体" w:cs="宋体"/>
          <w:color w:val="auto"/>
          <w:sz w:val="22"/>
        </w:rPr>
      </w:pPr>
      <w:r>
        <w:rPr>
          <w:rFonts w:hint="eastAsia" w:ascii="宋体" w:hAnsi="宋体" w:cs="宋体"/>
          <w:color w:val="auto"/>
          <w:sz w:val="22"/>
        </w:rPr>
        <w:t xml:space="preserve">开户银行：                   开户银行： </w:t>
      </w:r>
    </w:p>
    <w:p w14:paraId="327DDE12">
      <w:pPr>
        <w:snapToGrid w:val="0"/>
        <w:spacing w:line="600" w:lineRule="exact"/>
        <w:ind w:firstLine="560"/>
        <w:rPr>
          <w:rFonts w:hint="eastAsia" w:ascii="宋体" w:hAnsi="宋体" w:cs="宋体"/>
          <w:color w:val="auto"/>
          <w:sz w:val="22"/>
        </w:rPr>
      </w:pPr>
      <w:r>
        <w:rPr>
          <w:rFonts w:hint="eastAsia" w:ascii="宋体" w:hAnsi="宋体" w:cs="宋体"/>
          <w:color w:val="auto"/>
          <w:sz w:val="22"/>
        </w:rPr>
        <w:t>帐    号：                   帐    号：</w:t>
      </w:r>
    </w:p>
    <w:p w14:paraId="21BD14DC">
      <w:pPr>
        <w:snapToGrid w:val="0"/>
        <w:spacing w:line="600" w:lineRule="exact"/>
        <w:ind w:firstLine="560"/>
        <w:rPr>
          <w:rFonts w:hint="eastAsia" w:ascii="宋体" w:hAnsi="宋体" w:cs="宋体"/>
          <w:color w:val="auto"/>
          <w:sz w:val="22"/>
        </w:rPr>
      </w:pPr>
      <w:r>
        <w:rPr>
          <w:rFonts w:hint="eastAsia" w:ascii="宋体" w:hAnsi="宋体" w:cs="宋体"/>
          <w:color w:val="auto"/>
          <w:sz w:val="22"/>
        </w:rPr>
        <w:t xml:space="preserve">联 系 人：                   联 系 人： </w:t>
      </w:r>
    </w:p>
    <w:p w14:paraId="6DD5F7DD">
      <w:pPr>
        <w:snapToGrid w:val="0"/>
        <w:spacing w:line="600" w:lineRule="exact"/>
        <w:ind w:firstLine="560"/>
        <w:rPr>
          <w:rFonts w:hint="eastAsia" w:ascii="宋体" w:hAnsi="宋体" w:cs="宋体"/>
          <w:color w:val="auto"/>
          <w:sz w:val="22"/>
        </w:rPr>
      </w:pPr>
      <w:r>
        <w:rPr>
          <w:rFonts w:hint="eastAsia" w:ascii="宋体" w:hAnsi="宋体" w:cs="宋体"/>
          <w:color w:val="auto"/>
          <w:sz w:val="22"/>
        </w:rPr>
        <w:t>电    话：                   电    话：</w:t>
      </w:r>
    </w:p>
    <w:p w14:paraId="4492BF1D">
      <w:pPr>
        <w:snapToGrid w:val="0"/>
        <w:spacing w:line="600" w:lineRule="exact"/>
        <w:ind w:firstLine="560"/>
        <w:rPr>
          <w:rFonts w:hint="eastAsia" w:ascii="宋体" w:hAnsi="宋体" w:cs="宋体"/>
          <w:color w:val="auto"/>
          <w:sz w:val="22"/>
        </w:rPr>
      </w:pPr>
      <w:r>
        <w:rPr>
          <w:rFonts w:hint="eastAsia" w:ascii="宋体" w:hAnsi="宋体" w:cs="宋体"/>
          <w:color w:val="auto"/>
          <w:sz w:val="22"/>
        </w:rPr>
        <w:t>传    真：                   传    真：</w:t>
      </w:r>
    </w:p>
    <w:p w14:paraId="4CBA8FAE">
      <w:pPr>
        <w:snapToGrid w:val="0"/>
        <w:spacing w:line="600" w:lineRule="exact"/>
        <w:ind w:firstLine="560"/>
        <w:rPr>
          <w:rFonts w:hint="eastAsia" w:ascii="宋体" w:hAnsi="宋体" w:cs="宋体"/>
          <w:color w:val="auto"/>
          <w:sz w:val="22"/>
        </w:rPr>
      </w:pPr>
    </w:p>
    <w:p w14:paraId="2C26DF61">
      <w:pPr>
        <w:snapToGrid w:val="0"/>
        <w:spacing w:line="600" w:lineRule="exact"/>
        <w:ind w:firstLine="560"/>
        <w:rPr>
          <w:rFonts w:hint="eastAsia" w:ascii="宋体" w:hAnsi="宋体" w:cs="宋体"/>
          <w:color w:val="auto"/>
          <w:sz w:val="22"/>
        </w:rPr>
      </w:pPr>
      <w:r>
        <w:rPr>
          <w:rFonts w:hint="eastAsia" w:ascii="宋体" w:hAnsi="宋体" w:cs="宋体"/>
          <w:color w:val="auto"/>
          <w:sz w:val="22"/>
        </w:rPr>
        <w:t>2026年 月 日                2026年 月 日</w:t>
      </w:r>
    </w:p>
    <w:p w14:paraId="6A54458E">
      <w:pPr>
        <w:spacing w:line="600" w:lineRule="exact"/>
        <w:ind w:firstLine="560"/>
        <w:jc w:val="center"/>
        <w:rPr>
          <w:rFonts w:hint="eastAsia" w:ascii="宋体" w:hAnsi="宋体" w:cs="宋体"/>
          <w:b/>
          <w:color w:val="auto"/>
          <w:sz w:val="28"/>
          <w:szCs w:val="28"/>
        </w:rPr>
      </w:pPr>
      <w:r>
        <w:rPr>
          <w:rFonts w:hint="eastAsia" w:ascii="宋体" w:hAnsi="宋体" w:cs="宋体"/>
          <w:color w:val="auto"/>
          <w:sz w:val="28"/>
          <w:szCs w:val="28"/>
        </w:rPr>
        <w:br w:type="page"/>
      </w:r>
      <w:r>
        <w:rPr>
          <w:rFonts w:hint="eastAsia" w:ascii="宋体" w:hAnsi="宋体" w:cs="宋体"/>
          <w:b/>
          <w:color w:val="auto"/>
          <w:sz w:val="28"/>
          <w:szCs w:val="28"/>
        </w:rPr>
        <w:t>第二部分    建设工程造价咨询合同标准条件</w:t>
      </w:r>
    </w:p>
    <w:p w14:paraId="3DFD5711">
      <w:pPr>
        <w:snapToGrid w:val="0"/>
        <w:spacing w:line="600" w:lineRule="exact"/>
        <w:ind w:firstLine="560"/>
        <w:jc w:val="center"/>
        <w:rPr>
          <w:rFonts w:hint="eastAsia" w:ascii="宋体" w:hAnsi="宋体" w:cs="宋体"/>
          <w:color w:val="auto"/>
          <w:sz w:val="22"/>
        </w:rPr>
      </w:pPr>
      <w:r>
        <w:rPr>
          <w:rFonts w:hint="eastAsia" w:ascii="宋体" w:hAnsi="宋体" w:cs="宋体"/>
          <w:color w:val="auto"/>
          <w:sz w:val="22"/>
        </w:rPr>
        <w:t>词语定义、适用语言和法律、法规</w:t>
      </w:r>
    </w:p>
    <w:p w14:paraId="3B01F208">
      <w:pPr>
        <w:snapToGrid w:val="0"/>
        <w:spacing w:line="600" w:lineRule="exact"/>
        <w:ind w:firstLine="442" w:firstLineChars="200"/>
        <w:rPr>
          <w:rFonts w:hint="eastAsia" w:ascii="宋体" w:hAnsi="宋体" w:cs="宋体"/>
          <w:color w:val="auto"/>
          <w:sz w:val="22"/>
        </w:rPr>
      </w:pPr>
      <w:r>
        <w:rPr>
          <w:rFonts w:hint="eastAsia" w:ascii="宋体" w:hAnsi="宋体" w:cs="宋体"/>
          <w:b/>
          <w:color w:val="auto"/>
          <w:sz w:val="22"/>
        </w:rPr>
        <w:t>第一条</w:t>
      </w:r>
      <w:r>
        <w:rPr>
          <w:rFonts w:hint="eastAsia" w:ascii="宋体" w:hAnsi="宋体" w:cs="宋体"/>
          <w:color w:val="auto"/>
          <w:sz w:val="22"/>
        </w:rPr>
        <w:t xml:space="preserve">  下列名词和用语，除上下文另有规定外具有如下含义。</w:t>
      </w:r>
    </w:p>
    <w:p w14:paraId="54AEE1FD">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1.“委托人”是指委托建设工程造价咨询业务和聘用工程造价咨询单位的一方，以及其合法继承人。</w:t>
      </w:r>
    </w:p>
    <w:p w14:paraId="542092E2">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2.“咨询人”是指承担建设工程造价咨询业务和工程造价咨询责任的一方，以及其合法继承人。</w:t>
      </w:r>
    </w:p>
    <w:p w14:paraId="00AFB821">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3.“第三人”是指除委托人、咨询人以外与本咨询业务有关的当事人。</w:t>
      </w:r>
    </w:p>
    <w:p w14:paraId="70377D29">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4.“日”是指任何一天零时至第二天零时的时间段。</w:t>
      </w:r>
    </w:p>
    <w:p w14:paraId="1BC9906C">
      <w:pPr>
        <w:snapToGrid w:val="0"/>
        <w:spacing w:line="600" w:lineRule="exact"/>
        <w:ind w:firstLine="442" w:firstLineChars="200"/>
        <w:rPr>
          <w:rFonts w:hint="eastAsia" w:ascii="宋体" w:hAnsi="宋体" w:cs="宋体"/>
          <w:color w:val="auto"/>
          <w:sz w:val="22"/>
        </w:rPr>
      </w:pPr>
      <w:r>
        <w:rPr>
          <w:rFonts w:hint="eastAsia" w:ascii="宋体" w:hAnsi="宋体" w:cs="宋体"/>
          <w:b/>
          <w:color w:val="auto"/>
          <w:sz w:val="22"/>
        </w:rPr>
        <w:t>第二条</w:t>
      </w:r>
      <w:r>
        <w:rPr>
          <w:rFonts w:hint="eastAsia" w:ascii="宋体" w:hAnsi="宋体" w:cs="宋体"/>
          <w:color w:val="auto"/>
          <w:sz w:val="22"/>
        </w:rPr>
        <w:t xml:space="preserve">  建设工程造价咨询合同适用的是中国的法律、法规，以及专用条件中议定的部门规章、工程造价有关计价办法和规定或项目所在地的地方法规、地方规章。</w:t>
      </w:r>
    </w:p>
    <w:p w14:paraId="1EB64E49">
      <w:pPr>
        <w:snapToGrid w:val="0"/>
        <w:spacing w:line="600" w:lineRule="exact"/>
        <w:ind w:firstLine="442" w:firstLineChars="200"/>
        <w:rPr>
          <w:rFonts w:hint="eastAsia" w:ascii="宋体" w:hAnsi="宋体" w:cs="宋体"/>
          <w:b/>
          <w:color w:val="auto"/>
          <w:sz w:val="22"/>
        </w:rPr>
      </w:pPr>
      <w:r>
        <w:rPr>
          <w:rFonts w:hint="eastAsia" w:ascii="宋体" w:hAnsi="宋体" w:cs="宋体"/>
          <w:b/>
          <w:color w:val="auto"/>
          <w:sz w:val="22"/>
        </w:rPr>
        <w:t>第三条</w:t>
      </w:r>
      <w:r>
        <w:rPr>
          <w:rFonts w:hint="eastAsia" w:ascii="宋体" w:hAnsi="宋体" w:cs="宋体"/>
          <w:color w:val="auto"/>
          <w:sz w:val="22"/>
        </w:rPr>
        <w:t xml:space="preserve">  建设工程造价咨询合同的书写、解释和说明，以汉语为主导语言。当不同语言文本发生不同解释时，以汉语合同文本为准。</w:t>
      </w:r>
    </w:p>
    <w:p w14:paraId="52E61232">
      <w:pPr>
        <w:snapToGrid w:val="0"/>
        <w:spacing w:line="600" w:lineRule="exact"/>
        <w:ind w:firstLine="562"/>
        <w:jc w:val="center"/>
        <w:rPr>
          <w:rFonts w:hint="eastAsia" w:ascii="宋体" w:hAnsi="宋体" w:cs="宋体"/>
          <w:b/>
          <w:color w:val="auto"/>
          <w:sz w:val="22"/>
        </w:rPr>
      </w:pPr>
      <w:r>
        <w:rPr>
          <w:rFonts w:hint="eastAsia" w:ascii="宋体" w:hAnsi="宋体" w:cs="宋体"/>
          <w:b/>
          <w:color w:val="auto"/>
          <w:sz w:val="22"/>
        </w:rPr>
        <w:t>咨询人的义务</w:t>
      </w:r>
    </w:p>
    <w:p w14:paraId="5F54F389">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第四条</w:t>
      </w:r>
      <w:r>
        <w:rPr>
          <w:rFonts w:hint="eastAsia" w:ascii="宋体" w:hAnsi="宋体" w:cs="宋体"/>
          <w:color w:val="auto"/>
          <w:sz w:val="22"/>
        </w:rPr>
        <w:t xml:space="preserve">  向委托人提供与工程造价咨询业务有关的资料，包括工程造价咨询的资质证书及承担本合同业务的专业人员名单、咨询工作计划等，并按合同专用条件中约定的范围实施咨询业务。</w:t>
      </w:r>
    </w:p>
    <w:p w14:paraId="590FB3C6">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第五条</w:t>
      </w:r>
      <w:r>
        <w:rPr>
          <w:rFonts w:hint="eastAsia" w:ascii="宋体" w:hAnsi="宋体" w:cs="宋体"/>
          <w:color w:val="auto"/>
          <w:sz w:val="22"/>
        </w:rPr>
        <w:t xml:space="preserve">  咨询人在履行本合同期间，向委托人提供的服务包括正常服务、附加服务和额外服务。</w:t>
      </w:r>
    </w:p>
    <w:p w14:paraId="4A708713">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1.“正常服务”是指双方在专用条件中约定的工程造价咨询工作；</w:t>
      </w:r>
    </w:p>
    <w:p w14:paraId="59FABD11">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2.“附加服务”是指在“正常服务”以外，经双方书面协议确定的附加服务；</w:t>
      </w:r>
    </w:p>
    <w:p w14:paraId="033414DD">
      <w:pPr>
        <w:snapToGrid w:val="0"/>
        <w:spacing w:line="600" w:lineRule="exact"/>
        <w:ind w:firstLine="440" w:firstLineChars="200"/>
        <w:rPr>
          <w:rFonts w:hint="eastAsia" w:ascii="宋体" w:hAnsi="宋体" w:cs="宋体"/>
          <w:color w:val="auto"/>
          <w:sz w:val="22"/>
        </w:rPr>
      </w:pPr>
      <w:r>
        <w:rPr>
          <w:rFonts w:hint="eastAsia" w:ascii="宋体" w:hAnsi="宋体" w:cs="宋体"/>
          <w:color w:val="auto"/>
          <w:sz w:val="22"/>
        </w:rPr>
        <w:t>3.“额外服务”是指不属于“正常服务”和“附加服务”，但根据合同标准条件第十三条、第二十条和二十二条的规定，咨询人应增加的额外工作量。</w:t>
      </w:r>
    </w:p>
    <w:p w14:paraId="0011140B">
      <w:pPr>
        <w:snapToGrid w:val="0"/>
        <w:spacing w:line="600" w:lineRule="exact"/>
        <w:ind w:firstLine="442" w:firstLineChars="200"/>
        <w:rPr>
          <w:rFonts w:hint="eastAsia" w:ascii="宋体" w:hAnsi="宋体" w:cs="宋体"/>
          <w:b/>
          <w:color w:val="auto"/>
          <w:sz w:val="22"/>
        </w:rPr>
      </w:pPr>
      <w:r>
        <w:rPr>
          <w:rFonts w:hint="eastAsia" w:ascii="宋体" w:hAnsi="宋体" w:cs="宋体"/>
          <w:b/>
          <w:color w:val="auto"/>
          <w:sz w:val="22"/>
        </w:rPr>
        <w:t>第六条</w:t>
      </w:r>
      <w:r>
        <w:rPr>
          <w:rFonts w:hint="eastAsia" w:ascii="宋体" w:hAnsi="宋体" w:cs="宋体"/>
          <w:color w:val="auto"/>
          <w:sz w:val="22"/>
        </w:rPr>
        <w:t xml:space="preserve">  在履行合同期间或合同规定期限内，不得泄露与本合同规定业务活动有关的保密资料。</w:t>
      </w:r>
    </w:p>
    <w:p w14:paraId="2A3A8E7D">
      <w:pPr>
        <w:snapToGrid w:val="0"/>
        <w:spacing w:line="600" w:lineRule="exact"/>
        <w:ind w:firstLine="562"/>
        <w:jc w:val="center"/>
        <w:rPr>
          <w:rFonts w:hint="eastAsia" w:ascii="宋体" w:hAnsi="宋体" w:cs="宋体"/>
          <w:b/>
          <w:color w:val="auto"/>
          <w:sz w:val="22"/>
        </w:rPr>
      </w:pPr>
      <w:r>
        <w:rPr>
          <w:rFonts w:hint="eastAsia" w:ascii="宋体" w:hAnsi="宋体" w:cs="宋体"/>
          <w:b/>
          <w:color w:val="auto"/>
          <w:sz w:val="22"/>
        </w:rPr>
        <w:t>委托人的义务</w:t>
      </w:r>
    </w:p>
    <w:p w14:paraId="23792D7E">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第七条</w:t>
      </w:r>
      <w:r>
        <w:rPr>
          <w:rFonts w:hint="eastAsia" w:ascii="宋体" w:hAnsi="宋体" w:cs="宋体"/>
          <w:color w:val="auto"/>
          <w:sz w:val="22"/>
        </w:rPr>
        <w:t xml:space="preserve">  委托人应负责与本建设工程造价咨询业务有关的第三人的协调，为咨询人工作提供外部条件。</w:t>
      </w:r>
    </w:p>
    <w:p w14:paraId="7AD30CB4">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第八条</w:t>
      </w:r>
      <w:r>
        <w:rPr>
          <w:rFonts w:hint="eastAsia" w:ascii="宋体" w:hAnsi="宋体" w:cs="宋体"/>
          <w:color w:val="auto"/>
          <w:sz w:val="22"/>
        </w:rPr>
        <w:t xml:space="preserve">  委托人应当在约定的时间内，免费向咨询人提供与本项目咨询业务有关的资料。</w:t>
      </w:r>
    </w:p>
    <w:p w14:paraId="0D9B5A5B">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第九条</w:t>
      </w:r>
      <w:r>
        <w:rPr>
          <w:rFonts w:hint="eastAsia" w:ascii="宋体" w:hAnsi="宋体" w:cs="宋体"/>
          <w:color w:val="auto"/>
          <w:sz w:val="22"/>
        </w:rPr>
        <w:t xml:space="preserve">  委托人应当在约定的时间内就咨询人书面提交并要求作出答复的事宜做出书面答复。咨询人要求第三人提供有关资料时，委托人应负责转达及资料转送。</w:t>
      </w:r>
    </w:p>
    <w:p w14:paraId="1BE601CB">
      <w:pPr>
        <w:snapToGrid w:val="0"/>
        <w:spacing w:line="600" w:lineRule="exact"/>
        <w:ind w:firstLine="562"/>
        <w:rPr>
          <w:rFonts w:hint="eastAsia" w:ascii="宋体" w:hAnsi="宋体" w:cs="宋体"/>
          <w:b/>
          <w:color w:val="auto"/>
          <w:sz w:val="22"/>
        </w:rPr>
      </w:pPr>
      <w:r>
        <w:rPr>
          <w:rFonts w:hint="eastAsia" w:ascii="宋体" w:hAnsi="宋体" w:cs="宋体"/>
          <w:b/>
          <w:color w:val="auto"/>
          <w:sz w:val="22"/>
        </w:rPr>
        <w:t>第十条</w:t>
      </w:r>
      <w:r>
        <w:rPr>
          <w:rFonts w:hint="eastAsia" w:ascii="宋体" w:hAnsi="宋体" w:cs="宋体"/>
          <w:color w:val="auto"/>
          <w:sz w:val="22"/>
        </w:rPr>
        <w:t xml:space="preserve">  委托人应当授权胜任本咨询业务的代表，负责与咨询人联系。</w:t>
      </w:r>
    </w:p>
    <w:p w14:paraId="61DF8D14">
      <w:pPr>
        <w:snapToGrid w:val="0"/>
        <w:spacing w:line="600" w:lineRule="exact"/>
        <w:ind w:firstLine="562"/>
        <w:jc w:val="center"/>
        <w:rPr>
          <w:rFonts w:hint="eastAsia" w:ascii="宋体" w:hAnsi="宋体" w:cs="宋体"/>
          <w:b/>
          <w:color w:val="auto"/>
          <w:sz w:val="22"/>
        </w:rPr>
      </w:pPr>
      <w:r>
        <w:rPr>
          <w:rFonts w:hint="eastAsia" w:ascii="宋体" w:hAnsi="宋体" w:cs="宋体"/>
          <w:b/>
          <w:color w:val="auto"/>
          <w:sz w:val="22"/>
        </w:rPr>
        <w:t>咨询人的权利</w:t>
      </w:r>
    </w:p>
    <w:p w14:paraId="58342B48">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第十一条</w:t>
      </w:r>
      <w:r>
        <w:rPr>
          <w:rFonts w:hint="eastAsia" w:ascii="宋体" w:hAnsi="宋体" w:cs="宋体"/>
          <w:color w:val="auto"/>
          <w:sz w:val="22"/>
        </w:rPr>
        <w:t xml:space="preserve">  委托人在委托的建设工程造价咨询业务范围内，授予咨询人以下权利：</w:t>
      </w:r>
    </w:p>
    <w:p w14:paraId="646D3C06">
      <w:pPr>
        <w:snapToGrid w:val="0"/>
        <w:spacing w:line="600" w:lineRule="exact"/>
        <w:ind w:firstLine="560"/>
        <w:rPr>
          <w:rFonts w:hint="eastAsia" w:ascii="宋体" w:hAnsi="宋体" w:cs="宋体"/>
          <w:color w:val="auto"/>
          <w:sz w:val="22"/>
        </w:rPr>
      </w:pPr>
      <w:r>
        <w:rPr>
          <w:rFonts w:hint="eastAsia" w:ascii="宋体" w:hAnsi="宋体" w:cs="宋体"/>
          <w:color w:val="auto"/>
          <w:sz w:val="22"/>
        </w:rPr>
        <w:t>1.咨询人在咨询过程中，如委托人提供的资料不明确时可向委托人提出书面报告；</w:t>
      </w:r>
    </w:p>
    <w:p w14:paraId="4DA4AE56">
      <w:pPr>
        <w:snapToGrid w:val="0"/>
        <w:spacing w:line="600" w:lineRule="exact"/>
        <w:ind w:firstLine="560"/>
        <w:rPr>
          <w:rFonts w:hint="eastAsia" w:ascii="宋体" w:hAnsi="宋体" w:cs="宋体"/>
          <w:color w:val="auto"/>
          <w:sz w:val="22"/>
        </w:rPr>
      </w:pPr>
      <w:r>
        <w:rPr>
          <w:rFonts w:hint="eastAsia" w:ascii="宋体" w:hAnsi="宋体" w:cs="宋体"/>
          <w:color w:val="auto"/>
          <w:sz w:val="22"/>
        </w:rPr>
        <w:t>2.咨询人在咨询过程中，有权对第三人提出与本咨询业务有关的问题进行核对或查问；</w:t>
      </w:r>
    </w:p>
    <w:p w14:paraId="41C0F242">
      <w:pPr>
        <w:snapToGrid w:val="0"/>
        <w:spacing w:line="600" w:lineRule="exact"/>
        <w:ind w:firstLine="560"/>
        <w:rPr>
          <w:rFonts w:hint="eastAsia" w:ascii="宋体" w:hAnsi="宋体" w:cs="宋体"/>
          <w:b/>
          <w:color w:val="auto"/>
          <w:sz w:val="22"/>
        </w:rPr>
      </w:pPr>
      <w:r>
        <w:rPr>
          <w:rFonts w:hint="eastAsia" w:ascii="宋体" w:hAnsi="宋体" w:cs="宋体"/>
          <w:color w:val="auto"/>
          <w:sz w:val="22"/>
        </w:rPr>
        <w:t>3.咨询人在咨询过程中，有到工程现场勘察的权利。</w:t>
      </w:r>
    </w:p>
    <w:p w14:paraId="221A9FBA">
      <w:pPr>
        <w:snapToGrid w:val="0"/>
        <w:spacing w:line="600" w:lineRule="exact"/>
        <w:ind w:firstLine="562"/>
        <w:jc w:val="center"/>
        <w:rPr>
          <w:rFonts w:hint="eastAsia" w:ascii="宋体" w:hAnsi="宋体" w:cs="宋体"/>
          <w:b/>
          <w:color w:val="auto"/>
          <w:sz w:val="22"/>
        </w:rPr>
      </w:pPr>
      <w:r>
        <w:rPr>
          <w:rFonts w:hint="eastAsia" w:ascii="宋体" w:hAnsi="宋体" w:cs="宋体"/>
          <w:b/>
          <w:color w:val="auto"/>
          <w:sz w:val="22"/>
        </w:rPr>
        <w:t>委托人的权利</w:t>
      </w:r>
    </w:p>
    <w:p w14:paraId="726E5C90">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第十二条</w:t>
      </w:r>
      <w:r>
        <w:rPr>
          <w:rFonts w:hint="eastAsia" w:ascii="宋体" w:hAnsi="宋体" w:cs="宋体"/>
          <w:color w:val="auto"/>
          <w:sz w:val="22"/>
        </w:rPr>
        <w:t xml:space="preserve">  委托人有下列权利：</w:t>
      </w:r>
    </w:p>
    <w:p w14:paraId="0EE1F0C8">
      <w:pPr>
        <w:snapToGrid w:val="0"/>
        <w:spacing w:line="600" w:lineRule="exact"/>
        <w:ind w:firstLine="560"/>
        <w:rPr>
          <w:rFonts w:hint="eastAsia" w:ascii="宋体" w:hAnsi="宋体" w:cs="宋体"/>
          <w:color w:val="auto"/>
          <w:sz w:val="22"/>
        </w:rPr>
      </w:pPr>
      <w:r>
        <w:rPr>
          <w:rFonts w:hint="eastAsia" w:ascii="宋体" w:hAnsi="宋体" w:cs="宋体"/>
          <w:color w:val="auto"/>
          <w:sz w:val="22"/>
        </w:rPr>
        <w:t>1.委托人有权向咨询人询问工作进展情况及相关的内容；</w:t>
      </w:r>
    </w:p>
    <w:p w14:paraId="0CDEF4DD">
      <w:pPr>
        <w:snapToGrid w:val="0"/>
        <w:spacing w:line="600" w:lineRule="exact"/>
        <w:ind w:firstLine="560"/>
        <w:rPr>
          <w:rFonts w:hint="eastAsia" w:ascii="宋体" w:hAnsi="宋体" w:cs="宋体"/>
          <w:color w:val="auto"/>
          <w:sz w:val="22"/>
        </w:rPr>
      </w:pPr>
      <w:r>
        <w:rPr>
          <w:rFonts w:hint="eastAsia" w:ascii="宋体" w:hAnsi="宋体" w:cs="宋体"/>
          <w:color w:val="auto"/>
          <w:sz w:val="22"/>
        </w:rPr>
        <w:t>2.委托人有权阐述对具体问题的意见和建议；</w:t>
      </w:r>
    </w:p>
    <w:p w14:paraId="60646B58">
      <w:pPr>
        <w:snapToGrid w:val="0"/>
        <w:spacing w:line="600" w:lineRule="exact"/>
        <w:ind w:firstLine="560"/>
        <w:rPr>
          <w:rFonts w:hint="eastAsia" w:ascii="宋体" w:hAnsi="宋体" w:cs="宋体"/>
          <w:b/>
          <w:color w:val="auto"/>
          <w:sz w:val="22"/>
        </w:rPr>
      </w:pPr>
      <w:r>
        <w:rPr>
          <w:rFonts w:hint="eastAsia" w:ascii="宋体" w:hAnsi="宋体" w:cs="宋体"/>
          <w:color w:val="auto"/>
          <w:sz w:val="22"/>
        </w:rPr>
        <w:t>3.当委托人认定咨询专业人员不按咨询合同履行其职责，或与第三人串通给委托人造成经济损失的，委托人有权要求更换咨询专业人员，直至终止合同要求咨询人承担相应的赔偿责任。</w:t>
      </w:r>
    </w:p>
    <w:p w14:paraId="0776FD7E">
      <w:pPr>
        <w:snapToGrid w:val="0"/>
        <w:spacing w:line="600" w:lineRule="exact"/>
        <w:ind w:firstLine="562"/>
        <w:jc w:val="center"/>
        <w:rPr>
          <w:rFonts w:hint="eastAsia" w:ascii="宋体" w:hAnsi="宋体" w:cs="宋体"/>
          <w:b/>
          <w:color w:val="auto"/>
          <w:sz w:val="22"/>
        </w:rPr>
      </w:pPr>
      <w:r>
        <w:rPr>
          <w:rFonts w:hint="eastAsia" w:ascii="宋体" w:hAnsi="宋体" w:cs="宋体"/>
          <w:b/>
          <w:color w:val="auto"/>
          <w:sz w:val="22"/>
        </w:rPr>
        <w:t>咨询人的责任</w:t>
      </w:r>
    </w:p>
    <w:p w14:paraId="7AE77B2D">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第十三条</w:t>
      </w:r>
      <w:r>
        <w:rPr>
          <w:rFonts w:hint="eastAsia" w:ascii="宋体" w:hAnsi="宋体" w:cs="宋体"/>
          <w:color w:val="auto"/>
          <w:sz w:val="22"/>
        </w:rPr>
        <w:t xml:space="preserve">  咨询人的责任期即建设工程造价咨询合同有效期。如因非咨询人的责任造成进度的推迟或延误而超过约定的日期，双方应进一步约定相应延长合同有效期。</w:t>
      </w:r>
    </w:p>
    <w:p w14:paraId="1D6D543A">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第十四条</w:t>
      </w:r>
      <w:r>
        <w:rPr>
          <w:rFonts w:hint="eastAsia" w:ascii="宋体" w:hAnsi="宋体" w:cs="宋体"/>
          <w:color w:val="auto"/>
          <w:sz w:val="22"/>
        </w:rPr>
        <w:t xml:space="preserve">  咨询人责任期内，应当履行建设工程造价咨询合同中约定的义务，因咨询人的单方过失造成的经济损失，应当向委托人进行赔偿。累计赔偿总额不应超过建设工程造价咨询酬金总额（除去税金）。</w:t>
      </w:r>
    </w:p>
    <w:p w14:paraId="0644F7AF">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第十五条</w:t>
      </w:r>
      <w:r>
        <w:rPr>
          <w:rFonts w:hint="eastAsia" w:ascii="宋体" w:hAnsi="宋体" w:cs="宋体"/>
          <w:color w:val="auto"/>
          <w:sz w:val="22"/>
        </w:rPr>
        <w:t xml:space="preserve">  咨询人对委托人或第三人所提出的问题不能及时核对或答复，导致合同不能全部或部分履行，咨询人应承担责任。</w:t>
      </w:r>
    </w:p>
    <w:p w14:paraId="1EDEBA69">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第十六条</w:t>
      </w:r>
      <w:r>
        <w:rPr>
          <w:rFonts w:hint="eastAsia" w:ascii="宋体" w:hAnsi="宋体" w:cs="宋体"/>
          <w:color w:val="auto"/>
          <w:sz w:val="22"/>
        </w:rPr>
        <w:t xml:space="preserve">  咨询人向委托人提出赔偿要求不能成立时，则应补偿由于该赔偿或其他要求所导致委托人的各种费用的支出。</w:t>
      </w:r>
    </w:p>
    <w:p w14:paraId="61A20CB5">
      <w:pPr>
        <w:snapToGrid w:val="0"/>
        <w:spacing w:line="600" w:lineRule="exact"/>
        <w:ind w:firstLine="562"/>
        <w:jc w:val="center"/>
        <w:rPr>
          <w:rFonts w:hint="eastAsia" w:ascii="宋体" w:hAnsi="宋体" w:cs="宋体"/>
          <w:b/>
          <w:color w:val="auto"/>
          <w:sz w:val="22"/>
        </w:rPr>
      </w:pPr>
      <w:r>
        <w:rPr>
          <w:rFonts w:hint="eastAsia" w:ascii="宋体" w:hAnsi="宋体" w:cs="宋体"/>
          <w:b/>
          <w:color w:val="auto"/>
          <w:sz w:val="22"/>
        </w:rPr>
        <w:t>委托人的责任</w:t>
      </w:r>
    </w:p>
    <w:p w14:paraId="20CE6F4C">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第十七条</w:t>
      </w:r>
      <w:r>
        <w:rPr>
          <w:rFonts w:hint="eastAsia" w:ascii="宋体" w:hAnsi="宋体" w:cs="宋体"/>
          <w:color w:val="auto"/>
          <w:sz w:val="22"/>
        </w:rPr>
        <w:t xml:space="preserve">  委托人应当履行建设工程造价咨询合同约定的义务，如有违反则应当承担违约责任，赔偿给咨询人造成的损失。</w:t>
      </w:r>
    </w:p>
    <w:p w14:paraId="2A906D89">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第十八条</w:t>
      </w:r>
      <w:r>
        <w:rPr>
          <w:rFonts w:hint="eastAsia" w:ascii="宋体" w:hAnsi="宋体" w:cs="宋体"/>
          <w:color w:val="auto"/>
          <w:sz w:val="22"/>
        </w:rPr>
        <w:t xml:space="preserve">  委托人如果向咨询人提出赔偿或其他要求不能成立时，则应补偿由于该赔偿或其他要求所导致咨询人的各种费用的支出。</w:t>
      </w:r>
    </w:p>
    <w:p w14:paraId="01C6D9B8">
      <w:pPr>
        <w:snapToGrid w:val="0"/>
        <w:spacing w:line="600" w:lineRule="exact"/>
        <w:ind w:firstLine="562"/>
        <w:jc w:val="center"/>
        <w:rPr>
          <w:rFonts w:hint="eastAsia" w:ascii="宋体" w:hAnsi="宋体" w:cs="宋体"/>
          <w:b/>
          <w:color w:val="auto"/>
          <w:sz w:val="22"/>
        </w:rPr>
      </w:pPr>
      <w:r>
        <w:rPr>
          <w:rFonts w:hint="eastAsia" w:ascii="宋体" w:hAnsi="宋体" w:cs="宋体"/>
          <w:b/>
          <w:color w:val="auto"/>
          <w:sz w:val="22"/>
        </w:rPr>
        <w:t>合同生效、变更与终止</w:t>
      </w:r>
    </w:p>
    <w:p w14:paraId="449B1D1E">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第十九条</w:t>
      </w:r>
      <w:r>
        <w:rPr>
          <w:rFonts w:hint="eastAsia" w:ascii="宋体" w:hAnsi="宋体" w:cs="宋体"/>
          <w:color w:val="auto"/>
          <w:sz w:val="22"/>
        </w:rPr>
        <w:t xml:space="preserve">  本合同自双方签字盖章之日起生效。</w:t>
      </w:r>
    </w:p>
    <w:p w14:paraId="0DB8E75D">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第二十条</w:t>
      </w:r>
      <w:r>
        <w:rPr>
          <w:rFonts w:hint="eastAsia" w:ascii="宋体" w:hAnsi="宋体" w:cs="宋体"/>
          <w:color w:val="auto"/>
          <w:sz w:val="22"/>
        </w:rPr>
        <w:t xml:space="preserve">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14:paraId="09908EA4">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第二十一条</w:t>
      </w:r>
      <w:r>
        <w:rPr>
          <w:rFonts w:hint="eastAsia" w:ascii="宋体" w:hAnsi="宋体" w:cs="宋体"/>
          <w:color w:val="auto"/>
          <w:sz w:val="22"/>
        </w:rPr>
        <w:t xml:space="preserve">  当事人一方要求变更或解除合同时，则应当在14日前通知对方；因变更或解除合同使一方遭受损失的，应由责任方负责赔偿。</w:t>
      </w:r>
    </w:p>
    <w:p w14:paraId="09BCD15E">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第二十二条</w:t>
      </w:r>
      <w:r>
        <w:rPr>
          <w:rFonts w:hint="eastAsia" w:ascii="宋体" w:hAnsi="宋体" w:cs="宋体"/>
          <w:color w:val="auto"/>
          <w:sz w:val="22"/>
        </w:rPr>
        <w:t xml:space="preserve">  咨询人由于非自身原因暂停或终止执行建设工程造价咨询业务，由此而增加的恢复执行建设工程造价咨询业务的工作，应视为额外服务，有权得到额外的时间和酬金。</w:t>
      </w:r>
    </w:p>
    <w:p w14:paraId="2BB8C7EF">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第二十三条</w:t>
      </w:r>
      <w:r>
        <w:rPr>
          <w:rFonts w:hint="eastAsia" w:ascii="宋体" w:hAnsi="宋体" w:cs="宋体"/>
          <w:color w:val="auto"/>
          <w:sz w:val="22"/>
        </w:rPr>
        <w:t xml:space="preserve">  变更或解除合同的通知或协议应当采取书面形式，新的协议未达成之前，原合同仍然有效。</w:t>
      </w:r>
    </w:p>
    <w:p w14:paraId="6ADAEBEC">
      <w:pPr>
        <w:snapToGrid w:val="0"/>
        <w:spacing w:line="600" w:lineRule="exact"/>
        <w:ind w:firstLine="562"/>
        <w:jc w:val="center"/>
        <w:rPr>
          <w:rFonts w:hint="eastAsia" w:ascii="宋体" w:hAnsi="宋体" w:cs="宋体"/>
          <w:b/>
          <w:color w:val="auto"/>
          <w:sz w:val="22"/>
        </w:rPr>
      </w:pPr>
      <w:r>
        <w:rPr>
          <w:rFonts w:hint="eastAsia" w:ascii="宋体" w:hAnsi="宋体" w:cs="宋体"/>
          <w:b/>
          <w:color w:val="auto"/>
          <w:sz w:val="22"/>
        </w:rPr>
        <w:t>咨询业务的酬金</w:t>
      </w:r>
    </w:p>
    <w:p w14:paraId="6B999D3D">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第二十四条</w:t>
      </w:r>
      <w:r>
        <w:rPr>
          <w:rFonts w:hint="eastAsia" w:ascii="宋体" w:hAnsi="宋体" w:cs="宋体"/>
          <w:color w:val="auto"/>
          <w:sz w:val="22"/>
        </w:rPr>
        <w:t xml:space="preserve">  正常的建设工程造价咨询业务，附加工作和额外工作的酬金，按照建设工程造价咨询合同专用条件约定的方法计取，并按约定的时间和数额支付。</w:t>
      </w:r>
    </w:p>
    <w:p w14:paraId="7F322B90">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第二十五条</w:t>
      </w:r>
      <w:r>
        <w:rPr>
          <w:rFonts w:hint="eastAsia" w:ascii="宋体" w:hAnsi="宋体" w:cs="宋体"/>
          <w:color w:val="auto"/>
          <w:sz w:val="22"/>
        </w:rPr>
        <w:t xml:space="preserve">  如果委托人在规定的支付期限内未支付建设工程造价咨询酬金，自规定支付之日起，应当向咨询人补偿应支付的酬金利息。利息额按规定支付期限最后一日银行活期贷款乘以拖欠酬金时间计算。</w:t>
      </w:r>
    </w:p>
    <w:p w14:paraId="42BE1DA3">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第二十六条</w:t>
      </w:r>
      <w:r>
        <w:rPr>
          <w:rFonts w:hint="eastAsia" w:ascii="宋体" w:hAnsi="宋体" w:cs="宋体"/>
          <w:color w:val="auto"/>
          <w:sz w:val="22"/>
        </w:rPr>
        <w:t xml:space="preserve">  如果委托人对咨询人提交的支付通知书中酬金或部分酬金项目提出异议，应当在收到支付通知书两日内向咨询人发出异议的通知，但委托人不得拖延其无异议酬金项目的支付。</w:t>
      </w:r>
    </w:p>
    <w:p w14:paraId="1283C677">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第二十七条</w:t>
      </w:r>
      <w:r>
        <w:rPr>
          <w:rFonts w:hint="eastAsia" w:ascii="宋体" w:hAnsi="宋体" w:cs="宋体"/>
          <w:color w:val="auto"/>
          <w:sz w:val="22"/>
        </w:rPr>
        <w:t xml:space="preserve">  支付建设工程造价咨询酬金所采取的货币币种、汇率由合同专用条件约定。</w:t>
      </w:r>
    </w:p>
    <w:p w14:paraId="64618B4F">
      <w:pPr>
        <w:snapToGrid w:val="0"/>
        <w:spacing w:line="600" w:lineRule="exact"/>
        <w:ind w:firstLine="562"/>
        <w:jc w:val="center"/>
        <w:rPr>
          <w:rFonts w:hint="eastAsia" w:ascii="宋体" w:hAnsi="宋体" w:cs="宋体"/>
          <w:b/>
          <w:color w:val="auto"/>
          <w:sz w:val="22"/>
        </w:rPr>
      </w:pPr>
      <w:r>
        <w:rPr>
          <w:rFonts w:hint="eastAsia" w:ascii="宋体" w:hAnsi="宋体" w:cs="宋体"/>
          <w:b/>
          <w:color w:val="auto"/>
          <w:sz w:val="22"/>
        </w:rPr>
        <w:t>其  他</w:t>
      </w:r>
    </w:p>
    <w:p w14:paraId="0D2A4BDD">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第二十八条</w:t>
      </w:r>
      <w:r>
        <w:rPr>
          <w:rFonts w:hint="eastAsia" w:ascii="宋体" w:hAnsi="宋体" w:cs="宋体"/>
          <w:color w:val="auto"/>
          <w:sz w:val="22"/>
        </w:rPr>
        <w:t xml:space="preserve">  因建设工程造价咨询业务的需要，咨询人在合同约定外的外出考察，经委托人同意，其所需费用由委托人负责。</w:t>
      </w:r>
    </w:p>
    <w:p w14:paraId="2AAD21EC">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第二十九条</w:t>
      </w:r>
      <w:r>
        <w:rPr>
          <w:rFonts w:hint="eastAsia" w:ascii="宋体" w:hAnsi="宋体" w:cs="宋体"/>
          <w:color w:val="auto"/>
          <w:sz w:val="22"/>
        </w:rPr>
        <w:t xml:space="preserve">  咨询人如需外聘专家协助，在委托的建设工程造价咨业务范围内其费用由咨询人承担，在委托的建设工程造价咨询业务范围以外经委托人认可其费用由委托人承担。</w:t>
      </w:r>
    </w:p>
    <w:p w14:paraId="4EFB1CE5">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第三十条</w:t>
      </w:r>
      <w:r>
        <w:rPr>
          <w:rFonts w:hint="eastAsia" w:ascii="宋体" w:hAnsi="宋体" w:cs="宋体"/>
          <w:color w:val="auto"/>
          <w:sz w:val="22"/>
        </w:rPr>
        <w:t xml:space="preserve">  未经对方的书面同意，各方均不得转让合同约定的权利和义务。</w:t>
      </w:r>
    </w:p>
    <w:p w14:paraId="129065F2">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第三十一条</w:t>
      </w:r>
      <w:r>
        <w:rPr>
          <w:rFonts w:hint="eastAsia" w:ascii="宋体" w:hAnsi="宋体" w:cs="宋体"/>
          <w:color w:val="auto"/>
          <w:sz w:val="22"/>
        </w:rPr>
        <w:t xml:space="preserve">  除委托人书面同意外，咨询人及咨询专业人员不应接受建设工程造价咨询合同约定以外的与工程造价咨询项目有关的任何报酬。咨询人不得参与可能与合同规定的与委托人利益相冲突的任何活动。</w:t>
      </w:r>
    </w:p>
    <w:p w14:paraId="48A3A5D8">
      <w:pPr>
        <w:snapToGrid w:val="0"/>
        <w:spacing w:line="600" w:lineRule="exact"/>
        <w:ind w:firstLine="562"/>
        <w:jc w:val="center"/>
        <w:rPr>
          <w:rFonts w:hint="eastAsia" w:ascii="宋体" w:hAnsi="宋体" w:cs="宋体"/>
          <w:b/>
          <w:color w:val="auto"/>
          <w:sz w:val="22"/>
        </w:rPr>
      </w:pPr>
      <w:r>
        <w:rPr>
          <w:rFonts w:hint="eastAsia" w:ascii="宋体" w:hAnsi="宋体" w:cs="宋体"/>
          <w:b/>
          <w:color w:val="auto"/>
          <w:sz w:val="22"/>
        </w:rPr>
        <w:t>合同争议的解决</w:t>
      </w:r>
    </w:p>
    <w:p w14:paraId="491E1A66">
      <w:pPr>
        <w:snapToGrid w:val="0"/>
        <w:spacing w:line="600" w:lineRule="exact"/>
        <w:ind w:firstLine="562"/>
        <w:rPr>
          <w:rFonts w:hint="eastAsia" w:ascii="宋体" w:hAnsi="宋体" w:cs="宋体"/>
          <w:color w:val="auto"/>
          <w:sz w:val="22"/>
        </w:rPr>
      </w:pPr>
      <w:r>
        <w:rPr>
          <w:rFonts w:hint="eastAsia" w:ascii="宋体" w:hAnsi="宋体" w:cs="宋体"/>
          <w:b/>
          <w:color w:val="auto"/>
          <w:sz w:val="22"/>
        </w:rPr>
        <w:t>第三十二条</w:t>
      </w:r>
      <w:r>
        <w:rPr>
          <w:rFonts w:hint="eastAsia" w:ascii="宋体" w:hAnsi="宋体" w:cs="宋体"/>
          <w:color w:val="auto"/>
          <w:sz w:val="22"/>
        </w:rPr>
        <w:t xml:space="preserve">  因违约或终止合同而引起的损失和损害的赔偿，委托人与咨询人之间应当协商解决；如未能达成一致，可提交有关主管部门调解；协商或调解不成的，根据双方约定提交仲裁机关仲裁，或向委托人所在地人民法院提起诉讼。</w:t>
      </w:r>
    </w:p>
    <w:p w14:paraId="22E7871C">
      <w:pPr>
        <w:snapToGrid w:val="0"/>
        <w:spacing w:line="360" w:lineRule="auto"/>
        <w:ind w:firstLine="560"/>
        <w:jc w:val="center"/>
        <w:rPr>
          <w:rFonts w:hint="eastAsia" w:ascii="宋体" w:hAnsi="宋体" w:cs="宋体"/>
          <w:b/>
          <w:color w:val="auto"/>
          <w:sz w:val="28"/>
          <w:szCs w:val="28"/>
        </w:rPr>
      </w:pPr>
      <w:r>
        <w:rPr>
          <w:rFonts w:hint="eastAsia" w:ascii="宋体" w:hAnsi="宋体" w:cs="宋体"/>
          <w:color w:val="auto"/>
          <w:sz w:val="28"/>
          <w:szCs w:val="28"/>
        </w:rPr>
        <w:br w:type="page"/>
      </w:r>
      <w:r>
        <w:rPr>
          <w:rFonts w:hint="eastAsia" w:ascii="宋体" w:hAnsi="宋体" w:cs="宋体"/>
          <w:b/>
          <w:color w:val="auto"/>
          <w:sz w:val="28"/>
          <w:szCs w:val="28"/>
        </w:rPr>
        <w:t>第三部分  建设工程造价咨询合同专用条件</w:t>
      </w:r>
    </w:p>
    <w:p w14:paraId="2736FEA9">
      <w:pPr>
        <w:snapToGrid w:val="0"/>
        <w:spacing w:line="360" w:lineRule="auto"/>
        <w:ind w:firstLine="442" w:firstLineChars="200"/>
        <w:rPr>
          <w:rFonts w:hint="eastAsia" w:ascii="宋体" w:hAnsi="宋体" w:cs="宋体"/>
          <w:color w:val="auto"/>
          <w:sz w:val="22"/>
        </w:rPr>
      </w:pPr>
      <w:r>
        <w:rPr>
          <w:rFonts w:hint="eastAsia" w:ascii="宋体" w:hAnsi="宋体" w:cs="宋体"/>
          <w:b/>
          <w:color w:val="auto"/>
          <w:sz w:val="22"/>
        </w:rPr>
        <w:t>第三十三条</w:t>
      </w:r>
      <w:r>
        <w:rPr>
          <w:rFonts w:hint="eastAsia" w:ascii="宋体" w:hAnsi="宋体" w:cs="宋体"/>
          <w:color w:val="auto"/>
          <w:sz w:val="22"/>
        </w:rPr>
        <w:t xml:space="preserve">  本合同适用的法律、法规及工程造价计价办法和规定：</w:t>
      </w:r>
    </w:p>
    <w:p w14:paraId="03D469CC">
      <w:pPr>
        <w:snapToGrid w:val="0"/>
        <w:spacing w:line="360" w:lineRule="auto"/>
        <w:ind w:firstLine="442" w:firstLineChars="200"/>
        <w:rPr>
          <w:rFonts w:hint="eastAsia" w:ascii="宋体" w:hAnsi="宋体" w:cs="宋体"/>
          <w:color w:val="auto"/>
          <w:sz w:val="22"/>
        </w:rPr>
      </w:pPr>
      <w:r>
        <w:rPr>
          <w:rFonts w:hint="eastAsia" w:ascii="宋体" w:hAnsi="宋体" w:cs="宋体"/>
          <w:b/>
          <w:color w:val="auto"/>
          <w:sz w:val="22"/>
        </w:rPr>
        <w:t>第三十四条</w:t>
      </w:r>
      <w:r>
        <w:rPr>
          <w:rFonts w:hint="eastAsia" w:ascii="宋体" w:hAnsi="宋体" w:cs="宋体"/>
          <w:color w:val="auto"/>
          <w:sz w:val="22"/>
        </w:rPr>
        <w:t xml:space="preserve">  跟踪审计要求：</w:t>
      </w:r>
    </w:p>
    <w:p w14:paraId="06EB66C5">
      <w:pPr>
        <w:snapToGrid w:val="0"/>
        <w:spacing w:line="360" w:lineRule="auto"/>
        <w:ind w:firstLine="562"/>
        <w:rPr>
          <w:rFonts w:hint="eastAsia" w:ascii="宋体" w:hAnsi="宋体" w:cs="宋体"/>
          <w:color w:val="auto"/>
          <w:sz w:val="22"/>
        </w:rPr>
      </w:pPr>
      <w:r>
        <w:rPr>
          <w:rFonts w:hint="eastAsia" w:ascii="宋体" w:hAnsi="宋体" w:cs="宋体"/>
          <w:color w:val="auto"/>
          <w:sz w:val="22"/>
        </w:rPr>
        <w:t>（一）跟踪审计时间要求：本项目服务周期自中标通知书发出之日开始至出具工程竣工结算跟踪审计意见书并经建设单位内部审计部门委托的结算审核咨询单位审核后出具竣工结算审核报告之日（其中：1、审核工程量清单及施工图预算的完成时间：工程量清单及施工图预算资料送审资料接收后，45天内提交本工程工程量清单及施工图预算审核结果初稿；提交工程量清单及施工图预算审核结果初稿后，15天内与建设单位基建管理部门委托的咨询单位完成施工图预算金额核对工作并达成共识后出具预算审核意见书；2、竣工结算跟踪审计意见书的完成时间：工程竣工结算资料收齐后原则上2个月内出具本建设项目竣工结算跟踪审计意见书）为止，特殊情况以委托人要求的完成时间为准。</w:t>
      </w:r>
    </w:p>
    <w:p w14:paraId="0FD234C3">
      <w:pPr>
        <w:snapToGrid w:val="0"/>
        <w:spacing w:line="360" w:lineRule="auto"/>
        <w:ind w:firstLine="562"/>
        <w:rPr>
          <w:rFonts w:hint="eastAsia" w:ascii="宋体" w:hAnsi="宋体" w:cs="宋体"/>
          <w:color w:val="auto"/>
          <w:sz w:val="22"/>
        </w:rPr>
      </w:pPr>
      <w:r>
        <w:rPr>
          <w:rFonts w:hint="eastAsia" w:ascii="宋体" w:hAnsi="宋体" w:cs="宋体"/>
          <w:color w:val="auto"/>
          <w:sz w:val="22"/>
        </w:rPr>
        <w:t>（二）跟踪审计的范围及内容：建设项目EPC实施阶段全过程跟踪审计（具体内容包括但不限于：1、参与施工合同谈判；2、施工图设计完成后，根据合同条款全面审核本项目报送的工程量清单及施工图预算（包含经济指标分析及评价），并与建设单位基建管理部门委托的咨询单位达成共识后出具施工图预算审核意见书；3、建设程序审计；4、工程管理情况的审计；5、合同履约管理；6、内控制度建设及执行情况的审计；7、施工过程造价控制；8、新增项、缺漏项及零星工程分项的造价确定与控制；9、进度款支付审核；10、施工方案的经济评价、设计变更的经济分析；11、设计变更、现场收方、现场签证及材料价格的审核与管理；12、对施工现场使用的材料与施工图和比选人确认的品牌、规格、型号、质量标准等进行符合度审核；13、专业分包造价控制；工程索赔和反索赔咨询、有关工程造价信息及法规咨询；对竣工图的完整性、正确性及合规性进行全面检查与审核并出具审核意见书；14、对竣工结算资料的完整性与正确性进行检查、复核并把关，确保本工程结算资料的闭合性，避免比选人因结算资料缺陷在结算审核过程中出现补充资料或结算争议问题；15、根据合同条款全面审核本项目报送的竣工结算，并与建设单位基建管理部门委托的咨询单位达成共识后出具竣工结算跟踪审计意见书。</w:t>
      </w:r>
    </w:p>
    <w:p w14:paraId="0E3EE23A">
      <w:pPr>
        <w:snapToGrid w:val="0"/>
        <w:spacing w:line="360" w:lineRule="auto"/>
        <w:ind w:firstLine="442" w:firstLineChars="200"/>
        <w:rPr>
          <w:rFonts w:hint="eastAsia" w:ascii="宋体" w:hAnsi="宋体" w:cs="宋体"/>
          <w:color w:val="auto"/>
          <w:sz w:val="22"/>
        </w:rPr>
      </w:pPr>
      <w:r>
        <w:rPr>
          <w:rFonts w:hint="eastAsia" w:ascii="宋体" w:hAnsi="宋体" w:cs="宋体"/>
          <w:b/>
          <w:color w:val="auto"/>
          <w:sz w:val="22"/>
        </w:rPr>
        <w:t>第三十五条</w:t>
      </w:r>
      <w:r>
        <w:rPr>
          <w:rFonts w:hint="eastAsia" w:ascii="宋体" w:hAnsi="宋体" w:cs="宋体"/>
          <w:color w:val="auto"/>
          <w:sz w:val="22"/>
        </w:rPr>
        <w:t xml:space="preserve">  咨询人造价咨询人员要求：</w:t>
      </w:r>
    </w:p>
    <w:p w14:paraId="1D798631">
      <w:pPr>
        <w:snapToGrid w:val="0"/>
        <w:spacing w:line="360" w:lineRule="auto"/>
        <w:ind w:left="2280" w:firstLine="560"/>
        <w:rPr>
          <w:rFonts w:hint="eastAsia" w:ascii="宋体" w:hAnsi="宋体" w:cs="宋体"/>
          <w:color w:val="auto"/>
          <w:sz w:val="22"/>
        </w:rPr>
      </w:pPr>
      <w:r>
        <w:rPr>
          <w:rFonts w:hint="eastAsia" w:ascii="宋体" w:hAnsi="宋体" w:cs="宋体"/>
          <w:color w:val="auto"/>
          <w:sz w:val="22"/>
        </w:rPr>
        <w:t>（一）跟踪审计项目审计人员配置表</w:t>
      </w:r>
    </w:p>
    <w:p w14:paraId="5A1DC557">
      <w:pPr>
        <w:pStyle w:val="4"/>
        <w:ind w:firstLine="108"/>
        <w:rPr>
          <w:rFonts w:hint="eastAsia" w:ascii="宋体" w:hAnsi="宋体" w:eastAsia="宋体" w:cs="宋体"/>
          <w:color w:val="auto"/>
          <w:sz w:val="22"/>
          <w:szCs w:val="22"/>
        </w:rPr>
      </w:pPr>
    </w:p>
    <w:tbl>
      <w:tblPr>
        <w:tblStyle w:val="40"/>
        <w:tblW w:w="9502" w:type="dxa"/>
        <w:jc w:val="center"/>
        <w:tblLayout w:type="autofit"/>
        <w:tblCellMar>
          <w:top w:w="0" w:type="dxa"/>
          <w:left w:w="10" w:type="dxa"/>
          <w:bottom w:w="0" w:type="dxa"/>
          <w:right w:w="0" w:type="dxa"/>
        </w:tblCellMar>
      </w:tblPr>
      <w:tblGrid>
        <w:gridCol w:w="1591"/>
        <w:gridCol w:w="449"/>
        <w:gridCol w:w="657"/>
        <w:gridCol w:w="1134"/>
        <w:gridCol w:w="992"/>
        <w:gridCol w:w="992"/>
        <w:gridCol w:w="992"/>
        <w:gridCol w:w="1777"/>
        <w:gridCol w:w="918"/>
      </w:tblGrid>
      <w:tr w14:paraId="60A90136">
        <w:tblPrEx>
          <w:tblCellMar>
            <w:top w:w="0" w:type="dxa"/>
            <w:left w:w="10" w:type="dxa"/>
            <w:bottom w:w="0" w:type="dxa"/>
            <w:right w:w="0" w:type="dxa"/>
          </w:tblCellMar>
        </w:tblPrEx>
        <w:trPr>
          <w:trHeight w:val="508" w:hRule="exact"/>
          <w:jc w:val="center"/>
        </w:trPr>
        <w:tc>
          <w:tcPr>
            <w:tcW w:w="1591" w:type="dxa"/>
            <w:vMerge w:val="restart"/>
            <w:tcBorders>
              <w:top w:val="single" w:color="000000" w:sz="8" w:space="0"/>
              <w:left w:val="single" w:color="000000" w:sz="8" w:space="0"/>
              <w:bottom w:val="single" w:color="000000" w:sz="4" w:space="0"/>
            </w:tcBorders>
            <w:vAlign w:val="center"/>
          </w:tcPr>
          <w:p w14:paraId="432875A5">
            <w:pPr>
              <w:spacing w:line="360" w:lineRule="auto"/>
              <w:jc w:val="center"/>
              <w:rPr>
                <w:rFonts w:hint="eastAsia" w:ascii="宋体" w:hAnsi="宋体" w:cs="宋体"/>
                <w:b/>
                <w:bCs/>
                <w:color w:val="auto"/>
                <w:sz w:val="22"/>
              </w:rPr>
            </w:pPr>
            <w:r>
              <w:rPr>
                <w:rFonts w:hint="eastAsia" w:ascii="宋体" w:hAnsi="宋体" w:cs="宋体"/>
                <w:b/>
                <w:bCs/>
                <w:color w:val="auto"/>
                <w:sz w:val="22"/>
              </w:rPr>
              <w:t>职务</w:t>
            </w:r>
          </w:p>
        </w:tc>
        <w:tc>
          <w:tcPr>
            <w:tcW w:w="449" w:type="dxa"/>
            <w:vMerge w:val="restart"/>
            <w:tcBorders>
              <w:top w:val="single" w:color="000000" w:sz="8" w:space="0"/>
              <w:left w:val="single" w:color="000000" w:sz="4" w:space="0"/>
              <w:bottom w:val="single" w:color="000000" w:sz="4" w:space="0"/>
            </w:tcBorders>
            <w:vAlign w:val="center"/>
          </w:tcPr>
          <w:p w14:paraId="02360905">
            <w:pPr>
              <w:spacing w:line="360" w:lineRule="auto"/>
              <w:jc w:val="center"/>
              <w:rPr>
                <w:rFonts w:hint="eastAsia" w:ascii="宋体" w:hAnsi="宋体" w:cs="宋体"/>
                <w:b/>
                <w:bCs/>
                <w:color w:val="auto"/>
                <w:sz w:val="22"/>
              </w:rPr>
            </w:pPr>
            <w:r>
              <w:rPr>
                <w:rFonts w:hint="eastAsia" w:ascii="宋体" w:hAnsi="宋体" w:cs="宋体"/>
                <w:b/>
                <w:bCs/>
                <w:color w:val="auto"/>
                <w:sz w:val="22"/>
              </w:rPr>
              <w:t>姓名</w:t>
            </w:r>
          </w:p>
        </w:tc>
        <w:tc>
          <w:tcPr>
            <w:tcW w:w="657" w:type="dxa"/>
            <w:vMerge w:val="restart"/>
            <w:tcBorders>
              <w:top w:val="single" w:color="000000" w:sz="8" w:space="0"/>
              <w:left w:val="single" w:color="000000" w:sz="4" w:space="0"/>
              <w:bottom w:val="single" w:color="000000" w:sz="4" w:space="0"/>
            </w:tcBorders>
            <w:vAlign w:val="center"/>
          </w:tcPr>
          <w:p w14:paraId="6E04C2A1">
            <w:pPr>
              <w:spacing w:line="360" w:lineRule="auto"/>
              <w:jc w:val="center"/>
              <w:rPr>
                <w:rFonts w:hint="eastAsia" w:ascii="宋体" w:hAnsi="宋体" w:cs="宋体"/>
                <w:b/>
                <w:bCs/>
                <w:color w:val="auto"/>
                <w:sz w:val="22"/>
              </w:rPr>
            </w:pPr>
            <w:r>
              <w:rPr>
                <w:rFonts w:hint="eastAsia" w:ascii="宋体" w:hAnsi="宋体" w:cs="宋体"/>
                <w:b/>
                <w:bCs/>
                <w:color w:val="auto"/>
                <w:sz w:val="22"/>
              </w:rPr>
              <w:t>职称</w:t>
            </w:r>
          </w:p>
        </w:tc>
        <w:tc>
          <w:tcPr>
            <w:tcW w:w="5887" w:type="dxa"/>
            <w:gridSpan w:val="5"/>
            <w:tcBorders>
              <w:top w:val="single" w:color="000000" w:sz="8" w:space="0"/>
              <w:left w:val="single" w:color="000000" w:sz="4" w:space="0"/>
              <w:bottom w:val="single" w:color="000000" w:sz="4" w:space="0"/>
            </w:tcBorders>
            <w:vAlign w:val="center"/>
          </w:tcPr>
          <w:p w14:paraId="47AB9513">
            <w:pPr>
              <w:spacing w:line="360" w:lineRule="auto"/>
              <w:jc w:val="center"/>
              <w:rPr>
                <w:rFonts w:hint="eastAsia" w:ascii="宋体" w:hAnsi="宋体" w:cs="宋体"/>
                <w:b/>
                <w:bCs/>
                <w:color w:val="auto"/>
                <w:sz w:val="22"/>
              </w:rPr>
            </w:pPr>
            <w:r>
              <w:rPr>
                <w:rFonts w:hint="eastAsia" w:ascii="宋体" w:hAnsi="宋体" w:cs="宋体"/>
                <w:b/>
                <w:bCs/>
                <w:color w:val="auto"/>
                <w:sz w:val="22"/>
              </w:rPr>
              <w:t>执业或职业资格证明</w:t>
            </w:r>
          </w:p>
        </w:tc>
        <w:tc>
          <w:tcPr>
            <w:tcW w:w="918" w:type="dxa"/>
            <w:tcBorders>
              <w:top w:val="single" w:color="000000" w:sz="8" w:space="0"/>
              <w:left w:val="single" w:color="000000" w:sz="4" w:space="0"/>
              <w:bottom w:val="single" w:color="000000" w:sz="4" w:space="0"/>
              <w:right w:val="single" w:color="000000" w:sz="8" w:space="0"/>
            </w:tcBorders>
            <w:vAlign w:val="center"/>
          </w:tcPr>
          <w:p w14:paraId="1C82CAC1">
            <w:pPr>
              <w:spacing w:line="360" w:lineRule="auto"/>
              <w:jc w:val="center"/>
              <w:rPr>
                <w:rFonts w:hint="eastAsia" w:ascii="宋体" w:hAnsi="宋体" w:cs="宋体"/>
                <w:b/>
                <w:bCs/>
                <w:color w:val="auto"/>
                <w:sz w:val="22"/>
              </w:rPr>
            </w:pPr>
            <w:r>
              <w:rPr>
                <w:rFonts w:hint="eastAsia" w:ascii="宋体" w:hAnsi="宋体" w:cs="宋体"/>
                <w:b/>
                <w:bCs/>
                <w:color w:val="auto"/>
                <w:sz w:val="22"/>
              </w:rPr>
              <w:t>备注</w:t>
            </w:r>
          </w:p>
        </w:tc>
      </w:tr>
      <w:tr w14:paraId="0B7F9A1A">
        <w:tblPrEx>
          <w:tblCellMar>
            <w:top w:w="0" w:type="dxa"/>
            <w:left w:w="10" w:type="dxa"/>
            <w:bottom w:w="0" w:type="dxa"/>
            <w:right w:w="0" w:type="dxa"/>
          </w:tblCellMar>
        </w:tblPrEx>
        <w:trPr>
          <w:trHeight w:val="738" w:hRule="exact"/>
          <w:jc w:val="center"/>
        </w:trPr>
        <w:tc>
          <w:tcPr>
            <w:tcW w:w="1591" w:type="dxa"/>
            <w:vMerge w:val="continue"/>
            <w:tcBorders>
              <w:top w:val="single" w:color="000000" w:sz="8" w:space="0"/>
              <w:left w:val="single" w:color="000000" w:sz="8" w:space="0"/>
              <w:bottom w:val="single" w:color="000000" w:sz="4" w:space="0"/>
            </w:tcBorders>
            <w:vAlign w:val="center"/>
          </w:tcPr>
          <w:p w14:paraId="4EA0702C">
            <w:pPr>
              <w:spacing w:line="360" w:lineRule="auto"/>
              <w:jc w:val="center"/>
              <w:rPr>
                <w:rFonts w:hint="eastAsia" w:ascii="宋体" w:hAnsi="宋体" w:cs="宋体"/>
                <w:b/>
                <w:bCs/>
                <w:color w:val="auto"/>
                <w:sz w:val="22"/>
              </w:rPr>
            </w:pPr>
          </w:p>
        </w:tc>
        <w:tc>
          <w:tcPr>
            <w:tcW w:w="449" w:type="dxa"/>
            <w:vMerge w:val="continue"/>
            <w:tcBorders>
              <w:top w:val="single" w:color="000000" w:sz="8" w:space="0"/>
              <w:left w:val="single" w:color="000000" w:sz="4" w:space="0"/>
              <w:bottom w:val="single" w:color="000000" w:sz="4" w:space="0"/>
            </w:tcBorders>
            <w:vAlign w:val="center"/>
          </w:tcPr>
          <w:p w14:paraId="7BFC35FA">
            <w:pPr>
              <w:spacing w:line="360" w:lineRule="auto"/>
              <w:jc w:val="center"/>
              <w:rPr>
                <w:rFonts w:hint="eastAsia" w:ascii="宋体" w:hAnsi="宋体" w:cs="宋体"/>
                <w:b/>
                <w:bCs/>
                <w:color w:val="auto"/>
                <w:sz w:val="22"/>
              </w:rPr>
            </w:pPr>
          </w:p>
        </w:tc>
        <w:tc>
          <w:tcPr>
            <w:tcW w:w="657" w:type="dxa"/>
            <w:vMerge w:val="continue"/>
            <w:tcBorders>
              <w:top w:val="single" w:color="000000" w:sz="8" w:space="0"/>
              <w:left w:val="single" w:color="000000" w:sz="4" w:space="0"/>
              <w:bottom w:val="single" w:color="000000" w:sz="4" w:space="0"/>
            </w:tcBorders>
            <w:vAlign w:val="center"/>
          </w:tcPr>
          <w:p w14:paraId="15AFAA8A">
            <w:pPr>
              <w:spacing w:line="360" w:lineRule="auto"/>
              <w:jc w:val="center"/>
              <w:rPr>
                <w:rFonts w:hint="eastAsia" w:ascii="宋体" w:hAnsi="宋体" w:cs="宋体"/>
                <w:b/>
                <w:bCs/>
                <w:color w:val="auto"/>
                <w:sz w:val="22"/>
              </w:rPr>
            </w:pPr>
          </w:p>
        </w:tc>
        <w:tc>
          <w:tcPr>
            <w:tcW w:w="1134" w:type="dxa"/>
            <w:tcBorders>
              <w:top w:val="single" w:color="000000" w:sz="4" w:space="0"/>
              <w:left w:val="single" w:color="000000" w:sz="4" w:space="0"/>
              <w:bottom w:val="single" w:color="000000" w:sz="4" w:space="0"/>
            </w:tcBorders>
            <w:vAlign w:val="center"/>
          </w:tcPr>
          <w:p w14:paraId="0F2E2735">
            <w:pPr>
              <w:spacing w:line="360" w:lineRule="auto"/>
              <w:jc w:val="center"/>
              <w:rPr>
                <w:rFonts w:hint="eastAsia" w:ascii="宋体" w:hAnsi="宋体" w:cs="宋体"/>
                <w:b/>
                <w:bCs/>
                <w:color w:val="auto"/>
                <w:sz w:val="22"/>
              </w:rPr>
            </w:pPr>
            <w:r>
              <w:rPr>
                <w:rFonts w:hint="eastAsia" w:ascii="宋体" w:hAnsi="宋体" w:cs="宋体"/>
                <w:b/>
                <w:bCs/>
                <w:color w:val="auto"/>
                <w:sz w:val="22"/>
              </w:rPr>
              <w:t>证书名称</w:t>
            </w:r>
          </w:p>
        </w:tc>
        <w:tc>
          <w:tcPr>
            <w:tcW w:w="992" w:type="dxa"/>
            <w:tcBorders>
              <w:top w:val="single" w:color="000000" w:sz="4" w:space="0"/>
              <w:left w:val="single" w:color="000000" w:sz="4" w:space="0"/>
              <w:bottom w:val="single" w:color="000000" w:sz="4" w:space="0"/>
            </w:tcBorders>
            <w:vAlign w:val="center"/>
          </w:tcPr>
          <w:p w14:paraId="78A2E322">
            <w:pPr>
              <w:spacing w:line="360" w:lineRule="auto"/>
              <w:jc w:val="center"/>
              <w:rPr>
                <w:rFonts w:hint="eastAsia" w:ascii="宋体" w:hAnsi="宋体" w:cs="宋体"/>
                <w:b/>
                <w:bCs/>
                <w:color w:val="auto"/>
                <w:sz w:val="22"/>
              </w:rPr>
            </w:pPr>
            <w:r>
              <w:rPr>
                <w:rFonts w:hint="eastAsia" w:ascii="宋体" w:hAnsi="宋体" w:cs="宋体"/>
                <w:b/>
                <w:bCs/>
                <w:color w:val="auto"/>
                <w:sz w:val="22"/>
              </w:rPr>
              <w:t>级别</w:t>
            </w:r>
          </w:p>
        </w:tc>
        <w:tc>
          <w:tcPr>
            <w:tcW w:w="992" w:type="dxa"/>
            <w:tcBorders>
              <w:top w:val="single" w:color="000000" w:sz="4" w:space="0"/>
              <w:left w:val="single" w:color="000000" w:sz="4" w:space="0"/>
              <w:bottom w:val="single" w:color="000000" w:sz="4" w:space="0"/>
            </w:tcBorders>
            <w:vAlign w:val="center"/>
          </w:tcPr>
          <w:p w14:paraId="1BF0891D">
            <w:pPr>
              <w:spacing w:line="360" w:lineRule="auto"/>
              <w:jc w:val="center"/>
              <w:rPr>
                <w:rFonts w:hint="eastAsia" w:ascii="宋体" w:hAnsi="宋体" w:cs="宋体"/>
                <w:b/>
                <w:bCs/>
                <w:color w:val="auto"/>
                <w:sz w:val="22"/>
              </w:rPr>
            </w:pPr>
            <w:r>
              <w:rPr>
                <w:rFonts w:hint="eastAsia" w:ascii="宋体" w:hAnsi="宋体" w:cs="宋体"/>
                <w:b/>
                <w:bCs/>
                <w:color w:val="auto"/>
                <w:sz w:val="22"/>
              </w:rPr>
              <w:t>证号</w:t>
            </w:r>
          </w:p>
        </w:tc>
        <w:tc>
          <w:tcPr>
            <w:tcW w:w="992" w:type="dxa"/>
            <w:tcBorders>
              <w:top w:val="single" w:color="000000" w:sz="4" w:space="0"/>
              <w:left w:val="single" w:color="000000" w:sz="4" w:space="0"/>
              <w:bottom w:val="single" w:color="000000" w:sz="4" w:space="0"/>
            </w:tcBorders>
            <w:vAlign w:val="center"/>
          </w:tcPr>
          <w:p w14:paraId="75C8D774">
            <w:pPr>
              <w:spacing w:line="360" w:lineRule="auto"/>
              <w:jc w:val="center"/>
              <w:rPr>
                <w:rFonts w:hint="eastAsia" w:ascii="宋体" w:hAnsi="宋体" w:cs="宋体"/>
                <w:b/>
                <w:bCs/>
                <w:color w:val="auto"/>
                <w:sz w:val="22"/>
              </w:rPr>
            </w:pPr>
            <w:r>
              <w:rPr>
                <w:rFonts w:hint="eastAsia" w:ascii="宋体" w:hAnsi="宋体" w:cs="宋体"/>
                <w:b/>
                <w:bCs/>
                <w:color w:val="auto"/>
                <w:sz w:val="22"/>
              </w:rPr>
              <w:t>专业</w:t>
            </w:r>
          </w:p>
        </w:tc>
        <w:tc>
          <w:tcPr>
            <w:tcW w:w="1777" w:type="dxa"/>
            <w:tcBorders>
              <w:top w:val="single" w:color="000000" w:sz="4" w:space="0"/>
              <w:left w:val="single" w:color="000000" w:sz="4" w:space="0"/>
              <w:bottom w:val="single" w:color="000000" w:sz="4" w:space="0"/>
            </w:tcBorders>
            <w:vAlign w:val="center"/>
          </w:tcPr>
          <w:p w14:paraId="34FE66A4">
            <w:pPr>
              <w:spacing w:line="360" w:lineRule="auto"/>
              <w:jc w:val="center"/>
              <w:rPr>
                <w:rFonts w:hint="eastAsia" w:ascii="宋体" w:hAnsi="宋体" w:cs="宋体"/>
                <w:b/>
                <w:bCs/>
                <w:color w:val="auto"/>
                <w:sz w:val="22"/>
              </w:rPr>
            </w:pPr>
            <w:r>
              <w:rPr>
                <w:rFonts w:hint="eastAsia" w:ascii="宋体" w:hAnsi="宋体" w:cs="宋体"/>
                <w:b/>
                <w:bCs/>
                <w:color w:val="auto"/>
                <w:sz w:val="22"/>
              </w:rPr>
              <w:t>养老保险</w:t>
            </w:r>
          </w:p>
        </w:tc>
        <w:tc>
          <w:tcPr>
            <w:tcW w:w="918" w:type="dxa"/>
            <w:tcBorders>
              <w:top w:val="single" w:color="000000" w:sz="4" w:space="0"/>
              <w:left w:val="single" w:color="000000" w:sz="4" w:space="0"/>
              <w:bottom w:val="single" w:color="000000" w:sz="4" w:space="0"/>
              <w:right w:val="single" w:color="000000" w:sz="8" w:space="0"/>
            </w:tcBorders>
            <w:vAlign w:val="center"/>
          </w:tcPr>
          <w:p w14:paraId="1EB471D4">
            <w:pPr>
              <w:spacing w:line="360" w:lineRule="auto"/>
              <w:jc w:val="center"/>
              <w:rPr>
                <w:rFonts w:hint="eastAsia" w:ascii="宋体" w:hAnsi="宋体" w:cs="宋体"/>
                <w:b/>
                <w:bCs/>
                <w:color w:val="auto"/>
                <w:sz w:val="22"/>
              </w:rPr>
            </w:pPr>
          </w:p>
        </w:tc>
      </w:tr>
      <w:tr w14:paraId="10A04235">
        <w:tblPrEx>
          <w:tblCellMar>
            <w:top w:w="0" w:type="dxa"/>
            <w:left w:w="10" w:type="dxa"/>
            <w:bottom w:w="0" w:type="dxa"/>
            <w:right w:w="0" w:type="dxa"/>
          </w:tblCellMar>
        </w:tblPrEx>
        <w:trPr>
          <w:trHeight w:val="508" w:hRule="exact"/>
          <w:jc w:val="center"/>
        </w:trPr>
        <w:tc>
          <w:tcPr>
            <w:tcW w:w="1591" w:type="dxa"/>
            <w:tcBorders>
              <w:top w:val="single" w:color="000000" w:sz="4" w:space="0"/>
              <w:left w:val="single" w:color="000000" w:sz="8" w:space="0"/>
              <w:bottom w:val="single" w:color="000000" w:sz="4" w:space="0"/>
            </w:tcBorders>
            <w:vAlign w:val="center"/>
          </w:tcPr>
          <w:p w14:paraId="394780E2">
            <w:pPr>
              <w:spacing w:line="360" w:lineRule="auto"/>
              <w:jc w:val="center"/>
              <w:rPr>
                <w:rFonts w:hint="eastAsia" w:ascii="宋体" w:hAnsi="宋体" w:cs="宋体"/>
                <w:color w:val="auto"/>
                <w:sz w:val="22"/>
              </w:rPr>
            </w:pPr>
            <w:r>
              <w:rPr>
                <w:rFonts w:hint="eastAsia" w:ascii="宋体" w:hAnsi="宋体" w:cs="宋体"/>
                <w:color w:val="auto"/>
                <w:sz w:val="22"/>
              </w:rPr>
              <w:t>项目负责人</w:t>
            </w:r>
          </w:p>
        </w:tc>
        <w:tc>
          <w:tcPr>
            <w:tcW w:w="449" w:type="dxa"/>
            <w:tcBorders>
              <w:top w:val="single" w:color="000000" w:sz="4" w:space="0"/>
              <w:left w:val="single" w:color="000000" w:sz="4" w:space="0"/>
              <w:bottom w:val="single" w:color="000000" w:sz="4" w:space="0"/>
            </w:tcBorders>
            <w:vAlign w:val="center"/>
          </w:tcPr>
          <w:p w14:paraId="072822BD">
            <w:pPr>
              <w:spacing w:line="360" w:lineRule="auto"/>
              <w:jc w:val="center"/>
              <w:rPr>
                <w:rFonts w:hint="eastAsia" w:ascii="宋体" w:hAnsi="宋体" w:cs="宋体"/>
                <w:color w:val="auto"/>
                <w:sz w:val="22"/>
              </w:rPr>
            </w:pPr>
          </w:p>
        </w:tc>
        <w:tc>
          <w:tcPr>
            <w:tcW w:w="657" w:type="dxa"/>
            <w:tcBorders>
              <w:top w:val="single" w:color="000000" w:sz="4" w:space="0"/>
              <w:left w:val="single" w:color="000000" w:sz="4" w:space="0"/>
              <w:bottom w:val="single" w:color="000000" w:sz="4" w:space="0"/>
            </w:tcBorders>
            <w:vAlign w:val="center"/>
          </w:tcPr>
          <w:p w14:paraId="29C96ED3">
            <w:pPr>
              <w:spacing w:line="360" w:lineRule="auto"/>
              <w:jc w:val="center"/>
              <w:rPr>
                <w:rFonts w:hint="eastAsia" w:ascii="宋体" w:hAnsi="宋体" w:cs="宋体"/>
                <w:color w:val="auto"/>
                <w:sz w:val="22"/>
              </w:rPr>
            </w:pPr>
          </w:p>
        </w:tc>
        <w:tc>
          <w:tcPr>
            <w:tcW w:w="1134" w:type="dxa"/>
            <w:tcBorders>
              <w:top w:val="single" w:color="000000" w:sz="4" w:space="0"/>
              <w:left w:val="single" w:color="000000" w:sz="4" w:space="0"/>
              <w:bottom w:val="single" w:color="000000" w:sz="4" w:space="0"/>
            </w:tcBorders>
            <w:vAlign w:val="center"/>
          </w:tcPr>
          <w:p w14:paraId="2FAD570A">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27F0F1ED">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617DDC06">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346EC499">
            <w:pPr>
              <w:spacing w:line="360" w:lineRule="auto"/>
              <w:jc w:val="center"/>
              <w:rPr>
                <w:rFonts w:hint="eastAsia" w:ascii="宋体" w:hAnsi="宋体" w:cs="宋体"/>
                <w:color w:val="auto"/>
                <w:sz w:val="22"/>
              </w:rPr>
            </w:pPr>
          </w:p>
        </w:tc>
        <w:tc>
          <w:tcPr>
            <w:tcW w:w="1777" w:type="dxa"/>
            <w:tcBorders>
              <w:top w:val="single" w:color="000000" w:sz="4" w:space="0"/>
              <w:left w:val="single" w:color="000000" w:sz="4" w:space="0"/>
              <w:bottom w:val="single" w:color="000000" w:sz="4" w:space="0"/>
            </w:tcBorders>
            <w:vAlign w:val="center"/>
          </w:tcPr>
          <w:p w14:paraId="1878E312">
            <w:pPr>
              <w:spacing w:line="360" w:lineRule="auto"/>
              <w:jc w:val="center"/>
              <w:rPr>
                <w:rFonts w:hint="eastAsia" w:ascii="宋体" w:hAnsi="宋体" w:cs="宋体"/>
                <w:color w:val="auto"/>
                <w:sz w:val="22"/>
              </w:rPr>
            </w:pPr>
          </w:p>
        </w:tc>
        <w:tc>
          <w:tcPr>
            <w:tcW w:w="918" w:type="dxa"/>
            <w:tcBorders>
              <w:top w:val="single" w:color="000000" w:sz="4" w:space="0"/>
              <w:left w:val="single" w:color="000000" w:sz="4" w:space="0"/>
              <w:bottom w:val="single" w:color="000000" w:sz="4" w:space="0"/>
              <w:right w:val="single" w:color="000000" w:sz="8" w:space="0"/>
            </w:tcBorders>
            <w:vAlign w:val="center"/>
          </w:tcPr>
          <w:p w14:paraId="70ABF9EF">
            <w:pPr>
              <w:spacing w:line="360" w:lineRule="auto"/>
              <w:jc w:val="center"/>
              <w:rPr>
                <w:rFonts w:hint="eastAsia" w:ascii="宋体" w:hAnsi="宋体" w:cs="宋体"/>
                <w:color w:val="auto"/>
                <w:sz w:val="22"/>
              </w:rPr>
            </w:pPr>
          </w:p>
        </w:tc>
      </w:tr>
      <w:tr w14:paraId="1B2BB122">
        <w:tblPrEx>
          <w:tblCellMar>
            <w:top w:w="0" w:type="dxa"/>
            <w:left w:w="10" w:type="dxa"/>
            <w:bottom w:w="0" w:type="dxa"/>
            <w:right w:w="0" w:type="dxa"/>
          </w:tblCellMar>
        </w:tblPrEx>
        <w:trPr>
          <w:trHeight w:val="851" w:hRule="exact"/>
          <w:jc w:val="center"/>
        </w:trPr>
        <w:tc>
          <w:tcPr>
            <w:tcW w:w="1591" w:type="dxa"/>
            <w:tcBorders>
              <w:top w:val="single" w:color="000000" w:sz="4" w:space="0"/>
              <w:left w:val="single" w:color="000000" w:sz="8" w:space="0"/>
              <w:bottom w:val="single" w:color="000000" w:sz="4" w:space="0"/>
            </w:tcBorders>
            <w:vAlign w:val="center"/>
          </w:tcPr>
          <w:p w14:paraId="6F18B2CF">
            <w:pPr>
              <w:spacing w:line="360" w:lineRule="auto"/>
              <w:jc w:val="center"/>
              <w:rPr>
                <w:rFonts w:hint="eastAsia" w:ascii="宋体" w:hAnsi="宋体" w:cs="宋体"/>
                <w:color w:val="auto"/>
                <w:sz w:val="22"/>
              </w:rPr>
            </w:pPr>
            <w:r>
              <w:rPr>
                <w:rFonts w:hint="eastAsia" w:ascii="宋体" w:hAnsi="宋体" w:cs="宋体"/>
                <w:color w:val="auto"/>
                <w:sz w:val="22"/>
              </w:rPr>
              <w:t>驻场土建专业人员</w:t>
            </w:r>
          </w:p>
        </w:tc>
        <w:tc>
          <w:tcPr>
            <w:tcW w:w="449" w:type="dxa"/>
            <w:tcBorders>
              <w:top w:val="single" w:color="000000" w:sz="4" w:space="0"/>
              <w:left w:val="single" w:color="000000" w:sz="4" w:space="0"/>
              <w:bottom w:val="single" w:color="000000" w:sz="4" w:space="0"/>
            </w:tcBorders>
            <w:vAlign w:val="center"/>
          </w:tcPr>
          <w:p w14:paraId="21909AF3">
            <w:pPr>
              <w:spacing w:line="360" w:lineRule="auto"/>
              <w:jc w:val="center"/>
              <w:rPr>
                <w:rFonts w:hint="eastAsia" w:ascii="宋体" w:hAnsi="宋体" w:cs="宋体"/>
                <w:color w:val="auto"/>
                <w:sz w:val="22"/>
              </w:rPr>
            </w:pPr>
          </w:p>
        </w:tc>
        <w:tc>
          <w:tcPr>
            <w:tcW w:w="657" w:type="dxa"/>
            <w:tcBorders>
              <w:top w:val="single" w:color="000000" w:sz="4" w:space="0"/>
              <w:left w:val="single" w:color="000000" w:sz="4" w:space="0"/>
              <w:bottom w:val="single" w:color="000000" w:sz="4" w:space="0"/>
            </w:tcBorders>
            <w:vAlign w:val="center"/>
          </w:tcPr>
          <w:p w14:paraId="4395178C">
            <w:pPr>
              <w:spacing w:line="360" w:lineRule="auto"/>
              <w:jc w:val="center"/>
              <w:rPr>
                <w:rFonts w:hint="eastAsia" w:ascii="宋体" w:hAnsi="宋体" w:cs="宋体"/>
                <w:color w:val="auto"/>
                <w:sz w:val="22"/>
              </w:rPr>
            </w:pPr>
          </w:p>
        </w:tc>
        <w:tc>
          <w:tcPr>
            <w:tcW w:w="1134" w:type="dxa"/>
            <w:tcBorders>
              <w:top w:val="single" w:color="000000" w:sz="4" w:space="0"/>
              <w:left w:val="single" w:color="000000" w:sz="4" w:space="0"/>
              <w:bottom w:val="single" w:color="000000" w:sz="4" w:space="0"/>
            </w:tcBorders>
            <w:vAlign w:val="center"/>
          </w:tcPr>
          <w:p w14:paraId="49B52356">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45196D0A">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7B78E774">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685450A3">
            <w:pPr>
              <w:spacing w:line="360" w:lineRule="auto"/>
              <w:jc w:val="center"/>
              <w:rPr>
                <w:rFonts w:hint="eastAsia" w:ascii="宋体" w:hAnsi="宋体" w:cs="宋体"/>
                <w:color w:val="auto"/>
                <w:sz w:val="22"/>
              </w:rPr>
            </w:pPr>
          </w:p>
        </w:tc>
        <w:tc>
          <w:tcPr>
            <w:tcW w:w="1777" w:type="dxa"/>
            <w:tcBorders>
              <w:top w:val="single" w:color="000000" w:sz="4" w:space="0"/>
              <w:left w:val="single" w:color="000000" w:sz="4" w:space="0"/>
              <w:bottom w:val="single" w:color="000000" w:sz="4" w:space="0"/>
            </w:tcBorders>
            <w:vAlign w:val="center"/>
          </w:tcPr>
          <w:p w14:paraId="05A67507">
            <w:pPr>
              <w:spacing w:line="360" w:lineRule="auto"/>
              <w:jc w:val="center"/>
              <w:rPr>
                <w:rFonts w:hint="eastAsia" w:ascii="宋体" w:hAnsi="宋体" w:cs="宋体"/>
                <w:color w:val="auto"/>
                <w:sz w:val="22"/>
              </w:rPr>
            </w:pPr>
          </w:p>
        </w:tc>
        <w:tc>
          <w:tcPr>
            <w:tcW w:w="918" w:type="dxa"/>
            <w:tcBorders>
              <w:top w:val="single" w:color="000000" w:sz="4" w:space="0"/>
              <w:left w:val="single" w:color="000000" w:sz="4" w:space="0"/>
              <w:bottom w:val="single" w:color="000000" w:sz="4" w:space="0"/>
              <w:right w:val="single" w:color="000000" w:sz="8" w:space="0"/>
            </w:tcBorders>
            <w:vAlign w:val="center"/>
          </w:tcPr>
          <w:p w14:paraId="5DE45207">
            <w:pPr>
              <w:spacing w:line="360" w:lineRule="auto"/>
              <w:jc w:val="center"/>
              <w:rPr>
                <w:rFonts w:hint="eastAsia" w:ascii="宋体" w:hAnsi="宋体" w:cs="宋体"/>
                <w:color w:val="auto"/>
                <w:sz w:val="22"/>
              </w:rPr>
            </w:pPr>
          </w:p>
        </w:tc>
      </w:tr>
      <w:tr w14:paraId="153CD005">
        <w:tblPrEx>
          <w:tblCellMar>
            <w:top w:w="0" w:type="dxa"/>
            <w:left w:w="10" w:type="dxa"/>
            <w:bottom w:w="0" w:type="dxa"/>
            <w:right w:w="0" w:type="dxa"/>
          </w:tblCellMar>
        </w:tblPrEx>
        <w:trPr>
          <w:trHeight w:val="920" w:hRule="exact"/>
          <w:jc w:val="center"/>
        </w:trPr>
        <w:tc>
          <w:tcPr>
            <w:tcW w:w="1591" w:type="dxa"/>
            <w:tcBorders>
              <w:top w:val="single" w:color="000000" w:sz="4" w:space="0"/>
              <w:left w:val="single" w:color="000000" w:sz="8" w:space="0"/>
              <w:bottom w:val="single" w:color="000000" w:sz="4" w:space="0"/>
            </w:tcBorders>
            <w:vAlign w:val="center"/>
          </w:tcPr>
          <w:p w14:paraId="76372FFA">
            <w:pPr>
              <w:spacing w:line="360" w:lineRule="auto"/>
              <w:jc w:val="center"/>
              <w:rPr>
                <w:rFonts w:hint="eastAsia" w:ascii="宋体" w:hAnsi="宋体" w:cs="宋体"/>
                <w:color w:val="auto"/>
                <w:sz w:val="22"/>
              </w:rPr>
            </w:pPr>
            <w:r>
              <w:rPr>
                <w:rFonts w:hint="eastAsia" w:ascii="宋体" w:hAnsi="宋体" w:cs="宋体"/>
                <w:color w:val="auto"/>
                <w:sz w:val="22"/>
              </w:rPr>
              <w:t>驻场安装专业人员</w:t>
            </w:r>
          </w:p>
        </w:tc>
        <w:tc>
          <w:tcPr>
            <w:tcW w:w="449" w:type="dxa"/>
            <w:tcBorders>
              <w:top w:val="single" w:color="000000" w:sz="4" w:space="0"/>
              <w:left w:val="single" w:color="000000" w:sz="4" w:space="0"/>
              <w:bottom w:val="single" w:color="000000" w:sz="4" w:space="0"/>
            </w:tcBorders>
            <w:vAlign w:val="center"/>
          </w:tcPr>
          <w:p w14:paraId="3E3886BA">
            <w:pPr>
              <w:spacing w:line="360" w:lineRule="auto"/>
              <w:jc w:val="center"/>
              <w:rPr>
                <w:rFonts w:hint="eastAsia" w:ascii="宋体" w:hAnsi="宋体" w:cs="宋体"/>
                <w:color w:val="auto"/>
                <w:sz w:val="22"/>
              </w:rPr>
            </w:pPr>
          </w:p>
        </w:tc>
        <w:tc>
          <w:tcPr>
            <w:tcW w:w="657" w:type="dxa"/>
            <w:tcBorders>
              <w:top w:val="single" w:color="000000" w:sz="4" w:space="0"/>
              <w:left w:val="single" w:color="000000" w:sz="4" w:space="0"/>
              <w:bottom w:val="single" w:color="000000" w:sz="4" w:space="0"/>
            </w:tcBorders>
            <w:vAlign w:val="center"/>
          </w:tcPr>
          <w:p w14:paraId="19955F9F">
            <w:pPr>
              <w:spacing w:line="360" w:lineRule="auto"/>
              <w:jc w:val="center"/>
              <w:rPr>
                <w:rFonts w:hint="eastAsia" w:ascii="宋体" w:hAnsi="宋体" w:cs="宋体"/>
                <w:color w:val="auto"/>
                <w:sz w:val="22"/>
              </w:rPr>
            </w:pPr>
          </w:p>
        </w:tc>
        <w:tc>
          <w:tcPr>
            <w:tcW w:w="1134" w:type="dxa"/>
            <w:tcBorders>
              <w:top w:val="single" w:color="000000" w:sz="4" w:space="0"/>
              <w:left w:val="single" w:color="000000" w:sz="4" w:space="0"/>
              <w:bottom w:val="single" w:color="000000" w:sz="4" w:space="0"/>
            </w:tcBorders>
            <w:vAlign w:val="center"/>
          </w:tcPr>
          <w:p w14:paraId="12820645">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21373EB0">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5F6CB390">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68317C0B">
            <w:pPr>
              <w:spacing w:line="360" w:lineRule="auto"/>
              <w:jc w:val="center"/>
              <w:rPr>
                <w:rFonts w:hint="eastAsia" w:ascii="宋体" w:hAnsi="宋体" w:cs="宋体"/>
                <w:color w:val="auto"/>
                <w:sz w:val="22"/>
              </w:rPr>
            </w:pPr>
          </w:p>
        </w:tc>
        <w:tc>
          <w:tcPr>
            <w:tcW w:w="1777" w:type="dxa"/>
            <w:tcBorders>
              <w:top w:val="single" w:color="000000" w:sz="4" w:space="0"/>
              <w:left w:val="single" w:color="000000" w:sz="4" w:space="0"/>
              <w:bottom w:val="single" w:color="000000" w:sz="4" w:space="0"/>
            </w:tcBorders>
            <w:vAlign w:val="center"/>
          </w:tcPr>
          <w:p w14:paraId="4D709EF1">
            <w:pPr>
              <w:spacing w:line="360" w:lineRule="auto"/>
              <w:jc w:val="center"/>
              <w:rPr>
                <w:rFonts w:hint="eastAsia" w:ascii="宋体" w:hAnsi="宋体" w:cs="宋体"/>
                <w:color w:val="auto"/>
                <w:sz w:val="22"/>
              </w:rPr>
            </w:pPr>
          </w:p>
        </w:tc>
        <w:tc>
          <w:tcPr>
            <w:tcW w:w="918" w:type="dxa"/>
            <w:tcBorders>
              <w:top w:val="single" w:color="000000" w:sz="4" w:space="0"/>
              <w:left w:val="single" w:color="000000" w:sz="4" w:space="0"/>
              <w:bottom w:val="single" w:color="000000" w:sz="4" w:space="0"/>
              <w:right w:val="single" w:color="000000" w:sz="8" w:space="0"/>
            </w:tcBorders>
            <w:vAlign w:val="center"/>
          </w:tcPr>
          <w:p w14:paraId="748E616F">
            <w:pPr>
              <w:spacing w:line="360" w:lineRule="auto"/>
              <w:jc w:val="center"/>
              <w:rPr>
                <w:rFonts w:hint="eastAsia" w:ascii="宋体" w:hAnsi="宋体" w:cs="宋体"/>
                <w:color w:val="auto"/>
                <w:sz w:val="22"/>
              </w:rPr>
            </w:pPr>
          </w:p>
        </w:tc>
      </w:tr>
      <w:tr w14:paraId="680BFD4E">
        <w:tblPrEx>
          <w:tblCellMar>
            <w:top w:w="0" w:type="dxa"/>
            <w:left w:w="10" w:type="dxa"/>
            <w:bottom w:w="0" w:type="dxa"/>
            <w:right w:w="0" w:type="dxa"/>
          </w:tblCellMar>
        </w:tblPrEx>
        <w:trPr>
          <w:trHeight w:val="508" w:hRule="exact"/>
          <w:jc w:val="center"/>
        </w:trPr>
        <w:tc>
          <w:tcPr>
            <w:tcW w:w="1591" w:type="dxa"/>
            <w:tcBorders>
              <w:top w:val="single" w:color="000000" w:sz="4" w:space="0"/>
              <w:left w:val="single" w:color="000000" w:sz="8" w:space="0"/>
              <w:bottom w:val="single" w:color="000000" w:sz="4" w:space="0"/>
            </w:tcBorders>
            <w:vAlign w:val="center"/>
          </w:tcPr>
          <w:p w14:paraId="59050A7C">
            <w:pPr>
              <w:spacing w:line="360" w:lineRule="auto"/>
              <w:jc w:val="center"/>
              <w:rPr>
                <w:rFonts w:hint="eastAsia" w:ascii="宋体" w:hAnsi="宋体" w:cs="宋体"/>
                <w:color w:val="auto"/>
                <w:sz w:val="22"/>
              </w:rPr>
            </w:pPr>
            <w:r>
              <w:rPr>
                <w:rFonts w:hint="eastAsia" w:ascii="宋体" w:hAnsi="宋体" w:cs="宋体"/>
                <w:color w:val="auto"/>
                <w:sz w:val="22"/>
              </w:rPr>
              <w:t>其他人员</w:t>
            </w:r>
          </w:p>
        </w:tc>
        <w:tc>
          <w:tcPr>
            <w:tcW w:w="449" w:type="dxa"/>
            <w:tcBorders>
              <w:top w:val="single" w:color="000000" w:sz="4" w:space="0"/>
              <w:left w:val="single" w:color="000000" w:sz="4" w:space="0"/>
              <w:bottom w:val="single" w:color="000000" w:sz="4" w:space="0"/>
            </w:tcBorders>
            <w:vAlign w:val="center"/>
          </w:tcPr>
          <w:p w14:paraId="31701981">
            <w:pPr>
              <w:spacing w:line="360" w:lineRule="auto"/>
              <w:jc w:val="center"/>
              <w:rPr>
                <w:rFonts w:hint="eastAsia" w:ascii="宋体" w:hAnsi="宋体" w:cs="宋体"/>
                <w:color w:val="auto"/>
                <w:sz w:val="22"/>
              </w:rPr>
            </w:pPr>
          </w:p>
        </w:tc>
        <w:tc>
          <w:tcPr>
            <w:tcW w:w="657" w:type="dxa"/>
            <w:tcBorders>
              <w:top w:val="single" w:color="000000" w:sz="4" w:space="0"/>
              <w:left w:val="single" w:color="000000" w:sz="4" w:space="0"/>
              <w:bottom w:val="single" w:color="000000" w:sz="4" w:space="0"/>
            </w:tcBorders>
            <w:vAlign w:val="center"/>
          </w:tcPr>
          <w:p w14:paraId="348F3744">
            <w:pPr>
              <w:spacing w:line="360" w:lineRule="auto"/>
              <w:jc w:val="center"/>
              <w:rPr>
                <w:rFonts w:hint="eastAsia" w:ascii="宋体" w:hAnsi="宋体" w:cs="宋体"/>
                <w:color w:val="auto"/>
                <w:sz w:val="22"/>
              </w:rPr>
            </w:pPr>
          </w:p>
        </w:tc>
        <w:tc>
          <w:tcPr>
            <w:tcW w:w="1134" w:type="dxa"/>
            <w:tcBorders>
              <w:top w:val="single" w:color="000000" w:sz="4" w:space="0"/>
              <w:left w:val="single" w:color="000000" w:sz="4" w:space="0"/>
              <w:bottom w:val="single" w:color="000000" w:sz="4" w:space="0"/>
            </w:tcBorders>
            <w:vAlign w:val="center"/>
          </w:tcPr>
          <w:p w14:paraId="7547F787">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64EFEF5A">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63BE2C88">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11BF3946">
            <w:pPr>
              <w:spacing w:line="360" w:lineRule="auto"/>
              <w:jc w:val="center"/>
              <w:rPr>
                <w:rFonts w:hint="eastAsia" w:ascii="宋体" w:hAnsi="宋体" w:cs="宋体"/>
                <w:color w:val="auto"/>
                <w:sz w:val="22"/>
              </w:rPr>
            </w:pPr>
          </w:p>
        </w:tc>
        <w:tc>
          <w:tcPr>
            <w:tcW w:w="1777" w:type="dxa"/>
            <w:tcBorders>
              <w:top w:val="single" w:color="000000" w:sz="4" w:space="0"/>
              <w:left w:val="single" w:color="000000" w:sz="4" w:space="0"/>
              <w:bottom w:val="single" w:color="000000" w:sz="4" w:space="0"/>
            </w:tcBorders>
            <w:vAlign w:val="center"/>
          </w:tcPr>
          <w:p w14:paraId="7004DA10">
            <w:pPr>
              <w:spacing w:line="360" w:lineRule="auto"/>
              <w:jc w:val="center"/>
              <w:rPr>
                <w:rFonts w:hint="eastAsia" w:ascii="宋体" w:hAnsi="宋体" w:cs="宋体"/>
                <w:color w:val="auto"/>
                <w:sz w:val="22"/>
              </w:rPr>
            </w:pPr>
          </w:p>
        </w:tc>
        <w:tc>
          <w:tcPr>
            <w:tcW w:w="918" w:type="dxa"/>
            <w:tcBorders>
              <w:top w:val="single" w:color="000000" w:sz="4" w:space="0"/>
              <w:left w:val="single" w:color="000000" w:sz="4" w:space="0"/>
              <w:bottom w:val="single" w:color="000000" w:sz="4" w:space="0"/>
              <w:right w:val="single" w:color="000000" w:sz="8" w:space="0"/>
            </w:tcBorders>
            <w:vAlign w:val="center"/>
          </w:tcPr>
          <w:p w14:paraId="052E9B64">
            <w:pPr>
              <w:spacing w:line="360" w:lineRule="auto"/>
              <w:jc w:val="center"/>
              <w:rPr>
                <w:rFonts w:hint="eastAsia" w:ascii="宋体" w:hAnsi="宋体" w:cs="宋体"/>
                <w:color w:val="auto"/>
                <w:sz w:val="22"/>
              </w:rPr>
            </w:pPr>
          </w:p>
        </w:tc>
      </w:tr>
      <w:tr w14:paraId="5287E5E0">
        <w:tblPrEx>
          <w:tblCellMar>
            <w:top w:w="0" w:type="dxa"/>
            <w:left w:w="10" w:type="dxa"/>
            <w:bottom w:w="0" w:type="dxa"/>
            <w:right w:w="0" w:type="dxa"/>
          </w:tblCellMar>
        </w:tblPrEx>
        <w:trPr>
          <w:trHeight w:val="508" w:hRule="exact"/>
          <w:jc w:val="center"/>
        </w:trPr>
        <w:tc>
          <w:tcPr>
            <w:tcW w:w="1591" w:type="dxa"/>
            <w:tcBorders>
              <w:top w:val="single" w:color="000000" w:sz="4" w:space="0"/>
              <w:left w:val="single" w:color="000000" w:sz="8" w:space="0"/>
              <w:bottom w:val="single" w:color="000000" w:sz="4" w:space="0"/>
            </w:tcBorders>
            <w:vAlign w:val="center"/>
          </w:tcPr>
          <w:p w14:paraId="2F017918">
            <w:pPr>
              <w:spacing w:line="360" w:lineRule="auto"/>
              <w:jc w:val="center"/>
              <w:rPr>
                <w:rFonts w:hint="eastAsia" w:ascii="宋体" w:hAnsi="宋体" w:cs="宋体"/>
                <w:color w:val="auto"/>
                <w:sz w:val="22"/>
              </w:rPr>
            </w:pPr>
            <w:r>
              <w:rPr>
                <w:rFonts w:hint="eastAsia" w:ascii="宋体" w:hAnsi="宋体" w:cs="宋体"/>
                <w:color w:val="auto"/>
                <w:sz w:val="22"/>
              </w:rPr>
              <w:t>...</w:t>
            </w:r>
          </w:p>
        </w:tc>
        <w:tc>
          <w:tcPr>
            <w:tcW w:w="449" w:type="dxa"/>
            <w:tcBorders>
              <w:top w:val="single" w:color="000000" w:sz="4" w:space="0"/>
              <w:left w:val="single" w:color="000000" w:sz="4" w:space="0"/>
              <w:bottom w:val="single" w:color="000000" w:sz="4" w:space="0"/>
            </w:tcBorders>
            <w:vAlign w:val="center"/>
          </w:tcPr>
          <w:p w14:paraId="668F6CCD">
            <w:pPr>
              <w:spacing w:line="360" w:lineRule="auto"/>
              <w:jc w:val="center"/>
              <w:rPr>
                <w:rFonts w:hint="eastAsia" w:ascii="宋体" w:hAnsi="宋体" w:cs="宋体"/>
                <w:color w:val="auto"/>
                <w:sz w:val="22"/>
              </w:rPr>
            </w:pPr>
          </w:p>
        </w:tc>
        <w:tc>
          <w:tcPr>
            <w:tcW w:w="657" w:type="dxa"/>
            <w:tcBorders>
              <w:top w:val="single" w:color="000000" w:sz="4" w:space="0"/>
              <w:left w:val="single" w:color="000000" w:sz="4" w:space="0"/>
              <w:bottom w:val="single" w:color="000000" w:sz="4" w:space="0"/>
            </w:tcBorders>
            <w:vAlign w:val="center"/>
          </w:tcPr>
          <w:p w14:paraId="274DE192">
            <w:pPr>
              <w:spacing w:line="360" w:lineRule="auto"/>
              <w:jc w:val="center"/>
              <w:rPr>
                <w:rFonts w:hint="eastAsia" w:ascii="宋体" w:hAnsi="宋体" w:cs="宋体"/>
                <w:color w:val="auto"/>
                <w:sz w:val="22"/>
              </w:rPr>
            </w:pPr>
          </w:p>
        </w:tc>
        <w:tc>
          <w:tcPr>
            <w:tcW w:w="1134" w:type="dxa"/>
            <w:tcBorders>
              <w:top w:val="single" w:color="000000" w:sz="4" w:space="0"/>
              <w:left w:val="single" w:color="000000" w:sz="4" w:space="0"/>
              <w:bottom w:val="single" w:color="000000" w:sz="4" w:space="0"/>
            </w:tcBorders>
            <w:vAlign w:val="center"/>
          </w:tcPr>
          <w:p w14:paraId="71D3637F">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559CE796">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7F6D476B">
            <w:pPr>
              <w:spacing w:line="360" w:lineRule="auto"/>
              <w:jc w:val="center"/>
              <w:rPr>
                <w:rFonts w:hint="eastAsia" w:ascii="宋体" w:hAnsi="宋体" w:cs="宋体"/>
                <w:color w:val="auto"/>
                <w:sz w:val="22"/>
              </w:rPr>
            </w:pPr>
          </w:p>
        </w:tc>
        <w:tc>
          <w:tcPr>
            <w:tcW w:w="992" w:type="dxa"/>
            <w:tcBorders>
              <w:top w:val="single" w:color="000000" w:sz="4" w:space="0"/>
              <w:left w:val="single" w:color="000000" w:sz="4" w:space="0"/>
              <w:bottom w:val="single" w:color="000000" w:sz="4" w:space="0"/>
            </w:tcBorders>
            <w:vAlign w:val="center"/>
          </w:tcPr>
          <w:p w14:paraId="1E59E396">
            <w:pPr>
              <w:spacing w:line="360" w:lineRule="auto"/>
              <w:jc w:val="center"/>
              <w:rPr>
                <w:rFonts w:hint="eastAsia" w:ascii="宋体" w:hAnsi="宋体" w:cs="宋体"/>
                <w:color w:val="auto"/>
                <w:sz w:val="22"/>
              </w:rPr>
            </w:pPr>
          </w:p>
        </w:tc>
        <w:tc>
          <w:tcPr>
            <w:tcW w:w="1777" w:type="dxa"/>
            <w:tcBorders>
              <w:top w:val="single" w:color="000000" w:sz="4" w:space="0"/>
              <w:left w:val="single" w:color="000000" w:sz="4" w:space="0"/>
              <w:bottom w:val="single" w:color="000000" w:sz="4" w:space="0"/>
            </w:tcBorders>
            <w:vAlign w:val="center"/>
          </w:tcPr>
          <w:p w14:paraId="797CB3F3">
            <w:pPr>
              <w:spacing w:line="360" w:lineRule="auto"/>
              <w:jc w:val="center"/>
              <w:rPr>
                <w:rFonts w:hint="eastAsia" w:ascii="宋体" w:hAnsi="宋体" w:cs="宋体"/>
                <w:color w:val="auto"/>
                <w:sz w:val="22"/>
              </w:rPr>
            </w:pPr>
          </w:p>
        </w:tc>
        <w:tc>
          <w:tcPr>
            <w:tcW w:w="918" w:type="dxa"/>
            <w:tcBorders>
              <w:top w:val="single" w:color="000000" w:sz="4" w:space="0"/>
              <w:left w:val="single" w:color="000000" w:sz="4" w:space="0"/>
              <w:bottom w:val="single" w:color="000000" w:sz="4" w:space="0"/>
              <w:right w:val="single" w:color="000000" w:sz="8" w:space="0"/>
            </w:tcBorders>
            <w:vAlign w:val="center"/>
          </w:tcPr>
          <w:p w14:paraId="401075E7">
            <w:pPr>
              <w:spacing w:line="360" w:lineRule="auto"/>
              <w:jc w:val="center"/>
              <w:rPr>
                <w:rFonts w:hint="eastAsia" w:ascii="宋体" w:hAnsi="宋体" w:cs="宋体"/>
                <w:color w:val="auto"/>
                <w:sz w:val="22"/>
              </w:rPr>
            </w:pPr>
          </w:p>
        </w:tc>
      </w:tr>
    </w:tbl>
    <w:p w14:paraId="428A9CBD">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（二）本项目的其他要求：</w:t>
      </w:r>
    </w:p>
    <w:p w14:paraId="5AABDABF">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1.除委托人同意或要求更换外，咨询人不得擅自更换，如果跟踪审计项目人员不能胜任工作时，委托人有权要求更换具备相应技术水平的专业人员，且须提供重庆文理学院校内驻场服务，学校提供办公场地，工程量价核对地点由学校指定，食宿咨询人自理，所产生的费用包含在本次竞标报价中，咨询人驻场办公人员必须与竞标配置人员一致，否则合同解除，并承担由此造成的相关损失。咨询人根据工程项目进展情况派驻相应专业的驻场人员到施工现场进行咨询服务，每周驻场时间至少5天，周末及节假日须根据项目现场情况随时到场服务，特殊情况可向委托人请假；接受委托人对驻场人员的考勤检查，配合委托人做好考勤记录。</w:t>
      </w:r>
    </w:p>
    <w:p w14:paraId="0DF3B44C">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2、进度款审核及各项结算资料的审核签字确认时间须在本项目施工合同约定的时间内完成（非咨询人原因除外）。</w:t>
      </w:r>
    </w:p>
    <w:p w14:paraId="59587218">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3、根据工程项目需要，按委托人要求完成其他各项审核及咨询服务。</w:t>
      </w:r>
    </w:p>
    <w:p w14:paraId="311DDC2F">
      <w:pPr>
        <w:snapToGrid w:val="0"/>
        <w:spacing w:line="360" w:lineRule="auto"/>
        <w:ind w:firstLine="442" w:firstLineChars="200"/>
        <w:rPr>
          <w:rFonts w:hint="eastAsia" w:ascii="宋体" w:hAnsi="宋体" w:cs="宋体"/>
          <w:color w:val="auto"/>
          <w:sz w:val="22"/>
        </w:rPr>
      </w:pPr>
      <w:r>
        <w:rPr>
          <w:rFonts w:hint="eastAsia" w:ascii="宋体" w:hAnsi="宋体" w:cs="宋体"/>
          <w:b/>
          <w:color w:val="auto"/>
          <w:sz w:val="22"/>
        </w:rPr>
        <w:t>第三十六条</w:t>
      </w:r>
      <w:r>
        <w:rPr>
          <w:rFonts w:hint="eastAsia" w:ascii="宋体" w:hAnsi="宋体" w:cs="宋体"/>
          <w:color w:val="auto"/>
          <w:sz w:val="22"/>
        </w:rPr>
        <w:t xml:space="preserve">  委托人权利及责任。</w:t>
      </w:r>
    </w:p>
    <w:p w14:paraId="6194CC44">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（一）委托人权利</w:t>
      </w:r>
    </w:p>
    <w:p w14:paraId="246D3AB3">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1.咨询人派出人员不符合要求的，有权责令退回或通知受委托人重新指派；</w:t>
      </w:r>
    </w:p>
    <w:p w14:paraId="0D71B162">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2.咨询人与参建等单位有利害关系的，委托人有权要求其回避；</w:t>
      </w:r>
    </w:p>
    <w:p w14:paraId="5DAEB399">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3.委托人有权对咨询人派出人员进行出勤检查和廉政督导，并做好考勤记录。</w:t>
      </w:r>
    </w:p>
    <w:p w14:paraId="122CDADD">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4.复核和审定咨询人撰写的审计情况报告及单位工程造价审计结果；</w:t>
      </w:r>
    </w:p>
    <w:p w14:paraId="5DD50170">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5.委托有权通过第三方对咨询人审计结果进行抽检复审；</w:t>
      </w:r>
    </w:p>
    <w:p w14:paraId="4FA50585">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6.审计项目完成后，有权根据第三十九条第（一）款对咨询人派出人员的工作质量进行考评，并作为支付尾款的重要依据。</w:t>
      </w:r>
    </w:p>
    <w:p w14:paraId="08D1A55F">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（二）委托人义务</w:t>
      </w:r>
    </w:p>
    <w:p w14:paraId="6DC1F01F">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1.提供必要的工作条件；</w:t>
      </w:r>
    </w:p>
    <w:p w14:paraId="4425C175">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2.负责协调与被审计单位关系，督促施工及各参建等单位按约定时间提供审计业务所需全部资料；协助咨询人查看业务现场，并提供其他必要的协助；</w:t>
      </w:r>
    </w:p>
    <w:p w14:paraId="777B8A6E">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3.根据测评和考勤情况支付受委托人审计费。</w:t>
      </w:r>
    </w:p>
    <w:p w14:paraId="597A9180">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4.委托人指派项目负责人：</w:t>
      </w:r>
      <w:r>
        <w:rPr>
          <w:rFonts w:hint="eastAsia" w:ascii="宋体" w:hAnsi="宋体" w:cs="宋体"/>
          <w:color w:val="auto"/>
          <w:sz w:val="22"/>
          <w:u w:val="single"/>
        </w:rPr>
        <w:t xml:space="preserve">        </w:t>
      </w:r>
      <w:r>
        <w:rPr>
          <w:rFonts w:hint="eastAsia" w:ascii="宋体" w:hAnsi="宋体" w:cs="宋体"/>
          <w:color w:val="auto"/>
          <w:sz w:val="22"/>
        </w:rPr>
        <w:t xml:space="preserve"> ，专业技术负责人：</w:t>
      </w:r>
      <w:r>
        <w:rPr>
          <w:rFonts w:hint="eastAsia" w:ascii="宋体" w:hAnsi="宋体" w:cs="宋体"/>
          <w:color w:val="auto"/>
          <w:sz w:val="22"/>
          <w:u w:val="single"/>
        </w:rPr>
        <w:t xml:space="preserve">        </w:t>
      </w:r>
      <w:r>
        <w:rPr>
          <w:rFonts w:hint="eastAsia" w:ascii="宋体" w:hAnsi="宋体" w:cs="宋体"/>
          <w:color w:val="auto"/>
          <w:sz w:val="22"/>
        </w:rPr>
        <w:t>。</w:t>
      </w:r>
    </w:p>
    <w:p w14:paraId="4E2CB8EF">
      <w:pPr>
        <w:pStyle w:val="28"/>
        <w:spacing w:line="360" w:lineRule="auto"/>
        <w:ind w:firstLine="442" w:firstLineChars="200"/>
        <w:rPr>
          <w:rFonts w:hint="eastAsia" w:ascii="宋体" w:hAnsi="宋体" w:cs="宋体"/>
          <w:color w:val="auto"/>
          <w:sz w:val="22"/>
        </w:rPr>
      </w:pPr>
      <w:r>
        <w:rPr>
          <w:rFonts w:hint="eastAsia" w:ascii="宋体" w:hAnsi="宋体" w:cs="宋体"/>
          <w:b/>
          <w:color w:val="auto"/>
          <w:sz w:val="22"/>
        </w:rPr>
        <w:t>第三十七条</w:t>
      </w:r>
      <w:r>
        <w:rPr>
          <w:rFonts w:hint="eastAsia" w:ascii="宋体" w:hAnsi="宋体" w:cs="宋体"/>
          <w:color w:val="auto"/>
          <w:sz w:val="22"/>
        </w:rPr>
        <w:t xml:space="preserve">  咨询人权利及责任</w:t>
      </w:r>
    </w:p>
    <w:p w14:paraId="24BF9612">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（一）受委托人权利</w:t>
      </w:r>
    </w:p>
    <w:p w14:paraId="64ED03EF">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1.可以根据需要查阅与项目有关资料和文件，查看业务现场，要求委托人提供其他必要的协助；</w:t>
      </w:r>
    </w:p>
    <w:p w14:paraId="73BCC808">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2.有权如实向委托人反映审计中发现的问题并提出处理建议。</w:t>
      </w:r>
    </w:p>
    <w:p w14:paraId="2C52BD70">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3.咨询人指派的项目负责人和常驻现场工程师在EPC实施过程中的签字权限：在符合本项目施工合同约定的基础上，项目负责人或常驻现场工程师须定期参加监理例会及与工程项目有关的各项会议。项目负责人或常驻现场工程师需在包括但不限于会议纪要、工程量收方单、工程签证单、材料核价单、工程进度付款单、工程变更价款确认单、隐蔽工程收验方及索赔等资料上签字确认。</w:t>
      </w:r>
    </w:p>
    <w:p w14:paraId="7D3A4621">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（二）受委托人义务</w:t>
      </w:r>
    </w:p>
    <w:p w14:paraId="3FA15507">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1.保证派出人员严格依法审计，遵守国家审计法律、业务规范以及审计质量控制规范，执行审计“八不准”廉政纪律，遵守审计职业道德，保守审计所涉的国家秘密和商业秘密；</w:t>
      </w:r>
    </w:p>
    <w:p w14:paraId="2B47BCE5">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2.从事本工程审计工作的人员，必须具有相应的专业资格证书和业务能力；将跟踪审计项目审计人员配置表中的人员从业情况和专业资格证书复印件报委托人备案；</w:t>
      </w:r>
    </w:p>
    <w:p w14:paraId="7A265E60">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3.派出人员接受委托人工作安排、廉政督导和业务复核，按照《国家审计准则》的质量要求，保质保量、及时完成委托人所指派的审计工作，并对其审计结果的全面性、真实性、合法性负责；服务质量须符合委托人后期接受国家或重庆市基建方面的巡视、纪检、审计、中央资金审计等要求。跟踪审计报告的金额经学校委托社会中介机构进行最终结算审核，咨询人须确保结算审定金额与跟踪审计报告金额的审减率不超过5%（含5%），如审减率超过5％，按第三十九条第（一）款扣减审计费。</w:t>
      </w:r>
    </w:p>
    <w:p w14:paraId="2CFF8A21">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4.跟踪审计项目人员除委托人同意或要求更换外，咨询人不得擅自更换，且须提供重庆文理学院校内驻场服务，学校提供办公场地，食宿咨询人自理，所产生的费用包含在本次竞标报价中，咨询人驻场办公人员必须与跟踪审计项目审计人员配置表中的人员一致，否则合同解除，并承担由此造成的相关损失；咨询人根据工程项目进展情况派驻相应专业的驻场人员到施工现场进行咨询服务，每周驻场时间至少5天，周末及节假日须根据项目现场情况随时到场服务，特殊情况可向委托人请假；接受委托人对驻场人员的考勤检查，配合委托人做好考勤记录。</w:t>
      </w:r>
    </w:p>
    <w:p w14:paraId="6262D433">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5. 咨询人指派项目负责人：</w:t>
      </w:r>
      <w:r>
        <w:rPr>
          <w:rFonts w:hint="eastAsia" w:ascii="宋体" w:hAnsi="宋体" w:cs="宋体"/>
          <w:color w:val="auto"/>
          <w:sz w:val="22"/>
          <w:u w:val="single"/>
        </w:rPr>
        <w:t xml:space="preserve">       </w:t>
      </w:r>
      <w:r>
        <w:rPr>
          <w:rFonts w:hint="eastAsia" w:ascii="宋体" w:hAnsi="宋体" w:cs="宋体"/>
          <w:color w:val="auto"/>
          <w:sz w:val="22"/>
        </w:rPr>
        <w:t xml:space="preserve">，常驻现场工程师： </w:t>
      </w:r>
      <w:r>
        <w:rPr>
          <w:rFonts w:hint="eastAsia" w:ascii="宋体" w:hAnsi="宋体" w:cs="宋体"/>
          <w:color w:val="auto"/>
          <w:sz w:val="22"/>
          <w:u w:val="single"/>
        </w:rPr>
        <w:t xml:space="preserve">      </w:t>
      </w:r>
      <w:r>
        <w:rPr>
          <w:rFonts w:hint="eastAsia" w:ascii="宋体" w:hAnsi="宋体" w:cs="宋体"/>
          <w:color w:val="auto"/>
          <w:sz w:val="22"/>
        </w:rPr>
        <w:t xml:space="preserve"> 。</w:t>
      </w:r>
    </w:p>
    <w:p w14:paraId="04739BEC">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6.咨询人须对驻场人员的人身安全负全责，并为驻场人员购买安全保险。驻场人员在学校工作期间出现任何安全事故与委托人无关。</w:t>
      </w:r>
    </w:p>
    <w:p w14:paraId="623155B8">
      <w:pPr>
        <w:snapToGrid w:val="0"/>
        <w:spacing w:line="360" w:lineRule="auto"/>
        <w:ind w:firstLine="442" w:firstLineChars="200"/>
        <w:rPr>
          <w:rFonts w:hint="eastAsia" w:ascii="宋体" w:hAnsi="宋体" w:cs="宋体"/>
          <w:bCs/>
          <w:color w:val="auto"/>
          <w:sz w:val="22"/>
        </w:rPr>
      </w:pPr>
      <w:r>
        <w:rPr>
          <w:rFonts w:hint="eastAsia" w:ascii="宋体" w:hAnsi="宋体" w:cs="宋体"/>
          <w:b/>
          <w:color w:val="auto"/>
          <w:sz w:val="22"/>
        </w:rPr>
        <w:t xml:space="preserve">第三十八条 </w:t>
      </w:r>
      <w:r>
        <w:rPr>
          <w:rFonts w:hint="eastAsia" w:ascii="宋体" w:hAnsi="宋体" w:cs="宋体"/>
          <w:bCs/>
          <w:color w:val="auto"/>
          <w:sz w:val="22"/>
        </w:rPr>
        <w:t>咨询人在实施审计过程中，应遵守以下工作纪律：</w:t>
      </w:r>
    </w:p>
    <w:p w14:paraId="19B25B66">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1.严格遵守国家法律、法规，依法审计；</w:t>
      </w:r>
    </w:p>
    <w:p w14:paraId="6A690C94">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2.办理审计事项，与被审计单位或者审计事项有利害关系的，应当回避；</w:t>
      </w:r>
    </w:p>
    <w:p w14:paraId="5B147044">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3.对在执行审计任务中知悉的被审计单位不宜公开的事项，负有保密责任。</w:t>
      </w:r>
    </w:p>
    <w:p w14:paraId="3A23CD20">
      <w:pPr>
        <w:snapToGrid w:val="0"/>
        <w:spacing w:line="360" w:lineRule="auto"/>
        <w:ind w:firstLine="442" w:firstLineChars="200"/>
        <w:rPr>
          <w:rFonts w:hint="eastAsia" w:ascii="宋体" w:hAnsi="宋体" w:cs="宋体"/>
          <w:color w:val="auto"/>
          <w:sz w:val="22"/>
        </w:rPr>
      </w:pPr>
      <w:r>
        <w:rPr>
          <w:rFonts w:hint="eastAsia" w:ascii="宋体" w:hAnsi="宋体" w:cs="宋体"/>
          <w:b/>
          <w:color w:val="auto"/>
          <w:sz w:val="22"/>
        </w:rPr>
        <w:t>第三十九条</w:t>
      </w:r>
      <w:r>
        <w:rPr>
          <w:rFonts w:hint="eastAsia" w:ascii="宋体" w:hAnsi="宋体" w:cs="宋体"/>
          <w:color w:val="auto"/>
          <w:sz w:val="22"/>
        </w:rPr>
        <w:t xml:space="preserve"> 造价咨询服务费（审计费）的计算与支付方式。</w:t>
      </w:r>
    </w:p>
    <w:p w14:paraId="0A811819">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（一）受委托人有下列情形之一的，依本合同的约定扣减受委托人本项目总审计费的20%的审计报酬：</w:t>
      </w:r>
    </w:p>
    <w:p w14:paraId="158637E6">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（1）审核程序不规范，审核报告严重失实，审核结论不准确，存在严重审计质量问题，且拒绝进行重新审核或纠正；</w:t>
      </w:r>
    </w:p>
    <w:p w14:paraId="591B2A9A">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（2）本项目跟踪审计结果的金额经学校委托社会中介机构进行最终结算审核，审减率超过5%的（不含5%）；</w:t>
      </w:r>
    </w:p>
    <w:p w14:paraId="023E2AB1">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（3）隐瞒审计发现的问题，存在应披露而未披露的重大事项等重大错漏；</w:t>
      </w:r>
    </w:p>
    <w:p w14:paraId="25F88C7D">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（4）利用受聘工作拉业务或从被审计单位获取不正当利益的；</w:t>
      </w:r>
    </w:p>
    <w:p w14:paraId="4B325621">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（5）拒绝接受审计机关指导和监督的；</w:t>
      </w:r>
    </w:p>
    <w:p w14:paraId="651EFBBD">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（6）现场工作的考勤情况与合同约定不符的；</w:t>
      </w:r>
    </w:p>
    <w:p w14:paraId="70AC7400">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（7）不履行合同规定的其他义务的。</w:t>
      </w:r>
    </w:p>
    <w:p w14:paraId="22EB04E2">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（二）造价咨询服务费（审计费）计取方式</w:t>
      </w:r>
    </w:p>
    <w:p w14:paraId="2D2726B2">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本工程跟踪审计费按建设单位（基建后勤处）复核后的送审结算造价乘以竞标固定费率（即：  %）进行结算。</w:t>
      </w:r>
    </w:p>
    <w:p w14:paraId="52045746">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（三）造价咨询服务费支付方式</w:t>
      </w:r>
    </w:p>
    <w:p w14:paraId="0B9505C1">
      <w:pPr>
        <w:snapToGrid w:val="0"/>
        <w:spacing w:line="360" w:lineRule="auto"/>
        <w:ind w:firstLine="440" w:firstLineChars="200"/>
        <w:rPr>
          <w:rFonts w:ascii="宋体" w:hAnsi="宋体" w:cs="宋体"/>
          <w:color w:val="auto"/>
          <w:sz w:val="22"/>
        </w:rPr>
      </w:pPr>
      <w:r>
        <w:rPr>
          <w:rFonts w:hint="eastAsia" w:ascii="宋体" w:hAnsi="宋体" w:cs="宋体"/>
          <w:color w:val="auto"/>
          <w:sz w:val="22"/>
        </w:rPr>
        <w:t>本工程采用分期付款方式支付审计费，主体结构封顶后10日内支付投标报价的审计费的20%，竣工验收合格后10日内支付投标报价的审计费的30%，学校于审核报告接收之日起15个工作日内付至最终咨询服务费的80%，余下的20%根据第三十九条第（一）款约定的考核情况支付，考核不合格则不予支付。</w:t>
      </w:r>
    </w:p>
    <w:p w14:paraId="554A6AA6">
      <w:pPr>
        <w:snapToGrid w:val="0"/>
        <w:spacing w:line="360" w:lineRule="auto"/>
        <w:ind w:firstLine="440" w:firstLineChars="200"/>
        <w:rPr>
          <w:rFonts w:hint="eastAsia" w:ascii="宋体" w:hAnsi="宋体" w:cs="宋体"/>
          <w:color w:val="auto"/>
          <w:sz w:val="22"/>
          <w:u w:val="single"/>
        </w:rPr>
      </w:pPr>
      <w:r>
        <w:rPr>
          <w:rFonts w:hint="eastAsia" w:ascii="宋体" w:hAnsi="宋体" w:cs="宋体"/>
          <w:color w:val="auto"/>
          <w:sz w:val="22"/>
        </w:rPr>
        <w:t>注：投标报价=工程总承包EPC中标金额X投标费率</w:t>
      </w:r>
    </w:p>
    <w:p w14:paraId="6F0A711C">
      <w:pPr>
        <w:adjustRightInd w:val="0"/>
        <w:snapToGrid w:val="0"/>
        <w:spacing w:line="360" w:lineRule="auto"/>
        <w:ind w:firstLine="440" w:firstLineChars="200"/>
        <w:rPr>
          <w:rFonts w:hint="eastAsia" w:ascii="宋体" w:hAnsi="宋体" w:cs="宋体"/>
          <w:bCs/>
          <w:color w:val="auto"/>
          <w:sz w:val="22"/>
        </w:rPr>
      </w:pPr>
      <w:r>
        <w:rPr>
          <w:rFonts w:hint="eastAsia" w:ascii="宋体" w:hAnsi="宋体" w:cs="宋体"/>
          <w:bCs/>
          <w:color w:val="auto"/>
          <w:sz w:val="22"/>
        </w:rPr>
        <w:t>（四）履约保证金</w:t>
      </w:r>
    </w:p>
    <w:p w14:paraId="7EA2419E">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 xml:space="preserve">1.履约保证金的形式：银行转账或保函，采用保函形式的，保函必须为不可撤销且见索即付。 </w:t>
      </w:r>
    </w:p>
    <w:p w14:paraId="31BC53BE">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2.履约担保的金额：壹万元整。</w:t>
      </w:r>
    </w:p>
    <w:p w14:paraId="20E577EB">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3.履约担保的提交时间：接到中标通知书5日内提交至委托人指定账户。如果咨询人未能按规定要求提交履约担保，则委托人有权取消其成交资格。</w:t>
      </w:r>
    </w:p>
    <w:p w14:paraId="1E362852">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4.履约担保的退还时间：在项目跟踪审计完成且通过考核后30天内无息退还。</w:t>
      </w:r>
    </w:p>
    <w:p w14:paraId="1EB5A33D">
      <w:pPr>
        <w:adjustRightInd w:val="0"/>
        <w:snapToGrid w:val="0"/>
        <w:spacing w:line="360" w:lineRule="auto"/>
        <w:ind w:firstLine="442" w:firstLineChars="200"/>
        <w:rPr>
          <w:rFonts w:hint="eastAsia" w:ascii="宋体" w:hAnsi="宋体" w:cs="宋体"/>
          <w:color w:val="auto"/>
          <w:sz w:val="22"/>
        </w:rPr>
      </w:pPr>
      <w:r>
        <w:rPr>
          <w:rFonts w:hint="eastAsia" w:ascii="宋体" w:hAnsi="宋体" w:cs="宋体"/>
          <w:b/>
          <w:color w:val="auto"/>
          <w:sz w:val="22"/>
        </w:rPr>
        <w:t>第四十条</w:t>
      </w:r>
      <w:r>
        <w:rPr>
          <w:rFonts w:hint="eastAsia" w:ascii="宋体" w:hAnsi="宋体" w:cs="宋体"/>
          <w:color w:val="auto"/>
          <w:sz w:val="22"/>
        </w:rPr>
        <w:t xml:space="preserve">  双方同意用</w:t>
      </w:r>
      <w:r>
        <w:rPr>
          <w:rFonts w:hint="eastAsia" w:ascii="宋体" w:hAnsi="宋体" w:cs="宋体"/>
          <w:color w:val="auto"/>
          <w:sz w:val="22"/>
          <w:u w:val="single"/>
        </w:rPr>
        <w:t xml:space="preserve">   人民币  </w:t>
      </w:r>
      <w:r>
        <w:rPr>
          <w:rFonts w:hint="eastAsia" w:ascii="宋体" w:hAnsi="宋体" w:cs="宋体"/>
          <w:color w:val="auto"/>
          <w:sz w:val="22"/>
        </w:rPr>
        <w:t>支付酬金，按</w:t>
      </w:r>
      <w:r>
        <w:rPr>
          <w:rFonts w:hint="eastAsia" w:ascii="宋体" w:hAnsi="宋体" w:cs="宋体"/>
          <w:color w:val="auto"/>
          <w:sz w:val="22"/>
          <w:u w:val="single"/>
        </w:rPr>
        <w:t xml:space="preserve">    /     </w:t>
      </w:r>
      <w:r>
        <w:rPr>
          <w:rFonts w:hint="eastAsia" w:ascii="宋体" w:hAnsi="宋体" w:cs="宋体"/>
          <w:color w:val="auto"/>
          <w:sz w:val="22"/>
        </w:rPr>
        <w:t>汇率计付。</w:t>
      </w:r>
    </w:p>
    <w:p w14:paraId="39441FA5">
      <w:pPr>
        <w:pStyle w:val="28"/>
        <w:adjustRightInd w:val="0"/>
        <w:snapToGrid w:val="0"/>
        <w:spacing w:line="360" w:lineRule="auto"/>
        <w:ind w:firstLine="442" w:firstLineChars="200"/>
        <w:jc w:val="left"/>
        <w:rPr>
          <w:rFonts w:hint="eastAsia" w:ascii="宋体" w:hAnsi="宋体" w:cs="宋体"/>
          <w:color w:val="auto"/>
          <w:sz w:val="22"/>
        </w:rPr>
      </w:pPr>
      <w:r>
        <w:rPr>
          <w:rFonts w:hint="eastAsia" w:ascii="宋体" w:hAnsi="宋体" w:cs="宋体"/>
          <w:b/>
          <w:color w:val="auto"/>
          <w:sz w:val="22"/>
        </w:rPr>
        <w:t>第四十一条</w:t>
      </w:r>
      <w:r>
        <w:rPr>
          <w:rFonts w:hint="eastAsia" w:ascii="宋体" w:hAnsi="宋体" w:cs="宋体"/>
          <w:color w:val="auto"/>
          <w:sz w:val="22"/>
        </w:rPr>
        <w:t xml:space="preserve">  咨询人未能全面有效履行合同约定的义务，有下列情形之一的，委托人有权终止合同。</w:t>
      </w:r>
    </w:p>
    <w:p w14:paraId="057ED789">
      <w:pPr>
        <w:pStyle w:val="28"/>
        <w:adjustRightInd w:val="0"/>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（一）有可能影响委托业务公正履行，按有关规定应当回避而未自行回避的；</w:t>
      </w:r>
    </w:p>
    <w:p w14:paraId="6E1F4708">
      <w:pPr>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（二）违规违纪行为的，违反职业道德、弄虚作假、串通作弊、有损委托人利益的，或者与被审计单位串通舞弊的；</w:t>
      </w:r>
    </w:p>
    <w:p w14:paraId="40F4FAD0">
      <w:pPr>
        <w:pStyle w:val="28"/>
        <w:adjustRightInd w:val="0"/>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（三）擅自将受托审核业务委托给第三方；</w:t>
      </w:r>
    </w:p>
    <w:p w14:paraId="1146CF9D">
      <w:pPr>
        <w:pStyle w:val="28"/>
        <w:adjustRightInd w:val="0"/>
        <w:snapToGrid w:val="0"/>
        <w:spacing w:line="360" w:lineRule="auto"/>
        <w:ind w:firstLine="440" w:firstLineChars="200"/>
        <w:jc w:val="left"/>
        <w:rPr>
          <w:rFonts w:hint="eastAsia" w:ascii="宋体" w:hAnsi="宋体" w:cs="宋体"/>
          <w:color w:val="auto"/>
          <w:sz w:val="22"/>
        </w:rPr>
      </w:pPr>
      <w:r>
        <w:rPr>
          <w:rFonts w:hint="eastAsia" w:ascii="宋体" w:hAnsi="宋体" w:cs="宋体"/>
          <w:color w:val="auto"/>
          <w:sz w:val="22"/>
        </w:rPr>
        <w:t>（四）其他有损委托方利益的行为。</w:t>
      </w:r>
    </w:p>
    <w:p w14:paraId="6497698A">
      <w:pPr>
        <w:adjustRightInd w:val="0"/>
        <w:snapToGrid w:val="0"/>
        <w:spacing w:line="360" w:lineRule="auto"/>
        <w:ind w:firstLine="442" w:firstLineChars="200"/>
        <w:rPr>
          <w:rFonts w:hint="eastAsia" w:ascii="宋体" w:hAnsi="宋体" w:cs="宋体"/>
          <w:color w:val="auto"/>
          <w:sz w:val="22"/>
        </w:rPr>
      </w:pPr>
      <w:r>
        <w:rPr>
          <w:rFonts w:hint="eastAsia" w:ascii="宋体" w:hAnsi="宋体" w:cs="宋体"/>
          <w:b/>
          <w:color w:val="auto"/>
          <w:sz w:val="22"/>
        </w:rPr>
        <w:t>第四十二条</w:t>
      </w:r>
      <w:r>
        <w:rPr>
          <w:rFonts w:hint="eastAsia" w:ascii="宋体" w:hAnsi="宋体" w:cs="宋体"/>
          <w:color w:val="auto"/>
          <w:sz w:val="22"/>
        </w:rPr>
        <w:t xml:space="preserve">  建设工程造价咨询合同在履行过程中发生争议，委托人与咨询人应及时协商解决；如未能达成一致，可提交有关主管部门调解；协商或调解不成的，按下列第</w:t>
      </w:r>
      <w:r>
        <w:rPr>
          <w:rFonts w:hint="eastAsia" w:ascii="宋体" w:hAnsi="宋体" w:cs="宋体"/>
          <w:color w:val="auto"/>
          <w:sz w:val="22"/>
          <w:u w:val="single"/>
        </w:rPr>
        <w:t xml:space="preserve">  （二） </w:t>
      </w:r>
      <w:r>
        <w:rPr>
          <w:rFonts w:hint="eastAsia" w:ascii="宋体" w:hAnsi="宋体" w:cs="宋体"/>
          <w:color w:val="auto"/>
          <w:sz w:val="22"/>
        </w:rPr>
        <w:t>种方式解决：</w:t>
      </w:r>
    </w:p>
    <w:p w14:paraId="1FB8B31E">
      <w:pPr>
        <w:adjustRightInd w:val="0"/>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（一）提交</w:t>
      </w:r>
      <w:r>
        <w:rPr>
          <w:rFonts w:hint="eastAsia" w:ascii="宋体" w:hAnsi="宋体" w:cs="宋体"/>
          <w:color w:val="auto"/>
          <w:sz w:val="22"/>
          <w:u w:val="single"/>
        </w:rPr>
        <w:t xml:space="preserve">       /     </w:t>
      </w:r>
      <w:r>
        <w:rPr>
          <w:rFonts w:hint="eastAsia" w:ascii="宋体" w:hAnsi="宋体" w:cs="宋体"/>
          <w:color w:val="auto"/>
          <w:sz w:val="22"/>
        </w:rPr>
        <w:t>仲裁委员会仲裁；</w:t>
      </w:r>
    </w:p>
    <w:p w14:paraId="0BBC5387">
      <w:pPr>
        <w:adjustRightInd w:val="0"/>
        <w:snapToGrid w:val="0"/>
        <w:spacing w:line="360" w:lineRule="auto"/>
        <w:ind w:firstLine="440" w:firstLineChars="200"/>
        <w:rPr>
          <w:rFonts w:hint="eastAsia" w:ascii="宋体" w:hAnsi="宋体" w:cs="宋体"/>
          <w:color w:val="auto"/>
          <w:sz w:val="22"/>
        </w:rPr>
      </w:pPr>
      <w:r>
        <w:rPr>
          <w:rFonts w:hint="eastAsia" w:ascii="宋体" w:hAnsi="宋体" w:cs="宋体"/>
          <w:color w:val="auto"/>
          <w:sz w:val="22"/>
        </w:rPr>
        <w:t>（二）依法向委托人所在地人民法院起诉。</w:t>
      </w:r>
    </w:p>
    <w:p w14:paraId="52DD1C69">
      <w:pPr>
        <w:spacing w:line="500" w:lineRule="exact"/>
        <w:rPr>
          <w:rFonts w:hint="eastAsia" w:ascii="宋体" w:hAnsi="宋体" w:cs="宋体"/>
          <w:color w:val="auto"/>
          <w:szCs w:val="28"/>
        </w:rPr>
      </w:pPr>
    </w:p>
    <w:p w14:paraId="0797D518">
      <w:pPr>
        <w:pStyle w:val="28"/>
        <w:rPr>
          <w:rFonts w:hint="eastAsia" w:ascii="宋体" w:hAnsi="宋体" w:cs="宋体"/>
          <w:color w:val="auto"/>
          <w:szCs w:val="28"/>
        </w:rPr>
      </w:pPr>
    </w:p>
    <w:p w14:paraId="66D6B13D">
      <w:pPr>
        <w:rPr>
          <w:rFonts w:hint="eastAsia" w:ascii="宋体" w:hAnsi="宋体" w:cs="宋体"/>
          <w:color w:val="auto"/>
          <w:szCs w:val="28"/>
        </w:rPr>
      </w:pPr>
    </w:p>
    <w:p w14:paraId="555A61DA">
      <w:pPr>
        <w:pStyle w:val="28"/>
        <w:rPr>
          <w:rFonts w:hint="eastAsia" w:ascii="宋体" w:hAnsi="宋体" w:cs="宋体"/>
          <w:color w:val="auto"/>
          <w:szCs w:val="28"/>
        </w:rPr>
      </w:pPr>
    </w:p>
    <w:p w14:paraId="0768C93B">
      <w:pPr>
        <w:rPr>
          <w:rFonts w:hint="eastAsia" w:ascii="宋体" w:hAnsi="宋体" w:cs="宋体"/>
          <w:color w:val="auto"/>
          <w:szCs w:val="28"/>
        </w:rPr>
      </w:pPr>
    </w:p>
    <w:p w14:paraId="59FC9886">
      <w:pPr>
        <w:pStyle w:val="28"/>
        <w:rPr>
          <w:rFonts w:hint="eastAsia" w:ascii="宋体" w:hAnsi="宋体" w:cs="宋体"/>
          <w:color w:val="auto"/>
          <w:szCs w:val="28"/>
        </w:rPr>
      </w:pPr>
    </w:p>
    <w:p w14:paraId="4A744072">
      <w:pPr>
        <w:rPr>
          <w:rFonts w:hint="eastAsia" w:ascii="宋体" w:hAnsi="宋体" w:cs="宋体"/>
          <w:color w:val="auto"/>
          <w:szCs w:val="28"/>
        </w:rPr>
      </w:pPr>
    </w:p>
    <w:p w14:paraId="68D9213D">
      <w:pPr>
        <w:pStyle w:val="28"/>
        <w:rPr>
          <w:rFonts w:hint="eastAsia" w:ascii="宋体" w:hAnsi="宋体" w:cs="宋体"/>
          <w:color w:val="auto"/>
          <w:szCs w:val="28"/>
        </w:rPr>
      </w:pPr>
    </w:p>
    <w:p w14:paraId="6CDD1A77">
      <w:pPr>
        <w:rPr>
          <w:rFonts w:hint="eastAsia" w:ascii="宋体" w:hAnsi="宋体" w:cs="宋体"/>
          <w:color w:val="auto"/>
          <w:szCs w:val="28"/>
        </w:rPr>
      </w:pPr>
    </w:p>
    <w:p w14:paraId="794D4A5A">
      <w:pPr>
        <w:pStyle w:val="28"/>
        <w:rPr>
          <w:rFonts w:hint="eastAsia" w:ascii="宋体" w:hAnsi="宋体" w:cs="宋体"/>
          <w:color w:val="auto"/>
          <w:szCs w:val="28"/>
        </w:rPr>
      </w:pPr>
    </w:p>
    <w:p w14:paraId="252A5A1B">
      <w:pPr>
        <w:rPr>
          <w:rFonts w:hint="eastAsia" w:ascii="宋体" w:hAnsi="宋体" w:cs="宋体"/>
          <w:color w:val="auto"/>
          <w:szCs w:val="28"/>
        </w:rPr>
      </w:pPr>
    </w:p>
    <w:p w14:paraId="64CF7794">
      <w:pPr>
        <w:pStyle w:val="28"/>
        <w:rPr>
          <w:rFonts w:hint="eastAsia" w:ascii="宋体" w:hAnsi="宋体" w:cs="宋体"/>
          <w:color w:val="auto"/>
          <w:szCs w:val="28"/>
        </w:rPr>
      </w:pPr>
    </w:p>
    <w:p w14:paraId="062B4455">
      <w:pPr>
        <w:rPr>
          <w:rFonts w:hint="eastAsia" w:ascii="宋体" w:hAnsi="宋体" w:cs="宋体"/>
          <w:color w:val="auto"/>
          <w:szCs w:val="28"/>
        </w:rPr>
      </w:pPr>
    </w:p>
    <w:p w14:paraId="44E92302">
      <w:pPr>
        <w:pStyle w:val="28"/>
        <w:rPr>
          <w:rFonts w:hint="eastAsia" w:ascii="宋体" w:hAnsi="宋体" w:cs="宋体"/>
          <w:color w:val="auto"/>
          <w:szCs w:val="28"/>
        </w:rPr>
      </w:pPr>
    </w:p>
    <w:p w14:paraId="3EF0CB0F">
      <w:pPr>
        <w:rPr>
          <w:rFonts w:hint="eastAsia" w:ascii="宋体" w:hAnsi="宋体" w:cs="宋体"/>
          <w:color w:val="auto"/>
          <w:szCs w:val="28"/>
        </w:rPr>
      </w:pPr>
    </w:p>
    <w:bookmarkEnd w:id="444"/>
    <w:bookmarkEnd w:id="445"/>
    <w:bookmarkEnd w:id="446"/>
    <w:bookmarkEnd w:id="447"/>
    <w:bookmarkEnd w:id="457"/>
    <w:p w14:paraId="36AAD54B">
      <w:pPr>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br w:type="page"/>
      </w:r>
    </w:p>
    <w:p w14:paraId="52C565BA">
      <w:pPr>
        <w:spacing w:line="400" w:lineRule="exact"/>
        <w:ind w:firstLine="440"/>
        <w:jc w:val="center"/>
        <w:rPr>
          <w:rFonts w:hint="eastAsia" w:asciiTheme="minorEastAsia" w:hAnsiTheme="minorEastAsia" w:eastAsiaTheme="minorEastAsia"/>
          <w:color w:val="auto"/>
          <w:sz w:val="22"/>
          <w:szCs w:val="24"/>
        </w:rPr>
      </w:pPr>
    </w:p>
    <w:p w14:paraId="79DC7558">
      <w:pPr>
        <w:pStyle w:val="2"/>
        <w:spacing w:before="0" w:after="0" w:line="360" w:lineRule="auto"/>
        <w:ind w:firstLine="964"/>
        <w:jc w:val="center"/>
        <w:rPr>
          <w:rFonts w:hint="eastAsia" w:ascii="宋体" w:hAnsi="宋体"/>
          <w:color w:val="auto"/>
          <w:sz w:val="48"/>
          <w:szCs w:val="21"/>
        </w:rPr>
      </w:pPr>
      <w:bookmarkStart w:id="458" w:name="_Toc57820646"/>
      <w:bookmarkStart w:id="459" w:name="_Toc20225"/>
      <w:bookmarkStart w:id="460" w:name="_Toc430530528"/>
      <w:bookmarkStart w:id="461" w:name="_Toc534185829"/>
      <w:bookmarkStart w:id="462" w:name="_Toc509218852"/>
      <w:r>
        <w:rPr>
          <w:rFonts w:hint="eastAsia" w:ascii="宋体" w:hAnsi="宋体"/>
          <w:color w:val="auto"/>
          <w:sz w:val="48"/>
          <w:szCs w:val="21"/>
        </w:rPr>
        <w:t>第五章  竞标文件格式</w:t>
      </w:r>
      <w:bookmarkEnd w:id="458"/>
      <w:bookmarkEnd w:id="459"/>
      <w:bookmarkEnd w:id="460"/>
      <w:bookmarkEnd w:id="461"/>
      <w:bookmarkEnd w:id="462"/>
    </w:p>
    <w:p w14:paraId="198EBCF0">
      <w:pPr>
        <w:widowControl/>
        <w:ind w:firstLine="440"/>
        <w:jc w:val="left"/>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br w:type="page"/>
      </w:r>
    </w:p>
    <w:p w14:paraId="13F3025B">
      <w:pPr>
        <w:spacing w:line="360" w:lineRule="auto"/>
        <w:ind w:firstLine="720"/>
        <w:jc w:val="center"/>
        <w:outlineLvl w:val="1"/>
        <w:rPr>
          <w:rFonts w:hint="eastAsia" w:ascii="宋体" w:hAnsi="宋体"/>
          <w:color w:val="auto"/>
          <w:kern w:val="0"/>
          <w:sz w:val="36"/>
          <w:szCs w:val="36"/>
          <w:u w:val="single"/>
        </w:rPr>
      </w:pPr>
    </w:p>
    <w:p w14:paraId="6CAE1541">
      <w:pPr>
        <w:spacing w:line="360" w:lineRule="auto"/>
        <w:ind w:firstLine="720"/>
        <w:jc w:val="center"/>
        <w:outlineLvl w:val="1"/>
        <w:rPr>
          <w:rFonts w:hint="eastAsia" w:ascii="宋体" w:hAnsi="宋体"/>
          <w:color w:val="auto"/>
          <w:kern w:val="0"/>
          <w:sz w:val="36"/>
          <w:szCs w:val="36"/>
        </w:rPr>
      </w:pPr>
      <w:r>
        <w:rPr>
          <w:rFonts w:hint="eastAsia" w:ascii="宋体" w:hAnsi="宋体"/>
          <w:color w:val="auto"/>
          <w:kern w:val="0"/>
          <w:sz w:val="36"/>
          <w:szCs w:val="36"/>
          <w:u w:val="single"/>
        </w:rPr>
        <w:t xml:space="preserve">                   </w:t>
      </w:r>
      <w:bookmarkStart w:id="463" w:name="_Toc21629"/>
      <w:bookmarkStart w:id="464" w:name="_Toc104380782"/>
      <w:bookmarkStart w:id="465" w:name="_Toc30270"/>
      <w:bookmarkStart w:id="466" w:name="_Toc104380568"/>
      <w:bookmarkStart w:id="467" w:name="_Toc104380676"/>
      <w:bookmarkStart w:id="468" w:name="_Toc9592"/>
      <w:r>
        <w:rPr>
          <w:rFonts w:hint="eastAsia" w:ascii="宋体" w:hAnsi="宋体"/>
          <w:color w:val="auto"/>
          <w:kern w:val="0"/>
          <w:sz w:val="36"/>
          <w:szCs w:val="36"/>
          <w:u w:val="single"/>
        </w:rPr>
        <w:t>（项目名称）</w:t>
      </w:r>
      <w:bookmarkEnd w:id="463"/>
      <w:bookmarkEnd w:id="464"/>
      <w:bookmarkEnd w:id="465"/>
      <w:bookmarkEnd w:id="466"/>
      <w:bookmarkEnd w:id="467"/>
      <w:bookmarkEnd w:id="468"/>
    </w:p>
    <w:p w14:paraId="6D72414B">
      <w:pPr>
        <w:tabs>
          <w:tab w:val="left" w:pos="3600"/>
          <w:tab w:val="left" w:pos="4480"/>
          <w:tab w:val="left" w:pos="5360"/>
        </w:tabs>
        <w:autoSpaceDE w:val="0"/>
        <w:autoSpaceDN w:val="0"/>
        <w:adjustRightInd w:val="0"/>
        <w:snapToGrid w:val="0"/>
        <w:spacing w:line="360" w:lineRule="auto"/>
        <w:ind w:firstLine="960"/>
        <w:jc w:val="left"/>
        <w:rPr>
          <w:rFonts w:hint="eastAsia" w:ascii="宋体" w:hAnsi="宋体"/>
          <w:color w:val="auto"/>
          <w:kern w:val="0"/>
          <w:sz w:val="48"/>
          <w:szCs w:val="48"/>
        </w:rPr>
      </w:pPr>
    </w:p>
    <w:p w14:paraId="533FBCA0">
      <w:pPr>
        <w:tabs>
          <w:tab w:val="left" w:pos="3600"/>
          <w:tab w:val="left" w:pos="4480"/>
          <w:tab w:val="left" w:pos="5360"/>
        </w:tabs>
        <w:autoSpaceDE w:val="0"/>
        <w:autoSpaceDN w:val="0"/>
        <w:adjustRightInd w:val="0"/>
        <w:snapToGrid w:val="0"/>
        <w:spacing w:line="360" w:lineRule="auto"/>
        <w:ind w:firstLine="960"/>
        <w:jc w:val="left"/>
        <w:rPr>
          <w:rFonts w:hint="eastAsia" w:ascii="宋体" w:hAnsi="宋体"/>
          <w:color w:val="auto"/>
          <w:kern w:val="0"/>
          <w:sz w:val="48"/>
          <w:szCs w:val="48"/>
        </w:rPr>
      </w:pPr>
    </w:p>
    <w:p w14:paraId="4F3432FF">
      <w:pPr>
        <w:tabs>
          <w:tab w:val="left" w:pos="3600"/>
          <w:tab w:val="left" w:pos="4480"/>
          <w:tab w:val="left" w:pos="5360"/>
        </w:tabs>
        <w:autoSpaceDE w:val="0"/>
        <w:autoSpaceDN w:val="0"/>
        <w:adjustRightInd w:val="0"/>
        <w:snapToGrid w:val="0"/>
        <w:spacing w:line="360" w:lineRule="auto"/>
        <w:ind w:firstLine="960"/>
        <w:jc w:val="left"/>
        <w:rPr>
          <w:rFonts w:hint="eastAsia" w:ascii="宋体" w:hAnsi="宋体"/>
          <w:color w:val="auto"/>
          <w:kern w:val="0"/>
          <w:sz w:val="48"/>
          <w:szCs w:val="48"/>
        </w:rPr>
      </w:pPr>
    </w:p>
    <w:p w14:paraId="2095378E">
      <w:pPr>
        <w:tabs>
          <w:tab w:val="left" w:pos="3600"/>
          <w:tab w:val="left" w:pos="4480"/>
          <w:tab w:val="left" w:pos="5360"/>
        </w:tabs>
        <w:autoSpaceDE w:val="0"/>
        <w:autoSpaceDN w:val="0"/>
        <w:adjustRightInd w:val="0"/>
        <w:snapToGrid w:val="0"/>
        <w:spacing w:line="360" w:lineRule="auto"/>
        <w:ind w:firstLine="960"/>
        <w:jc w:val="left"/>
        <w:rPr>
          <w:rFonts w:hint="eastAsia" w:ascii="宋体" w:hAnsi="宋体"/>
          <w:color w:val="auto"/>
          <w:kern w:val="0"/>
          <w:sz w:val="48"/>
          <w:szCs w:val="48"/>
        </w:rPr>
      </w:pPr>
    </w:p>
    <w:p w14:paraId="1781110A">
      <w:pPr>
        <w:tabs>
          <w:tab w:val="left" w:pos="3600"/>
          <w:tab w:val="left" w:pos="4480"/>
          <w:tab w:val="left" w:pos="5360"/>
        </w:tabs>
        <w:autoSpaceDE w:val="0"/>
        <w:autoSpaceDN w:val="0"/>
        <w:adjustRightInd w:val="0"/>
        <w:snapToGrid w:val="0"/>
        <w:spacing w:line="360" w:lineRule="auto"/>
        <w:jc w:val="center"/>
        <w:rPr>
          <w:rFonts w:hint="eastAsia" w:ascii="宋体" w:hAnsi="宋体"/>
          <w:color w:val="auto"/>
          <w:kern w:val="0"/>
          <w:sz w:val="96"/>
          <w:szCs w:val="96"/>
        </w:rPr>
      </w:pPr>
      <w:r>
        <w:rPr>
          <w:rFonts w:hint="eastAsia" w:ascii="宋体" w:hAnsi="宋体"/>
          <w:color w:val="auto"/>
          <w:kern w:val="0"/>
          <w:sz w:val="96"/>
          <w:szCs w:val="96"/>
        </w:rPr>
        <w:t>竞 标 文 件</w:t>
      </w:r>
    </w:p>
    <w:p w14:paraId="4D7766ED">
      <w:pPr>
        <w:autoSpaceDE w:val="0"/>
        <w:autoSpaceDN w:val="0"/>
        <w:adjustRightInd w:val="0"/>
        <w:snapToGrid w:val="0"/>
        <w:spacing w:line="360" w:lineRule="auto"/>
        <w:ind w:firstLine="360"/>
        <w:jc w:val="left"/>
        <w:rPr>
          <w:rFonts w:hint="eastAsia" w:ascii="宋体" w:hAnsi="宋体"/>
          <w:color w:val="auto"/>
          <w:kern w:val="0"/>
          <w:sz w:val="18"/>
          <w:szCs w:val="18"/>
        </w:rPr>
      </w:pPr>
    </w:p>
    <w:p w14:paraId="78B47812">
      <w:pPr>
        <w:autoSpaceDE w:val="0"/>
        <w:autoSpaceDN w:val="0"/>
        <w:adjustRightInd w:val="0"/>
        <w:snapToGrid w:val="0"/>
        <w:spacing w:line="360" w:lineRule="auto"/>
        <w:ind w:firstLine="422"/>
        <w:jc w:val="left"/>
        <w:rPr>
          <w:rFonts w:hint="eastAsia" w:ascii="宋体" w:hAnsi="宋体"/>
          <w:b/>
          <w:color w:val="auto"/>
          <w:kern w:val="0"/>
          <w:szCs w:val="21"/>
        </w:rPr>
      </w:pPr>
    </w:p>
    <w:p w14:paraId="3E6F52E9">
      <w:pPr>
        <w:autoSpaceDE w:val="0"/>
        <w:autoSpaceDN w:val="0"/>
        <w:adjustRightInd w:val="0"/>
        <w:snapToGrid w:val="0"/>
        <w:spacing w:line="360" w:lineRule="auto"/>
        <w:ind w:firstLine="422"/>
        <w:jc w:val="left"/>
        <w:rPr>
          <w:rFonts w:hint="eastAsia" w:ascii="宋体" w:hAnsi="宋体"/>
          <w:b/>
          <w:color w:val="auto"/>
          <w:kern w:val="0"/>
          <w:szCs w:val="21"/>
        </w:rPr>
      </w:pPr>
    </w:p>
    <w:p w14:paraId="4FCC7E99">
      <w:pPr>
        <w:autoSpaceDE w:val="0"/>
        <w:autoSpaceDN w:val="0"/>
        <w:adjustRightInd w:val="0"/>
        <w:snapToGrid w:val="0"/>
        <w:spacing w:line="360" w:lineRule="auto"/>
        <w:ind w:firstLine="422"/>
        <w:jc w:val="left"/>
        <w:rPr>
          <w:rFonts w:hint="eastAsia" w:ascii="宋体" w:hAnsi="宋体"/>
          <w:b/>
          <w:color w:val="auto"/>
          <w:kern w:val="0"/>
          <w:szCs w:val="21"/>
        </w:rPr>
      </w:pPr>
    </w:p>
    <w:p w14:paraId="73219822">
      <w:pPr>
        <w:autoSpaceDE w:val="0"/>
        <w:autoSpaceDN w:val="0"/>
        <w:adjustRightInd w:val="0"/>
        <w:snapToGrid w:val="0"/>
        <w:spacing w:line="360" w:lineRule="auto"/>
        <w:ind w:firstLine="422"/>
        <w:jc w:val="left"/>
        <w:rPr>
          <w:rFonts w:hint="eastAsia" w:ascii="宋体" w:hAnsi="宋体"/>
          <w:b/>
          <w:color w:val="auto"/>
          <w:kern w:val="0"/>
          <w:szCs w:val="21"/>
        </w:rPr>
      </w:pPr>
    </w:p>
    <w:p w14:paraId="6AD64769">
      <w:pPr>
        <w:autoSpaceDE w:val="0"/>
        <w:autoSpaceDN w:val="0"/>
        <w:adjustRightInd w:val="0"/>
        <w:snapToGrid w:val="0"/>
        <w:spacing w:line="360" w:lineRule="auto"/>
        <w:ind w:firstLine="422"/>
        <w:jc w:val="left"/>
        <w:rPr>
          <w:rFonts w:hint="eastAsia" w:ascii="宋体" w:hAnsi="宋体"/>
          <w:b/>
          <w:color w:val="auto"/>
          <w:kern w:val="0"/>
          <w:szCs w:val="21"/>
        </w:rPr>
      </w:pPr>
    </w:p>
    <w:p w14:paraId="397E791C">
      <w:pPr>
        <w:autoSpaceDE w:val="0"/>
        <w:autoSpaceDN w:val="0"/>
        <w:adjustRightInd w:val="0"/>
        <w:snapToGrid w:val="0"/>
        <w:spacing w:line="360" w:lineRule="auto"/>
        <w:ind w:firstLine="422"/>
        <w:jc w:val="left"/>
        <w:rPr>
          <w:rFonts w:hint="eastAsia" w:ascii="宋体" w:hAnsi="宋体"/>
          <w:b/>
          <w:color w:val="auto"/>
          <w:kern w:val="0"/>
          <w:szCs w:val="21"/>
        </w:rPr>
      </w:pPr>
    </w:p>
    <w:p w14:paraId="43F90BA7">
      <w:pPr>
        <w:autoSpaceDE w:val="0"/>
        <w:autoSpaceDN w:val="0"/>
        <w:adjustRightInd w:val="0"/>
        <w:snapToGrid w:val="0"/>
        <w:spacing w:line="360" w:lineRule="auto"/>
        <w:ind w:firstLine="422"/>
        <w:jc w:val="left"/>
        <w:rPr>
          <w:rFonts w:hint="eastAsia" w:ascii="宋体" w:hAnsi="宋体"/>
          <w:b/>
          <w:color w:val="auto"/>
          <w:kern w:val="0"/>
          <w:szCs w:val="21"/>
        </w:rPr>
      </w:pPr>
    </w:p>
    <w:p w14:paraId="4440CF66">
      <w:pPr>
        <w:autoSpaceDE w:val="0"/>
        <w:autoSpaceDN w:val="0"/>
        <w:adjustRightInd w:val="0"/>
        <w:snapToGrid w:val="0"/>
        <w:spacing w:line="360" w:lineRule="auto"/>
        <w:ind w:firstLine="422"/>
        <w:jc w:val="left"/>
        <w:rPr>
          <w:rFonts w:hint="eastAsia" w:ascii="宋体" w:hAnsi="宋体"/>
          <w:b/>
          <w:color w:val="auto"/>
          <w:kern w:val="0"/>
          <w:szCs w:val="21"/>
        </w:rPr>
      </w:pPr>
    </w:p>
    <w:p w14:paraId="05614BB5">
      <w:pPr>
        <w:autoSpaceDE w:val="0"/>
        <w:autoSpaceDN w:val="0"/>
        <w:adjustRightInd w:val="0"/>
        <w:snapToGrid w:val="0"/>
        <w:spacing w:line="360" w:lineRule="auto"/>
        <w:ind w:firstLine="422"/>
        <w:jc w:val="left"/>
        <w:rPr>
          <w:rFonts w:hint="eastAsia" w:ascii="宋体" w:hAnsi="宋体"/>
          <w:b/>
          <w:color w:val="auto"/>
          <w:kern w:val="0"/>
          <w:szCs w:val="21"/>
        </w:rPr>
      </w:pPr>
    </w:p>
    <w:p w14:paraId="00A21575">
      <w:pPr>
        <w:autoSpaceDE w:val="0"/>
        <w:autoSpaceDN w:val="0"/>
        <w:adjustRightInd w:val="0"/>
        <w:snapToGrid w:val="0"/>
        <w:spacing w:line="360" w:lineRule="auto"/>
        <w:ind w:firstLine="422"/>
        <w:jc w:val="left"/>
        <w:rPr>
          <w:rFonts w:hint="eastAsia" w:ascii="宋体" w:hAnsi="宋体"/>
          <w:b/>
          <w:color w:val="auto"/>
          <w:kern w:val="0"/>
          <w:szCs w:val="21"/>
        </w:rPr>
      </w:pPr>
    </w:p>
    <w:p w14:paraId="651DCD8B">
      <w:pPr>
        <w:tabs>
          <w:tab w:val="left" w:pos="6080"/>
          <w:tab w:val="left" w:pos="6640"/>
        </w:tabs>
        <w:autoSpaceDE w:val="0"/>
        <w:autoSpaceDN w:val="0"/>
        <w:adjustRightInd w:val="0"/>
        <w:snapToGrid w:val="0"/>
        <w:spacing w:after="120" w:afterLines="50" w:line="360" w:lineRule="auto"/>
        <w:ind w:firstLine="630"/>
        <w:jc w:val="center"/>
        <w:outlineLvl w:val="1"/>
        <w:rPr>
          <w:rFonts w:hint="eastAsia" w:ascii="宋体" w:hAnsi="宋体"/>
          <w:color w:val="auto"/>
          <w:w w:val="99"/>
          <w:kern w:val="0"/>
          <w:sz w:val="32"/>
          <w:szCs w:val="32"/>
        </w:rPr>
      </w:pPr>
      <w:bookmarkStart w:id="469" w:name="_Toc104380569"/>
      <w:bookmarkStart w:id="470" w:name="_Toc13754"/>
      <w:bookmarkStart w:id="471" w:name="_Toc7999"/>
      <w:bookmarkStart w:id="472" w:name="_Toc24079"/>
      <w:bookmarkStart w:id="473" w:name="_Toc104380677"/>
      <w:bookmarkStart w:id="474" w:name="_Toc32606"/>
      <w:bookmarkStart w:id="475" w:name="_Toc20024"/>
      <w:bookmarkStart w:id="476" w:name="_Toc104380783"/>
      <w:r>
        <w:rPr>
          <w:rFonts w:ascii="宋体" w:hAnsi="宋体"/>
          <w:color w:val="auto"/>
          <w:w w:val="99"/>
          <w:kern w:val="0"/>
          <w:sz w:val="32"/>
          <w:szCs w:val="32"/>
        </w:rPr>
        <w:t>竞标人</w:t>
      </w:r>
      <w:r>
        <w:rPr>
          <w:rFonts w:ascii="宋体" w:hAnsi="宋体"/>
          <w:color w:val="auto"/>
          <w:spacing w:val="1"/>
          <w:w w:val="99"/>
          <w:kern w:val="0"/>
          <w:sz w:val="32"/>
          <w:szCs w:val="32"/>
        </w:rPr>
        <w:t>：</w:t>
      </w:r>
      <w:r>
        <w:rPr>
          <w:rFonts w:ascii="宋体" w:hAnsi="宋体"/>
          <w:color w:val="auto"/>
          <w:w w:val="198"/>
          <w:kern w:val="0"/>
          <w:sz w:val="32"/>
          <w:szCs w:val="32"/>
          <w:u w:val="single"/>
        </w:rPr>
        <w:t xml:space="preserve"> 　　　　 　　</w:t>
      </w:r>
      <w:r>
        <w:rPr>
          <w:rFonts w:ascii="宋体" w:hAnsi="宋体"/>
          <w:color w:val="auto"/>
          <w:w w:val="99"/>
          <w:kern w:val="0"/>
          <w:sz w:val="32"/>
          <w:szCs w:val="32"/>
        </w:rPr>
        <w:t>（盖单位法人章）</w:t>
      </w:r>
      <w:bookmarkEnd w:id="469"/>
      <w:bookmarkEnd w:id="470"/>
      <w:bookmarkEnd w:id="471"/>
      <w:bookmarkEnd w:id="472"/>
      <w:bookmarkEnd w:id="473"/>
      <w:bookmarkEnd w:id="474"/>
      <w:bookmarkEnd w:id="475"/>
      <w:bookmarkEnd w:id="476"/>
    </w:p>
    <w:p w14:paraId="4363357F">
      <w:pPr>
        <w:tabs>
          <w:tab w:val="left" w:pos="6080"/>
          <w:tab w:val="left" w:pos="6640"/>
        </w:tabs>
        <w:autoSpaceDE w:val="0"/>
        <w:autoSpaceDN w:val="0"/>
        <w:adjustRightInd w:val="0"/>
        <w:snapToGrid w:val="0"/>
        <w:spacing w:after="120" w:afterLines="50" w:line="360" w:lineRule="auto"/>
        <w:ind w:firstLine="630"/>
        <w:jc w:val="center"/>
        <w:outlineLvl w:val="1"/>
        <w:rPr>
          <w:rFonts w:hint="eastAsia" w:ascii="宋体" w:hAnsi="宋体"/>
          <w:color w:val="auto"/>
          <w:kern w:val="0"/>
          <w:sz w:val="32"/>
          <w:szCs w:val="32"/>
        </w:rPr>
      </w:pPr>
      <w:bookmarkStart w:id="477" w:name="_Toc20572"/>
      <w:bookmarkStart w:id="478" w:name="_Toc104380570"/>
      <w:bookmarkStart w:id="479" w:name="_Toc104380784"/>
      <w:bookmarkStart w:id="480" w:name="_Toc27422"/>
      <w:bookmarkStart w:id="481" w:name="_Toc104380678"/>
      <w:bookmarkStart w:id="482" w:name="_Toc16262"/>
      <w:bookmarkStart w:id="483" w:name="_Toc10892"/>
      <w:bookmarkStart w:id="484" w:name="_Toc13577"/>
      <w:r>
        <w:rPr>
          <w:rFonts w:ascii="宋体" w:hAnsi="宋体"/>
          <w:color w:val="auto"/>
          <w:w w:val="99"/>
          <w:kern w:val="0"/>
          <w:sz w:val="32"/>
          <w:szCs w:val="32"/>
        </w:rPr>
        <w:t>法定代表人或其委托代理人：</w:t>
      </w:r>
      <w:r>
        <w:rPr>
          <w:rFonts w:ascii="宋体" w:hAnsi="宋体"/>
          <w:color w:val="auto"/>
          <w:w w:val="198"/>
          <w:kern w:val="0"/>
          <w:sz w:val="32"/>
          <w:szCs w:val="32"/>
          <w:u w:val="single"/>
        </w:rPr>
        <w:t xml:space="preserve"> 　　 </w:t>
      </w:r>
      <w:r>
        <w:rPr>
          <w:rFonts w:ascii="宋体" w:hAnsi="宋体"/>
          <w:color w:val="auto"/>
          <w:w w:val="99"/>
          <w:kern w:val="0"/>
          <w:sz w:val="32"/>
          <w:szCs w:val="32"/>
        </w:rPr>
        <w:t>（</w:t>
      </w:r>
      <w:r>
        <w:rPr>
          <w:rFonts w:hint="eastAsia" w:ascii="宋体" w:hAnsi="宋体"/>
          <w:color w:val="auto"/>
          <w:w w:val="99"/>
          <w:kern w:val="0"/>
          <w:sz w:val="32"/>
          <w:szCs w:val="32"/>
        </w:rPr>
        <w:t>签名</w:t>
      </w:r>
      <w:r>
        <w:rPr>
          <w:rFonts w:ascii="宋体" w:hAnsi="宋体"/>
          <w:color w:val="auto"/>
          <w:w w:val="99"/>
          <w:kern w:val="0"/>
          <w:sz w:val="32"/>
          <w:szCs w:val="32"/>
        </w:rPr>
        <w:t>或盖章）</w:t>
      </w:r>
      <w:bookmarkEnd w:id="477"/>
      <w:bookmarkEnd w:id="478"/>
      <w:bookmarkEnd w:id="479"/>
      <w:bookmarkEnd w:id="480"/>
      <w:bookmarkEnd w:id="481"/>
      <w:bookmarkEnd w:id="482"/>
      <w:bookmarkEnd w:id="483"/>
      <w:bookmarkEnd w:id="484"/>
    </w:p>
    <w:p w14:paraId="500832EF">
      <w:pPr>
        <w:spacing w:line="400" w:lineRule="exact"/>
        <w:ind w:firstLine="630"/>
        <w:jc w:val="center"/>
        <w:rPr>
          <w:rFonts w:hint="eastAsia" w:asciiTheme="minorEastAsia" w:hAnsiTheme="minorEastAsia" w:eastAsiaTheme="minorEastAsia"/>
          <w:color w:val="auto"/>
          <w:sz w:val="22"/>
          <w:szCs w:val="24"/>
        </w:rPr>
      </w:pPr>
      <w:r>
        <w:rPr>
          <w:rFonts w:hint="eastAsia" w:ascii="宋体" w:hAnsi="宋体"/>
          <w:color w:val="auto"/>
          <w:w w:val="99"/>
          <w:kern w:val="0"/>
          <w:sz w:val="32"/>
          <w:szCs w:val="32"/>
        </w:rPr>
        <w:t>年</w:t>
      </w:r>
      <w:r>
        <w:rPr>
          <w:rFonts w:hint="eastAsia" w:ascii="宋体" w:hAnsi="宋体"/>
          <w:color w:val="auto"/>
          <w:w w:val="99"/>
          <w:kern w:val="0"/>
          <w:sz w:val="32"/>
          <w:szCs w:val="32"/>
          <w:u w:val="single"/>
        </w:rPr>
        <w:t xml:space="preserve">    </w:t>
      </w:r>
      <w:r>
        <w:rPr>
          <w:rFonts w:hint="eastAsia" w:ascii="宋体" w:hAnsi="宋体"/>
          <w:color w:val="auto"/>
          <w:w w:val="99"/>
          <w:kern w:val="0"/>
          <w:sz w:val="32"/>
          <w:szCs w:val="32"/>
        </w:rPr>
        <w:t>月</w:t>
      </w:r>
      <w:r>
        <w:rPr>
          <w:rFonts w:hint="eastAsia" w:ascii="宋体" w:hAnsi="宋体"/>
          <w:color w:val="auto"/>
          <w:w w:val="99"/>
          <w:kern w:val="0"/>
          <w:sz w:val="32"/>
          <w:szCs w:val="32"/>
          <w:u w:val="single"/>
        </w:rPr>
        <w:t xml:space="preserve">    </w:t>
      </w:r>
      <w:r>
        <w:rPr>
          <w:rFonts w:asciiTheme="minorEastAsia" w:hAnsiTheme="minorEastAsia" w:eastAsiaTheme="minorEastAsia"/>
          <w:color w:val="auto"/>
          <w:sz w:val="32"/>
          <w:szCs w:val="24"/>
        </w:rPr>
        <w:t>日</w:t>
      </w:r>
    </w:p>
    <w:p w14:paraId="6596E6F2">
      <w:pPr>
        <w:widowControl/>
        <w:ind w:firstLine="440"/>
        <w:jc w:val="left"/>
        <w:rPr>
          <w:rFonts w:hint="eastAsia" w:asciiTheme="minorEastAsia" w:hAnsiTheme="minorEastAsia" w:eastAsiaTheme="minorEastAsia" w:cstheme="minorEastAsia"/>
          <w:b/>
          <w:color w:val="auto"/>
          <w:sz w:val="36"/>
          <w:szCs w:val="21"/>
        </w:rPr>
      </w:pPr>
      <w:bookmarkStart w:id="485" w:name="_Toc224103493"/>
      <w:r>
        <w:rPr>
          <w:rFonts w:asciiTheme="minorEastAsia" w:hAnsiTheme="minorEastAsia" w:eastAsiaTheme="minorEastAsia" w:cstheme="minorEastAsia"/>
          <w:color w:val="auto"/>
          <w:sz w:val="22"/>
          <w:szCs w:val="24"/>
        </w:rPr>
        <w:br w:type="page"/>
      </w:r>
    </w:p>
    <w:p w14:paraId="6926AFDF">
      <w:pPr>
        <w:pStyle w:val="3"/>
        <w:spacing w:before="0" w:after="0" w:line="360" w:lineRule="auto"/>
        <w:ind w:firstLine="723"/>
        <w:jc w:val="center"/>
        <w:rPr>
          <w:rFonts w:hint="eastAsia" w:asciiTheme="minorEastAsia" w:hAnsiTheme="minorEastAsia" w:eastAsiaTheme="minorEastAsia" w:cstheme="minorEastAsia"/>
          <w:color w:val="auto"/>
          <w:sz w:val="36"/>
          <w:szCs w:val="21"/>
        </w:rPr>
      </w:pPr>
      <w:bookmarkStart w:id="486" w:name="_Toc104380679"/>
      <w:bookmarkStart w:id="487" w:name="_Toc104380571"/>
      <w:bookmarkStart w:id="488" w:name="_Toc104380785"/>
      <w:bookmarkStart w:id="489" w:name="_Toc26240"/>
      <w:r>
        <w:rPr>
          <w:rFonts w:hint="eastAsia" w:asciiTheme="minorEastAsia" w:hAnsiTheme="minorEastAsia" w:eastAsiaTheme="minorEastAsia" w:cstheme="minorEastAsia"/>
          <w:color w:val="auto"/>
          <w:sz w:val="36"/>
          <w:szCs w:val="21"/>
        </w:rPr>
        <w:t>目  录</w:t>
      </w:r>
      <w:bookmarkEnd w:id="485"/>
      <w:bookmarkEnd w:id="486"/>
      <w:bookmarkEnd w:id="487"/>
      <w:bookmarkEnd w:id="488"/>
      <w:bookmarkEnd w:id="489"/>
    </w:p>
    <w:p w14:paraId="0C35F5AD">
      <w:pPr>
        <w:spacing w:line="360" w:lineRule="auto"/>
        <w:ind w:firstLine="440"/>
        <w:jc w:val="center"/>
        <w:rPr>
          <w:rFonts w:hint="eastAsia" w:ascii="宋体" w:hAnsi="宋体"/>
          <w:color w:val="auto"/>
          <w:sz w:val="22"/>
          <w:szCs w:val="21"/>
        </w:rPr>
      </w:pPr>
    </w:p>
    <w:p w14:paraId="0D1EA466">
      <w:pPr>
        <w:spacing w:line="360" w:lineRule="auto"/>
        <w:ind w:firstLine="440" w:firstLineChars="200"/>
        <w:rPr>
          <w:rFonts w:hint="eastAsia" w:ascii="宋体" w:hAnsi="宋体"/>
          <w:color w:val="auto"/>
          <w:sz w:val="22"/>
          <w:szCs w:val="24"/>
        </w:rPr>
      </w:pPr>
      <w:r>
        <w:rPr>
          <w:rFonts w:ascii="宋体" w:hAnsi="宋体"/>
          <w:color w:val="auto"/>
          <w:sz w:val="22"/>
          <w:szCs w:val="24"/>
        </w:rPr>
        <w:t>（一）</w:t>
      </w:r>
      <w:r>
        <w:rPr>
          <w:rFonts w:hint="eastAsia" w:ascii="宋体" w:hAnsi="宋体"/>
          <w:color w:val="auto"/>
          <w:sz w:val="22"/>
          <w:szCs w:val="24"/>
        </w:rPr>
        <w:t>竞标函</w:t>
      </w:r>
    </w:p>
    <w:p w14:paraId="6B959985">
      <w:pPr>
        <w:spacing w:line="360" w:lineRule="auto"/>
        <w:ind w:firstLine="440" w:firstLineChars="200"/>
        <w:rPr>
          <w:rFonts w:hint="eastAsia" w:ascii="宋体" w:hAnsi="宋体"/>
          <w:color w:val="auto"/>
          <w:sz w:val="22"/>
          <w:szCs w:val="24"/>
        </w:rPr>
      </w:pPr>
      <w:r>
        <w:rPr>
          <w:rFonts w:ascii="宋体" w:hAnsi="宋体"/>
          <w:color w:val="auto"/>
          <w:sz w:val="22"/>
          <w:szCs w:val="24"/>
        </w:rPr>
        <w:t>（</w:t>
      </w:r>
      <w:r>
        <w:rPr>
          <w:rFonts w:hint="eastAsia" w:ascii="宋体" w:hAnsi="宋体"/>
          <w:color w:val="auto"/>
          <w:sz w:val="22"/>
          <w:szCs w:val="24"/>
        </w:rPr>
        <w:t>二</w:t>
      </w:r>
      <w:r>
        <w:rPr>
          <w:rFonts w:ascii="宋体" w:hAnsi="宋体"/>
          <w:color w:val="auto"/>
          <w:sz w:val="22"/>
          <w:szCs w:val="24"/>
        </w:rPr>
        <w:t>）</w:t>
      </w:r>
      <w:r>
        <w:rPr>
          <w:rFonts w:hint="eastAsia" w:ascii="宋体" w:hAnsi="宋体"/>
          <w:color w:val="auto"/>
          <w:sz w:val="22"/>
          <w:szCs w:val="24"/>
        </w:rPr>
        <w:t>法定代表人身份证明或附有法定代表人身份证明的授权委托书</w:t>
      </w:r>
    </w:p>
    <w:p w14:paraId="652F738F">
      <w:pPr>
        <w:spacing w:line="360" w:lineRule="auto"/>
        <w:ind w:firstLine="440" w:firstLineChars="200"/>
        <w:rPr>
          <w:rFonts w:hint="eastAsia" w:ascii="宋体" w:hAnsi="宋体"/>
          <w:color w:val="auto"/>
          <w:sz w:val="22"/>
          <w:szCs w:val="24"/>
        </w:rPr>
      </w:pPr>
      <w:r>
        <w:rPr>
          <w:rFonts w:hint="eastAsia" w:ascii="宋体" w:hAnsi="宋体"/>
          <w:color w:val="auto"/>
          <w:sz w:val="22"/>
          <w:szCs w:val="24"/>
        </w:rPr>
        <w:t>（三）业绩证明材料</w:t>
      </w:r>
    </w:p>
    <w:p w14:paraId="687112AF">
      <w:pPr>
        <w:spacing w:line="360" w:lineRule="auto"/>
        <w:ind w:firstLine="440" w:firstLineChars="200"/>
        <w:rPr>
          <w:rFonts w:hint="eastAsia" w:ascii="宋体" w:hAnsi="宋体"/>
          <w:color w:val="auto"/>
          <w:sz w:val="22"/>
        </w:rPr>
      </w:pPr>
      <w:r>
        <w:rPr>
          <w:rFonts w:ascii="宋体" w:hAnsi="宋体"/>
          <w:color w:val="auto"/>
          <w:sz w:val="22"/>
        </w:rPr>
        <w:t>（</w:t>
      </w:r>
      <w:r>
        <w:rPr>
          <w:rFonts w:hint="eastAsia" w:ascii="宋体" w:hAnsi="宋体"/>
          <w:color w:val="auto"/>
          <w:sz w:val="22"/>
        </w:rPr>
        <w:t>四</w:t>
      </w:r>
      <w:r>
        <w:rPr>
          <w:rFonts w:ascii="宋体" w:hAnsi="宋体"/>
          <w:color w:val="auto"/>
          <w:sz w:val="22"/>
        </w:rPr>
        <w:t>）</w:t>
      </w:r>
      <w:r>
        <w:rPr>
          <w:rFonts w:hint="eastAsia" w:ascii="宋体" w:hAnsi="宋体"/>
          <w:color w:val="auto"/>
          <w:sz w:val="22"/>
        </w:rPr>
        <w:t>基本情况表</w:t>
      </w:r>
    </w:p>
    <w:p w14:paraId="54E6A654">
      <w:pPr>
        <w:spacing w:line="360" w:lineRule="auto"/>
        <w:ind w:firstLine="440" w:firstLineChars="200"/>
        <w:rPr>
          <w:rFonts w:hint="eastAsia" w:ascii="宋体" w:hAnsi="宋体"/>
          <w:color w:val="auto"/>
          <w:sz w:val="22"/>
        </w:rPr>
      </w:pPr>
      <w:r>
        <w:rPr>
          <w:rFonts w:ascii="宋体" w:hAnsi="宋体"/>
          <w:color w:val="auto"/>
          <w:sz w:val="22"/>
        </w:rPr>
        <w:t>（</w:t>
      </w:r>
      <w:r>
        <w:rPr>
          <w:rFonts w:hint="eastAsia" w:ascii="宋体" w:hAnsi="宋体"/>
          <w:color w:val="auto"/>
          <w:sz w:val="22"/>
        </w:rPr>
        <w:t>五</w:t>
      </w:r>
      <w:r>
        <w:rPr>
          <w:rFonts w:ascii="宋体" w:hAnsi="宋体"/>
          <w:color w:val="auto"/>
          <w:sz w:val="22"/>
        </w:rPr>
        <w:t>）</w:t>
      </w:r>
      <w:r>
        <w:rPr>
          <w:rFonts w:hint="eastAsia" w:ascii="宋体" w:hAnsi="宋体"/>
          <w:color w:val="auto"/>
          <w:sz w:val="22"/>
        </w:rPr>
        <w:t>拟委任的跟踪审计项目人员汇总表</w:t>
      </w:r>
    </w:p>
    <w:p w14:paraId="2F87CDCB">
      <w:pPr>
        <w:spacing w:line="360" w:lineRule="auto"/>
        <w:ind w:firstLine="440" w:firstLineChars="200"/>
        <w:rPr>
          <w:rFonts w:hint="eastAsia" w:ascii="宋体" w:hAnsi="宋体"/>
          <w:color w:val="auto"/>
          <w:sz w:val="22"/>
        </w:rPr>
      </w:pPr>
      <w:r>
        <w:rPr>
          <w:rFonts w:hint="eastAsia" w:ascii="宋体" w:hAnsi="宋体"/>
          <w:color w:val="auto"/>
          <w:sz w:val="22"/>
        </w:rPr>
        <w:t>（六）主要人员简历表</w:t>
      </w:r>
    </w:p>
    <w:p w14:paraId="07EEA018">
      <w:pPr>
        <w:spacing w:line="360" w:lineRule="auto"/>
        <w:ind w:firstLine="440" w:firstLineChars="200"/>
        <w:rPr>
          <w:rFonts w:hint="eastAsia" w:ascii="宋体" w:hAnsi="宋体"/>
          <w:color w:val="auto"/>
          <w:sz w:val="22"/>
          <w:szCs w:val="24"/>
        </w:rPr>
      </w:pPr>
      <w:r>
        <w:rPr>
          <w:rFonts w:hint="eastAsia" w:ascii="宋体" w:hAnsi="宋体"/>
          <w:color w:val="auto"/>
          <w:sz w:val="22"/>
        </w:rPr>
        <w:t>（七）其他资料</w:t>
      </w:r>
    </w:p>
    <w:p w14:paraId="688066CC">
      <w:pPr>
        <w:widowControl/>
        <w:ind w:firstLine="440"/>
        <w:jc w:val="left"/>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br w:type="page"/>
      </w:r>
    </w:p>
    <w:p w14:paraId="20F49526">
      <w:pPr>
        <w:pStyle w:val="4"/>
        <w:spacing w:before="0" w:after="0" w:line="360" w:lineRule="auto"/>
        <w:ind w:firstLine="157"/>
        <w:jc w:val="center"/>
        <w:rPr>
          <w:rStyle w:val="108"/>
          <w:color w:val="auto"/>
          <w:szCs w:val="36"/>
        </w:rPr>
      </w:pPr>
      <w:bookmarkStart w:id="490" w:name="_Toc3346"/>
      <w:bookmarkStart w:id="491" w:name="_Toc492300720"/>
      <w:r>
        <w:rPr>
          <w:rStyle w:val="108"/>
          <w:rFonts w:hint="eastAsia"/>
          <w:color w:val="auto"/>
          <w:szCs w:val="36"/>
        </w:rPr>
        <w:t>（一）竞</w:t>
      </w:r>
      <w:r>
        <w:rPr>
          <w:rStyle w:val="108"/>
          <w:color w:val="auto"/>
          <w:szCs w:val="36"/>
        </w:rPr>
        <w:t>标</w:t>
      </w:r>
      <w:bookmarkStart w:id="492" w:name="_Toc352691656"/>
      <w:bookmarkStart w:id="493" w:name="_Toc6931"/>
      <w:bookmarkStart w:id="494" w:name="_Toc369531692"/>
      <w:r>
        <w:rPr>
          <w:rStyle w:val="108"/>
          <w:color w:val="auto"/>
          <w:szCs w:val="36"/>
        </w:rPr>
        <w:t>函</w:t>
      </w:r>
      <w:bookmarkEnd w:id="490"/>
      <w:bookmarkEnd w:id="491"/>
      <w:bookmarkEnd w:id="492"/>
      <w:bookmarkEnd w:id="493"/>
      <w:bookmarkEnd w:id="494"/>
    </w:p>
    <w:p w14:paraId="620AA201">
      <w:pPr>
        <w:spacing w:line="360" w:lineRule="auto"/>
        <w:ind w:firstLine="440"/>
        <w:rPr>
          <w:rFonts w:hint="eastAsia" w:asciiTheme="minorEastAsia" w:hAnsiTheme="minorEastAsia" w:eastAsiaTheme="minorEastAsia"/>
          <w:color w:val="auto"/>
          <w:sz w:val="22"/>
        </w:rPr>
      </w:pPr>
      <w:r>
        <w:rPr>
          <w:rFonts w:hint="eastAsia" w:asciiTheme="minorEastAsia" w:hAnsiTheme="minorEastAsia" w:eastAsiaTheme="minorEastAsia"/>
          <w:color w:val="auto"/>
          <w:sz w:val="22"/>
          <w:u w:val="single"/>
        </w:rPr>
        <w:t xml:space="preserve">                </w:t>
      </w:r>
      <w:r>
        <w:rPr>
          <w:rFonts w:asciiTheme="minorEastAsia" w:hAnsiTheme="minorEastAsia" w:eastAsiaTheme="minorEastAsia"/>
          <w:color w:val="auto"/>
          <w:sz w:val="22"/>
          <w:u w:val="single"/>
        </w:rPr>
        <w:t>（</w:t>
      </w:r>
      <w:r>
        <w:rPr>
          <w:rFonts w:hint="eastAsia" w:asciiTheme="minorEastAsia" w:hAnsiTheme="minorEastAsia" w:eastAsiaTheme="minorEastAsia"/>
          <w:color w:val="auto"/>
          <w:sz w:val="22"/>
          <w:u w:val="single"/>
        </w:rPr>
        <w:t>比选人</w:t>
      </w:r>
      <w:r>
        <w:rPr>
          <w:rFonts w:asciiTheme="minorEastAsia" w:hAnsiTheme="minorEastAsia" w:eastAsiaTheme="minorEastAsia"/>
          <w:color w:val="auto"/>
          <w:sz w:val="22"/>
          <w:u w:val="single"/>
        </w:rPr>
        <w:t>名称）</w:t>
      </w:r>
      <w:r>
        <w:rPr>
          <w:rFonts w:asciiTheme="minorEastAsia" w:hAnsiTheme="minorEastAsia" w:eastAsiaTheme="minorEastAsia"/>
          <w:color w:val="auto"/>
          <w:sz w:val="22"/>
        </w:rPr>
        <w:t>：</w:t>
      </w:r>
    </w:p>
    <w:p w14:paraId="4CF5D9FA">
      <w:pPr>
        <w:spacing w:line="360" w:lineRule="auto"/>
        <w:ind w:firstLine="440" w:firstLineChars="200"/>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1.</w:t>
      </w:r>
      <w:r>
        <w:rPr>
          <w:rFonts w:asciiTheme="minorEastAsia" w:hAnsiTheme="minorEastAsia" w:eastAsiaTheme="minorEastAsia"/>
          <w:color w:val="auto"/>
          <w:sz w:val="22"/>
        </w:rPr>
        <w:t>我方已仔细研究了</w:t>
      </w:r>
      <w:r>
        <w:rPr>
          <w:rFonts w:hint="eastAsia" w:asciiTheme="minorEastAsia" w:hAnsiTheme="minorEastAsia" w:eastAsiaTheme="minorEastAsia"/>
          <w:color w:val="auto"/>
          <w:sz w:val="22"/>
          <w:u w:val="single"/>
        </w:rPr>
        <w:t xml:space="preserve">                </w:t>
      </w:r>
      <w:r>
        <w:rPr>
          <w:rFonts w:asciiTheme="minorEastAsia" w:hAnsiTheme="minorEastAsia" w:eastAsiaTheme="minorEastAsia"/>
          <w:color w:val="auto"/>
          <w:sz w:val="22"/>
          <w:u w:val="single"/>
        </w:rPr>
        <w:t>（项目名称）</w:t>
      </w:r>
      <w:r>
        <w:rPr>
          <w:rFonts w:asciiTheme="minorEastAsia" w:hAnsiTheme="minorEastAsia" w:eastAsiaTheme="minorEastAsia"/>
          <w:color w:val="auto"/>
          <w:sz w:val="22"/>
        </w:rPr>
        <w:t>比选文件的全部内容，愿意以</w:t>
      </w:r>
      <w:r>
        <w:rPr>
          <w:rFonts w:hint="eastAsia" w:asciiTheme="minorEastAsia" w:hAnsiTheme="minorEastAsia" w:eastAsiaTheme="minorEastAsia"/>
          <w:color w:val="auto"/>
          <w:sz w:val="22"/>
        </w:rPr>
        <w:t>下列方式对服务费进行报价：</w:t>
      </w:r>
    </w:p>
    <w:p w14:paraId="0EB82EF4">
      <w:pPr>
        <w:spacing w:line="360" w:lineRule="auto"/>
        <w:ind w:firstLine="440" w:firstLineChars="200"/>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竞标固定费率</w:t>
      </w:r>
      <w:r>
        <w:rPr>
          <w:rFonts w:hint="eastAsia" w:asciiTheme="minorEastAsia" w:hAnsiTheme="minorEastAsia" w:eastAsiaTheme="minorEastAsia"/>
          <w:color w:val="auto"/>
          <w:sz w:val="22"/>
          <w:u w:val="single"/>
        </w:rPr>
        <w:t xml:space="preserve">为       % </w:t>
      </w:r>
      <w:r>
        <w:rPr>
          <w:rFonts w:hint="eastAsia" w:asciiTheme="minorEastAsia" w:hAnsiTheme="minorEastAsia" w:eastAsiaTheme="minorEastAsia"/>
          <w:color w:val="auto"/>
          <w:sz w:val="22"/>
        </w:rPr>
        <w:t>,</w:t>
      </w:r>
      <w:r>
        <w:rPr>
          <w:rFonts w:asciiTheme="minorEastAsia" w:hAnsiTheme="minorEastAsia" w:eastAsiaTheme="minorEastAsia"/>
          <w:color w:val="auto"/>
          <w:sz w:val="22"/>
        </w:rPr>
        <w:t>该项目</w:t>
      </w:r>
      <w:r>
        <w:rPr>
          <w:rFonts w:hint="eastAsia" w:asciiTheme="minorEastAsia" w:hAnsiTheme="minorEastAsia" w:eastAsiaTheme="minorEastAsia"/>
          <w:color w:val="auto"/>
          <w:sz w:val="22"/>
        </w:rPr>
        <w:t>负责人</w:t>
      </w:r>
      <w:r>
        <w:rPr>
          <w:rFonts w:asciiTheme="minorEastAsia" w:hAnsiTheme="minorEastAsia" w:eastAsiaTheme="minorEastAsia"/>
          <w:color w:val="auto"/>
          <w:sz w:val="22"/>
        </w:rPr>
        <w:t>为</w:t>
      </w:r>
      <w:r>
        <w:rPr>
          <w:rFonts w:hint="eastAsia" w:asciiTheme="minorEastAsia" w:hAnsiTheme="minorEastAsia" w:eastAsiaTheme="minorEastAsia"/>
          <w:color w:val="auto"/>
          <w:sz w:val="22"/>
        </w:rPr>
        <w:t>：</w:t>
      </w:r>
      <w:r>
        <w:rPr>
          <w:rFonts w:hint="eastAsia" w:asciiTheme="minorEastAsia" w:hAnsiTheme="minorEastAsia" w:eastAsiaTheme="minorEastAsia"/>
          <w:color w:val="auto"/>
          <w:sz w:val="22"/>
          <w:u w:val="single"/>
        </w:rPr>
        <w:t xml:space="preserve">        </w:t>
      </w:r>
      <w:r>
        <w:rPr>
          <w:rFonts w:hint="eastAsia" w:asciiTheme="minorEastAsia" w:hAnsiTheme="minorEastAsia" w:eastAsiaTheme="minorEastAsia"/>
          <w:color w:val="auto"/>
          <w:sz w:val="22"/>
        </w:rPr>
        <w:t>，委托代理人为：</w:t>
      </w:r>
      <w:r>
        <w:rPr>
          <w:rFonts w:hint="eastAsia" w:asciiTheme="minorEastAsia" w:hAnsiTheme="minorEastAsia" w:eastAsiaTheme="minorEastAsia"/>
          <w:color w:val="auto"/>
          <w:sz w:val="22"/>
          <w:u w:val="single"/>
        </w:rPr>
        <w:t xml:space="preserve">        </w:t>
      </w:r>
      <w:r>
        <w:rPr>
          <w:rFonts w:hint="eastAsia" w:asciiTheme="minorEastAsia" w:hAnsiTheme="minorEastAsia" w:eastAsiaTheme="minorEastAsia"/>
          <w:color w:val="auto"/>
          <w:sz w:val="22"/>
        </w:rPr>
        <w:t>，服务期限</w:t>
      </w:r>
      <w:r>
        <w:rPr>
          <w:rFonts w:hint="eastAsia" w:ascii="宋体" w:hAnsi="宋体"/>
          <w:snapToGrid w:val="0"/>
          <w:color w:val="auto"/>
          <w:kern w:val="0"/>
          <w:sz w:val="22"/>
          <w:u w:val="single"/>
        </w:rPr>
        <w:t>达到比选文件的要求</w:t>
      </w:r>
      <w:r>
        <w:rPr>
          <w:rFonts w:hint="eastAsia" w:asciiTheme="minorEastAsia" w:hAnsiTheme="minorEastAsia" w:eastAsiaTheme="minorEastAsia"/>
          <w:color w:val="auto"/>
          <w:sz w:val="22"/>
        </w:rPr>
        <w:t>，服务质量</w:t>
      </w:r>
      <w:r>
        <w:rPr>
          <w:rFonts w:hint="eastAsia" w:asciiTheme="minorEastAsia" w:hAnsiTheme="minorEastAsia" w:eastAsiaTheme="minorEastAsia"/>
          <w:color w:val="auto"/>
          <w:sz w:val="22"/>
          <w:u w:val="single"/>
        </w:rPr>
        <w:t>达到比选文件的要求</w:t>
      </w:r>
      <w:r>
        <w:rPr>
          <w:rFonts w:hint="eastAsia" w:asciiTheme="minorEastAsia" w:hAnsiTheme="minorEastAsia" w:eastAsiaTheme="minorEastAsia"/>
          <w:color w:val="auto"/>
          <w:sz w:val="22"/>
        </w:rPr>
        <w:t>，</w:t>
      </w:r>
      <w:r>
        <w:rPr>
          <w:rFonts w:asciiTheme="minorEastAsia" w:hAnsiTheme="minorEastAsia" w:eastAsiaTheme="minorEastAsia"/>
          <w:color w:val="auto"/>
          <w:sz w:val="22"/>
        </w:rPr>
        <w:t>按合同约定完成</w:t>
      </w:r>
      <w:r>
        <w:rPr>
          <w:rFonts w:hint="eastAsia" w:asciiTheme="minorEastAsia" w:hAnsiTheme="minorEastAsia" w:eastAsiaTheme="minorEastAsia"/>
          <w:color w:val="auto"/>
          <w:sz w:val="22"/>
        </w:rPr>
        <w:t>全部</w:t>
      </w:r>
      <w:r>
        <w:rPr>
          <w:rFonts w:asciiTheme="minorEastAsia" w:hAnsiTheme="minorEastAsia" w:eastAsiaTheme="minorEastAsia"/>
          <w:color w:val="auto"/>
          <w:sz w:val="22"/>
        </w:rPr>
        <w:t>工作</w:t>
      </w:r>
      <w:r>
        <w:rPr>
          <w:rFonts w:hint="eastAsia" w:asciiTheme="minorEastAsia" w:hAnsiTheme="minorEastAsia" w:eastAsiaTheme="minorEastAsia"/>
          <w:color w:val="auto"/>
          <w:sz w:val="22"/>
        </w:rPr>
        <w:t>内容</w:t>
      </w:r>
      <w:r>
        <w:rPr>
          <w:rFonts w:asciiTheme="minorEastAsia" w:hAnsiTheme="minorEastAsia" w:eastAsiaTheme="minorEastAsia"/>
          <w:color w:val="auto"/>
          <w:sz w:val="22"/>
        </w:rPr>
        <w:t>。</w:t>
      </w:r>
    </w:p>
    <w:p w14:paraId="4AEE0608">
      <w:pPr>
        <w:spacing w:line="360" w:lineRule="auto"/>
        <w:ind w:firstLine="440" w:firstLineChars="200"/>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2</w:t>
      </w:r>
      <w:r>
        <w:rPr>
          <w:rFonts w:asciiTheme="minorEastAsia" w:hAnsiTheme="minorEastAsia" w:eastAsiaTheme="minorEastAsia"/>
          <w:color w:val="auto"/>
          <w:sz w:val="22"/>
        </w:rPr>
        <w:t>．我方承诺</w:t>
      </w:r>
      <w:r>
        <w:rPr>
          <w:rFonts w:hint="eastAsia" w:ascii="宋体" w:hAnsi="宋体"/>
          <w:snapToGrid w:val="0"/>
          <w:color w:val="auto"/>
          <w:kern w:val="0"/>
          <w:sz w:val="22"/>
        </w:rPr>
        <w:t>响应比选文件规定的竞标有效期，</w:t>
      </w:r>
      <w:r>
        <w:rPr>
          <w:rFonts w:asciiTheme="minorEastAsia" w:hAnsiTheme="minorEastAsia" w:eastAsiaTheme="minorEastAsia"/>
          <w:color w:val="auto"/>
          <w:sz w:val="22"/>
        </w:rPr>
        <w:t>在竞标有效期内不</w:t>
      </w:r>
      <w:r>
        <w:rPr>
          <w:rFonts w:hint="eastAsia" w:asciiTheme="minorEastAsia" w:hAnsiTheme="minorEastAsia" w:eastAsiaTheme="minorEastAsia"/>
          <w:color w:val="auto"/>
          <w:sz w:val="22"/>
        </w:rPr>
        <w:t>修改、</w:t>
      </w:r>
      <w:r>
        <w:rPr>
          <w:rFonts w:asciiTheme="minorEastAsia" w:hAnsiTheme="minorEastAsia" w:eastAsiaTheme="minorEastAsia"/>
          <w:color w:val="auto"/>
          <w:sz w:val="22"/>
        </w:rPr>
        <w:t>撤销竞标文件。</w:t>
      </w:r>
    </w:p>
    <w:p w14:paraId="286A2E02">
      <w:pPr>
        <w:spacing w:line="360" w:lineRule="auto"/>
        <w:ind w:firstLine="440" w:firstLineChars="200"/>
        <w:rPr>
          <w:rFonts w:hint="eastAsia" w:asciiTheme="minorEastAsia" w:hAnsiTheme="minorEastAsia" w:eastAsiaTheme="minorEastAsia"/>
          <w:color w:val="auto"/>
          <w:sz w:val="22"/>
        </w:rPr>
      </w:pPr>
      <w:r>
        <w:rPr>
          <w:rFonts w:hint="eastAsia" w:ascii="宋体" w:hAnsi="宋体"/>
          <w:snapToGrid w:val="0"/>
          <w:color w:val="auto"/>
          <w:kern w:val="0"/>
          <w:sz w:val="22"/>
        </w:rPr>
        <w:t>3.</w:t>
      </w:r>
      <w:r>
        <w:rPr>
          <w:rFonts w:ascii="宋体" w:hAnsi="宋体"/>
          <w:snapToGrid w:val="0"/>
          <w:color w:val="auto"/>
          <w:kern w:val="0"/>
          <w:sz w:val="22"/>
        </w:rPr>
        <w:t>随同本投标函提交竞标保证金一份，金额为人民币（大写）</w:t>
      </w:r>
      <w:r>
        <w:rPr>
          <w:rFonts w:hint="eastAsia" w:asciiTheme="minorEastAsia" w:hAnsiTheme="minorEastAsia" w:eastAsiaTheme="minorEastAsia"/>
          <w:color w:val="auto"/>
          <w:sz w:val="22"/>
          <w:u w:val="single"/>
        </w:rPr>
        <w:t xml:space="preserve">                </w:t>
      </w:r>
      <w:r>
        <w:rPr>
          <w:rFonts w:asciiTheme="minorEastAsia" w:hAnsiTheme="minorEastAsia" w:eastAsiaTheme="minorEastAsia"/>
          <w:color w:val="auto"/>
          <w:sz w:val="22"/>
        </w:rPr>
        <w:t>（¥</w:t>
      </w:r>
      <w:r>
        <w:rPr>
          <w:rFonts w:hint="eastAsia" w:asciiTheme="minorEastAsia" w:hAnsiTheme="minorEastAsia" w:eastAsiaTheme="minorEastAsia"/>
          <w:color w:val="auto"/>
          <w:sz w:val="22"/>
          <w:u w:val="single"/>
        </w:rPr>
        <w:t xml:space="preserve">        </w:t>
      </w:r>
      <w:r>
        <w:rPr>
          <w:rFonts w:asciiTheme="minorEastAsia" w:hAnsiTheme="minorEastAsia" w:eastAsiaTheme="minorEastAsia"/>
          <w:color w:val="auto"/>
          <w:sz w:val="22"/>
        </w:rPr>
        <w:t>）</w:t>
      </w:r>
      <w:r>
        <w:rPr>
          <w:rFonts w:ascii="宋体" w:hAnsi="宋体"/>
          <w:snapToGrid w:val="0"/>
          <w:color w:val="auto"/>
          <w:kern w:val="0"/>
          <w:sz w:val="22"/>
        </w:rPr>
        <w:t>。竞标保证金</w:t>
      </w:r>
      <w:r>
        <w:rPr>
          <w:rFonts w:hint="eastAsia" w:ascii="宋体" w:hAnsi="宋体"/>
          <w:snapToGrid w:val="0"/>
          <w:color w:val="auto"/>
          <w:kern w:val="0"/>
          <w:sz w:val="22"/>
        </w:rPr>
        <w:t>有效期</w:t>
      </w:r>
      <w:r>
        <w:rPr>
          <w:rFonts w:ascii="宋体" w:hAnsi="宋体"/>
          <w:snapToGrid w:val="0"/>
          <w:color w:val="auto"/>
          <w:kern w:val="0"/>
          <w:sz w:val="22"/>
        </w:rPr>
        <w:t>与竞标有效期一致，在此期间，若我方违反招投标有关法律、法规及本比选文件的相关规定，竞标保证金的受益人为</w:t>
      </w:r>
      <w:r>
        <w:rPr>
          <w:rFonts w:hint="eastAsia" w:ascii="宋体" w:hAnsi="宋体"/>
          <w:snapToGrid w:val="0"/>
          <w:color w:val="auto"/>
          <w:kern w:val="0"/>
          <w:sz w:val="22"/>
        </w:rPr>
        <w:t>比选人。</w:t>
      </w:r>
    </w:p>
    <w:p w14:paraId="0C73D90C">
      <w:pPr>
        <w:spacing w:line="360" w:lineRule="auto"/>
        <w:ind w:firstLine="440" w:firstLineChars="200"/>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4</w:t>
      </w:r>
      <w:r>
        <w:rPr>
          <w:rFonts w:asciiTheme="minorEastAsia" w:hAnsiTheme="minorEastAsia" w:eastAsiaTheme="minorEastAsia"/>
          <w:color w:val="auto"/>
          <w:sz w:val="22"/>
        </w:rPr>
        <w:t>．如我方中标，我方承诺：</w:t>
      </w:r>
    </w:p>
    <w:p w14:paraId="535A5E6D">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（1）在收到中标通知书后，在中标通知书规定的期限内与你方签订合同；</w:t>
      </w:r>
    </w:p>
    <w:p w14:paraId="4CE556DC">
      <w:pPr>
        <w:spacing w:line="360" w:lineRule="auto"/>
        <w:ind w:firstLine="440" w:firstLineChars="200"/>
        <w:rPr>
          <w:rFonts w:hint="eastAsia" w:asciiTheme="minorEastAsia" w:hAnsiTheme="minorEastAsia" w:eastAsiaTheme="minorEastAsia"/>
          <w:color w:val="auto"/>
          <w:sz w:val="22"/>
        </w:rPr>
      </w:pPr>
      <w:r>
        <w:rPr>
          <w:rFonts w:asciiTheme="minorEastAsia" w:hAnsiTheme="minorEastAsia" w:eastAsiaTheme="minorEastAsia"/>
          <w:color w:val="auto"/>
          <w:sz w:val="22"/>
        </w:rPr>
        <w:t>（2）在签订合同时不向你方提出附加条件；</w:t>
      </w:r>
    </w:p>
    <w:p w14:paraId="154218E8">
      <w:pPr>
        <w:spacing w:line="360" w:lineRule="auto"/>
        <w:ind w:firstLine="440" w:firstLineChars="200"/>
        <w:rPr>
          <w:rFonts w:hint="eastAsia" w:asciiTheme="minorEastAsia" w:hAnsiTheme="minorEastAsia" w:eastAsiaTheme="minorEastAsia"/>
          <w:color w:val="auto"/>
          <w:sz w:val="22"/>
        </w:rPr>
      </w:pPr>
      <w:bookmarkStart w:id="495" w:name="_Toc369531694"/>
      <w:bookmarkStart w:id="496" w:name="_Toc1187"/>
      <w:bookmarkStart w:id="497" w:name="_Toc352691658"/>
      <w:r>
        <w:rPr>
          <w:rFonts w:asciiTheme="minorEastAsia" w:hAnsiTheme="minorEastAsia" w:eastAsiaTheme="minorEastAsia"/>
          <w:color w:val="auto"/>
          <w:sz w:val="22"/>
        </w:rPr>
        <w:t>（</w:t>
      </w:r>
      <w:r>
        <w:rPr>
          <w:rFonts w:hint="eastAsia" w:asciiTheme="minorEastAsia" w:hAnsiTheme="minorEastAsia" w:eastAsiaTheme="minorEastAsia"/>
          <w:color w:val="auto"/>
          <w:sz w:val="22"/>
        </w:rPr>
        <w:t>3</w:t>
      </w:r>
      <w:r>
        <w:rPr>
          <w:rFonts w:asciiTheme="minorEastAsia" w:hAnsiTheme="minorEastAsia" w:eastAsiaTheme="minorEastAsia"/>
          <w:color w:val="auto"/>
          <w:sz w:val="22"/>
        </w:rPr>
        <w:t>）在合</w:t>
      </w:r>
      <w:bookmarkEnd w:id="495"/>
      <w:bookmarkEnd w:id="496"/>
      <w:bookmarkEnd w:id="497"/>
      <w:r>
        <w:rPr>
          <w:rFonts w:asciiTheme="minorEastAsia" w:hAnsiTheme="minorEastAsia" w:eastAsiaTheme="minorEastAsia"/>
          <w:color w:val="auto"/>
          <w:sz w:val="22"/>
        </w:rPr>
        <w:t>同约定的期限内完成合同规定的全部义务。</w:t>
      </w:r>
    </w:p>
    <w:p w14:paraId="23C22DBC">
      <w:pPr>
        <w:spacing w:line="360" w:lineRule="auto"/>
        <w:ind w:firstLine="440" w:firstLineChars="200"/>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5</w:t>
      </w:r>
      <w:r>
        <w:rPr>
          <w:rFonts w:asciiTheme="minorEastAsia" w:hAnsiTheme="minorEastAsia" w:eastAsiaTheme="minorEastAsia"/>
          <w:color w:val="auto"/>
          <w:sz w:val="22"/>
        </w:rPr>
        <w:t>．我方在此声明，所递交的竞标文件及有关资料内容完整、真实和准确，且不存在第二章“竞标人须知”第1.4.3项规定的任何一种情形。</w:t>
      </w:r>
      <w:r>
        <w:rPr>
          <w:rFonts w:hint="eastAsia" w:asciiTheme="minorEastAsia" w:hAnsiTheme="minorEastAsia" w:eastAsiaTheme="minorEastAsia"/>
          <w:color w:val="auto"/>
          <w:sz w:val="22"/>
        </w:rPr>
        <w:t>同时我方承诺接受比选文件及附件、澄清及修改通知中所有的内容。</w:t>
      </w:r>
    </w:p>
    <w:p w14:paraId="6B615AA3">
      <w:pPr>
        <w:spacing w:line="360" w:lineRule="auto"/>
        <w:ind w:firstLine="440" w:firstLineChars="200"/>
        <w:rPr>
          <w:rFonts w:hint="eastAsia" w:asciiTheme="minorEastAsia" w:hAnsiTheme="minorEastAsia" w:eastAsiaTheme="minorEastAsia"/>
          <w:color w:val="auto"/>
          <w:sz w:val="22"/>
        </w:rPr>
      </w:pPr>
      <w:r>
        <w:rPr>
          <w:rFonts w:hint="eastAsia" w:asciiTheme="minorEastAsia" w:hAnsiTheme="minorEastAsia" w:eastAsiaTheme="minorEastAsia"/>
          <w:color w:val="auto"/>
          <w:sz w:val="22"/>
        </w:rPr>
        <w:t>6</w:t>
      </w:r>
      <w:r>
        <w:rPr>
          <w:rFonts w:asciiTheme="minorEastAsia" w:hAnsiTheme="minorEastAsia" w:eastAsiaTheme="minorEastAsia"/>
          <w:color w:val="auto"/>
          <w:sz w:val="22"/>
        </w:rPr>
        <w:t>．</w:t>
      </w:r>
      <w:r>
        <w:rPr>
          <w:rFonts w:asciiTheme="minorEastAsia" w:hAnsiTheme="minorEastAsia" w:eastAsiaTheme="minorEastAsia"/>
          <w:color w:val="auto"/>
          <w:sz w:val="22"/>
          <w:u w:val="single"/>
        </w:rPr>
        <w:t xml:space="preserve">                            </w:t>
      </w:r>
      <w:r>
        <w:rPr>
          <w:rFonts w:asciiTheme="minorEastAsia" w:hAnsiTheme="minorEastAsia" w:eastAsiaTheme="minorEastAsia"/>
          <w:color w:val="auto"/>
          <w:sz w:val="22"/>
          <w:u w:val="single"/>
        </w:rPr>
        <w:tab/>
      </w:r>
      <w:r>
        <w:rPr>
          <w:rFonts w:asciiTheme="minorEastAsia" w:hAnsiTheme="minorEastAsia" w:eastAsiaTheme="minorEastAsia"/>
          <w:color w:val="auto"/>
          <w:sz w:val="22"/>
          <w:u w:val="single"/>
        </w:rPr>
        <w:t>（其他补充说明）</w:t>
      </w:r>
      <w:r>
        <w:rPr>
          <w:rFonts w:asciiTheme="minorEastAsia" w:hAnsiTheme="minorEastAsia" w:eastAsiaTheme="minorEastAsia"/>
          <w:color w:val="auto"/>
          <w:sz w:val="22"/>
        </w:rPr>
        <w:t>。</w:t>
      </w:r>
    </w:p>
    <w:p w14:paraId="10DF1B26">
      <w:pPr>
        <w:spacing w:line="360" w:lineRule="auto"/>
        <w:ind w:firstLine="440" w:firstLineChars="200"/>
        <w:rPr>
          <w:rFonts w:hint="eastAsia" w:asciiTheme="minorEastAsia" w:hAnsiTheme="minorEastAsia" w:eastAsiaTheme="minorEastAsia"/>
          <w:color w:val="auto"/>
          <w:sz w:val="22"/>
        </w:rPr>
      </w:pPr>
    </w:p>
    <w:bookmarkEnd w:id="448"/>
    <w:bookmarkEnd w:id="449"/>
    <w:bookmarkEnd w:id="450"/>
    <w:bookmarkEnd w:id="451"/>
    <w:bookmarkEnd w:id="452"/>
    <w:bookmarkEnd w:id="453"/>
    <w:bookmarkEnd w:id="454"/>
    <w:bookmarkEnd w:id="455"/>
    <w:bookmarkEnd w:id="456"/>
    <w:p w14:paraId="5A214510">
      <w:pPr>
        <w:tabs>
          <w:tab w:val="left" w:pos="7140"/>
          <w:tab w:val="left" w:pos="7560"/>
          <w:tab w:val="left" w:pos="8300"/>
        </w:tabs>
        <w:autoSpaceDE w:val="0"/>
        <w:autoSpaceDN w:val="0"/>
        <w:adjustRightInd w:val="0"/>
        <w:spacing w:line="360" w:lineRule="auto"/>
        <w:ind w:firstLine="440" w:firstLineChars="200"/>
        <w:rPr>
          <w:rFonts w:hint="eastAsia" w:ascii="宋体" w:hAnsi="宋体"/>
          <w:snapToGrid w:val="0"/>
          <w:color w:val="auto"/>
          <w:kern w:val="0"/>
          <w:sz w:val="22"/>
        </w:rPr>
      </w:pPr>
      <w:bookmarkStart w:id="498" w:name="_Toc352691659"/>
      <w:bookmarkEnd w:id="498"/>
      <w:bookmarkStart w:id="499" w:name="_Toc369531695"/>
      <w:bookmarkEnd w:id="499"/>
      <w:bookmarkStart w:id="500" w:name="_Toc16824"/>
      <w:bookmarkEnd w:id="500"/>
      <w:bookmarkStart w:id="501" w:name="_Toc369531696"/>
      <w:bookmarkEnd w:id="501"/>
      <w:bookmarkStart w:id="502" w:name="_Toc352691660"/>
      <w:bookmarkEnd w:id="502"/>
      <w:bookmarkStart w:id="503" w:name="_Toc16568"/>
      <w:bookmarkEnd w:id="503"/>
      <w:r>
        <w:rPr>
          <w:rFonts w:ascii="宋体" w:hAnsi="宋体"/>
          <w:snapToGrid w:val="0"/>
          <w:color w:val="auto"/>
          <w:kern w:val="0"/>
          <w:sz w:val="22"/>
        </w:rPr>
        <w:t>竞标人：</w:t>
      </w:r>
      <w:r>
        <w:rPr>
          <w:rFonts w:ascii="宋体" w:hAnsi="宋体"/>
          <w:snapToGrid w:val="0"/>
          <w:color w:val="auto"/>
          <w:kern w:val="0"/>
          <w:sz w:val="22"/>
          <w:u w:val="single"/>
        </w:rPr>
        <w:t xml:space="preserve">                　　　　　 </w:t>
      </w:r>
      <w:r>
        <w:rPr>
          <w:rFonts w:hint="eastAsia" w:ascii="宋体" w:hAnsi="宋体"/>
          <w:snapToGrid w:val="0"/>
          <w:color w:val="auto"/>
          <w:kern w:val="0"/>
          <w:sz w:val="22"/>
          <w:u w:val="single"/>
        </w:rPr>
        <w:t xml:space="preserve">            </w:t>
      </w:r>
      <w:r>
        <w:rPr>
          <w:rFonts w:ascii="宋体" w:hAnsi="宋体"/>
          <w:snapToGrid w:val="0"/>
          <w:color w:val="auto"/>
          <w:kern w:val="0"/>
          <w:sz w:val="22"/>
          <w:u w:val="single"/>
        </w:rPr>
        <w:t xml:space="preserve">    </w:t>
      </w:r>
      <w:r>
        <w:rPr>
          <w:rFonts w:ascii="宋体" w:hAnsi="宋体"/>
          <w:snapToGrid w:val="0"/>
          <w:color w:val="auto"/>
          <w:kern w:val="0"/>
          <w:sz w:val="22"/>
        </w:rPr>
        <w:t>（盖单位法人章）</w:t>
      </w:r>
    </w:p>
    <w:p w14:paraId="496362DC">
      <w:pPr>
        <w:tabs>
          <w:tab w:val="left" w:pos="7140"/>
          <w:tab w:val="left" w:pos="7560"/>
          <w:tab w:val="left" w:pos="8300"/>
        </w:tabs>
        <w:autoSpaceDE w:val="0"/>
        <w:autoSpaceDN w:val="0"/>
        <w:adjustRightInd w:val="0"/>
        <w:spacing w:line="360" w:lineRule="auto"/>
        <w:ind w:firstLine="440" w:firstLineChars="200"/>
        <w:rPr>
          <w:rFonts w:hint="eastAsia" w:ascii="宋体" w:hAnsi="宋体"/>
          <w:snapToGrid w:val="0"/>
          <w:color w:val="auto"/>
          <w:kern w:val="0"/>
          <w:sz w:val="22"/>
        </w:rPr>
      </w:pPr>
      <w:r>
        <w:rPr>
          <w:rFonts w:ascii="宋体" w:hAnsi="宋体"/>
          <w:snapToGrid w:val="0"/>
          <w:color w:val="auto"/>
          <w:kern w:val="0"/>
          <w:sz w:val="22"/>
        </w:rPr>
        <w:t>法定代表人</w:t>
      </w:r>
      <w:r>
        <w:rPr>
          <w:rFonts w:hint="eastAsia" w:ascii="宋体" w:hAnsi="宋体"/>
          <w:snapToGrid w:val="0"/>
          <w:color w:val="auto"/>
          <w:kern w:val="0"/>
          <w:sz w:val="22"/>
        </w:rPr>
        <w:t>或其委托代理人</w:t>
      </w:r>
      <w:r>
        <w:rPr>
          <w:rFonts w:ascii="宋体" w:hAnsi="宋体"/>
          <w:snapToGrid w:val="0"/>
          <w:color w:val="auto"/>
          <w:kern w:val="0"/>
          <w:sz w:val="22"/>
        </w:rPr>
        <w:t>：</w:t>
      </w:r>
      <w:r>
        <w:rPr>
          <w:rFonts w:ascii="宋体" w:hAnsi="宋体"/>
          <w:snapToGrid w:val="0"/>
          <w:color w:val="auto"/>
          <w:kern w:val="0"/>
          <w:sz w:val="22"/>
          <w:u w:val="single"/>
        </w:rPr>
        <w:t xml:space="preserve">      </w:t>
      </w:r>
      <w:r>
        <w:rPr>
          <w:rFonts w:hint="eastAsia" w:ascii="宋体" w:hAnsi="宋体"/>
          <w:snapToGrid w:val="0"/>
          <w:color w:val="auto"/>
          <w:kern w:val="0"/>
          <w:sz w:val="22"/>
          <w:u w:val="single"/>
        </w:rPr>
        <w:t xml:space="preserve">      </w:t>
      </w:r>
      <w:r>
        <w:rPr>
          <w:rFonts w:ascii="宋体" w:hAnsi="宋体"/>
          <w:snapToGrid w:val="0"/>
          <w:color w:val="auto"/>
          <w:kern w:val="0"/>
          <w:sz w:val="22"/>
          <w:u w:val="single"/>
        </w:rPr>
        <w:t xml:space="preserve">     </w:t>
      </w:r>
      <w:r>
        <w:rPr>
          <w:rFonts w:hint="eastAsia" w:ascii="宋体" w:hAnsi="宋体"/>
          <w:snapToGrid w:val="0"/>
          <w:color w:val="auto"/>
          <w:kern w:val="0"/>
          <w:sz w:val="22"/>
          <w:u w:val="single"/>
        </w:rPr>
        <w:t xml:space="preserve">    </w:t>
      </w:r>
      <w:r>
        <w:rPr>
          <w:rFonts w:ascii="宋体" w:hAnsi="宋体"/>
          <w:snapToGrid w:val="0"/>
          <w:color w:val="auto"/>
          <w:kern w:val="0"/>
          <w:sz w:val="22"/>
          <w:u w:val="single"/>
        </w:rPr>
        <w:t xml:space="preserve">   </w:t>
      </w:r>
      <w:r>
        <w:rPr>
          <w:rFonts w:hint="eastAsia" w:ascii="宋体" w:hAnsi="宋体"/>
          <w:snapToGrid w:val="0"/>
          <w:color w:val="auto"/>
          <w:kern w:val="0"/>
          <w:sz w:val="22"/>
          <w:u w:val="single"/>
        </w:rPr>
        <w:t xml:space="preserve">   </w:t>
      </w:r>
      <w:r>
        <w:rPr>
          <w:rFonts w:ascii="宋体" w:hAnsi="宋体"/>
          <w:snapToGrid w:val="0"/>
          <w:color w:val="auto"/>
          <w:kern w:val="0"/>
          <w:sz w:val="22"/>
        </w:rPr>
        <w:t>（</w:t>
      </w:r>
      <w:r>
        <w:rPr>
          <w:rFonts w:hint="eastAsia" w:ascii="宋体" w:hAnsi="宋体"/>
          <w:snapToGrid w:val="0"/>
          <w:color w:val="auto"/>
          <w:kern w:val="0"/>
          <w:sz w:val="22"/>
        </w:rPr>
        <w:t>签名</w:t>
      </w:r>
      <w:r>
        <w:rPr>
          <w:rFonts w:ascii="宋体" w:hAnsi="宋体"/>
          <w:snapToGrid w:val="0"/>
          <w:color w:val="auto"/>
          <w:kern w:val="0"/>
          <w:sz w:val="22"/>
        </w:rPr>
        <w:t>或盖章）</w:t>
      </w:r>
    </w:p>
    <w:p w14:paraId="04D468EB">
      <w:pPr>
        <w:tabs>
          <w:tab w:val="left" w:pos="7035"/>
          <w:tab w:val="left" w:pos="7560"/>
          <w:tab w:val="left" w:pos="8300"/>
        </w:tabs>
        <w:autoSpaceDE w:val="0"/>
        <w:autoSpaceDN w:val="0"/>
        <w:adjustRightInd w:val="0"/>
        <w:spacing w:line="360" w:lineRule="auto"/>
        <w:ind w:firstLine="440" w:firstLineChars="200"/>
        <w:rPr>
          <w:rFonts w:hint="eastAsia" w:ascii="宋体" w:hAnsi="宋体"/>
          <w:snapToGrid w:val="0"/>
          <w:color w:val="auto"/>
          <w:kern w:val="0"/>
          <w:sz w:val="22"/>
        </w:rPr>
      </w:pPr>
      <w:r>
        <w:rPr>
          <w:rFonts w:ascii="宋体" w:hAnsi="宋体"/>
          <w:snapToGrid w:val="0"/>
          <w:color w:val="auto"/>
          <w:kern w:val="0"/>
          <w:sz w:val="22"/>
        </w:rPr>
        <w:t>地</w:t>
      </w:r>
      <w:r>
        <w:rPr>
          <w:rFonts w:hint="eastAsia" w:ascii="宋体" w:hAnsi="宋体"/>
          <w:snapToGrid w:val="0"/>
          <w:color w:val="auto"/>
          <w:kern w:val="0"/>
          <w:sz w:val="22"/>
        </w:rPr>
        <w:t xml:space="preserve">    </w:t>
      </w:r>
      <w:r>
        <w:rPr>
          <w:rFonts w:ascii="宋体" w:hAnsi="宋体"/>
          <w:snapToGrid w:val="0"/>
          <w:color w:val="auto"/>
          <w:kern w:val="0"/>
          <w:sz w:val="22"/>
        </w:rPr>
        <w:t>址：</w:t>
      </w:r>
      <w:r>
        <w:rPr>
          <w:rFonts w:ascii="宋体" w:hAnsi="宋体"/>
          <w:snapToGrid w:val="0"/>
          <w:color w:val="auto"/>
          <w:kern w:val="0"/>
          <w:sz w:val="22"/>
          <w:u w:val="single"/>
        </w:rPr>
        <w:t xml:space="preserve">     </w:t>
      </w:r>
      <w:r>
        <w:rPr>
          <w:rFonts w:hint="eastAsia" w:ascii="宋体" w:hAnsi="宋体"/>
          <w:snapToGrid w:val="0"/>
          <w:color w:val="auto"/>
          <w:kern w:val="0"/>
          <w:sz w:val="22"/>
          <w:u w:val="single"/>
        </w:rPr>
        <w:t xml:space="preserve">                                                                 </w:t>
      </w:r>
      <w:r>
        <w:rPr>
          <w:rFonts w:ascii="宋体" w:hAnsi="宋体"/>
          <w:snapToGrid w:val="0"/>
          <w:color w:val="auto"/>
          <w:kern w:val="0"/>
          <w:sz w:val="22"/>
          <w:u w:val="single"/>
        </w:rPr>
        <w:t xml:space="preserve">       </w:t>
      </w:r>
    </w:p>
    <w:p w14:paraId="63C9AE6D">
      <w:pPr>
        <w:tabs>
          <w:tab w:val="left" w:pos="8300"/>
        </w:tabs>
        <w:autoSpaceDE w:val="0"/>
        <w:autoSpaceDN w:val="0"/>
        <w:adjustRightInd w:val="0"/>
        <w:spacing w:line="360" w:lineRule="auto"/>
        <w:ind w:firstLine="440" w:firstLineChars="200"/>
        <w:rPr>
          <w:rFonts w:hint="eastAsia" w:ascii="宋体" w:hAnsi="宋体"/>
          <w:snapToGrid w:val="0"/>
          <w:color w:val="auto"/>
          <w:kern w:val="0"/>
          <w:sz w:val="22"/>
        </w:rPr>
      </w:pPr>
      <w:r>
        <w:rPr>
          <w:rFonts w:ascii="宋体" w:hAnsi="宋体"/>
          <w:snapToGrid w:val="0"/>
          <w:color w:val="auto"/>
          <w:kern w:val="0"/>
          <w:sz w:val="22"/>
        </w:rPr>
        <w:t>网</w:t>
      </w:r>
      <w:r>
        <w:rPr>
          <w:rFonts w:hint="eastAsia" w:ascii="宋体" w:hAnsi="宋体"/>
          <w:snapToGrid w:val="0"/>
          <w:color w:val="auto"/>
          <w:kern w:val="0"/>
          <w:sz w:val="22"/>
        </w:rPr>
        <w:t xml:space="preserve">    </w:t>
      </w:r>
      <w:r>
        <w:rPr>
          <w:rFonts w:ascii="宋体" w:hAnsi="宋体"/>
          <w:snapToGrid w:val="0"/>
          <w:color w:val="auto"/>
          <w:kern w:val="0"/>
          <w:sz w:val="22"/>
        </w:rPr>
        <w:t>址：</w:t>
      </w:r>
      <w:r>
        <w:rPr>
          <w:rFonts w:ascii="宋体" w:hAnsi="宋体"/>
          <w:snapToGrid w:val="0"/>
          <w:color w:val="auto"/>
          <w:kern w:val="0"/>
          <w:sz w:val="22"/>
          <w:u w:val="single"/>
        </w:rPr>
        <w:t xml:space="preserve">     </w:t>
      </w:r>
      <w:r>
        <w:rPr>
          <w:rFonts w:hint="eastAsia" w:ascii="宋体" w:hAnsi="宋体"/>
          <w:snapToGrid w:val="0"/>
          <w:color w:val="auto"/>
          <w:kern w:val="0"/>
          <w:sz w:val="22"/>
          <w:u w:val="single"/>
        </w:rPr>
        <w:t xml:space="preserve">                                                                 </w:t>
      </w:r>
      <w:r>
        <w:rPr>
          <w:rFonts w:ascii="宋体" w:hAnsi="宋体"/>
          <w:snapToGrid w:val="0"/>
          <w:color w:val="auto"/>
          <w:kern w:val="0"/>
          <w:sz w:val="22"/>
          <w:u w:val="single"/>
        </w:rPr>
        <w:t xml:space="preserve">      </w:t>
      </w:r>
    </w:p>
    <w:p w14:paraId="4B356822">
      <w:pPr>
        <w:tabs>
          <w:tab w:val="left" w:pos="8300"/>
        </w:tabs>
        <w:autoSpaceDE w:val="0"/>
        <w:autoSpaceDN w:val="0"/>
        <w:adjustRightInd w:val="0"/>
        <w:spacing w:line="360" w:lineRule="auto"/>
        <w:ind w:firstLine="440" w:firstLineChars="200"/>
        <w:jc w:val="left"/>
        <w:rPr>
          <w:rFonts w:hint="eastAsia" w:ascii="宋体" w:hAnsi="宋体"/>
          <w:snapToGrid w:val="0"/>
          <w:color w:val="auto"/>
          <w:kern w:val="0"/>
          <w:sz w:val="22"/>
        </w:rPr>
      </w:pPr>
      <w:r>
        <w:rPr>
          <w:rFonts w:hint="eastAsia" w:ascii="宋体" w:hAnsi="宋体"/>
          <w:snapToGrid w:val="0"/>
          <w:color w:val="auto"/>
          <w:kern w:val="0"/>
          <w:sz w:val="22"/>
        </w:rPr>
        <w:t>单位电话（座机）：</w:t>
      </w:r>
      <w:r>
        <w:rPr>
          <w:rFonts w:hint="eastAsia" w:ascii="宋体" w:hAnsi="宋体"/>
          <w:snapToGrid w:val="0"/>
          <w:color w:val="auto"/>
          <w:kern w:val="0"/>
          <w:sz w:val="22"/>
          <w:u w:val="single"/>
        </w:rPr>
        <w:t xml:space="preserve">                      </w:t>
      </w:r>
      <w:r>
        <w:rPr>
          <w:rFonts w:hint="eastAsia" w:ascii="宋体" w:hAnsi="宋体"/>
          <w:snapToGrid w:val="0"/>
          <w:color w:val="auto"/>
          <w:kern w:val="0"/>
          <w:sz w:val="22"/>
        </w:rPr>
        <w:t>委托代理人电话（手机）：</w:t>
      </w:r>
      <w:r>
        <w:rPr>
          <w:rFonts w:ascii="宋体" w:hAnsi="宋体"/>
          <w:snapToGrid w:val="0"/>
          <w:color w:val="auto"/>
          <w:kern w:val="0"/>
          <w:sz w:val="22"/>
          <w:u w:val="single"/>
        </w:rPr>
        <w:t xml:space="preserve">     </w:t>
      </w:r>
      <w:r>
        <w:rPr>
          <w:rFonts w:hint="eastAsia" w:ascii="宋体" w:hAnsi="宋体"/>
          <w:snapToGrid w:val="0"/>
          <w:color w:val="auto"/>
          <w:kern w:val="0"/>
          <w:sz w:val="22"/>
          <w:u w:val="single"/>
        </w:rPr>
        <w:t xml:space="preserve">                 </w:t>
      </w:r>
    </w:p>
    <w:p w14:paraId="5AE8C6B4">
      <w:pPr>
        <w:tabs>
          <w:tab w:val="left" w:pos="8300"/>
        </w:tabs>
        <w:autoSpaceDE w:val="0"/>
        <w:autoSpaceDN w:val="0"/>
        <w:adjustRightInd w:val="0"/>
        <w:spacing w:line="360" w:lineRule="auto"/>
        <w:ind w:firstLine="440" w:firstLineChars="200"/>
        <w:rPr>
          <w:rFonts w:hint="eastAsia" w:ascii="宋体" w:hAnsi="宋体"/>
          <w:snapToGrid w:val="0"/>
          <w:color w:val="auto"/>
          <w:kern w:val="0"/>
          <w:sz w:val="22"/>
        </w:rPr>
      </w:pPr>
      <w:r>
        <w:rPr>
          <w:rFonts w:ascii="宋体" w:hAnsi="宋体"/>
          <w:snapToGrid w:val="0"/>
          <w:color w:val="auto"/>
          <w:kern w:val="0"/>
          <w:sz w:val="22"/>
        </w:rPr>
        <w:t>传</w:t>
      </w:r>
      <w:r>
        <w:rPr>
          <w:rFonts w:hint="eastAsia" w:ascii="宋体" w:hAnsi="宋体"/>
          <w:snapToGrid w:val="0"/>
          <w:color w:val="auto"/>
          <w:kern w:val="0"/>
          <w:sz w:val="22"/>
        </w:rPr>
        <w:t xml:space="preserve">    </w:t>
      </w:r>
      <w:r>
        <w:rPr>
          <w:rFonts w:ascii="宋体" w:hAnsi="宋体"/>
          <w:snapToGrid w:val="0"/>
          <w:color w:val="auto"/>
          <w:kern w:val="0"/>
          <w:sz w:val="22"/>
        </w:rPr>
        <w:t>真：</w:t>
      </w:r>
      <w:r>
        <w:rPr>
          <w:rFonts w:ascii="宋体" w:hAnsi="宋体"/>
          <w:snapToGrid w:val="0"/>
          <w:color w:val="auto"/>
          <w:kern w:val="0"/>
          <w:sz w:val="22"/>
          <w:u w:val="single"/>
        </w:rPr>
        <w:t xml:space="preserve">     </w:t>
      </w:r>
      <w:r>
        <w:rPr>
          <w:rFonts w:hint="eastAsia" w:ascii="宋体" w:hAnsi="宋体"/>
          <w:snapToGrid w:val="0"/>
          <w:color w:val="auto"/>
          <w:kern w:val="0"/>
          <w:sz w:val="22"/>
          <w:u w:val="single"/>
        </w:rPr>
        <w:t xml:space="preserve">                                                                 </w:t>
      </w:r>
      <w:r>
        <w:rPr>
          <w:rFonts w:ascii="宋体" w:hAnsi="宋体"/>
          <w:snapToGrid w:val="0"/>
          <w:color w:val="auto"/>
          <w:kern w:val="0"/>
          <w:sz w:val="22"/>
          <w:u w:val="single"/>
        </w:rPr>
        <w:t xml:space="preserve">      </w:t>
      </w:r>
    </w:p>
    <w:p w14:paraId="2F1BC5E0">
      <w:pPr>
        <w:tabs>
          <w:tab w:val="left" w:pos="8300"/>
        </w:tabs>
        <w:autoSpaceDE w:val="0"/>
        <w:autoSpaceDN w:val="0"/>
        <w:adjustRightInd w:val="0"/>
        <w:spacing w:line="360" w:lineRule="auto"/>
        <w:ind w:firstLine="440" w:firstLineChars="200"/>
        <w:rPr>
          <w:rFonts w:hint="eastAsia" w:ascii="宋体" w:hAnsi="宋体"/>
          <w:snapToGrid w:val="0"/>
          <w:color w:val="auto"/>
          <w:kern w:val="0"/>
          <w:szCs w:val="21"/>
        </w:rPr>
      </w:pPr>
      <w:r>
        <w:rPr>
          <w:rFonts w:ascii="宋体" w:hAnsi="宋体"/>
          <w:snapToGrid w:val="0"/>
          <w:color w:val="auto"/>
          <w:kern w:val="0"/>
          <w:sz w:val="22"/>
        </w:rPr>
        <w:t>邮政编码：</w:t>
      </w:r>
      <w:r>
        <w:rPr>
          <w:rFonts w:ascii="宋体" w:hAnsi="宋体"/>
          <w:snapToGrid w:val="0"/>
          <w:color w:val="auto"/>
          <w:kern w:val="0"/>
          <w:sz w:val="22"/>
          <w:u w:val="single"/>
        </w:rPr>
        <w:t xml:space="preserve">     </w:t>
      </w:r>
      <w:r>
        <w:rPr>
          <w:rFonts w:hint="eastAsia" w:ascii="宋体" w:hAnsi="宋体"/>
          <w:snapToGrid w:val="0"/>
          <w:color w:val="auto"/>
          <w:kern w:val="0"/>
          <w:sz w:val="22"/>
          <w:u w:val="single"/>
        </w:rPr>
        <w:t xml:space="preserve">                                                                 </w:t>
      </w:r>
      <w:r>
        <w:rPr>
          <w:rFonts w:ascii="宋体" w:hAnsi="宋体"/>
          <w:snapToGrid w:val="0"/>
          <w:color w:val="auto"/>
          <w:kern w:val="0"/>
          <w:sz w:val="22"/>
          <w:u w:val="single"/>
        </w:rPr>
        <w:t xml:space="preserve">      </w:t>
      </w:r>
    </w:p>
    <w:p w14:paraId="5782FE16">
      <w:pPr>
        <w:tabs>
          <w:tab w:val="left" w:pos="8300"/>
        </w:tabs>
        <w:autoSpaceDE w:val="0"/>
        <w:autoSpaceDN w:val="0"/>
        <w:adjustRightInd w:val="0"/>
        <w:spacing w:line="360" w:lineRule="auto"/>
        <w:ind w:firstLine="440" w:firstLineChars="200"/>
        <w:jc w:val="right"/>
        <w:rPr>
          <w:rFonts w:hint="eastAsia" w:ascii="宋体" w:hAnsi="宋体"/>
          <w:snapToGrid w:val="0"/>
          <w:color w:val="auto"/>
          <w:kern w:val="0"/>
          <w:szCs w:val="21"/>
        </w:rPr>
      </w:pPr>
      <w:r>
        <w:rPr>
          <w:rFonts w:hint="eastAsia" w:ascii="宋体" w:hAnsi="宋体"/>
          <w:color w:val="auto"/>
          <w:kern w:val="0"/>
          <w:sz w:val="22"/>
          <w:u w:val="single"/>
        </w:rPr>
        <w:t xml:space="preserve">    </w:t>
      </w:r>
      <w:r>
        <w:rPr>
          <w:rFonts w:ascii="宋体" w:hAnsi="宋体"/>
          <w:color w:val="auto"/>
          <w:kern w:val="0"/>
          <w:sz w:val="22"/>
        </w:rPr>
        <w:t>年</w:t>
      </w:r>
      <w:r>
        <w:rPr>
          <w:rFonts w:hint="eastAsia" w:ascii="宋体" w:hAnsi="宋体"/>
          <w:color w:val="auto"/>
          <w:kern w:val="0"/>
          <w:sz w:val="22"/>
          <w:u w:val="single"/>
        </w:rPr>
        <w:t xml:space="preserve">    </w:t>
      </w:r>
      <w:r>
        <w:rPr>
          <w:rFonts w:ascii="宋体" w:hAnsi="宋体"/>
          <w:color w:val="auto"/>
          <w:kern w:val="0"/>
          <w:sz w:val="22"/>
        </w:rPr>
        <w:t>月</w:t>
      </w:r>
      <w:r>
        <w:rPr>
          <w:rFonts w:hint="eastAsia" w:ascii="宋体" w:hAnsi="宋体"/>
          <w:color w:val="auto"/>
          <w:kern w:val="0"/>
          <w:sz w:val="22"/>
          <w:u w:val="single"/>
        </w:rPr>
        <w:t xml:space="preserve">    </w:t>
      </w:r>
      <w:r>
        <w:rPr>
          <w:rFonts w:ascii="宋体" w:hAnsi="宋体"/>
          <w:color w:val="auto"/>
          <w:kern w:val="0"/>
          <w:sz w:val="22"/>
        </w:rPr>
        <w:t>日</w:t>
      </w:r>
    </w:p>
    <w:p w14:paraId="575A786B">
      <w:pPr>
        <w:spacing w:line="360" w:lineRule="auto"/>
        <w:ind w:firstLine="440" w:firstLineChars="200"/>
        <w:jc w:val="left"/>
        <w:rPr>
          <w:rFonts w:hint="eastAsia" w:ascii="宋体" w:hAnsi="宋体" w:cs="宋体"/>
          <w:snapToGrid w:val="0"/>
          <w:color w:val="auto"/>
          <w:kern w:val="0"/>
          <w:sz w:val="22"/>
        </w:rPr>
      </w:pPr>
    </w:p>
    <w:p w14:paraId="44CA8653">
      <w:pPr>
        <w:spacing w:line="360" w:lineRule="auto"/>
        <w:ind w:firstLine="440" w:firstLineChars="200"/>
        <w:jc w:val="left"/>
        <w:rPr>
          <w:rFonts w:hint="eastAsia" w:ascii="宋体" w:hAnsi="宋体" w:cs="宋体"/>
          <w:snapToGrid w:val="0"/>
          <w:color w:val="auto"/>
          <w:kern w:val="0"/>
          <w:sz w:val="22"/>
        </w:rPr>
      </w:pPr>
    </w:p>
    <w:p w14:paraId="288FF5BF">
      <w:pPr>
        <w:spacing w:line="440" w:lineRule="exact"/>
        <w:ind w:firstLine="440"/>
        <w:rPr>
          <w:rFonts w:hint="eastAsia" w:asciiTheme="minorEastAsia" w:hAnsiTheme="minorEastAsia" w:eastAsiaTheme="minorEastAsia"/>
          <w:color w:val="auto"/>
          <w:szCs w:val="24"/>
        </w:rPr>
      </w:pPr>
      <w:bookmarkStart w:id="504" w:name="_Toc152045787"/>
      <w:bookmarkStart w:id="505" w:name="_Toc247527827"/>
      <w:bookmarkStart w:id="506" w:name="_Toc300835209"/>
      <w:bookmarkStart w:id="507" w:name="_Toc384308375"/>
      <w:bookmarkStart w:id="508" w:name="_Toc247514246"/>
      <w:bookmarkStart w:id="509" w:name="_Toc144974856"/>
      <w:bookmarkStart w:id="510" w:name="_Toc369531697"/>
      <w:bookmarkStart w:id="511" w:name="_Toc152042576"/>
      <w:bookmarkStart w:id="512" w:name="_Toc361508752"/>
      <w:bookmarkStart w:id="513" w:name="_Toc352691661"/>
      <w:bookmarkStart w:id="514" w:name="_Toc17960"/>
      <w:r>
        <w:rPr>
          <w:rFonts w:asciiTheme="minorEastAsia" w:hAnsiTheme="minorEastAsia" w:eastAsiaTheme="minorEastAsia"/>
          <w:color w:val="auto"/>
          <w:sz w:val="22"/>
        </w:rPr>
        <w:br w:type="page"/>
      </w:r>
    </w:p>
    <w:bookmarkEnd w:id="504"/>
    <w:bookmarkEnd w:id="505"/>
    <w:bookmarkEnd w:id="506"/>
    <w:bookmarkEnd w:id="507"/>
    <w:bookmarkEnd w:id="508"/>
    <w:bookmarkEnd w:id="509"/>
    <w:bookmarkEnd w:id="510"/>
    <w:bookmarkEnd w:id="511"/>
    <w:bookmarkEnd w:id="512"/>
    <w:bookmarkEnd w:id="513"/>
    <w:bookmarkEnd w:id="514"/>
    <w:p w14:paraId="35D360D3">
      <w:pPr>
        <w:pStyle w:val="4"/>
        <w:spacing w:before="0" w:after="0" w:line="360" w:lineRule="auto"/>
        <w:ind w:firstLine="157"/>
        <w:jc w:val="center"/>
        <w:rPr>
          <w:rStyle w:val="108"/>
          <w:color w:val="auto"/>
          <w:szCs w:val="36"/>
        </w:rPr>
      </w:pPr>
      <w:bookmarkStart w:id="515" w:name="_Toc28171"/>
      <w:bookmarkStart w:id="516" w:name="_Toc492300723"/>
      <w:r>
        <w:rPr>
          <w:rStyle w:val="108"/>
          <w:rFonts w:hint="eastAsia"/>
          <w:color w:val="auto"/>
          <w:szCs w:val="36"/>
        </w:rPr>
        <w:t>（二）法定代表人身份证明或附有法定代表人身份证明的</w:t>
      </w:r>
    </w:p>
    <w:p w14:paraId="09366096">
      <w:pPr>
        <w:pStyle w:val="4"/>
        <w:spacing w:before="0" w:after="0" w:line="360" w:lineRule="auto"/>
        <w:ind w:firstLine="157"/>
        <w:jc w:val="center"/>
        <w:rPr>
          <w:rStyle w:val="108"/>
          <w:color w:val="auto"/>
          <w:szCs w:val="36"/>
        </w:rPr>
      </w:pPr>
      <w:r>
        <w:rPr>
          <w:rStyle w:val="108"/>
          <w:rFonts w:hint="eastAsia"/>
          <w:color w:val="auto"/>
          <w:szCs w:val="36"/>
        </w:rPr>
        <w:t>授权委托书</w:t>
      </w:r>
      <w:bookmarkEnd w:id="515"/>
      <w:bookmarkEnd w:id="516"/>
    </w:p>
    <w:p w14:paraId="06241D7B">
      <w:pPr>
        <w:pStyle w:val="4"/>
        <w:spacing w:before="0" w:after="0" w:line="360" w:lineRule="auto"/>
        <w:ind w:firstLine="157"/>
        <w:jc w:val="center"/>
        <w:rPr>
          <w:rFonts w:hint="eastAsia" w:asciiTheme="minorEastAsia" w:hAnsiTheme="minorEastAsia" w:eastAsiaTheme="minorEastAsia"/>
          <w:color w:val="auto"/>
          <w:sz w:val="32"/>
          <w:szCs w:val="21"/>
        </w:rPr>
      </w:pPr>
      <w:bookmarkStart w:id="517" w:name="_Toc104380788"/>
      <w:bookmarkStart w:id="518" w:name="_Toc6017"/>
      <w:bookmarkStart w:id="519" w:name="_Toc104380682"/>
      <w:bookmarkStart w:id="520" w:name="_Toc104380574"/>
      <w:r>
        <w:rPr>
          <w:rFonts w:hint="eastAsia" w:asciiTheme="minorEastAsia" w:hAnsiTheme="minorEastAsia" w:eastAsiaTheme="minorEastAsia"/>
          <w:color w:val="auto"/>
          <w:sz w:val="32"/>
          <w:szCs w:val="21"/>
        </w:rPr>
        <w:t>1.</w:t>
      </w:r>
      <w:r>
        <w:rPr>
          <w:rFonts w:asciiTheme="minorEastAsia" w:hAnsiTheme="minorEastAsia" w:eastAsiaTheme="minorEastAsia"/>
          <w:color w:val="auto"/>
          <w:sz w:val="32"/>
          <w:szCs w:val="21"/>
        </w:rPr>
        <w:t>法定代表人身份证明</w:t>
      </w:r>
      <w:bookmarkEnd w:id="517"/>
      <w:bookmarkEnd w:id="518"/>
      <w:bookmarkEnd w:id="519"/>
      <w:bookmarkEnd w:id="520"/>
    </w:p>
    <w:p w14:paraId="328BB9FF">
      <w:pPr>
        <w:tabs>
          <w:tab w:val="left" w:pos="5565"/>
        </w:tabs>
        <w:autoSpaceDE w:val="0"/>
        <w:autoSpaceDN w:val="0"/>
        <w:adjustRightInd w:val="0"/>
        <w:snapToGrid w:val="0"/>
        <w:spacing w:line="360" w:lineRule="auto"/>
        <w:ind w:firstLine="409" w:firstLineChars="186"/>
        <w:jc w:val="left"/>
        <w:rPr>
          <w:rFonts w:hint="eastAsia" w:ascii="宋体" w:hAnsi="宋体"/>
          <w:color w:val="auto"/>
          <w:kern w:val="0"/>
          <w:sz w:val="22"/>
        </w:rPr>
      </w:pPr>
      <w:r>
        <w:rPr>
          <w:rFonts w:ascii="宋体" w:hAnsi="宋体"/>
          <w:color w:val="auto"/>
          <w:kern w:val="0"/>
          <w:sz w:val="22"/>
        </w:rPr>
        <w:t>竞标人名称：</w:t>
      </w:r>
      <w:r>
        <w:rPr>
          <w:rFonts w:ascii="宋体" w:hAnsi="宋体"/>
          <w:color w:val="auto"/>
          <w:w w:val="200"/>
          <w:kern w:val="0"/>
          <w:sz w:val="22"/>
          <w:u w:val="single"/>
        </w:rPr>
        <w:t xml:space="preserve"> </w:t>
      </w:r>
      <w:r>
        <w:rPr>
          <w:rFonts w:hint="eastAsia" w:ascii="宋体" w:hAnsi="宋体"/>
          <w:color w:val="auto"/>
          <w:w w:val="200"/>
          <w:kern w:val="0"/>
          <w:sz w:val="22"/>
          <w:u w:val="single"/>
        </w:rPr>
        <w:t xml:space="preserve">                                   </w:t>
      </w:r>
    </w:p>
    <w:p w14:paraId="356B3BF6">
      <w:pPr>
        <w:tabs>
          <w:tab w:val="left" w:pos="5475"/>
        </w:tabs>
        <w:autoSpaceDE w:val="0"/>
        <w:autoSpaceDN w:val="0"/>
        <w:adjustRightInd w:val="0"/>
        <w:snapToGrid w:val="0"/>
        <w:spacing w:line="360" w:lineRule="auto"/>
        <w:ind w:firstLine="409" w:firstLineChars="186"/>
        <w:jc w:val="left"/>
        <w:rPr>
          <w:rFonts w:hint="eastAsia" w:ascii="宋体" w:hAnsi="宋体"/>
          <w:color w:val="auto"/>
          <w:kern w:val="0"/>
          <w:sz w:val="22"/>
        </w:rPr>
      </w:pPr>
      <w:r>
        <w:rPr>
          <w:rFonts w:ascii="宋体" w:hAnsi="宋体"/>
          <w:color w:val="auto"/>
          <w:kern w:val="0"/>
          <w:sz w:val="22"/>
        </w:rPr>
        <w:t>单位性质：</w:t>
      </w:r>
      <w:r>
        <w:rPr>
          <w:rFonts w:ascii="宋体" w:hAnsi="宋体"/>
          <w:color w:val="auto"/>
          <w:w w:val="200"/>
          <w:kern w:val="0"/>
          <w:sz w:val="22"/>
          <w:u w:val="single"/>
        </w:rPr>
        <w:t xml:space="preserve"> </w:t>
      </w:r>
      <w:r>
        <w:rPr>
          <w:rFonts w:hint="eastAsia" w:ascii="宋体" w:hAnsi="宋体"/>
          <w:color w:val="auto"/>
          <w:w w:val="200"/>
          <w:kern w:val="0"/>
          <w:sz w:val="22"/>
          <w:u w:val="single"/>
        </w:rPr>
        <w:t xml:space="preserve">                                    </w:t>
      </w:r>
    </w:p>
    <w:p w14:paraId="6DE81B6A">
      <w:pPr>
        <w:tabs>
          <w:tab w:val="left" w:pos="5475"/>
        </w:tabs>
        <w:autoSpaceDE w:val="0"/>
        <w:autoSpaceDN w:val="0"/>
        <w:adjustRightInd w:val="0"/>
        <w:snapToGrid w:val="0"/>
        <w:spacing w:line="360" w:lineRule="auto"/>
        <w:ind w:firstLine="409" w:firstLineChars="186"/>
        <w:jc w:val="left"/>
        <w:rPr>
          <w:rFonts w:hint="eastAsia" w:ascii="宋体" w:hAnsi="宋体"/>
          <w:color w:val="auto"/>
          <w:kern w:val="0"/>
          <w:sz w:val="22"/>
        </w:rPr>
      </w:pPr>
      <w:r>
        <w:rPr>
          <w:rFonts w:ascii="宋体" w:hAnsi="宋体"/>
          <w:color w:val="auto"/>
          <w:kern w:val="0"/>
          <w:sz w:val="22"/>
        </w:rPr>
        <w:t>地</w:t>
      </w:r>
      <w:r>
        <w:rPr>
          <w:rFonts w:hint="eastAsia" w:ascii="宋体" w:hAnsi="宋体"/>
          <w:color w:val="auto"/>
          <w:kern w:val="0"/>
          <w:sz w:val="22"/>
        </w:rPr>
        <w:t xml:space="preserve">    </w:t>
      </w:r>
      <w:r>
        <w:rPr>
          <w:rFonts w:ascii="宋体" w:hAnsi="宋体"/>
          <w:color w:val="auto"/>
          <w:kern w:val="0"/>
          <w:sz w:val="22"/>
        </w:rPr>
        <w:t>址：</w:t>
      </w:r>
      <w:r>
        <w:rPr>
          <w:rFonts w:ascii="宋体" w:hAnsi="宋体"/>
          <w:color w:val="auto"/>
          <w:w w:val="200"/>
          <w:kern w:val="0"/>
          <w:sz w:val="22"/>
          <w:u w:val="single"/>
        </w:rPr>
        <w:t xml:space="preserve"> </w:t>
      </w:r>
      <w:r>
        <w:rPr>
          <w:rFonts w:hint="eastAsia" w:ascii="宋体" w:hAnsi="宋体"/>
          <w:color w:val="auto"/>
          <w:w w:val="200"/>
          <w:kern w:val="0"/>
          <w:sz w:val="22"/>
          <w:u w:val="single"/>
        </w:rPr>
        <w:t xml:space="preserve">                                    </w:t>
      </w:r>
    </w:p>
    <w:p w14:paraId="7C70A38C">
      <w:pPr>
        <w:tabs>
          <w:tab w:val="left" w:pos="2520"/>
          <w:tab w:val="left" w:pos="3836"/>
        </w:tabs>
        <w:autoSpaceDE w:val="0"/>
        <w:autoSpaceDN w:val="0"/>
        <w:adjustRightInd w:val="0"/>
        <w:snapToGrid w:val="0"/>
        <w:spacing w:line="360" w:lineRule="auto"/>
        <w:ind w:firstLine="409" w:firstLineChars="186"/>
        <w:jc w:val="left"/>
        <w:rPr>
          <w:rFonts w:hint="eastAsia" w:ascii="宋体" w:hAnsi="宋体"/>
          <w:color w:val="auto"/>
          <w:kern w:val="0"/>
          <w:sz w:val="11"/>
          <w:szCs w:val="11"/>
        </w:rPr>
      </w:pPr>
      <w:r>
        <w:rPr>
          <w:rFonts w:ascii="宋体" w:hAnsi="宋体"/>
          <w:color w:val="auto"/>
          <w:kern w:val="0"/>
          <w:sz w:val="22"/>
        </w:rPr>
        <w:t>成立时间：</w:t>
      </w:r>
      <w:r>
        <w:rPr>
          <w:rFonts w:hint="eastAsia" w:ascii="宋体" w:hAnsi="宋体"/>
          <w:color w:val="auto"/>
          <w:w w:val="200"/>
          <w:kern w:val="0"/>
          <w:sz w:val="22"/>
          <w:u w:val="single"/>
        </w:rPr>
        <w:t xml:space="preserve">    </w:t>
      </w:r>
      <w:r>
        <w:rPr>
          <w:rFonts w:ascii="宋体" w:hAnsi="宋体"/>
          <w:color w:val="auto"/>
          <w:kern w:val="0"/>
          <w:sz w:val="22"/>
        </w:rPr>
        <w:t>年</w:t>
      </w:r>
      <w:r>
        <w:rPr>
          <w:rFonts w:hint="eastAsia" w:ascii="宋体" w:hAnsi="宋体"/>
          <w:color w:val="auto"/>
          <w:w w:val="200"/>
          <w:kern w:val="0"/>
          <w:sz w:val="22"/>
          <w:u w:val="single"/>
        </w:rPr>
        <w:t xml:space="preserve">    </w:t>
      </w:r>
      <w:r>
        <w:rPr>
          <w:rFonts w:ascii="宋体" w:hAnsi="宋体"/>
          <w:color w:val="auto"/>
          <w:kern w:val="0"/>
          <w:sz w:val="22"/>
        </w:rPr>
        <w:t>月</w:t>
      </w:r>
      <w:r>
        <w:rPr>
          <w:rFonts w:hint="eastAsia" w:ascii="宋体" w:hAnsi="宋体"/>
          <w:color w:val="auto"/>
          <w:w w:val="200"/>
          <w:kern w:val="0"/>
          <w:sz w:val="22"/>
          <w:u w:val="single"/>
        </w:rPr>
        <w:t xml:space="preserve">    </w:t>
      </w:r>
      <w:r>
        <w:rPr>
          <w:rFonts w:ascii="宋体" w:hAnsi="宋体"/>
          <w:color w:val="auto"/>
          <w:kern w:val="0"/>
          <w:sz w:val="22"/>
        </w:rPr>
        <w:t>日</w:t>
      </w:r>
    </w:p>
    <w:p w14:paraId="083F1D63">
      <w:pPr>
        <w:tabs>
          <w:tab w:val="left" w:pos="5475"/>
        </w:tabs>
        <w:autoSpaceDE w:val="0"/>
        <w:autoSpaceDN w:val="0"/>
        <w:adjustRightInd w:val="0"/>
        <w:snapToGrid w:val="0"/>
        <w:spacing w:line="360" w:lineRule="auto"/>
        <w:ind w:firstLine="409" w:firstLineChars="186"/>
        <w:jc w:val="left"/>
        <w:rPr>
          <w:rFonts w:hint="eastAsia" w:ascii="宋体" w:hAnsi="宋体"/>
          <w:color w:val="auto"/>
          <w:kern w:val="0"/>
          <w:sz w:val="22"/>
        </w:rPr>
      </w:pPr>
      <w:r>
        <w:rPr>
          <w:rFonts w:ascii="宋体" w:hAnsi="宋体"/>
          <w:color w:val="auto"/>
          <w:kern w:val="0"/>
          <w:sz w:val="22"/>
        </w:rPr>
        <w:t>经营期限：</w:t>
      </w:r>
      <w:r>
        <w:rPr>
          <w:rFonts w:ascii="宋体" w:hAnsi="宋体"/>
          <w:color w:val="auto"/>
          <w:w w:val="200"/>
          <w:kern w:val="0"/>
          <w:sz w:val="22"/>
          <w:u w:val="single"/>
        </w:rPr>
        <w:t xml:space="preserve"> </w:t>
      </w:r>
      <w:r>
        <w:rPr>
          <w:rFonts w:hint="eastAsia" w:ascii="宋体" w:hAnsi="宋体"/>
          <w:color w:val="auto"/>
          <w:w w:val="200"/>
          <w:kern w:val="0"/>
          <w:sz w:val="22"/>
          <w:u w:val="single"/>
        </w:rPr>
        <w:t xml:space="preserve">                                    </w:t>
      </w:r>
    </w:p>
    <w:p w14:paraId="78570540">
      <w:pPr>
        <w:tabs>
          <w:tab w:val="left" w:pos="1580"/>
          <w:tab w:val="left" w:pos="3260"/>
          <w:tab w:val="left" w:pos="4840"/>
          <w:tab w:val="left" w:pos="6300"/>
        </w:tabs>
        <w:autoSpaceDE w:val="0"/>
        <w:autoSpaceDN w:val="0"/>
        <w:adjustRightInd w:val="0"/>
        <w:snapToGrid w:val="0"/>
        <w:spacing w:line="360" w:lineRule="auto"/>
        <w:ind w:firstLine="409" w:firstLineChars="186"/>
        <w:jc w:val="left"/>
        <w:rPr>
          <w:rFonts w:hint="eastAsia" w:ascii="宋体" w:hAnsi="宋体"/>
          <w:color w:val="auto"/>
          <w:w w:val="200"/>
          <w:kern w:val="0"/>
          <w:sz w:val="22"/>
          <w:u w:val="single"/>
        </w:rPr>
      </w:pPr>
      <w:r>
        <w:rPr>
          <w:rFonts w:ascii="宋体" w:hAnsi="宋体"/>
          <w:color w:val="auto"/>
          <w:kern w:val="0"/>
          <w:sz w:val="22"/>
        </w:rPr>
        <w:t>姓</w:t>
      </w:r>
      <w:r>
        <w:rPr>
          <w:rFonts w:hint="eastAsia" w:ascii="宋体" w:hAnsi="宋体"/>
          <w:color w:val="auto"/>
          <w:kern w:val="0"/>
          <w:sz w:val="22"/>
        </w:rPr>
        <w:t xml:space="preserve">    </w:t>
      </w:r>
      <w:r>
        <w:rPr>
          <w:rFonts w:ascii="宋体" w:hAnsi="宋体"/>
          <w:color w:val="auto"/>
          <w:kern w:val="0"/>
          <w:sz w:val="22"/>
        </w:rPr>
        <w:t>名：</w:t>
      </w:r>
      <w:r>
        <w:rPr>
          <w:rFonts w:hint="eastAsia" w:ascii="宋体" w:hAnsi="宋体"/>
          <w:color w:val="auto"/>
          <w:w w:val="200"/>
          <w:kern w:val="0"/>
          <w:sz w:val="22"/>
          <w:u w:val="single"/>
        </w:rPr>
        <w:t xml:space="preserve">    </w:t>
      </w:r>
      <w:r>
        <w:rPr>
          <w:rFonts w:ascii="宋体" w:hAnsi="宋体"/>
          <w:color w:val="auto"/>
          <w:kern w:val="0"/>
          <w:sz w:val="22"/>
        </w:rPr>
        <w:t>性别</w:t>
      </w:r>
      <w:r>
        <w:rPr>
          <w:rFonts w:ascii="宋体" w:hAnsi="宋体"/>
          <w:color w:val="auto"/>
          <w:spacing w:val="-1"/>
          <w:kern w:val="0"/>
          <w:sz w:val="22"/>
        </w:rPr>
        <w:t>：</w:t>
      </w:r>
      <w:r>
        <w:rPr>
          <w:rFonts w:hint="eastAsia" w:ascii="宋体" w:hAnsi="宋体"/>
          <w:color w:val="auto"/>
          <w:w w:val="200"/>
          <w:kern w:val="0"/>
          <w:sz w:val="22"/>
          <w:u w:val="single"/>
        </w:rPr>
        <w:t xml:space="preserve">    </w:t>
      </w:r>
      <w:r>
        <w:rPr>
          <w:rFonts w:ascii="宋体" w:hAnsi="宋体"/>
          <w:color w:val="auto"/>
          <w:spacing w:val="-1"/>
          <w:kern w:val="0"/>
          <w:sz w:val="22"/>
        </w:rPr>
        <w:t>年</w:t>
      </w:r>
      <w:r>
        <w:rPr>
          <w:rFonts w:ascii="宋体" w:hAnsi="宋体"/>
          <w:color w:val="auto"/>
          <w:kern w:val="0"/>
          <w:sz w:val="22"/>
        </w:rPr>
        <w:t>龄：</w:t>
      </w:r>
      <w:r>
        <w:rPr>
          <w:rFonts w:hint="eastAsia" w:ascii="宋体" w:hAnsi="宋体"/>
          <w:color w:val="auto"/>
          <w:w w:val="200"/>
          <w:kern w:val="0"/>
          <w:sz w:val="22"/>
          <w:u w:val="single"/>
        </w:rPr>
        <w:t xml:space="preserve">    </w:t>
      </w:r>
      <w:r>
        <w:rPr>
          <w:rFonts w:ascii="宋体" w:hAnsi="宋体"/>
          <w:color w:val="auto"/>
          <w:kern w:val="0"/>
          <w:sz w:val="22"/>
        </w:rPr>
        <w:t>职务：</w:t>
      </w:r>
      <w:r>
        <w:rPr>
          <w:rFonts w:hint="eastAsia" w:ascii="宋体" w:hAnsi="宋体"/>
          <w:color w:val="auto"/>
          <w:w w:val="200"/>
          <w:kern w:val="0"/>
          <w:sz w:val="22"/>
          <w:u w:val="single"/>
        </w:rPr>
        <w:t xml:space="preserve">    </w:t>
      </w:r>
    </w:p>
    <w:p w14:paraId="3D71617C">
      <w:pPr>
        <w:tabs>
          <w:tab w:val="left" w:pos="1580"/>
          <w:tab w:val="left" w:pos="3260"/>
          <w:tab w:val="left" w:pos="4840"/>
          <w:tab w:val="left" w:pos="6300"/>
        </w:tabs>
        <w:autoSpaceDE w:val="0"/>
        <w:autoSpaceDN w:val="0"/>
        <w:adjustRightInd w:val="0"/>
        <w:snapToGrid w:val="0"/>
        <w:spacing w:line="360" w:lineRule="auto"/>
        <w:ind w:firstLine="409" w:firstLineChars="186"/>
        <w:jc w:val="left"/>
        <w:rPr>
          <w:rFonts w:hint="eastAsia" w:ascii="宋体" w:hAnsi="宋体"/>
          <w:color w:val="auto"/>
          <w:kern w:val="0"/>
          <w:sz w:val="22"/>
        </w:rPr>
      </w:pPr>
      <w:r>
        <w:rPr>
          <w:rFonts w:ascii="宋体" w:hAnsi="宋体"/>
          <w:color w:val="auto"/>
          <w:kern w:val="0"/>
          <w:sz w:val="22"/>
        </w:rPr>
        <w:t>系</w:t>
      </w:r>
      <w:r>
        <w:rPr>
          <w:rFonts w:hint="eastAsia" w:ascii="宋体" w:hAnsi="宋体"/>
          <w:color w:val="auto"/>
          <w:kern w:val="0"/>
          <w:sz w:val="22"/>
          <w:u w:val="single"/>
        </w:rPr>
        <w:t xml:space="preserve">                                                        </w:t>
      </w:r>
      <w:r>
        <w:rPr>
          <w:rFonts w:ascii="宋体" w:hAnsi="宋体"/>
          <w:color w:val="auto"/>
          <w:kern w:val="0"/>
          <w:sz w:val="22"/>
          <w:u w:val="single"/>
        </w:rPr>
        <w:t xml:space="preserve"> （竞标人名称）</w:t>
      </w:r>
      <w:r>
        <w:rPr>
          <w:rFonts w:ascii="宋体" w:hAnsi="宋体"/>
          <w:color w:val="auto"/>
          <w:kern w:val="0"/>
          <w:sz w:val="22"/>
        </w:rPr>
        <w:t>的法定代表人。</w:t>
      </w:r>
    </w:p>
    <w:p w14:paraId="41B5A7FD">
      <w:pPr>
        <w:tabs>
          <w:tab w:val="left" w:pos="3360"/>
        </w:tabs>
        <w:autoSpaceDE w:val="0"/>
        <w:autoSpaceDN w:val="0"/>
        <w:adjustRightInd w:val="0"/>
        <w:snapToGrid w:val="0"/>
        <w:spacing w:line="360" w:lineRule="auto"/>
        <w:ind w:firstLine="409" w:firstLineChars="186"/>
        <w:jc w:val="left"/>
        <w:rPr>
          <w:rFonts w:hint="eastAsia" w:ascii="宋体" w:hAnsi="宋体"/>
          <w:color w:val="auto"/>
          <w:kern w:val="0"/>
          <w:sz w:val="22"/>
        </w:rPr>
      </w:pPr>
      <w:r>
        <w:rPr>
          <w:rFonts w:ascii="宋体" w:hAnsi="宋体"/>
          <w:color w:val="auto"/>
          <w:kern w:val="0"/>
          <w:sz w:val="22"/>
        </w:rPr>
        <w:t>特此证明。</w:t>
      </w:r>
    </w:p>
    <w:p w14:paraId="70FA7BDC">
      <w:pPr>
        <w:autoSpaceDE w:val="0"/>
        <w:autoSpaceDN w:val="0"/>
        <w:adjustRightInd w:val="0"/>
        <w:snapToGrid w:val="0"/>
        <w:spacing w:line="360" w:lineRule="auto"/>
        <w:ind w:firstLine="849" w:firstLineChars="386"/>
        <w:jc w:val="left"/>
        <w:rPr>
          <w:rFonts w:hint="eastAsia" w:ascii="宋体" w:hAnsi="宋体"/>
          <w:color w:val="auto"/>
          <w:kern w:val="0"/>
          <w:sz w:val="22"/>
        </w:rPr>
      </w:pPr>
      <w:r>
        <w:rPr>
          <w:rFonts w:hint="eastAsia" w:ascii="宋体" w:hAnsi="宋体"/>
          <w:color w:val="auto"/>
          <w:kern w:val="0"/>
          <w:sz w:val="22"/>
        </w:rPr>
        <w:t>附：法定代表人身份证明扫描件（双面）</w:t>
      </w:r>
    </w:p>
    <w:p w14:paraId="546E96CA">
      <w:pPr>
        <w:autoSpaceDE w:val="0"/>
        <w:autoSpaceDN w:val="0"/>
        <w:adjustRightInd w:val="0"/>
        <w:snapToGrid w:val="0"/>
        <w:spacing w:line="360" w:lineRule="auto"/>
        <w:ind w:firstLine="440"/>
        <w:jc w:val="left"/>
        <w:rPr>
          <w:rFonts w:hint="eastAsia" w:ascii="宋体" w:hAnsi="宋体"/>
          <w:color w:val="auto"/>
          <w:sz w:val="22"/>
        </w:rPr>
      </w:pPr>
    </w:p>
    <w:p w14:paraId="319BA491">
      <w:pPr>
        <w:pStyle w:val="16"/>
        <w:spacing w:after="0" w:line="360" w:lineRule="auto"/>
        <w:ind w:firstLine="440"/>
        <w:rPr>
          <w:rFonts w:hint="eastAsia" w:ascii="宋体" w:hAnsi="宋体"/>
          <w:color w:val="auto"/>
          <w:sz w:val="22"/>
          <w:szCs w:val="22"/>
        </w:rPr>
      </w:pPr>
    </w:p>
    <w:p w14:paraId="3B0518B5">
      <w:pPr>
        <w:pStyle w:val="16"/>
        <w:spacing w:after="0" w:line="360" w:lineRule="auto"/>
        <w:ind w:firstLine="440"/>
        <w:rPr>
          <w:rFonts w:hint="eastAsia" w:ascii="宋体" w:hAnsi="宋体"/>
          <w:color w:val="auto"/>
          <w:sz w:val="22"/>
          <w:szCs w:val="22"/>
        </w:rPr>
      </w:pPr>
    </w:p>
    <w:p w14:paraId="4D919CEA">
      <w:pPr>
        <w:pStyle w:val="16"/>
        <w:spacing w:after="0" w:line="360" w:lineRule="auto"/>
        <w:ind w:firstLine="440"/>
        <w:rPr>
          <w:rFonts w:hint="eastAsia" w:ascii="宋体" w:hAnsi="宋体"/>
          <w:color w:val="auto"/>
          <w:sz w:val="22"/>
          <w:szCs w:val="22"/>
        </w:rPr>
      </w:pPr>
    </w:p>
    <w:p w14:paraId="663D8995">
      <w:pPr>
        <w:pStyle w:val="16"/>
        <w:spacing w:after="0" w:line="360" w:lineRule="auto"/>
        <w:ind w:firstLine="440"/>
        <w:rPr>
          <w:rFonts w:hint="eastAsia" w:ascii="宋体" w:hAnsi="宋体"/>
          <w:color w:val="auto"/>
          <w:sz w:val="22"/>
          <w:szCs w:val="22"/>
        </w:rPr>
      </w:pPr>
    </w:p>
    <w:p w14:paraId="61D40B65">
      <w:pPr>
        <w:pStyle w:val="16"/>
        <w:spacing w:after="0" w:line="360" w:lineRule="auto"/>
        <w:ind w:firstLine="440"/>
        <w:rPr>
          <w:rFonts w:hint="eastAsia" w:ascii="宋体" w:hAnsi="宋体"/>
          <w:color w:val="auto"/>
          <w:sz w:val="22"/>
          <w:szCs w:val="22"/>
        </w:rPr>
      </w:pPr>
    </w:p>
    <w:p w14:paraId="1EC5FB9C">
      <w:pPr>
        <w:pStyle w:val="16"/>
        <w:spacing w:after="0" w:line="360" w:lineRule="auto"/>
        <w:ind w:firstLine="440"/>
        <w:rPr>
          <w:rFonts w:hint="eastAsia" w:ascii="宋体" w:hAnsi="宋体"/>
          <w:color w:val="auto"/>
          <w:sz w:val="22"/>
          <w:szCs w:val="22"/>
        </w:rPr>
      </w:pPr>
    </w:p>
    <w:p w14:paraId="2C5241F3">
      <w:pPr>
        <w:pStyle w:val="16"/>
        <w:spacing w:after="0" w:line="360" w:lineRule="auto"/>
        <w:ind w:firstLine="440"/>
        <w:rPr>
          <w:rFonts w:hint="eastAsia" w:ascii="宋体" w:hAnsi="宋体"/>
          <w:color w:val="auto"/>
          <w:sz w:val="22"/>
          <w:szCs w:val="22"/>
        </w:rPr>
      </w:pPr>
    </w:p>
    <w:p w14:paraId="6AB8DC8B">
      <w:pPr>
        <w:tabs>
          <w:tab w:val="left" w:pos="5460"/>
        </w:tabs>
        <w:autoSpaceDE w:val="0"/>
        <w:autoSpaceDN w:val="0"/>
        <w:adjustRightInd w:val="0"/>
        <w:snapToGrid w:val="0"/>
        <w:spacing w:line="360" w:lineRule="auto"/>
        <w:ind w:firstLine="440"/>
        <w:jc w:val="right"/>
        <w:rPr>
          <w:rFonts w:hint="eastAsia" w:ascii="宋体" w:hAnsi="宋体"/>
          <w:color w:val="auto"/>
          <w:kern w:val="0"/>
          <w:sz w:val="22"/>
        </w:rPr>
      </w:pPr>
      <w:r>
        <w:rPr>
          <w:rFonts w:ascii="宋体" w:hAnsi="宋体"/>
          <w:snapToGrid w:val="0"/>
          <w:color w:val="auto"/>
          <w:kern w:val="0"/>
          <w:sz w:val="22"/>
        </w:rPr>
        <w:t>竞标人：</w:t>
      </w:r>
      <w:r>
        <w:rPr>
          <w:rFonts w:ascii="宋体" w:hAnsi="宋体"/>
          <w:snapToGrid w:val="0"/>
          <w:color w:val="auto"/>
          <w:kern w:val="0"/>
          <w:sz w:val="22"/>
          <w:u w:val="single"/>
        </w:rPr>
        <w:t xml:space="preserve">                　　　　　 </w:t>
      </w:r>
      <w:r>
        <w:rPr>
          <w:rFonts w:hint="eastAsia" w:ascii="宋体" w:hAnsi="宋体"/>
          <w:snapToGrid w:val="0"/>
          <w:color w:val="auto"/>
          <w:kern w:val="0"/>
          <w:sz w:val="22"/>
          <w:u w:val="single"/>
        </w:rPr>
        <w:t xml:space="preserve">            </w:t>
      </w:r>
      <w:r>
        <w:rPr>
          <w:rFonts w:ascii="宋体" w:hAnsi="宋体"/>
          <w:snapToGrid w:val="0"/>
          <w:color w:val="auto"/>
          <w:kern w:val="0"/>
          <w:sz w:val="22"/>
          <w:u w:val="single"/>
        </w:rPr>
        <w:t xml:space="preserve">    </w:t>
      </w:r>
      <w:r>
        <w:rPr>
          <w:rFonts w:ascii="宋体" w:hAnsi="宋体"/>
          <w:snapToGrid w:val="0"/>
          <w:color w:val="auto"/>
          <w:kern w:val="0"/>
          <w:sz w:val="22"/>
        </w:rPr>
        <w:t>（盖单位法人章）</w:t>
      </w:r>
    </w:p>
    <w:p w14:paraId="50F1B575">
      <w:pPr>
        <w:tabs>
          <w:tab w:val="left" w:pos="8300"/>
        </w:tabs>
        <w:autoSpaceDE w:val="0"/>
        <w:autoSpaceDN w:val="0"/>
        <w:adjustRightInd w:val="0"/>
        <w:spacing w:line="360" w:lineRule="auto"/>
        <w:ind w:firstLine="440" w:firstLineChars="200"/>
        <w:jc w:val="right"/>
        <w:rPr>
          <w:rFonts w:hint="eastAsia" w:ascii="宋体" w:hAnsi="宋体"/>
          <w:snapToGrid w:val="0"/>
          <w:color w:val="auto"/>
          <w:kern w:val="0"/>
          <w:szCs w:val="21"/>
        </w:rPr>
      </w:pPr>
      <w:r>
        <w:rPr>
          <w:rFonts w:hint="eastAsia" w:ascii="宋体" w:hAnsi="宋体"/>
          <w:color w:val="auto"/>
          <w:kern w:val="0"/>
          <w:sz w:val="22"/>
          <w:u w:val="single"/>
        </w:rPr>
        <w:t xml:space="preserve">    </w:t>
      </w:r>
      <w:r>
        <w:rPr>
          <w:rFonts w:ascii="宋体" w:hAnsi="宋体"/>
          <w:color w:val="auto"/>
          <w:kern w:val="0"/>
          <w:sz w:val="22"/>
        </w:rPr>
        <w:t>年</w:t>
      </w:r>
      <w:r>
        <w:rPr>
          <w:rFonts w:hint="eastAsia" w:ascii="宋体" w:hAnsi="宋体"/>
          <w:color w:val="auto"/>
          <w:kern w:val="0"/>
          <w:sz w:val="22"/>
          <w:u w:val="single"/>
        </w:rPr>
        <w:t xml:space="preserve">    </w:t>
      </w:r>
      <w:r>
        <w:rPr>
          <w:rFonts w:ascii="宋体" w:hAnsi="宋体"/>
          <w:color w:val="auto"/>
          <w:kern w:val="0"/>
          <w:sz w:val="22"/>
        </w:rPr>
        <w:t>月</w:t>
      </w:r>
      <w:r>
        <w:rPr>
          <w:rFonts w:hint="eastAsia" w:ascii="宋体" w:hAnsi="宋体"/>
          <w:color w:val="auto"/>
          <w:kern w:val="0"/>
          <w:sz w:val="22"/>
          <w:u w:val="single"/>
        </w:rPr>
        <w:t xml:space="preserve">    </w:t>
      </w:r>
      <w:r>
        <w:rPr>
          <w:rFonts w:ascii="宋体" w:hAnsi="宋体"/>
          <w:color w:val="auto"/>
          <w:kern w:val="0"/>
          <w:sz w:val="22"/>
        </w:rPr>
        <w:t>日</w:t>
      </w:r>
    </w:p>
    <w:p w14:paraId="63CB3819">
      <w:pPr>
        <w:pStyle w:val="16"/>
        <w:spacing w:line="360" w:lineRule="auto"/>
        <w:ind w:firstLine="440"/>
        <w:rPr>
          <w:color w:val="auto"/>
          <w:sz w:val="22"/>
          <w:szCs w:val="21"/>
        </w:rPr>
      </w:pPr>
    </w:p>
    <w:p w14:paraId="0633F4D2">
      <w:pPr>
        <w:spacing w:line="360" w:lineRule="auto"/>
        <w:ind w:firstLine="440" w:firstLineChars="200"/>
        <w:rPr>
          <w:rFonts w:hint="eastAsia" w:asciiTheme="minorEastAsia" w:hAnsiTheme="minorEastAsia" w:eastAsiaTheme="minorEastAsia"/>
          <w:color w:val="auto"/>
          <w:szCs w:val="24"/>
        </w:rPr>
      </w:pPr>
      <w:r>
        <w:rPr>
          <w:rFonts w:ascii="宋体" w:hAnsi="宋体"/>
          <w:color w:val="auto"/>
          <w:sz w:val="22"/>
          <w:szCs w:val="24"/>
        </w:rPr>
        <w:t>注：法定代表人身份证明需按上述格式填写完整，不可缺少内容。在此基础上增加内容的不影响其有效性。</w:t>
      </w:r>
    </w:p>
    <w:p w14:paraId="1243D8AF">
      <w:pPr>
        <w:spacing w:line="440" w:lineRule="exact"/>
        <w:jc w:val="center"/>
        <w:rPr>
          <w:rFonts w:hint="eastAsia" w:asciiTheme="minorEastAsia" w:hAnsiTheme="minorEastAsia" w:eastAsiaTheme="minorEastAsia"/>
          <w:color w:val="auto"/>
          <w:szCs w:val="24"/>
        </w:rPr>
      </w:pPr>
      <w:r>
        <w:rPr>
          <w:rFonts w:asciiTheme="minorEastAsia" w:hAnsiTheme="minorEastAsia" w:eastAsiaTheme="minorEastAsia"/>
          <w:color w:val="auto"/>
          <w:szCs w:val="24"/>
        </w:rPr>
        <w:br w:type="page"/>
      </w:r>
    </w:p>
    <w:p w14:paraId="4FDC747C">
      <w:pPr>
        <w:pStyle w:val="4"/>
        <w:spacing w:before="0" w:after="0" w:line="360" w:lineRule="auto"/>
        <w:ind w:firstLine="157"/>
        <w:jc w:val="center"/>
        <w:rPr>
          <w:rFonts w:hint="eastAsia" w:asciiTheme="minorEastAsia" w:hAnsiTheme="minorEastAsia" w:eastAsiaTheme="minorEastAsia"/>
          <w:color w:val="auto"/>
          <w:sz w:val="32"/>
          <w:szCs w:val="21"/>
        </w:rPr>
      </w:pPr>
      <w:bookmarkStart w:id="521" w:name="_Toc104380575"/>
      <w:bookmarkStart w:id="522" w:name="_Toc104380683"/>
      <w:bookmarkStart w:id="523" w:name="_Toc104380789"/>
      <w:bookmarkStart w:id="524" w:name="_Toc492300724"/>
      <w:bookmarkStart w:id="525" w:name="_Toc5806"/>
      <w:r>
        <w:rPr>
          <w:rFonts w:hint="eastAsia" w:asciiTheme="minorEastAsia" w:hAnsiTheme="minorEastAsia" w:eastAsiaTheme="minorEastAsia"/>
          <w:color w:val="auto"/>
          <w:sz w:val="32"/>
          <w:szCs w:val="21"/>
        </w:rPr>
        <w:t>2.</w:t>
      </w:r>
      <w:r>
        <w:rPr>
          <w:rFonts w:asciiTheme="minorEastAsia" w:hAnsiTheme="minorEastAsia" w:eastAsiaTheme="minorEastAsia"/>
          <w:color w:val="auto"/>
          <w:sz w:val="32"/>
          <w:szCs w:val="21"/>
        </w:rPr>
        <w:t>授权委托书</w:t>
      </w:r>
      <w:bookmarkEnd w:id="521"/>
      <w:bookmarkEnd w:id="522"/>
      <w:bookmarkEnd w:id="523"/>
      <w:bookmarkEnd w:id="524"/>
      <w:bookmarkEnd w:id="525"/>
    </w:p>
    <w:p w14:paraId="576D9AC1">
      <w:pPr>
        <w:tabs>
          <w:tab w:val="left" w:pos="1680"/>
          <w:tab w:val="left" w:pos="4215"/>
          <w:tab w:val="left" w:pos="4305"/>
          <w:tab w:val="left" w:pos="8000"/>
        </w:tabs>
        <w:autoSpaceDE w:val="0"/>
        <w:autoSpaceDN w:val="0"/>
        <w:adjustRightInd w:val="0"/>
        <w:snapToGrid w:val="0"/>
        <w:spacing w:line="360" w:lineRule="auto"/>
        <w:ind w:firstLine="440"/>
        <w:rPr>
          <w:rFonts w:hint="eastAsia" w:ascii="宋体" w:hAnsi="宋体"/>
          <w:color w:val="auto"/>
          <w:kern w:val="0"/>
          <w:sz w:val="22"/>
        </w:rPr>
      </w:pPr>
      <w:r>
        <w:rPr>
          <w:rFonts w:ascii="宋体" w:hAnsi="宋体"/>
          <w:color w:val="auto"/>
          <w:kern w:val="0"/>
          <w:sz w:val="22"/>
        </w:rPr>
        <w:t>本人</w:t>
      </w:r>
      <w:r>
        <w:rPr>
          <w:rFonts w:hint="eastAsia" w:ascii="宋体" w:hAnsi="宋体"/>
          <w:color w:val="auto"/>
          <w:w w:val="200"/>
          <w:kern w:val="0"/>
          <w:sz w:val="22"/>
          <w:u w:val="single"/>
        </w:rPr>
        <w:t xml:space="preserve">    </w:t>
      </w:r>
      <w:r>
        <w:rPr>
          <w:rFonts w:ascii="宋体" w:hAnsi="宋体"/>
          <w:color w:val="auto"/>
          <w:kern w:val="0"/>
          <w:sz w:val="22"/>
          <w:u w:val="single"/>
        </w:rPr>
        <w:t>（姓名）</w:t>
      </w:r>
      <w:r>
        <w:rPr>
          <w:rFonts w:ascii="宋体" w:hAnsi="宋体"/>
          <w:color w:val="auto"/>
          <w:kern w:val="0"/>
          <w:sz w:val="22"/>
        </w:rPr>
        <w:t>系</w:t>
      </w:r>
      <w:r>
        <w:rPr>
          <w:rFonts w:hint="eastAsia" w:ascii="宋体" w:hAnsi="宋体"/>
          <w:color w:val="auto"/>
          <w:w w:val="200"/>
          <w:kern w:val="0"/>
          <w:sz w:val="22"/>
          <w:u w:val="single"/>
        </w:rPr>
        <w:t xml:space="preserve">    </w:t>
      </w:r>
      <w:r>
        <w:rPr>
          <w:rFonts w:ascii="宋体" w:hAnsi="宋体"/>
          <w:color w:val="auto"/>
          <w:kern w:val="0"/>
          <w:sz w:val="22"/>
          <w:u w:val="single"/>
        </w:rPr>
        <w:t>（</w:t>
      </w:r>
      <w:r>
        <w:rPr>
          <w:rFonts w:ascii="宋体" w:hAnsi="宋体"/>
          <w:color w:val="auto"/>
          <w:spacing w:val="-1"/>
          <w:kern w:val="0"/>
          <w:sz w:val="22"/>
          <w:u w:val="single"/>
        </w:rPr>
        <w:t>竞标人</w:t>
      </w:r>
      <w:r>
        <w:rPr>
          <w:rFonts w:ascii="宋体" w:hAnsi="宋体"/>
          <w:color w:val="auto"/>
          <w:kern w:val="0"/>
          <w:sz w:val="22"/>
          <w:u w:val="single"/>
        </w:rPr>
        <w:t>名称</w:t>
      </w:r>
      <w:r>
        <w:rPr>
          <w:rFonts w:ascii="宋体" w:hAnsi="宋体"/>
          <w:color w:val="auto"/>
          <w:spacing w:val="1"/>
          <w:kern w:val="0"/>
          <w:sz w:val="22"/>
          <w:u w:val="single"/>
        </w:rPr>
        <w:t>）</w:t>
      </w:r>
      <w:r>
        <w:rPr>
          <w:rFonts w:ascii="宋体" w:hAnsi="宋体"/>
          <w:color w:val="auto"/>
          <w:kern w:val="0"/>
          <w:sz w:val="22"/>
        </w:rPr>
        <w:t>的法定代</w:t>
      </w:r>
      <w:r>
        <w:rPr>
          <w:rFonts w:ascii="宋体" w:hAnsi="宋体"/>
          <w:color w:val="auto"/>
          <w:spacing w:val="1"/>
          <w:kern w:val="0"/>
          <w:sz w:val="22"/>
        </w:rPr>
        <w:t>表</w:t>
      </w:r>
      <w:r>
        <w:rPr>
          <w:rFonts w:ascii="宋体" w:hAnsi="宋体"/>
          <w:color w:val="auto"/>
          <w:kern w:val="0"/>
          <w:sz w:val="22"/>
        </w:rPr>
        <w:t>人，现委托</w:t>
      </w:r>
      <w:r>
        <w:rPr>
          <w:rFonts w:hint="eastAsia" w:ascii="宋体" w:hAnsi="宋体"/>
          <w:color w:val="auto"/>
          <w:w w:val="200"/>
          <w:kern w:val="0"/>
          <w:sz w:val="22"/>
          <w:u w:val="single"/>
        </w:rPr>
        <w:t xml:space="preserve">    </w:t>
      </w:r>
      <w:r>
        <w:rPr>
          <w:rFonts w:ascii="宋体" w:hAnsi="宋体"/>
          <w:color w:val="auto"/>
          <w:kern w:val="0"/>
          <w:sz w:val="22"/>
          <w:u w:val="single"/>
        </w:rPr>
        <w:t>（姓名）</w:t>
      </w:r>
      <w:r>
        <w:rPr>
          <w:rFonts w:ascii="宋体" w:hAnsi="宋体"/>
          <w:color w:val="auto"/>
          <w:kern w:val="0"/>
          <w:sz w:val="22"/>
        </w:rPr>
        <w:t>为我方代理人。代理人根据授权，以我方名义签署、澄清、说明、补正、递交、撤回、修改</w:t>
      </w:r>
      <w:r>
        <w:rPr>
          <w:rFonts w:hint="eastAsia" w:ascii="宋体" w:hAnsi="宋体"/>
          <w:color w:val="auto"/>
          <w:w w:val="200"/>
          <w:kern w:val="0"/>
          <w:sz w:val="22"/>
          <w:u w:val="single"/>
        </w:rPr>
        <w:t xml:space="preserve">    </w:t>
      </w:r>
      <w:r>
        <w:rPr>
          <w:rFonts w:ascii="宋体" w:hAnsi="宋体"/>
          <w:color w:val="auto"/>
          <w:kern w:val="0"/>
          <w:sz w:val="22"/>
          <w:u w:val="single"/>
        </w:rPr>
        <w:t>（项</w:t>
      </w:r>
      <w:r>
        <w:rPr>
          <w:rFonts w:ascii="宋体" w:hAnsi="宋体"/>
          <w:color w:val="auto"/>
          <w:spacing w:val="-1"/>
          <w:kern w:val="0"/>
          <w:sz w:val="22"/>
          <w:u w:val="single"/>
        </w:rPr>
        <w:t>目</w:t>
      </w:r>
      <w:r>
        <w:rPr>
          <w:rFonts w:ascii="宋体" w:hAnsi="宋体"/>
          <w:color w:val="auto"/>
          <w:kern w:val="0"/>
          <w:sz w:val="22"/>
          <w:u w:val="single"/>
        </w:rPr>
        <w:t>名称）</w:t>
      </w:r>
      <w:r>
        <w:rPr>
          <w:rFonts w:ascii="宋体" w:hAnsi="宋体"/>
          <w:color w:val="auto"/>
          <w:kern w:val="0"/>
          <w:sz w:val="22"/>
        </w:rPr>
        <w:t>竞标文件、签订合同和处理有关事宜</w:t>
      </w:r>
      <w:r>
        <w:rPr>
          <w:rFonts w:hint="eastAsia" w:ascii="宋体" w:hAnsi="宋体"/>
          <w:color w:val="auto"/>
          <w:kern w:val="0"/>
          <w:sz w:val="22"/>
        </w:rPr>
        <w:t>，</w:t>
      </w:r>
      <w:r>
        <w:rPr>
          <w:rFonts w:ascii="宋体" w:hAnsi="宋体"/>
          <w:color w:val="auto"/>
          <w:kern w:val="0"/>
          <w:sz w:val="22"/>
        </w:rPr>
        <w:t>其法律后果由我方承担。</w:t>
      </w:r>
    </w:p>
    <w:p w14:paraId="22D6B28F">
      <w:pPr>
        <w:tabs>
          <w:tab w:val="left" w:pos="1680"/>
          <w:tab w:val="left" w:pos="4215"/>
          <w:tab w:val="left" w:pos="4305"/>
          <w:tab w:val="left" w:pos="8000"/>
        </w:tabs>
        <w:autoSpaceDE w:val="0"/>
        <w:autoSpaceDN w:val="0"/>
        <w:adjustRightInd w:val="0"/>
        <w:snapToGrid w:val="0"/>
        <w:spacing w:line="360" w:lineRule="auto"/>
        <w:ind w:firstLine="440"/>
        <w:rPr>
          <w:rFonts w:hint="eastAsia" w:ascii="宋体" w:hAnsi="宋体"/>
          <w:color w:val="auto"/>
          <w:kern w:val="0"/>
          <w:sz w:val="22"/>
        </w:rPr>
      </w:pPr>
      <w:r>
        <w:rPr>
          <w:rFonts w:ascii="宋体" w:hAnsi="宋体"/>
          <w:color w:val="auto"/>
          <w:kern w:val="0"/>
          <w:sz w:val="22"/>
        </w:rPr>
        <w:t>委托</w:t>
      </w:r>
      <w:r>
        <w:rPr>
          <w:rFonts w:ascii="宋体" w:hAnsi="宋体"/>
          <w:color w:val="auto"/>
          <w:spacing w:val="-1"/>
          <w:kern w:val="0"/>
          <w:sz w:val="22"/>
        </w:rPr>
        <w:t>期</w:t>
      </w:r>
      <w:r>
        <w:rPr>
          <w:rFonts w:ascii="宋体" w:hAnsi="宋体"/>
          <w:color w:val="auto"/>
          <w:kern w:val="0"/>
          <w:sz w:val="22"/>
        </w:rPr>
        <w:t>限：</w:t>
      </w:r>
      <w:r>
        <w:rPr>
          <w:rFonts w:ascii="宋体" w:hAnsi="宋体"/>
          <w:color w:val="auto"/>
          <w:w w:val="200"/>
          <w:kern w:val="0"/>
          <w:sz w:val="22"/>
          <w:u w:val="single"/>
        </w:rPr>
        <w:t xml:space="preserve">  </w:t>
      </w:r>
      <w:r>
        <w:rPr>
          <w:rFonts w:hint="eastAsia" w:ascii="宋体" w:hAnsi="宋体"/>
          <w:color w:val="auto"/>
          <w:w w:val="200"/>
          <w:kern w:val="0"/>
          <w:sz w:val="22"/>
          <w:u w:val="single"/>
        </w:rPr>
        <w:t xml:space="preserve"> </w:t>
      </w:r>
      <w:r>
        <w:rPr>
          <w:rFonts w:ascii="宋体" w:hAnsi="宋体"/>
          <w:color w:val="auto"/>
          <w:kern w:val="0"/>
          <w:sz w:val="22"/>
          <w:u w:val="single"/>
        </w:rPr>
        <w:tab/>
      </w:r>
      <w:r>
        <w:rPr>
          <w:rFonts w:ascii="宋体" w:hAnsi="宋体"/>
          <w:color w:val="auto"/>
          <w:kern w:val="0"/>
          <w:sz w:val="22"/>
        </w:rPr>
        <w:t xml:space="preserve">。 </w:t>
      </w:r>
    </w:p>
    <w:p w14:paraId="218CE6A0">
      <w:pPr>
        <w:tabs>
          <w:tab w:val="left" w:pos="1680"/>
          <w:tab w:val="left" w:pos="4215"/>
          <w:tab w:val="left" w:pos="4305"/>
          <w:tab w:val="left" w:pos="8000"/>
        </w:tabs>
        <w:autoSpaceDE w:val="0"/>
        <w:autoSpaceDN w:val="0"/>
        <w:adjustRightInd w:val="0"/>
        <w:snapToGrid w:val="0"/>
        <w:spacing w:line="360" w:lineRule="auto"/>
        <w:ind w:firstLine="440"/>
        <w:rPr>
          <w:rFonts w:hint="eastAsia" w:ascii="宋体" w:hAnsi="宋体"/>
          <w:color w:val="auto"/>
          <w:kern w:val="0"/>
          <w:szCs w:val="21"/>
        </w:rPr>
      </w:pPr>
      <w:r>
        <w:rPr>
          <w:rFonts w:ascii="宋体" w:hAnsi="宋体"/>
          <w:color w:val="auto"/>
          <w:kern w:val="0"/>
          <w:sz w:val="22"/>
        </w:rPr>
        <w:t>代理人无转委托权。</w:t>
      </w:r>
    </w:p>
    <w:p w14:paraId="35785753">
      <w:pPr>
        <w:tabs>
          <w:tab w:val="left" w:pos="4200"/>
          <w:tab w:val="left" w:pos="4620"/>
        </w:tabs>
        <w:autoSpaceDE w:val="0"/>
        <w:autoSpaceDN w:val="0"/>
        <w:adjustRightInd w:val="0"/>
        <w:snapToGrid w:val="0"/>
        <w:spacing w:line="360" w:lineRule="auto"/>
        <w:ind w:firstLine="440" w:firstLineChars="200"/>
        <w:jc w:val="left"/>
        <w:rPr>
          <w:rFonts w:hint="eastAsia" w:ascii="宋体" w:hAnsi="宋体"/>
          <w:color w:val="auto"/>
          <w:kern w:val="0"/>
          <w:sz w:val="22"/>
        </w:rPr>
      </w:pPr>
      <w:r>
        <w:rPr>
          <w:rFonts w:ascii="宋体" w:hAnsi="宋体"/>
          <w:snapToGrid w:val="0"/>
          <w:color w:val="auto"/>
          <w:kern w:val="0"/>
          <w:sz w:val="22"/>
        </w:rPr>
        <w:t>竞标人：</w:t>
      </w:r>
      <w:r>
        <w:rPr>
          <w:rFonts w:ascii="宋体" w:hAnsi="宋体"/>
          <w:snapToGrid w:val="0"/>
          <w:color w:val="auto"/>
          <w:kern w:val="0"/>
          <w:sz w:val="22"/>
          <w:u w:val="single"/>
        </w:rPr>
        <w:t xml:space="preserve">                　　　　　 </w:t>
      </w:r>
      <w:r>
        <w:rPr>
          <w:rFonts w:hint="eastAsia" w:ascii="宋体" w:hAnsi="宋体"/>
          <w:snapToGrid w:val="0"/>
          <w:color w:val="auto"/>
          <w:kern w:val="0"/>
          <w:sz w:val="22"/>
          <w:u w:val="single"/>
        </w:rPr>
        <w:t xml:space="preserve">            </w:t>
      </w:r>
      <w:r>
        <w:rPr>
          <w:rFonts w:ascii="宋体" w:hAnsi="宋体"/>
          <w:snapToGrid w:val="0"/>
          <w:color w:val="auto"/>
          <w:kern w:val="0"/>
          <w:sz w:val="22"/>
          <w:u w:val="single"/>
        </w:rPr>
        <w:t xml:space="preserve">    </w:t>
      </w:r>
      <w:r>
        <w:rPr>
          <w:rFonts w:ascii="宋体" w:hAnsi="宋体"/>
          <w:snapToGrid w:val="0"/>
          <w:color w:val="auto"/>
          <w:kern w:val="0"/>
          <w:sz w:val="22"/>
        </w:rPr>
        <w:t>（盖单位法人章）</w:t>
      </w:r>
    </w:p>
    <w:p w14:paraId="64BAE4C4">
      <w:pPr>
        <w:tabs>
          <w:tab w:val="left" w:pos="6300"/>
        </w:tabs>
        <w:autoSpaceDE w:val="0"/>
        <w:autoSpaceDN w:val="0"/>
        <w:adjustRightInd w:val="0"/>
        <w:snapToGrid w:val="0"/>
        <w:spacing w:line="360" w:lineRule="auto"/>
        <w:ind w:firstLine="440" w:firstLineChars="200"/>
        <w:jc w:val="left"/>
        <w:rPr>
          <w:rFonts w:hint="eastAsia" w:ascii="宋体" w:hAnsi="宋体"/>
          <w:color w:val="auto"/>
          <w:kern w:val="0"/>
          <w:sz w:val="22"/>
        </w:rPr>
      </w:pPr>
      <w:r>
        <w:rPr>
          <w:rFonts w:ascii="宋体" w:hAnsi="宋体"/>
          <w:color w:val="auto"/>
          <w:kern w:val="0"/>
          <w:sz w:val="22"/>
        </w:rPr>
        <w:t>法定代表人：</w:t>
      </w:r>
      <w:r>
        <w:rPr>
          <w:rFonts w:ascii="宋体" w:hAnsi="宋体"/>
          <w:color w:val="auto"/>
          <w:w w:val="200"/>
          <w:kern w:val="0"/>
          <w:sz w:val="22"/>
          <w:u w:val="single"/>
        </w:rPr>
        <w:t xml:space="preserve">     </w:t>
      </w:r>
      <w:r>
        <w:rPr>
          <w:rFonts w:hint="eastAsia" w:ascii="宋体" w:hAnsi="宋体"/>
          <w:color w:val="auto"/>
          <w:w w:val="200"/>
          <w:kern w:val="0"/>
          <w:sz w:val="22"/>
          <w:u w:val="single"/>
        </w:rPr>
        <w:t xml:space="preserve">           </w:t>
      </w:r>
      <w:r>
        <w:rPr>
          <w:rFonts w:ascii="宋体" w:hAnsi="宋体"/>
          <w:color w:val="auto"/>
          <w:w w:val="200"/>
          <w:kern w:val="0"/>
          <w:sz w:val="22"/>
          <w:u w:val="single"/>
        </w:rPr>
        <w:t xml:space="preserve">    </w:t>
      </w:r>
      <w:r>
        <w:rPr>
          <w:rFonts w:ascii="宋体" w:hAnsi="宋体"/>
          <w:color w:val="auto"/>
          <w:kern w:val="0"/>
          <w:sz w:val="22"/>
        </w:rPr>
        <w:t>（</w:t>
      </w:r>
      <w:r>
        <w:rPr>
          <w:rFonts w:hint="eastAsia" w:ascii="宋体" w:hAnsi="宋体"/>
          <w:color w:val="auto"/>
          <w:kern w:val="0"/>
          <w:sz w:val="22"/>
        </w:rPr>
        <w:t>签名</w:t>
      </w:r>
      <w:r>
        <w:rPr>
          <w:rFonts w:ascii="宋体" w:hAnsi="宋体"/>
          <w:color w:val="auto"/>
          <w:kern w:val="0"/>
          <w:sz w:val="22"/>
        </w:rPr>
        <w:t>或盖章）</w:t>
      </w:r>
    </w:p>
    <w:p w14:paraId="70E71655">
      <w:pPr>
        <w:tabs>
          <w:tab w:val="left" w:pos="5260"/>
        </w:tabs>
        <w:autoSpaceDE w:val="0"/>
        <w:autoSpaceDN w:val="0"/>
        <w:adjustRightInd w:val="0"/>
        <w:snapToGrid w:val="0"/>
        <w:spacing w:line="360" w:lineRule="auto"/>
        <w:ind w:firstLine="440" w:firstLineChars="200"/>
        <w:jc w:val="left"/>
        <w:rPr>
          <w:rFonts w:hint="eastAsia" w:ascii="宋体" w:hAnsi="宋体"/>
          <w:color w:val="auto"/>
          <w:kern w:val="0"/>
          <w:sz w:val="22"/>
          <w:u w:val="single"/>
        </w:rPr>
      </w:pPr>
      <w:r>
        <w:rPr>
          <w:rFonts w:ascii="宋体" w:hAnsi="宋体"/>
          <w:color w:val="auto"/>
          <w:kern w:val="0"/>
          <w:sz w:val="22"/>
        </w:rPr>
        <w:t>身份证号码：</w:t>
      </w:r>
      <w:r>
        <w:rPr>
          <w:rFonts w:ascii="宋体" w:hAnsi="宋体"/>
          <w:color w:val="auto"/>
          <w:w w:val="200"/>
          <w:kern w:val="0"/>
          <w:sz w:val="22"/>
          <w:u w:val="single"/>
        </w:rPr>
        <w:t xml:space="preserve">     </w:t>
      </w:r>
      <w:r>
        <w:rPr>
          <w:rFonts w:hint="eastAsia" w:ascii="宋体" w:hAnsi="宋体"/>
          <w:color w:val="auto"/>
          <w:w w:val="200"/>
          <w:kern w:val="0"/>
          <w:sz w:val="22"/>
          <w:u w:val="single"/>
        </w:rPr>
        <w:t xml:space="preserve">           </w:t>
      </w:r>
      <w:r>
        <w:rPr>
          <w:rFonts w:ascii="宋体" w:hAnsi="宋体"/>
          <w:color w:val="auto"/>
          <w:w w:val="200"/>
          <w:kern w:val="0"/>
          <w:sz w:val="22"/>
          <w:u w:val="single"/>
        </w:rPr>
        <w:t xml:space="preserve">     </w:t>
      </w:r>
      <w:r>
        <w:rPr>
          <w:rFonts w:hint="eastAsia" w:ascii="宋体" w:hAnsi="宋体"/>
          <w:color w:val="auto"/>
          <w:w w:val="200"/>
          <w:kern w:val="0"/>
          <w:sz w:val="22"/>
          <w:u w:val="single"/>
        </w:rPr>
        <w:t xml:space="preserve">  </w:t>
      </w:r>
      <w:r>
        <w:rPr>
          <w:rFonts w:ascii="宋体" w:hAnsi="宋体"/>
          <w:color w:val="auto"/>
          <w:w w:val="200"/>
          <w:kern w:val="0"/>
          <w:sz w:val="22"/>
          <w:u w:val="single"/>
        </w:rPr>
        <w:t xml:space="preserve">    </w:t>
      </w:r>
    </w:p>
    <w:p w14:paraId="6C50A0A1">
      <w:pPr>
        <w:tabs>
          <w:tab w:val="left" w:pos="5260"/>
        </w:tabs>
        <w:autoSpaceDE w:val="0"/>
        <w:autoSpaceDN w:val="0"/>
        <w:adjustRightInd w:val="0"/>
        <w:snapToGrid w:val="0"/>
        <w:spacing w:line="360" w:lineRule="auto"/>
        <w:ind w:firstLine="440" w:firstLineChars="200"/>
        <w:jc w:val="left"/>
        <w:rPr>
          <w:rFonts w:hint="eastAsia" w:ascii="宋体" w:hAnsi="宋体"/>
          <w:color w:val="auto"/>
          <w:kern w:val="0"/>
          <w:sz w:val="22"/>
        </w:rPr>
      </w:pPr>
      <w:r>
        <w:rPr>
          <w:rFonts w:ascii="宋体" w:hAnsi="宋体"/>
          <w:color w:val="auto"/>
          <w:kern w:val="0"/>
          <w:sz w:val="22"/>
        </w:rPr>
        <w:t>委托代理人：</w:t>
      </w:r>
      <w:r>
        <w:rPr>
          <w:rFonts w:ascii="宋体" w:hAnsi="宋体"/>
          <w:color w:val="auto"/>
          <w:w w:val="200"/>
          <w:kern w:val="0"/>
          <w:sz w:val="22"/>
          <w:u w:val="single"/>
        </w:rPr>
        <w:t xml:space="preserve">     </w:t>
      </w:r>
      <w:r>
        <w:rPr>
          <w:rFonts w:hint="eastAsia" w:ascii="宋体" w:hAnsi="宋体"/>
          <w:color w:val="auto"/>
          <w:w w:val="200"/>
          <w:kern w:val="0"/>
          <w:sz w:val="22"/>
          <w:u w:val="single"/>
        </w:rPr>
        <w:t xml:space="preserve">           </w:t>
      </w:r>
      <w:r>
        <w:rPr>
          <w:rFonts w:ascii="宋体" w:hAnsi="宋体"/>
          <w:color w:val="auto"/>
          <w:w w:val="200"/>
          <w:kern w:val="0"/>
          <w:sz w:val="22"/>
          <w:u w:val="single"/>
        </w:rPr>
        <w:t xml:space="preserve">       </w:t>
      </w:r>
      <w:r>
        <w:rPr>
          <w:rFonts w:hint="eastAsia" w:ascii="宋体" w:hAnsi="宋体"/>
          <w:color w:val="auto"/>
          <w:w w:val="200"/>
          <w:kern w:val="0"/>
          <w:sz w:val="22"/>
          <w:u w:val="single"/>
        </w:rPr>
        <w:t xml:space="preserve"> </w:t>
      </w:r>
      <w:r>
        <w:rPr>
          <w:rFonts w:ascii="宋体" w:hAnsi="宋体"/>
          <w:color w:val="auto"/>
          <w:kern w:val="0"/>
          <w:sz w:val="22"/>
        </w:rPr>
        <w:t>（</w:t>
      </w:r>
      <w:r>
        <w:rPr>
          <w:rFonts w:hint="eastAsia" w:ascii="宋体" w:hAnsi="宋体"/>
          <w:color w:val="auto"/>
          <w:kern w:val="0"/>
          <w:sz w:val="22"/>
        </w:rPr>
        <w:t>签名</w:t>
      </w:r>
      <w:r>
        <w:rPr>
          <w:rFonts w:ascii="宋体" w:hAnsi="宋体"/>
          <w:color w:val="auto"/>
          <w:kern w:val="0"/>
          <w:sz w:val="22"/>
        </w:rPr>
        <w:t>）</w:t>
      </w:r>
    </w:p>
    <w:p w14:paraId="6C2F341A">
      <w:pPr>
        <w:tabs>
          <w:tab w:val="left" w:pos="6825"/>
        </w:tabs>
        <w:autoSpaceDE w:val="0"/>
        <w:autoSpaceDN w:val="0"/>
        <w:adjustRightInd w:val="0"/>
        <w:snapToGrid w:val="0"/>
        <w:spacing w:line="360" w:lineRule="auto"/>
        <w:ind w:firstLine="440" w:firstLineChars="200"/>
        <w:jc w:val="left"/>
        <w:rPr>
          <w:rFonts w:hint="eastAsia" w:ascii="宋体" w:hAnsi="宋体"/>
          <w:color w:val="auto"/>
          <w:kern w:val="0"/>
          <w:sz w:val="22"/>
          <w:u w:val="single"/>
        </w:rPr>
      </w:pPr>
      <w:r>
        <w:rPr>
          <w:rFonts w:ascii="宋体" w:hAnsi="宋体"/>
          <w:color w:val="auto"/>
          <w:kern w:val="0"/>
          <w:sz w:val="22"/>
        </w:rPr>
        <w:t>身份证号码：</w:t>
      </w:r>
      <w:r>
        <w:rPr>
          <w:rFonts w:ascii="宋体" w:hAnsi="宋体"/>
          <w:color w:val="auto"/>
          <w:w w:val="200"/>
          <w:kern w:val="0"/>
          <w:sz w:val="22"/>
          <w:u w:val="single"/>
        </w:rPr>
        <w:t xml:space="preserve">     </w:t>
      </w:r>
      <w:r>
        <w:rPr>
          <w:rFonts w:hint="eastAsia" w:ascii="宋体" w:hAnsi="宋体"/>
          <w:color w:val="auto"/>
          <w:w w:val="200"/>
          <w:kern w:val="0"/>
          <w:sz w:val="22"/>
          <w:u w:val="single"/>
        </w:rPr>
        <w:t xml:space="preserve">           </w:t>
      </w:r>
      <w:r>
        <w:rPr>
          <w:rFonts w:ascii="宋体" w:hAnsi="宋体"/>
          <w:color w:val="auto"/>
          <w:w w:val="200"/>
          <w:kern w:val="0"/>
          <w:sz w:val="22"/>
          <w:u w:val="single"/>
        </w:rPr>
        <w:t xml:space="preserve">      </w:t>
      </w:r>
      <w:r>
        <w:rPr>
          <w:rFonts w:hint="eastAsia" w:ascii="宋体" w:hAnsi="宋体"/>
          <w:color w:val="auto"/>
          <w:w w:val="200"/>
          <w:kern w:val="0"/>
          <w:sz w:val="22"/>
          <w:u w:val="single"/>
        </w:rPr>
        <w:t xml:space="preserve">  </w:t>
      </w:r>
      <w:r>
        <w:rPr>
          <w:rFonts w:ascii="宋体" w:hAnsi="宋体"/>
          <w:color w:val="auto"/>
          <w:w w:val="200"/>
          <w:kern w:val="0"/>
          <w:sz w:val="22"/>
          <w:u w:val="single"/>
        </w:rPr>
        <w:t xml:space="preserve">   </w:t>
      </w:r>
    </w:p>
    <w:p w14:paraId="69EEADC6">
      <w:pPr>
        <w:tabs>
          <w:tab w:val="left" w:pos="6825"/>
        </w:tabs>
        <w:autoSpaceDE w:val="0"/>
        <w:autoSpaceDN w:val="0"/>
        <w:adjustRightInd w:val="0"/>
        <w:snapToGrid w:val="0"/>
        <w:spacing w:line="360" w:lineRule="auto"/>
        <w:ind w:firstLine="440" w:firstLineChars="200"/>
        <w:jc w:val="left"/>
        <w:rPr>
          <w:rFonts w:hint="eastAsia" w:ascii="宋体" w:hAnsi="宋体"/>
          <w:color w:val="auto"/>
          <w:kern w:val="0"/>
          <w:sz w:val="22"/>
          <w:u w:val="single"/>
        </w:rPr>
      </w:pPr>
      <w:r>
        <w:rPr>
          <w:rFonts w:hint="eastAsia" w:ascii="宋体" w:hAnsi="宋体"/>
          <w:color w:val="auto"/>
          <w:kern w:val="0"/>
          <w:sz w:val="22"/>
        </w:rPr>
        <w:t>单位电话（座机）：</w:t>
      </w:r>
      <w:r>
        <w:rPr>
          <w:rFonts w:hint="eastAsia" w:ascii="宋体" w:hAnsi="宋体"/>
          <w:color w:val="auto"/>
          <w:kern w:val="0"/>
          <w:sz w:val="22"/>
          <w:u w:val="single"/>
        </w:rPr>
        <w:t xml:space="preserve">                              </w:t>
      </w:r>
    </w:p>
    <w:p w14:paraId="048D672A">
      <w:pPr>
        <w:tabs>
          <w:tab w:val="left" w:pos="6825"/>
        </w:tabs>
        <w:autoSpaceDE w:val="0"/>
        <w:autoSpaceDN w:val="0"/>
        <w:adjustRightInd w:val="0"/>
        <w:snapToGrid w:val="0"/>
        <w:spacing w:line="360" w:lineRule="auto"/>
        <w:ind w:firstLine="440" w:firstLineChars="200"/>
        <w:jc w:val="left"/>
        <w:rPr>
          <w:rFonts w:hint="eastAsia" w:ascii="宋体" w:hAnsi="宋体"/>
          <w:color w:val="auto"/>
          <w:kern w:val="0"/>
          <w:szCs w:val="21"/>
        </w:rPr>
      </w:pPr>
      <w:r>
        <w:rPr>
          <w:rFonts w:hint="eastAsia" w:ascii="宋体" w:hAnsi="宋体"/>
          <w:color w:val="auto"/>
          <w:kern w:val="0"/>
          <w:sz w:val="22"/>
        </w:rPr>
        <w:t>委托代理人电话（手机）：</w:t>
      </w:r>
      <w:r>
        <w:rPr>
          <w:rFonts w:hint="eastAsia" w:ascii="宋体" w:hAnsi="宋体"/>
          <w:color w:val="auto"/>
          <w:kern w:val="0"/>
          <w:sz w:val="22"/>
          <w:u w:val="single"/>
        </w:rPr>
        <w:t xml:space="preserve">                                          </w:t>
      </w:r>
    </w:p>
    <w:p w14:paraId="3FBB6EC1">
      <w:pPr>
        <w:autoSpaceDE w:val="0"/>
        <w:autoSpaceDN w:val="0"/>
        <w:adjustRightInd w:val="0"/>
        <w:snapToGrid w:val="0"/>
        <w:spacing w:line="360" w:lineRule="auto"/>
        <w:jc w:val="left"/>
        <w:rPr>
          <w:rFonts w:hint="eastAsia" w:ascii="宋体" w:hAnsi="宋体"/>
          <w:color w:val="auto"/>
          <w:kern w:val="0"/>
          <w:szCs w:val="21"/>
        </w:rPr>
      </w:pPr>
    </w:p>
    <w:p w14:paraId="1494BA4F">
      <w:pPr>
        <w:autoSpaceDE w:val="0"/>
        <w:autoSpaceDN w:val="0"/>
        <w:adjustRightInd w:val="0"/>
        <w:snapToGrid w:val="0"/>
        <w:spacing w:line="360" w:lineRule="auto"/>
        <w:ind w:firstLine="849" w:firstLineChars="386"/>
        <w:jc w:val="left"/>
        <w:rPr>
          <w:rFonts w:hint="eastAsia" w:ascii="宋体" w:hAnsi="宋体"/>
          <w:color w:val="auto"/>
          <w:kern w:val="0"/>
          <w:sz w:val="22"/>
        </w:rPr>
      </w:pPr>
      <w:r>
        <w:rPr>
          <w:rFonts w:hint="eastAsia" w:ascii="宋体" w:hAnsi="宋体"/>
          <w:color w:val="auto"/>
          <w:kern w:val="0"/>
          <w:sz w:val="22"/>
        </w:rPr>
        <w:t>附：法定代表人和委托代理人身份证明扫描件（双面）</w:t>
      </w:r>
    </w:p>
    <w:p w14:paraId="28BC1429">
      <w:pPr>
        <w:autoSpaceDE w:val="0"/>
        <w:autoSpaceDN w:val="0"/>
        <w:adjustRightInd w:val="0"/>
        <w:snapToGrid w:val="0"/>
        <w:spacing w:line="360" w:lineRule="auto"/>
        <w:ind w:firstLine="440"/>
        <w:jc w:val="left"/>
        <w:rPr>
          <w:rFonts w:hint="eastAsia" w:ascii="宋体" w:hAnsi="宋体"/>
          <w:color w:val="auto"/>
          <w:sz w:val="22"/>
        </w:rPr>
      </w:pPr>
    </w:p>
    <w:p w14:paraId="525E29DB">
      <w:pPr>
        <w:pStyle w:val="16"/>
        <w:spacing w:after="0" w:line="360" w:lineRule="auto"/>
        <w:ind w:firstLine="440"/>
        <w:rPr>
          <w:rFonts w:hint="eastAsia" w:ascii="宋体" w:hAnsi="宋体"/>
          <w:color w:val="auto"/>
          <w:sz w:val="22"/>
          <w:szCs w:val="22"/>
        </w:rPr>
      </w:pPr>
    </w:p>
    <w:p w14:paraId="0178A2E9">
      <w:pPr>
        <w:pStyle w:val="16"/>
        <w:spacing w:after="0" w:line="360" w:lineRule="auto"/>
        <w:ind w:firstLine="440"/>
        <w:rPr>
          <w:rFonts w:hint="eastAsia" w:ascii="宋体" w:hAnsi="宋体"/>
          <w:color w:val="auto"/>
          <w:sz w:val="22"/>
          <w:szCs w:val="22"/>
        </w:rPr>
      </w:pPr>
    </w:p>
    <w:p w14:paraId="0C0E6AC9">
      <w:pPr>
        <w:pStyle w:val="16"/>
        <w:spacing w:after="0" w:line="360" w:lineRule="auto"/>
        <w:ind w:firstLine="440"/>
        <w:rPr>
          <w:rFonts w:hint="eastAsia" w:ascii="宋体" w:hAnsi="宋体"/>
          <w:color w:val="auto"/>
          <w:sz w:val="22"/>
          <w:szCs w:val="22"/>
        </w:rPr>
      </w:pPr>
    </w:p>
    <w:p w14:paraId="202365F5">
      <w:pPr>
        <w:pStyle w:val="16"/>
        <w:spacing w:after="0" w:line="360" w:lineRule="auto"/>
        <w:ind w:firstLine="440"/>
        <w:rPr>
          <w:rFonts w:hint="eastAsia" w:ascii="宋体" w:hAnsi="宋体"/>
          <w:color w:val="auto"/>
          <w:sz w:val="22"/>
          <w:szCs w:val="22"/>
        </w:rPr>
      </w:pPr>
    </w:p>
    <w:p w14:paraId="090B2B2E">
      <w:pPr>
        <w:pStyle w:val="16"/>
        <w:spacing w:after="0" w:line="360" w:lineRule="auto"/>
        <w:ind w:firstLine="440"/>
        <w:rPr>
          <w:rFonts w:hint="eastAsia" w:ascii="宋体" w:hAnsi="宋体"/>
          <w:color w:val="auto"/>
          <w:sz w:val="22"/>
          <w:szCs w:val="22"/>
        </w:rPr>
      </w:pPr>
    </w:p>
    <w:p w14:paraId="0C844444">
      <w:pPr>
        <w:pStyle w:val="16"/>
        <w:spacing w:after="0" w:line="360" w:lineRule="auto"/>
        <w:ind w:firstLine="440"/>
        <w:rPr>
          <w:rFonts w:hint="eastAsia" w:ascii="宋体" w:hAnsi="宋体"/>
          <w:color w:val="auto"/>
          <w:sz w:val="22"/>
          <w:szCs w:val="22"/>
        </w:rPr>
      </w:pPr>
    </w:p>
    <w:p w14:paraId="493B978B">
      <w:pPr>
        <w:pStyle w:val="16"/>
        <w:spacing w:after="0" w:line="360" w:lineRule="auto"/>
        <w:ind w:firstLine="440"/>
        <w:rPr>
          <w:rFonts w:hint="eastAsia" w:ascii="宋体" w:hAnsi="宋体"/>
          <w:color w:val="auto"/>
          <w:sz w:val="22"/>
          <w:szCs w:val="22"/>
        </w:rPr>
      </w:pPr>
    </w:p>
    <w:p w14:paraId="0E317F7C">
      <w:pPr>
        <w:tabs>
          <w:tab w:val="left" w:pos="8300"/>
        </w:tabs>
        <w:autoSpaceDE w:val="0"/>
        <w:autoSpaceDN w:val="0"/>
        <w:adjustRightInd w:val="0"/>
        <w:spacing w:line="360" w:lineRule="auto"/>
        <w:ind w:firstLine="440" w:firstLineChars="200"/>
        <w:jc w:val="right"/>
        <w:rPr>
          <w:rFonts w:hint="eastAsia" w:ascii="宋体" w:hAnsi="宋体"/>
          <w:snapToGrid w:val="0"/>
          <w:color w:val="auto"/>
          <w:kern w:val="0"/>
          <w:szCs w:val="21"/>
        </w:rPr>
      </w:pPr>
      <w:r>
        <w:rPr>
          <w:rFonts w:hint="eastAsia" w:ascii="宋体" w:hAnsi="宋体"/>
          <w:color w:val="auto"/>
          <w:kern w:val="0"/>
          <w:sz w:val="22"/>
          <w:u w:val="single"/>
        </w:rPr>
        <w:t xml:space="preserve">    </w:t>
      </w:r>
      <w:r>
        <w:rPr>
          <w:rFonts w:ascii="宋体" w:hAnsi="宋体"/>
          <w:color w:val="auto"/>
          <w:kern w:val="0"/>
          <w:sz w:val="22"/>
        </w:rPr>
        <w:t>年</w:t>
      </w:r>
      <w:r>
        <w:rPr>
          <w:rFonts w:hint="eastAsia" w:ascii="宋体" w:hAnsi="宋体"/>
          <w:color w:val="auto"/>
          <w:kern w:val="0"/>
          <w:sz w:val="22"/>
          <w:u w:val="single"/>
        </w:rPr>
        <w:t xml:space="preserve">    </w:t>
      </w:r>
      <w:r>
        <w:rPr>
          <w:rFonts w:ascii="宋体" w:hAnsi="宋体"/>
          <w:color w:val="auto"/>
          <w:kern w:val="0"/>
          <w:sz w:val="22"/>
        </w:rPr>
        <w:t>月</w:t>
      </w:r>
      <w:r>
        <w:rPr>
          <w:rFonts w:hint="eastAsia" w:ascii="宋体" w:hAnsi="宋体"/>
          <w:color w:val="auto"/>
          <w:kern w:val="0"/>
          <w:sz w:val="22"/>
          <w:u w:val="single"/>
        </w:rPr>
        <w:t xml:space="preserve">    </w:t>
      </w:r>
      <w:r>
        <w:rPr>
          <w:rFonts w:ascii="宋体" w:hAnsi="宋体"/>
          <w:color w:val="auto"/>
          <w:kern w:val="0"/>
          <w:sz w:val="22"/>
        </w:rPr>
        <w:t>日</w:t>
      </w:r>
    </w:p>
    <w:p w14:paraId="1BF47AE3">
      <w:pPr>
        <w:tabs>
          <w:tab w:val="left" w:pos="4005"/>
          <w:tab w:val="left" w:pos="4100"/>
          <w:tab w:val="left" w:pos="5040"/>
        </w:tabs>
        <w:autoSpaceDE w:val="0"/>
        <w:autoSpaceDN w:val="0"/>
        <w:adjustRightInd w:val="0"/>
        <w:snapToGrid w:val="0"/>
        <w:spacing w:line="360" w:lineRule="auto"/>
        <w:ind w:firstLine="440"/>
        <w:jc w:val="right"/>
        <w:rPr>
          <w:rFonts w:hint="eastAsia" w:ascii="宋体" w:hAnsi="宋体"/>
          <w:color w:val="auto"/>
          <w:kern w:val="0"/>
          <w:sz w:val="22"/>
          <w:szCs w:val="24"/>
        </w:rPr>
      </w:pPr>
    </w:p>
    <w:p w14:paraId="0D1B0AD8">
      <w:pPr>
        <w:tabs>
          <w:tab w:val="left" w:pos="5760"/>
        </w:tabs>
        <w:autoSpaceDE w:val="0"/>
        <w:autoSpaceDN w:val="0"/>
        <w:adjustRightInd w:val="0"/>
        <w:spacing w:line="360" w:lineRule="auto"/>
        <w:ind w:firstLine="440" w:firstLineChars="200"/>
        <w:jc w:val="left"/>
        <w:rPr>
          <w:rFonts w:hint="eastAsia" w:ascii="宋体" w:hAnsi="宋体"/>
          <w:color w:val="auto"/>
          <w:kern w:val="0"/>
          <w:sz w:val="22"/>
        </w:rPr>
      </w:pPr>
    </w:p>
    <w:p w14:paraId="617BB2AB">
      <w:pPr>
        <w:tabs>
          <w:tab w:val="left" w:pos="5760"/>
        </w:tabs>
        <w:autoSpaceDE w:val="0"/>
        <w:autoSpaceDN w:val="0"/>
        <w:adjustRightInd w:val="0"/>
        <w:spacing w:line="360" w:lineRule="auto"/>
        <w:ind w:firstLine="440" w:firstLineChars="200"/>
        <w:jc w:val="left"/>
        <w:rPr>
          <w:rFonts w:hint="eastAsia" w:ascii="宋体" w:hAnsi="宋体"/>
          <w:color w:val="auto"/>
          <w:kern w:val="0"/>
          <w:sz w:val="22"/>
        </w:rPr>
      </w:pPr>
      <w:r>
        <w:rPr>
          <w:rFonts w:ascii="宋体" w:hAnsi="宋体"/>
          <w:color w:val="auto"/>
          <w:kern w:val="0"/>
          <w:sz w:val="22"/>
        </w:rPr>
        <w:t>注：</w:t>
      </w:r>
      <w:r>
        <w:rPr>
          <w:rFonts w:hint="eastAsia" w:ascii="宋体" w:hAnsi="宋体"/>
          <w:color w:val="auto"/>
          <w:kern w:val="0"/>
          <w:sz w:val="22"/>
        </w:rPr>
        <w:t>1.</w:t>
      </w:r>
      <w:r>
        <w:rPr>
          <w:rFonts w:ascii="宋体" w:hAnsi="宋体"/>
          <w:color w:val="auto"/>
          <w:kern w:val="0"/>
          <w:sz w:val="22"/>
        </w:rPr>
        <w:t>法定代表人参加投标活动并签署文件的不需要授权委托书，只需提供法定代表人身份证明；非法定代表人参加投标活动及签署文件的除提供法定代表人身份证明外还须提供授权委托书。</w:t>
      </w:r>
    </w:p>
    <w:p w14:paraId="61823EC8">
      <w:pPr>
        <w:tabs>
          <w:tab w:val="left" w:pos="5760"/>
        </w:tabs>
        <w:autoSpaceDE w:val="0"/>
        <w:autoSpaceDN w:val="0"/>
        <w:adjustRightInd w:val="0"/>
        <w:spacing w:line="360" w:lineRule="auto"/>
        <w:ind w:firstLine="440" w:firstLineChars="200"/>
        <w:jc w:val="left"/>
        <w:rPr>
          <w:rFonts w:hint="eastAsia" w:ascii="宋体" w:hAnsi="宋体"/>
          <w:color w:val="auto"/>
          <w:sz w:val="22"/>
          <w:szCs w:val="24"/>
        </w:rPr>
      </w:pPr>
      <w:r>
        <w:rPr>
          <w:rFonts w:hint="eastAsia" w:ascii="宋体" w:hAnsi="宋体"/>
          <w:color w:val="auto"/>
          <w:kern w:val="0"/>
          <w:sz w:val="22"/>
        </w:rPr>
        <w:t>2.</w:t>
      </w:r>
      <w:r>
        <w:rPr>
          <w:rFonts w:hint="eastAsia" w:ascii="宋体" w:hAnsi="宋体"/>
          <w:color w:val="auto"/>
          <w:sz w:val="22"/>
          <w:szCs w:val="24"/>
        </w:rPr>
        <w:t>授权委托书</w:t>
      </w:r>
      <w:r>
        <w:rPr>
          <w:rFonts w:ascii="宋体" w:hAnsi="宋体"/>
          <w:color w:val="auto"/>
          <w:sz w:val="22"/>
          <w:szCs w:val="24"/>
        </w:rPr>
        <w:t>需按上述格式填写完整，不可缺少内容。在此基础上增加内容的不影响其有效性。</w:t>
      </w:r>
    </w:p>
    <w:p w14:paraId="5CAF77BD">
      <w:pPr>
        <w:ind w:firstLine="440"/>
        <w:rPr>
          <w:color w:val="auto"/>
          <w:sz w:val="22"/>
          <w:szCs w:val="24"/>
        </w:rPr>
      </w:pPr>
    </w:p>
    <w:p w14:paraId="52917BE1">
      <w:pPr>
        <w:widowControl/>
        <w:ind w:firstLine="440"/>
        <w:jc w:val="left"/>
        <w:rPr>
          <w:color w:val="auto"/>
          <w:sz w:val="22"/>
          <w:szCs w:val="24"/>
        </w:rPr>
      </w:pPr>
      <w:r>
        <w:rPr>
          <w:color w:val="auto"/>
          <w:sz w:val="22"/>
          <w:szCs w:val="24"/>
        </w:rPr>
        <w:br w:type="page"/>
      </w:r>
    </w:p>
    <w:p w14:paraId="324A47FF">
      <w:pPr>
        <w:pStyle w:val="3"/>
        <w:spacing w:before="0" w:after="0" w:line="360" w:lineRule="auto"/>
        <w:ind w:firstLine="643"/>
        <w:jc w:val="center"/>
        <w:rPr>
          <w:rFonts w:hint="eastAsia" w:asciiTheme="minorEastAsia" w:hAnsiTheme="minorEastAsia" w:eastAsiaTheme="minorEastAsia"/>
          <w:color w:val="auto"/>
          <w:szCs w:val="21"/>
        </w:rPr>
      </w:pPr>
      <w:bookmarkStart w:id="526" w:name="_Toc17514"/>
      <w:bookmarkStart w:id="527" w:name="_Toc361508760"/>
      <w:r>
        <w:rPr>
          <w:rFonts w:hint="eastAsia" w:asciiTheme="minorEastAsia" w:hAnsiTheme="minorEastAsia" w:eastAsiaTheme="minorEastAsia"/>
          <w:color w:val="auto"/>
          <w:szCs w:val="21"/>
        </w:rPr>
        <w:t>（三）</w:t>
      </w:r>
      <w:bookmarkEnd w:id="526"/>
      <w:r>
        <w:rPr>
          <w:rFonts w:hint="eastAsia" w:asciiTheme="minorEastAsia" w:hAnsiTheme="minorEastAsia" w:eastAsiaTheme="minorEastAsia"/>
          <w:color w:val="auto"/>
          <w:szCs w:val="21"/>
        </w:rPr>
        <w:t>业绩证明材料</w:t>
      </w:r>
    </w:p>
    <w:p w14:paraId="66B8D2A2">
      <w:pPr>
        <w:widowControl/>
        <w:spacing w:line="360" w:lineRule="auto"/>
        <w:ind w:firstLine="440"/>
        <w:jc w:val="center"/>
        <w:rPr>
          <w:rFonts w:hint="eastAsia" w:ascii="宋体" w:hAnsi="宋体"/>
          <w:i/>
          <w:color w:val="auto"/>
          <w:kern w:val="0"/>
          <w:sz w:val="22"/>
        </w:rPr>
      </w:pPr>
    </w:p>
    <w:p w14:paraId="5B757840">
      <w:pPr>
        <w:widowControl/>
        <w:spacing w:line="360" w:lineRule="auto"/>
        <w:ind w:firstLine="440" w:firstLineChars="200"/>
        <w:jc w:val="left"/>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t>提供中标通知书或咨询合同复印件或定案表复印件，若以上资料不能体现人员信息的需提供业主证明材料及业主联系方式，格式自拟。</w:t>
      </w:r>
    </w:p>
    <w:p w14:paraId="44932291">
      <w:pPr>
        <w:widowControl/>
        <w:spacing w:line="360" w:lineRule="auto"/>
        <w:ind w:firstLine="440" w:firstLineChars="200"/>
        <w:jc w:val="left"/>
        <w:rPr>
          <w:color w:val="auto"/>
          <w:sz w:val="22"/>
          <w:szCs w:val="24"/>
        </w:rPr>
      </w:pPr>
    </w:p>
    <w:p w14:paraId="5BA1DD0E">
      <w:pPr>
        <w:widowControl/>
        <w:ind w:firstLine="440"/>
        <w:jc w:val="left"/>
        <w:rPr>
          <w:color w:val="auto"/>
          <w:sz w:val="22"/>
          <w:szCs w:val="24"/>
        </w:rPr>
      </w:pPr>
      <w:r>
        <w:rPr>
          <w:color w:val="auto"/>
          <w:sz w:val="22"/>
          <w:szCs w:val="24"/>
        </w:rPr>
        <w:br w:type="page"/>
      </w:r>
    </w:p>
    <w:p w14:paraId="6BAA4DC1">
      <w:pPr>
        <w:ind w:firstLine="440"/>
        <w:rPr>
          <w:color w:val="auto"/>
          <w:sz w:val="22"/>
          <w:szCs w:val="24"/>
        </w:rPr>
      </w:pPr>
      <w:bookmarkStart w:id="528" w:name="_Toc492300729"/>
    </w:p>
    <w:p w14:paraId="7F75E5FD">
      <w:pPr>
        <w:pStyle w:val="3"/>
        <w:spacing w:before="0" w:after="0" w:line="360" w:lineRule="auto"/>
        <w:ind w:firstLine="643"/>
        <w:jc w:val="center"/>
        <w:rPr>
          <w:rFonts w:hint="eastAsia" w:asciiTheme="minorEastAsia" w:hAnsiTheme="minorEastAsia" w:eastAsiaTheme="minorEastAsia"/>
          <w:bCs/>
          <w:color w:val="auto"/>
          <w:szCs w:val="21"/>
        </w:rPr>
      </w:pPr>
      <w:bookmarkStart w:id="529" w:name="_Toc8093"/>
      <w:r>
        <w:rPr>
          <w:rFonts w:hint="eastAsia" w:asciiTheme="minorEastAsia" w:hAnsiTheme="minorEastAsia" w:eastAsiaTheme="minorEastAsia"/>
          <w:bCs/>
          <w:color w:val="auto"/>
          <w:szCs w:val="21"/>
        </w:rPr>
        <w:t>（四）基本情况表</w:t>
      </w:r>
      <w:bookmarkEnd w:id="528"/>
      <w:bookmarkEnd w:id="529"/>
    </w:p>
    <w:tbl>
      <w:tblPr>
        <w:tblStyle w:val="40"/>
        <w:tblW w:w="88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898"/>
        <w:gridCol w:w="1026"/>
        <w:gridCol w:w="1287"/>
        <w:gridCol w:w="414"/>
        <w:gridCol w:w="873"/>
        <w:gridCol w:w="828"/>
        <w:gridCol w:w="284"/>
        <w:gridCol w:w="1230"/>
      </w:tblGrid>
      <w:tr w14:paraId="5A16AF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90504EE">
            <w:pPr>
              <w:topLinePunct/>
              <w:spacing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竞标人名称</w:t>
            </w:r>
          </w:p>
        </w:tc>
        <w:tc>
          <w:tcPr>
            <w:tcW w:w="6840" w:type="dxa"/>
            <w:gridSpan w:val="8"/>
            <w:tcBorders>
              <w:top w:val="single" w:color="auto" w:sz="4" w:space="0"/>
              <w:left w:val="single" w:color="auto" w:sz="4" w:space="0"/>
              <w:bottom w:val="single" w:color="auto" w:sz="4" w:space="0"/>
              <w:right w:val="single" w:color="auto" w:sz="4" w:space="0"/>
            </w:tcBorders>
            <w:vAlign w:val="center"/>
          </w:tcPr>
          <w:p w14:paraId="009B1F91">
            <w:pPr>
              <w:topLinePunct/>
              <w:spacing w:line="400" w:lineRule="exact"/>
              <w:jc w:val="center"/>
              <w:rPr>
                <w:rFonts w:hint="eastAsia" w:asciiTheme="minorEastAsia" w:hAnsiTheme="minorEastAsia" w:eastAsiaTheme="minorEastAsia"/>
                <w:color w:val="auto"/>
                <w:sz w:val="22"/>
                <w:szCs w:val="24"/>
              </w:rPr>
            </w:pPr>
          </w:p>
        </w:tc>
      </w:tr>
      <w:tr w14:paraId="67CA17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366190A">
            <w:pPr>
              <w:topLinePunct/>
              <w:spacing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注册地址</w:t>
            </w:r>
          </w:p>
        </w:tc>
        <w:tc>
          <w:tcPr>
            <w:tcW w:w="3211" w:type="dxa"/>
            <w:gridSpan w:val="3"/>
            <w:tcBorders>
              <w:top w:val="single" w:color="auto" w:sz="4" w:space="0"/>
              <w:left w:val="single" w:color="auto" w:sz="4" w:space="0"/>
              <w:bottom w:val="single" w:color="auto" w:sz="4" w:space="0"/>
              <w:right w:val="single" w:color="auto" w:sz="4" w:space="0"/>
            </w:tcBorders>
            <w:vAlign w:val="center"/>
          </w:tcPr>
          <w:p w14:paraId="6EDB72D1">
            <w:pPr>
              <w:topLinePunct/>
              <w:spacing w:line="400" w:lineRule="exact"/>
              <w:jc w:val="center"/>
              <w:rPr>
                <w:rFonts w:hint="eastAsia" w:asciiTheme="minorEastAsia" w:hAnsiTheme="minorEastAsia" w:eastAsiaTheme="minorEastAsia"/>
                <w:color w:val="auto"/>
                <w:sz w:val="22"/>
                <w:szCs w:val="24"/>
              </w:rPr>
            </w:pPr>
          </w:p>
        </w:tc>
        <w:tc>
          <w:tcPr>
            <w:tcW w:w="1287" w:type="dxa"/>
            <w:gridSpan w:val="2"/>
            <w:tcBorders>
              <w:top w:val="single" w:color="auto" w:sz="4" w:space="0"/>
              <w:left w:val="single" w:color="auto" w:sz="4" w:space="0"/>
              <w:bottom w:val="single" w:color="auto" w:sz="4" w:space="0"/>
              <w:right w:val="single" w:color="auto" w:sz="4" w:space="0"/>
            </w:tcBorders>
            <w:vAlign w:val="center"/>
          </w:tcPr>
          <w:p w14:paraId="73D0A220">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邮政编码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25E89C8A">
            <w:pPr>
              <w:topLinePunct/>
              <w:spacing w:line="400" w:lineRule="exact"/>
              <w:jc w:val="center"/>
              <w:rPr>
                <w:rFonts w:hint="eastAsia" w:asciiTheme="minorEastAsia" w:hAnsiTheme="minorEastAsia" w:eastAsiaTheme="minorEastAsia"/>
                <w:color w:val="auto"/>
                <w:sz w:val="22"/>
                <w:szCs w:val="24"/>
              </w:rPr>
            </w:pPr>
          </w:p>
        </w:tc>
      </w:tr>
      <w:tr w14:paraId="3EB211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vMerge w:val="restart"/>
            <w:tcBorders>
              <w:top w:val="single" w:color="auto" w:sz="4" w:space="0"/>
              <w:left w:val="single" w:color="auto" w:sz="4" w:space="0"/>
              <w:bottom w:val="single" w:color="auto" w:sz="4" w:space="0"/>
              <w:right w:val="single" w:color="auto" w:sz="4" w:space="0"/>
            </w:tcBorders>
            <w:vAlign w:val="center"/>
          </w:tcPr>
          <w:p w14:paraId="4EFFD9C1">
            <w:pPr>
              <w:topLinePunct/>
              <w:spacing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联系方式</w:t>
            </w:r>
          </w:p>
        </w:tc>
        <w:tc>
          <w:tcPr>
            <w:tcW w:w="898" w:type="dxa"/>
            <w:tcBorders>
              <w:top w:val="single" w:color="auto" w:sz="4" w:space="0"/>
              <w:left w:val="single" w:color="auto" w:sz="4" w:space="0"/>
              <w:bottom w:val="single" w:color="auto" w:sz="4" w:space="0"/>
              <w:right w:val="single" w:color="auto" w:sz="4" w:space="0"/>
            </w:tcBorders>
            <w:vAlign w:val="center"/>
          </w:tcPr>
          <w:p w14:paraId="4851A97D">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联系人</w:t>
            </w:r>
          </w:p>
        </w:tc>
        <w:tc>
          <w:tcPr>
            <w:tcW w:w="2313" w:type="dxa"/>
            <w:gridSpan w:val="2"/>
            <w:tcBorders>
              <w:top w:val="single" w:color="auto" w:sz="4" w:space="0"/>
              <w:left w:val="single" w:color="auto" w:sz="4" w:space="0"/>
              <w:bottom w:val="single" w:color="auto" w:sz="4" w:space="0"/>
              <w:right w:val="single" w:color="auto" w:sz="4" w:space="0"/>
            </w:tcBorders>
            <w:vAlign w:val="center"/>
          </w:tcPr>
          <w:p w14:paraId="7FDFFB38">
            <w:pPr>
              <w:topLinePunct/>
              <w:spacing w:line="400" w:lineRule="exact"/>
              <w:jc w:val="center"/>
              <w:rPr>
                <w:rFonts w:hint="eastAsia" w:asciiTheme="minorEastAsia" w:hAnsiTheme="minorEastAsia" w:eastAsiaTheme="minorEastAsia"/>
                <w:color w:val="auto"/>
                <w:sz w:val="22"/>
                <w:szCs w:val="24"/>
              </w:rPr>
            </w:pPr>
          </w:p>
        </w:tc>
        <w:tc>
          <w:tcPr>
            <w:tcW w:w="1287" w:type="dxa"/>
            <w:gridSpan w:val="2"/>
            <w:tcBorders>
              <w:top w:val="single" w:color="auto" w:sz="4" w:space="0"/>
              <w:left w:val="single" w:color="auto" w:sz="4" w:space="0"/>
              <w:bottom w:val="single" w:color="auto" w:sz="4" w:space="0"/>
              <w:right w:val="single" w:color="auto" w:sz="4" w:space="0"/>
            </w:tcBorders>
            <w:vAlign w:val="center"/>
          </w:tcPr>
          <w:p w14:paraId="4EB5993D">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电 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27C4A9C7">
            <w:pPr>
              <w:topLinePunct/>
              <w:spacing w:line="400" w:lineRule="exact"/>
              <w:jc w:val="center"/>
              <w:rPr>
                <w:rFonts w:hint="eastAsia" w:asciiTheme="minorEastAsia" w:hAnsiTheme="minorEastAsia" w:eastAsiaTheme="minorEastAsia"/>
                <w:color w:val="auto"/>
                <w:sz w:val="22"/>
                <w:szCs w:val="24"/>
              </w:rPr>
            </w:pPr>
          </w:p>
        </w:tc>
      </w:tr>
      <w:tr w14:paraId="691054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vMerge w:val="continue"/>
            <w:tcBorders>
              <w:top w:val="single" w:color="auto" w:sz="4" w:space="0"/>
              <w:left w:val="single" w:color="auto" w:sz="4" w:space="0"/>
              <w:bottom w:val="single" w:color="auto" w:sz="4" w:space="0"/>
              <w:right w:val="single" w:color="auto" w:sz="4" w:space="0"/>
            </w:tcBorders>
            <w:vAlign w:val="center"/>
          </w:tcPr>
          <w:p w14:paraId="5050B6A2">
            <w:pPr>
              <w:spacing w:line="400" w:lineRule="exact"/>
              <w:jc w:val="center"/>
              <w:rPr>
                <w:rFonts w:hint="eastAsia" w:asciiTheme="minorEastAsia" w:hAnsiTheme="minorEastAsia" w:eastAsiaTheme="minorEastAsia"/>
                <w:color w:val="auto"/>
                <w:sz w:val="22"/>
                <w:szCs w:val="24"/>
              </w:rPr>
            </w:pPr>
          </w:p>
        </w:tc>
        <w:tc>
          <w:tcPr>
            <w:tcW w:w="898" w:type="dxa"/>
            <w:tcBorders>
              <w:top w:val="single" w:color="auto" w:sz="4" w:space="0"/>
              <w:left w:val="single" w:color="auto" w:sz="4" w:space="0"/>
              <w:bottom w:val="single" w:color="auto" w:sz="4" w:space="0"/>
              <w:right w:val="single" w:color="auto" w:sz="4" w:space="0"/>
            </w:tcBorders>
            <w:vAlign w:val="center"/>
          </w:tcPr>
          <w:p w14:paraId="437B583E">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传  真</w:t>
            </w:r>
          </w:p>
        </w:tc>
        <w:tc>
          <w:tcPr>
            <w:tcW w:w="2313" w:type="dxa"/>
            <w:gridSpan w:val="2"/>
            <w:tcBorders>
              <w:top w:val="single" w:color="auto" w:sz="4" w:space="0"/>
              <w:left w:val="single" w:color="auto" w:sz="4" w:space="0"/>
              <w:bottom w:val="single" w:color="auto" w:sz="4" w:space="0"/>
              <w:right w:val="single" w:color="auto" w:sz="4" w:space="0"/>
            </w:tcBorders>
            <w:vAlign w:val="center"/>
          </w:tcPr>
          <w:p w14:paraId="6DF511DF">
            <w:pPr>
              <w:topLinePunct/>
              <w:spacing w:line="400" w:lineRule="exact"/>
              <w:jc w:val="center"/>
              <w:rPr>
                <w:rFonts w:hint="eastAsia" w:asciiTheme="minorEastAsia" w:hAnsiTheme="minorEastAsia" w:eastAsiaTheme="minorEastAsia"/>
                <w:color w:val="auto"/>
                <w:sz w:val="22"/>
                <w:szCs w:val="24"/>
              </w:rPr>
            </w:pPr>
          </w:p>
        </w:tc>
        <w:tc>
          <w:tcPr>
            <w:tcW w:w="1287" w:type="dxa"/>
            <w:gridSpan w:val="2"/>
            <w:tcBorders>
              <w:top w:val="single" w:color="auto" w:sz="4" w:space="0"/>
              <w:left w:val="single" w:color="auto" w:sz="4" w:space="0"/>
              <w:bottom w:val="single" w:color="auto" w:sz="4" w:space="0"/>
              <w:right w:val="single" w:color="auto" w:sz="4" w:space="0"/>
            </w:tcBorders>
            <w:vAlign w:val="center"/>
          </w:tcPr>
          <w:p w14:paraId="6DBB7F8F">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网 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4D19925A">
            <w:pPr>
              <w:topLinePunct/>
              <w:spacing w:line="400" w:lineRule="exact"/>
              <w:jc w:val="center"/>
              <w:rPr>
                <w:rFonts w:hint="eastAsia" w:asciiTheme="minorEastAsia" w:hAnsiTheme="minorEastAsia" w:eastAsiaTheme="minorEastAsia"/>
                <w:color w:val="auto"/>
                <w:sz w:val="22"/>
                <w:szCs w:val="24"/>
              </w:rPr>
            </w:pPr>
          </w:p>
        </w:tc>
      </w:tr>
      <w:tr w14:paraId="20D2E9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293CD9E">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法定代表人</w:t>
            </w:r>
          </w:p>
        </w:tc>
        <w:tc>
          <w:tcPr>
            <w:tcW w:w="898" w:type="dxa"/>
            <w:tcBorders>
              <w:top w:val="single" w:color="auto" w:sz="4" w:space="0"/>
              <w:left w:val="single" w:color="auto" w:sz="4" w:space="0"/>
              <w:bottom w:val="single" w:color="auto" w:sz="4" w:space="0"/>
              <w:right w:val="single" w:color="auto" w:sz="4" w:space="0"/>
            </w:tcBorders>
            <w:vAlign w:val="center"/>
          </w:tcPr>
          <w:p w14:paraId="6B43F67F">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姓名</w:t>
            </w:r>
          </w:p>
        </w:tc>
        <w:tc>
          <w:tcPr>
            <w:tcW w:w="1026" w:type="dxa"/>
            <w:tcBorders>
              <w:top w:val="single" w:color="auto" w:sz="4" w:space="0"/>
              <w:left w:val="single" w:color="auto" w:sz="4" w:space="0"/>
              <w:bottom w:val="single" w:color="auto" w:sz="4" w:space="0"/>
              <w:right w:val="single" w:color="auto" w:sz="4" w:space="0"/>
            </w:tcBorders>
            <w:vAlign w:val="center"/>
          </w:tcPr>
          <w:p w14:paraId="295446A5">
            <w:pPr>
              <w:topLinePunct/>
              <w:spacing w:line="400" w:lineRule="exact"/>
              <w:jc w:val="center"/>
              <w:rPr>
                <w:rFonts w:hint="eastAsia" w:asciiTheme="minorEastAsia" w:hAnsiTheme="minorEastAsia" w:eastAsiaTheme="minorEastAsia"/>
                <w:color w:val="auto"/>
                <w:sz w:val="22"/>
                <w:szCs w:val="24"/>
              </w:rPr>
            </w:pPr>
          </w:p>
        </w:tc>
        <w:tc>
          <w:tcPr>
            <w:tcW w:w="1287" w:type="dxa"/>
            <w:tcBorders>
              <w:top w:val="single" w:color="auto" w:sz="4" w:space="0"/>
              <w:left w:val="single" w:color="auto" w:sz="4" w:space="0"/>
              <w:bottom w:val="single" w:color="auto" w:sz="4" w:space="0"/>
              <w:right w:val="single" w:color="auto" w:sz="4" w:space="0"/>
            </w:tcBorders>
            <w:vAlign w:val="center"/>
          </w:tcPr>
          <w:p w14:paraId="2126FFFC">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技术职称</w:t>
            </w:r>
          </w:p>
        </w:tc>
        <w:tc>
          <w:tcPr>
            <w:tcW w:w="1287" w:type="dxa"/>
            <w:gridSpan w:val="2"/>
            <w:tcBorders>
              <w:top w:val="single" w:color="auto" w:sz="4" w:space="0"/>
              <w:left w:val="single" w:color="auto" w:sz="4" w:space="0"/>
              <w:bottom w:val="single" w:color="auto" w:sz="4" w:space="0"/>
              <w:right w:val="single" w:color="auto" w:sz="4" w:space="0"/>
            </w:tcBorders>
            <w:vAlign w:val="center"/>
          </w:tcPr>
          <w:p w14:paraId="70372A6E">
            <w:pPr>
              <w:topLinePunct/>
              <w:spacing w:line="400" w:lineRule="exact"/>
              <w:jc w:val="center"/>
              <w:rPr>
                <w:rFonts w:hint="eastAsia" w:asciiTheme="minorEastAsia" w:hAnsiTheme="minorEastAsia" w:eastAsiaTheme="minorEastAsia"/>
                <w:color w:val="auto"/>
                <w:sz w:val="22"/>
                <w:szCs w:val="24"/>
              </w:rPr>
            </w:pP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F63AD88">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电话</w:t>
            </w:r>
          </w:p>
        </w:tc>
        <w:tc>
          <w:tcPr>
            <w:tcW w:w="1230" w:type="dxa"/>
            <w:tcBorders>
              <w:top w:val="single" w:color="auto" w:sz="4" w:space="0"/>
              <w:left w:val="single" w:color="auto" w:sz="4" w:space="0"/>
              <w:bottom w:val="single" w:color="auto" w:sz="4" w:space="0"/>
              <w:right w:val="single" w:color="auto" w:sz="4" w:space="0"/>
            </w:tcBorders>
            <w:vAlign w:val="center"/>
          </w:tcPr>
          <w:p w14:paraId="7E04FFB6">
            <w:pPr>
              <w:topLinePunct/>
              <w:spacing w:line="400" w:lineRule="exact"/>
              <w:jc w:val="center"/>
              <w:rPr>
                <w:rFonts w:hint="eastAsia" w:asciiTheme="minorEastAsia" w:hAnsiTheme="minorEastAsia" w:eastAsiaTheme="minorEastAsia"/>
                <w:color w:val="auto"/>
                <w:sz w:val="22"/>
                <w:szCs w:val="24"/>
              </w:rPr>
            </w:pPr>
          </w:p>
        </w:tc>
      </w:tr>
      <w:tr w14:paraId="6E52C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6679F4C">
            <w:pPr>
              <w:topLinePunct/>
              <w:spacing w:line="400" w:lineRule="exact"/>
              <w:jc w:val="center"/>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rPr>
              <w:t>项目</w:t>
            </w:r>
            <w:r>
              <w:rPr>
                <w:rFonts w:asciiTheme="minorEastAsia" w:hAnsiTheme="minorEastAsia" w:eastAsiaTheme="minorEastAsia"/>
                <w:color w:val="auto"/>
                <w:sz w:val="22"/>
              </w:rPr>
              <w:t>负责人</w:t>
            </w:r>
          </w:p>
        </w:tc>
        <w:tc>
          <w:tcPr>
            <w:tcW w:w="898" w:type="dxa"/>
            <w:tcBorders>
              <w:top w:val="single" w:color="auto" w:sz="4" w:space="0"/>
              <w:left w:val="single" w:color="auto" w:sz="4" w:space="0"/>
              <w:bottom w:val="single" w:color="auto" w:sz="4" w:space="0"/>
              <w:right w:val="single" w:color="auto" w:sz="4" w:space="0"/>
            </w:tcBorders>
            <w:vAlign w:val="center"/>
          </w:tcPr>
          <w:p w14:paraId="60570145">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姓名</w:t>
            </w:r>
          </w:p>
        </w:tc>
        <w:tc>
          <w:tcPr>
            <w:tcW w:w="1026" w:type="dxa"/>
            <w:tcBorders>
              <w:top w:val="single" w:color="auto" w:sz="4" w:space="0"/>
              <w:left w:val="single" w:color="auto" w:sz="4" w:space="0"/>
              <w:bottom w:val="single" w:color="auto" w:sz="4" w:space="0"/>
              <w:right w:val="single" w:color="auto" w:sz="4" w:space="0"/>
            </w:tcBorders>
            <w:vAlign w:val="center"/>
          </w:tcPr>
          <w:p w14:paraId="04D8AC08">
            <w:pPr>
              <w:topLinePunct/>
              <w:spacing w:line="400" w:lineRule="exact"/>
              <w:jc w:val="center"/>
              <w:rPr>
                <w:rFonts w:hint="eastAsia" w:asciiTheme="minorEastAsia" w:hAnsiTheme="minorEastAsia" w:eastAsiaTheme="minorEastAsia"/>
                <w:color w:val="auto"/>
                <w:sz w:val="22"/>
                <w:szCs w:val="24"/>
              </w:rPr>
            </w:pPr>
          </w:p>
        </w:tc>
        <w:tc>
          <w:tcPr>
            <w:tcW w:w="1287" w:type="dxa"/>
            <w:tcBorders>
              <w:top w:val="single" w:color="auto" w:sz="4" w:space="0"/>
              <w:left w:val="single" w:color="auto" w:sz="4" w:space="0"/>
              <w:bottom w:val="single" w:color="auto" w:sz="4" w:space="0"/>
              <w:right w:val="single" w:color="auto" w:sz="4" w:space="0"/>
            </w:tcBorders>
            <w:vAlign w:val="center"/>
          </w:tcPr>
          <w:p w14:paraId="074C5AF8">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技术职称</w:t>
            </w:r>
          </w:p>
        </w:tc>
        <w:tc>
          <w:tcPr>
            <w:tcW w:w="1287" w:type="dxa"/>
            <w:gridSpan w:val="2"/>
            <w:tcBorders>
              <w:top w:val="single" w:color="auto" w:sz="4" w:space="0"/>
              <w:left w:val="single" w:color="auto" w:sz="4" w:space="0"/>
              <w:bottom w:val="single" w:color="auto" w:sz="4" w:space="0"/>
              <w:right w:val="single" w:color="auto" w:sz="4" w:space="0"/>
            </w:tcBorders>
            <w:vAlign w:val="center"/>
          </w:tcPr>
          <w:p w14:paraId="174A8814">
            <w:pPr>
              <w:topLinePunct/>
              <w:spacing w:line="400" w:lineRule="exact"/>
              <w:jc w:val="center"/>
              <w:rPr>
                <w:rFonts w:hint="eastAsia" w:asciiTheme="minorEastAsia" w:hAnsiTheme="minorEastAsia" w:eastAsiaTheme="minorEastAsia"/>
                <w:color w:val="auto"/>
                <w:sz w:val="22"/>
                <w:szCs w:val="24"/>
              </w:rPr>
            </w:pP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15332A5">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电话</w:t>
            </w:r>
          </w:p>
        </w:tc>
        <w:tc>
          <w:tcPr>
            <w:tcW w:w="1230" w:type="dxa"/>
            <w:tcBorders>
              <w:top w:val="single" w:color="auto" w:sz="4" w:space="0"/>
              <w:left w:val="single" w:color="auto" w:sz="4" w:space="0"/>
              <w:bottom w:val="single" w:color="auto" w:sz="4" w:space="0"/>
              <w:right w:val="single" w:color="auto" w:sz="4" w:space="0"/>
            </w:tcBorders>
            <w:vAlign w:val="center"/>
          </w:tcPr>
          <w:p w14:paraId="0FCAB372">
            <w:pPr>
              <w:topLinePunct/>
              <w:spacing w:line="400" w:lineRule="exact"/>
              <w:jc w:val="center"/>
              <w:rPr>
                <w:rFonts w:hint="eastAsia" w:asciiTheme="minorEastAsia" w:hAnsiTheme="minorEastAsia" w:eastAsiaTheme="minorEastAsia"/>
                <w:color w:val="auto"/>
                <w:sz w:val="22"/>
                <w:szCs w:val="24"/>
              </w:rPr>
            </w:pPr>
          </w:p>
        </w:tc>
      </w:tr>
      <w:tr w14:paraId="0C85BF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86321FE">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hint="eastAsia" w:asciiTheme="minorEastAsia" w:hAnsiTheme="minorEastAsia" w:eastAsiaTheme="minorEastAsia"/>
                <w:color w:val="auto"/>
                <w:sz w:val="22"/>
                <w:szCs w:val="24"/>
              </w:rPr>
              <w:t>统一社会信用代码</w:t>
            </w:r>
          </w:p>
        </w:tc>
        <w:tc>
          <w:tcPr>
            <w:tcW w:w="3211" w:type="dxa"/>
            <w:gridSpan w:val="3"/>
            <w:tcBorders>
              <w:top w:val="single" w:color="auto" w:sz="4" w:space="0"/>
              <w:left w:val="single" w:color="auto" w:sz="4" w:space="0"/>
              <w:bottom w:val="single" w:color="auto" w:sz="4" w:space="0"/>
              <w:right w:val="single" w:color="auto" w:sz="4" w:space="0"/>
            </w:tcBorders>
            <w:vAlign w:val="center"/>
          </w:tcPr>
          <w:p w14:paraId="0E1BF49A">
            <w:pPr>
              <w:topLinePunct/>
              <w:spacing w:line="400" w:lineRule="exact"/>
              <w:jc w:val="center"/>
              <w:rPr>
                <w:rFonts w:hint="eastAsia" w:asciiTheme="minorEastAsia" w:hAnsiTheme="minorEastAsia" w:eastAsiaTheme="minorEastAsia"/>
                <w:color w:val="auto"/>
                <w:sz w:val="22"/>
                <w:szCs w:val="24"/>
              </w:rPr>
            </w:pPr>
          </w:p>
        </w:tc>
        <w:tc>
          <w:tcPr>
            <w:tcW w:w="3629" w:type="dxa"/>
            <w:gridSpan w:val="5"/>
            <w:tcBorders>
              <w:top w:val="single" w:color="auto" w:sz="4" w:space="0"/>
              <w:left w:val="single" w:color="auto" w:sz="4" w:space="0"/>
              <w:bottom w:val="single" w:color="auto" w:sz="4" w:space="0"/>
              <w:right w:val="single" w:color="auto" w:sz="4" w:space="0"/>
            </w:tcBorders>
            <w:vAlign w:val="center"/>
          </w:tcPr>
          <w:p w14:paraId="61837E00">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员工总人数：</w:t>
            </w:r>
          </w:p>
        </w:tc>
      </w:tr>
      <w:tr w14:paraId="5F7ED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21D358F">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注册资本</w:t>
            </w:r>
          </w:p>
        </w:tc>
        <w:tc>
          <w:tcPr>
            <w:tcW w:w="3211" w:type="dxa"/>
            <w:gridSpan w:val="3"/>
            <w:tcBorders>
              <w:top w:val="single" w:color="auto" w:sz="4" w:space="0"/>
              <w:left w:val="single" w:color="auto" w:sz="4" w:space="0"/>
              <w:bottom w:val="single" w:color="auto" w:sz="4" w:space="0"/>
              <w:right w:val="single" w:color="auto" w:sz="4" w:space="0"/>
            </w:tcBorders>
            <w:vAlign w:val="center"/>
          </w:tcPr>
          <w:p w14:paraId="359C66FF">
            <w:pPr>
              <w:topLinePunct/>
              <w:spacing w:line="400" w:lineRule="exact"/>
              <w:jc w:val="center"/>
              <w:rPr>
                <w:rFonts w:hint="eastAsia" w:asciiTheme="minorEastAsia" w:hAnsiTheme="minorEastAsia" w:eastAsiaTheme="minorEastAsia"/>
                <w:color w:val="auto"/>
                <w:sz w:val="22"/>
                <w:szCs w:val="24"/>
              </w:rPr>
            </w:pPr>
          </w:p>
        </w:tc>
        <w:tc>
          <w:tcPr>
            <w:tcW w:w="414" w:type="dxa"/>
            <w:vMerge w:val="restart"/>
            <w:tcBorders>
              <w:top w:val="single" w:color="auto" w:sz="4" w:space="0"/>
              <w:left w:val="single" w:color="auto" w:sz="4" w:space="0"/>
              <w:right w:val="single" w:color="auto" w:sz="4" w:space="0"/>
            </w:tcBorders>
            <w:vAlign w:val="center"/>
          </w:tcPr>
          <w:p w14:paraId="4C281962">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其中</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9629FCA">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高级职称人员</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1798E466">
            <w:pPr>
              <w:topLinePunct/>
              <w:spacing w:line="400" w:lineRule="exact"/>
              <w:jc w:val="center"/>
              <w:rPr>
                <w:rFonts w:hint="eastAsia" w:asciiTheme="minorEastAsia" w:hAnsiTheme="minorEastAsia" w:eastAsiaTheme="minorEastAsia"/>
                <w:color w:val="auto"/>
                <w:sz w:val="22"/>
                <w:szCs w:val="24"/>
              </w:rPr>
            </w:pPr>
          </w:p>
        </w:tc>
      </w:tr>
      <w:tr w14:paraId="3590EA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F633F76">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成立日期</w:t>
            </w:r>
          </w:p>
        </w:tc>
        <w:tc>
          <w:tcPr>
            <w:tcW w:w="3211" w:type="dxa"/>
            <w:gridSpan w:val="3"/>
            <w:tcBorders>
              <w:top w:val="single" w:color="auto" w:sz="4" w:space="0"/>
              <w:left w:val="single" w:color="auto" w:sz="4" w:space="0"/>
              <w:bottom w:val="single" w:color="auto" w:sz="4" w:space="0"/>
              <w:right w:val="single" w:color="auto" w:sz="4" w:space="0"/>
            </w:tcBorders>
            <w:vAlign w:val="center"/>
          </w:tcPr>
          <w:p w14:paraId="3D864498">
            <w:pPr>
              <w:topLinePunct/>
              <w:spacing w:line="400" w:lineRule="exact"/>
              <w:jc w:val="center"/>
              <w:rPr>
                <w:rFonts w:hint="eastAsia" w:asciiTheme="minorEastAsia" w:hAnsiTheme="minorEastAsia" w:eastAsiaTheme="minorEastAsia"/>
                <w:color w:val="auto"/>
                <w:sz w:val="22"/>
                <w:szCs w:val="24"/>
              </w:rPr>
            </w:pPr>
          </w:p>
        </w:tc>
        <w:tc>
          <w:tcPr>
            <w:tcW w:w="414" w:type="dxa"/>
            <w:vMerge w:val="continue"/>
            <w:tcBorders>
              <w:left w:val="single" w:color="auto" w:sz="4" w:space="0"/>
              <w:right w:val="single" w:color="auto" w:sz="4" w:space="0"/>
            </w:tcBorders>
            <w:vAlign w:val="center"/>
          </w:tcPr>
          <w:p w14:paraId="630253EF">
            <w:pPr>
              <w:spacing w:line="400" w:lineRule="exact"/>
              <w:jc w:val="center"/>
              <w:rPr>
                <w:rFonts w:hint="eastAsia" w:asciiTheme="minorEastAsia" w:hAnsiTheme="minorEastAsia" w:eastAsiaTheme="minorEastAsia"/>
                <w:color w:val="auto"/>
                <w:sz w:val="22"/>
                <w:szCs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B5AD40F">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中级职称人员</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1686344B">
            <w:pPr>
              <w:topLinePunct/>
              <w:spacing w:line="400" w:lineRule="exact"/>
              <w:jc w:val="center"/>
              <w:rPr>
                <w:rFonts w:hint="eastAsia" w:asciiTheme="minorEastAsia" w:hAnsiTheme="minorEastAsia" w:eastAsiaTheme="minorEastAsia"/>
                <w:color w:val="auto"/>
                <w:sz w:val="22"/>
                <w:szCs w:val="24"/>
              </w:rPr>
            </w:pPr>
          </w:p>
        </w:tc>
      </w:tr>
      <w:tr w14:paraId="0EF04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36DEA27">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基本账户开户银行</w:t>
            </w:r>
          </w:p>
        </w:tc>
        <w:tc>
          <w:tcPr>
            <w:tcW w:w="3211" w:type="dxa"/>
            <w:gridSpan w:val="3"/>
            <w:tcBorders>
              <w:top w:val="single" w:color="auto" w:sz="4" w:space="0"/>
              <w:left w:val="single" w:color="auto" w:sz="4" w:space="0"/>
              <w:bottom w:val="single" w:color="auto" w:sz="4" w:space="0"/>
              <w:right w:val="single" w:color="auto" w:sz="4" w:space="0"/>
            </w:tcBorders>
            <w:vAlign w:val="center"/>
          </w:tcPr>
          <w:p w14:paraId="7ABCA013">
            <w:pPr>
              <w:topLinePunct/>
              <w:spacing w:line="400" w:lineRule="exact"/>
              <w:jc w:val="center"/>
              <w:rPr>
                <w:rFonts w:hint="eastAsia" w:asciiTheme="minorEastAsia" w:hAnsiTheme="minorEastAsia" w:eastAsiaTheme="minorEastAsia"/>
                <w:color w:val="auto"/>
                <w:sz w:val="22"/>
                <w:szCs w:val="24"/>
              </w:rPr>
            </w:pPr>
          </w:p>
        </w:tc>
        <w:tc>
          <w:tcPr>
            <w:tcW w:w="414" w:type="dxa"/>
            <w:vMerge w:val="continue"/>
            <w:tcBorders>
              <w:left w:val="single" w:color="auto" w:sz="4" w:space="0"/>
              <w:right w:val="single" w:color="auto" w:sz="4" w:space="0"/>
            </w:tcBorders>
            <w:vAlign w:val="center"/>
          </w:tcPr>
          <w:p w14:paraId="3155E4CD">
            <w:pPr>
              <w:spacing w:line="400" w:lineRule="exact"/>
              <w:jc w:val="center"/>
              <w:rPr>
                <w:rFonts w:hint="eastAsia" w:asciiTheme="minorEastAsia" w:hAnsiTheme="minorEastAsia" w:eastAsiaTheme="minorEastAsia"/>
                <w:color w:val="auto"/>
                <w:sz w:val="22"/>
                <w:szCs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7375587">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技术人员数量</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30D8F9B4">
            <w:pPr>
              <w:topLinePunct/>
              <w:spacing w:line="400" w:lineRule="exact"/>
              <w:jc w:val="center"/>
              <w:rPr>
                <w:rFonts w:hint="eastAsia" w:asciiTheme="minorEastAsia" w:hAnsiTheme="minorEastAsia" w:eastAsiaTheme="minorEastAsia"/>
                <w:color w:val="auto"/>
                <w:sz w:val="22"/>
                <w:szCs w:val="24"/>
              </w:rPr>
            </w:pPr>
          </w:p>
        </w:tc>
      </w:tr>
      <w:tr w14:paraId="66BF69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35A8DBE">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基本账户银行账号</w:t>
            </w:r>
          </w:p>
        </w:tc>
        <w:tc>
          <w:tcPr>
            <w:tcW w:w="3211" w:type="dxa"/>
            <w:gridSpan w:val="3"/>
            <w:tcBorders>
              <w:top w:val="single" w:color="auto" w:sz="4" w:space="0"/>
              <w:left w:val="single" w:color="auto" w:sz="4" w:space="0"/>
              <w:bottom w:val="single" w:color="auto" w:sz="4" w:space="0"/>
              <w:right w:val="single" w:color="auto" w:sz="4" w:space="0"/>
            </w:tcBorders>
            <w:vAlign w:val="center"/>
          </w:tcPr>
          <w:p w14:paraId="33FC935B">
            <w:pPr>
              <w:topLinePunct/>
              <w:spacing w:line="400" w:lineRule="exact"/>
              <w:jc w:val="center"/>
              <w:rPr>
                <w:rFonts w:hint="eastAsia" w:asciiTheme="minorEastAsia" w:hAnsiTheme="minorEastAsia" w:eastAsiaTheme="minorEastAsia"/>
                <w:color w:val="auto"/>
                <w:sz w:val="22"/>
                <w:szCs w:val="24"/>
              </w:rPr>
            </w:pPr>
          </w:p>
        </w:tc>
        <w:tc>
          <w:tcPr>
            <w:tcW w:w="414" w:type="dxa"/>
            <w:vMerge w:val="continue"/>
            <w:tcBorders>
              <w:left w:val="single" w:color="auto" w:sz="4" w:space="0"/>
              <w:right w:val="single" w:color="auto" w:sz="4" w:space="0"/>
            </w:tcBorders>
            <w:vAlign w:val="center"/>
          </w:tcPr>
          <w:p w14:paraId="7BADE205">
            <w:pPr>
              <w:spacing w:line="400" w:lineRule="exact"/>
              <w:jc w:val="center"/>
              <w:rPr>
                <w:rFonts w:hint="eastAsia" w:asciiTheme="minorEastAsia" w:hAnsiTheme="minorEastAsia" w:eastAsiaTheme="minorEastAsia"/>
                <w:color w:val="auto"/>
                <w:sz w:val="22"/>
                <w:szCs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8C4E375">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rPr>
              <w:t>各类注册人员</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1456F345">
            <w:pPr>
              <w:topLinePunct/>
              <w:spacing w:line="400" w:lineRule="exact"/>
              <w:jc w:val="center"/>
              <w:rPr>
                <w:rFonts w:hint="eastAsia" w:asciiTheme="minorEastAsia" w:hAnsiTheme="minorEastAsia" w:eastAsiaTheme="minorEastAsia"/>
                <w:color w:val="auto"/>
                <w:sz w:val="22"/>
                <w:szCs w:val="24"/>
              </w:rPr>
            </w:pPr>
          </w:p>
        </w:tc>
      </w:tr>
      <w:tr w14:paraId="39113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right w:val="single" w:color="auto" w:sz="4" w:space="0"/>
            </w:tcBorders>
            <w:vAlign w:val="center"/>
          </w:tcPr>
          <w:p w14:paraId="584E4923">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经营范围</w:t>
            </w:r>
          </w:p>
        </w:tc>
        <w:tc>
          <w:tcPr>
            <w:tcW w:w="6840" w:type="dxa"/>
            <w:gridSpan w:val="8"/>
            <w:tcBorders>
              <w:top w:val="single" w:color="auto" w:sz="4" w:space="0"/>
              <w:left w:val="single" w:color="auto" w:sz="4" w:space="0"/>
              <w:right w:val="single" w:color="auto" w:sz="4" w:space="0"/>
            </w:tcBorders>
            <w:vAlign w:val="center"/>
          </w:tcPr>
          <w:p w14:paraId="4E58A07A">
            <w:pPr>
              <w:topLinePunct/>
              <w:spacing w:line="400" w:lineRule="exact"/>
              <w:jc w:val="center"/>
              <w:rPr>
                <w:rFonts w:hint="eastAsia" w:asciiTheme="minorEastAsia" w:hAnsiTheme="minorEastAsia" w:eastAsiaTheme="minorEastAsia"/>
                <w:color w:val="auto"/>
                <w:sz w:val="22"/>
                <w:szCs w:val="24"/>
              </w:rPr>
            </w:pPr>
          </w:p>
        </w:tc>
      </w:tr>
      <w:tr w14:paraId="0951E1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right w:val="single" w:color="auto" w:sz="4" w:space="0"/>
            </w:tcBorders>
            <w:vAlign w:val="center"/>
          </w:tcPr>
          <w:p w14:paraId="6566391A">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rPr>
              <w:t>竞标人关联企业情况（包括但不限于与竞标人法定代表人为同一人或者存在控股、管理关系的不同单位）</w:t>
            </w:r>
          </w:p>
        </w:tc>
        <w:tc>
          <w:tcPr>
            <w:tcW w:w="6840" w:type="dxa"/>
            <w:gridSpan w:val="8"/>
            <w:tcBorders>
              <w:top w:val="single" w:color="auto" w:sz="4" w:space="0"/>
              <w:left w:val="single" w:color="auto" w:sz="4" w:space="0"/>
              <w:right w:val="single" w:color="auto" w:sz="4" w:space="0"/>
            </w:tcBorders>
            <w:vAlign w:val="center"/>
          </w:tcPr>
          <w:p w14:paraId="1DA97749">
            <w:pPr>
              <w:topLinePunct/>
              <w:spacing w:line="400" w:lineRule="exact"/>
              <w:jc w:val="center"/>
              <w:rPr>
                <w:rFonts w:hint="eastAsia" w:asciiTheme="minorEastAsia" w:hAnsiTheme="minorEastAsia" w:eastAsiaTheme="minorEastAsia"/>
                <w:color w:val="auto"/>
                <w:sz w:val="22"/>
                <w:szCs w:val="24"/>
              </w:rPr>
            </w:pPr>
          </w:p>
        </w:tc>
      </w:tr>
      <w:tr w14:paraId="143744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5324AD2">
            <w:pPr>
              <w:topLinePunct/>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备注</w:t>
            </w:r>
          </w:p>
        </w:tc>
        <w:tc>
          <w:tcPr>
            <w:tcW w:w="6840" w:type="dxa"/>
            <w:gridSpan w:val="8"/>
            <w:tcBorders>
              <w:top w:val="single" w:color="auto" w:sz="4" w:space="0"/>
              <w:left w:val="single" w:color="auto" w:sz="4" w:space="0"/>
              <w:bottom w:val="single" w:color="auto" w:sz="4" w:space="0"/>
              <w:right w:val="single" w:color="auto" w:sz="4" w:space="0"/>
            </w:tcBorders>
            <w:vAlign w:val="center"/>
          </w:tcPr>
          <w:p w14:paraId="156D1124">
            <w:pPr>
              <w:topLinePunct/>
              <w:spacing w:line="400" w:lineRule="exact"/>
              <w:jc w:val="center"/>
              <w:rPr>
                <w:rFonts w:hint="eastAsia" w:asciiTheme="minorEastAsia" w:hAnsiTheme="minorEastAsia" w:eastAsiaTheme="minorEastAsia"/>
                <w:color w:val="auto"/>
                <w:sz w:val="22"/>
                <w:szCs w:val="24"/>
              </w:rPr>
            </w:pPr>
          </w:p>
        </w:tc>
      </w:tr>
    </w:tbl>
    <w:p w14:paraId="273AACD9">
      <w:pPr>
        <w:spacing w:line="400" w:lineRule="exact"/>
        <w:ind w:firstLine="440"/>
        <w:rPr>
          <w:rFonts w:hint="eastAsia" w:asciiTheme="minorEastAsia" w:hAnsiTheme="minorEastAsia" w:eastAsiaTheme="minorEastAsia"/>
          <w:color w:val="auto"/>
          <w:sz w:val="22"/>
          <w:szCs w:val="24"/>
        </w:rPr>
      </w:pPr>
    </w:p>
    <w:p w14:paraId="1105B98E">
      <w:pPr>
        <w:widowControl/>
        <w:ind w:firstLine="440"/>
        <w:jc w:val="left"/>
        <w:rPr>
          <w:rFonts w:hint="eastAsia" w:asciiTheme="minorEastAsia" w:hAnsiTheme="minorEastAsia" w:eastAsiaTheme="minorEastAsia"/>
          <w:color w:val="auto"/>
          <w:sz w:val="22"/>
          <w:szCs w:val="24"/>
          <w:u w:val="single"/>
        </w:rPr>
      </w:pPr>
    </w:p>
    <w:p w14:paraId="23AC4352">
      <w:pPr>
        <w:widowControl/>
        <w:ind w:firstLine="440"/>
        <w:jc w:val="left"/>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br w:type="page"/>
      </w:r>
    </w:p>
    <w:bookmarkEnd w:id="527"/>
    <w:p w14:paraId="229F6640">
      <w:pPr>
        <w:ind w:firstLine="440"/>
        <w:rPr>
          <w:color w:val="auto"/>
          <w:sz w:val="22"/>
          <w:szCs w:val="24"/>
        </w:rPr>
      </w:pPr>
    </w:p>
    <w:p w14:paraId="58226756">
      <w:pPr>
        <w:pStyle w:val="3"/>
        <w:spacing w:before="0" w:after="0" w:line="360" w:lineRule="auto"/>
        <w:ind w:firstLine="643"/>
        <w:jc w:val="center"/>
        <w:rPr>
          <w:rFonts w:hint="eastAsia" w:asciiTheme="minorEastAsia" w:hAnsiTheme="minorEastAsia" w:eastAsiaTheme="minorEastAsia"/>
          <w:bCs/>
          <w:color w:val="auto"/>
          <w:szCs w:val="21"/>
        </w:rPr>
      </w:pPr>
      <w:bookmarkStart w:id="530" w:name="_Toc482188667"/>
      <w:bookmarkStart w:id="531" w:name="_Toc28230"/>
      <w:bookmarkStart w:id="532" w:name="_Toc492300734"/>
      <w:r>
        <w:rPr>
          <w:rFonts w:hint="eastAsia" w:asciiTheme="minorEastAsia" w:hAnsiTheme="minorEastAsia" w:eastAsiaTheme="minorEastAsia"/>
          <w:bCs/>
          <w:color w:val="auto"/>
          <w:szCs w:val="21"/>
        </w:rPr>
        <w:t>（五）拟委任的跟踪审计项目人员汇总表</w:t>
      </w:r>
      <w:bookmarkEnd w:id="530"/>
      <w:bookmarkEnd w:id="531"/>
      <w:bookmarkEnd w:id="532"/>
    </w:p>
    <w:tbl>
      <w:tblPr>
        <w:tblStyle w:val="40"/>
        <w:tblW w:w="80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603"/>
        <w:gridCol w:w="488"/>
        <w:gridCol w:w="1134"/>
        <w:gridCol w:w="709"/>
        <w:gridCol w:w="871"/>
        <w:gridCol w:w="1134"/>
      </w:tblGrid>
      <w:tr w14:paraId="43EE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vAlign w:val="center"/>
          </w:tcPr>
          <w:p w14:paraId="3AE33006">
            <w:pPr>
              <w:spacing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序号</w:t>
            </w:r>
          </w:p>
        </w:tc>
        <w:tc>
          <w:tcPr>
            <w:tcW w:w="1275" w:type="dxa"/>
            <w:vMerge w:val="restart"/>
            <w:vAlign w:val="center"/>
          </w:tcPr>
          <w:p w14:paraId="38B63198">
            <w:pPr>
              <w:spacing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本项目任职</w:t>
            </w:r>
          </w:p>
        </w:tc>
        <w:tc>
          <w:tcPr>
            <w:tcW w:w="992" w:type="dxa"/>
            <w:vMerge w:val="restart"/>
            <w:vAlign w:val="center"/>
          </w:tcPr>
          <w:p w14:paraId="40995EC6">
            <w:pPr>
              <w:spacing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姓名</w:t>
            </w:r>
          </w:p>
        </w:tc>
        <w:tc>
          <w:tcPr>
            <w:tcW w:w="603" w:type="dxa"/>
            <w:vMerge w:val="restart"/>
            <w:vAlign w:val="center"/>
          </w:tcPr>
          <w:p w14:paraId="56D5A181">
            <w:pPr>
              <w:spacing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职称</w:t>
            </w:r>
          </w:p>
        </w:tc>
        <w:tc>
          <w:tcPr>
            <w:tcW w:w="488" w:type="dxa"/>
            <w:vMerge w:val="restart"/>
            <w:vAlign w:val="center"/>
          </w:tcPr>
          <w:p w14:paraId="5CA1A7F4">
            <w:pPr>
              <w:spacing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专业</w:t>
            </w:r>
          </w:p>
        </w:tc>
        <w:tc>
          <w:tcPr>
            <w:tcW w:w="2714" w:type="dxa"/>
            <w:gridSpan w:val="3"/>
            <w:vAlign w:val="center"/>
          </w:tcPr>
          <w:p w14:paraId="40B53087">
            <w:pPr>
              <w:spacing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执业或职业资格证明</w:t>
            </w:r>
          </w:p>
        </w:tc>
        <w:tc>
          <w:tcPr>
            <w:tcW w:w="1134" w:type="dxa"/>
            <w:vAlign w:val="center"/>
          </w:tcPr>
          <w:p w14:paraId="021392AC">
            <w:pPr>
              <w:spacing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备注</w:t>
            </w:r>
          </w:p>
        </w:tc>
      </w:tr>
      <w:tr w14:paraId="6EA7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vAlign w:val="center"/>
          </w:tcPr>
          <w:p w14:paraId="317CD834">
            <w:pPr>
              <w:spacing w:line="400" w:lineRule="exact"/>
              <w:rPr>
                <w:rFonts w:hint="eastAsia" w:asciiTheme="minorEastAsia" w:hAnsiTheme="minorEastAsia" w:eastAsiaTheme="minorEastAsia"/>
                <w:color w:val="auto"/>
                <w:sz w:val="22"/>
                <w:szCs w:val="24"/>
              </w:rPr>
            </w:pPr>
          </w:p>
        </w:tc>
        <w:tc>
          <w:tcPr>
            <w:tcW w:w="1275" w:type="dxa"/>
            <w:vMerge w:val="continue"/>
          </w:tcPr>
          <w:p w14:paraId="1D7F2054">
            <w:pPr>
              <w:spacing w:line="400" w:lineRule="exact"/>
              <w:rPr>
                <w:rFonts w:hint="eastAsia" w:asciiTheme="minorEastAsia" w:hAnsiTheme="minorEastAsia" w:eastAsiaTheme="minorEastAsia"/>
                <w:color w:val="auto"/>
                <w:sz w:val="22"/>
                <w:szCs w:val="24"/>
              </w:rPr>
            </w:pPr>
          </w:p>
        </w:tc>
        <w:tc>
          <w:tcPr>
            <w:tcW w:w="992" w:type="dxa"/>
            <w:vMerge w:val="continue"/>
            <w:vAlign w:val="center"/>
          </w:tcPr>
          <w:p w14:paraId="3107FD66">
            <w:pPr>
              <w:spacing w:line="400" w:lineRule="exact"/>
              <w:rPr>
                <w:rFonts w:hint="eastAsia" w:asciiTheme="minorEastAsia" w:hAnsiTheme="minorEastAsia" w:eastAsiaTheme="minorEastAsia"/>
                <w:color w:val="auto"/>
                <w:sz w:val="22"/>
                <w:szCs w:val="24"/>
              </w:rPr>
            </w:pPr>
          </w:p>
        </w:tc>
        <w:tc>
          <w:tcPr>
            <w:tcW w:w="603" w:type="dxa"/>
            <w:vMerge w:val="continue"/>
            <w:vAlign w:val="center"/>
          </w:tcPr>
          <w:p w14:paraId="1A910574">
            <w:pPr>
              <w:spacing w:line="400" w:lineRule="exact"/>
              <w:rPr>
                <w:rFonts w:hint="eastAsia" w:asciiTheme="minorEastAsia" w:hAnsiTheme="minorEastAsia" w:eastAsiaTheme="minorEastAsia"/>
                <w:color w:val="auto"/>
                <w:sz w:val="22"/>
                <w:szCs w:val="24"/>
              </w:rPr>
            </w:pPr>
          </w:p>
        </w:tc>
        <w:tc>
          <w:tcPr>
            <w:tcW w:w="488" w:type="dxa"/>
            <w:vMerge w:val="continue"/>
            <w:vAlign w:val="center"/>
          </w:tcPr>
          <w:p w14:paraId="488AECFC">
            <w:pPr>
              <w:spacing w:line="400" w:lineRule="exact"/>
              <w:jc w:val="center"/>
              <w:rPr>
                <w:rFonts w:hint="eastAsia" w:asciiTheme="minorEastAsia" w:hAnsiTheme="minorEastAsia" w:eastAsiaTheme="minorEastAsia"/>
                <w:color w:val="auto"/>
                <w:sz w:val="22"/>
                <w:szCs w:val="24"/>
              </w:rPr>
            </w:pPr>
          </w:p>
        </w:tc>
        <w:tc>
          <w:tcPr>
            <w:tcW w:w="1134" w:type="dxa"/>
            <w:vAlign w:val="center"/>
          </w:tcPr>
          <w:p w14:paraId="14B26215">
            <w:pPr>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证书名称</w:t>
            </w:r>
          </w:p>
        </w:tc>
        <w:tc>
          <w:tcPr>
            <w:tcW w:w="709" w:type="dxa"/>
            <w:vAlign w:val="center"/>
          </w:tcPr>
          <w:p w14:paraId="1A696DA3">
            <w:pPr>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级别</w:t>
            </w:r>
          </w:p>
        </w:tc>
        <w:tc>
          <w:tcPr>
            <w:tcW w:w="871" w:type="dxa"/>
            <w:vAlign w:val="center"/>
          </w:tcPr>
          <w:p w14:paraId="599FCDEC">
            <w:pPr>
              <w:spacing w:before="100" w:beforeAutospacing="1" w:after="100" w:afterAutospacing="1" w:line="400" w:lineRule="exact"/>
              <w:jc w:val="center"/>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t>证号</w:t>
            </w:r>
          </w:p>
        </w:tc>
        <w:tc>
          <w:tcPr>
            <w:tcW w:w="1134" w:type="dxa"/>
            <w:vAlign w:val="center"/>
          </w:tcPr>
          <w:p w14:paraId="62ABAA0E">
            <w:pPr>
              <w:spacing w:line="400" w:lineRule="exact"/>
              <w:jc w:val="center"/>
              <w:rPr>
                <w:rFonts w:hint="eastAsia" w:asciiTheme="minorEastAsia" w:hAnsiTheme="minorEastAsia" w:eastAsiaTheme="minorEastAsia"/>
                <w:color w:val="auto"/>
                <w:sz w:val="22"/>
                <w:szCs w:val="24"/>
              </w:rPr>
            </w:pPr>
          </w:p>
        </w:tc>
      </w:tr>
      <w:tr w14:paraId="3F00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14:paraId="32BDBACE">
            <w:pPr>
              <w:spacing w:line="400" w:lineRule="exact"/>
              <w:jc w:val="center"/>
              <w:rPr>
                <w:rFonts w:hint="eastAsia" w:asciiTheme="minorEastAsia" w:hAnsiTheme="minorEastAsia" w:eastAsiaTheme="minorEastAsia"/>
                <w:color w:val="auto"/>
                <w:sz w:val="22"/>
                <w:szCs w:val="24"/>
              </w:rPr>
            </w:pPr>
          </w:p>
        </w:tc>
        <w:tc>
          <w:tcPr>
            <w:tcW w:w="1275" w:type="dxa"/>
          </w:tcPr>
          <w:p w14:paraId="33B444FB">
            <w:pPr>
              <w:spacing w:line="400" w:lineRule="exact"/>
              <w:jc w:val="center"/>
              <w:rPr>
                <w:rFonts w:hint="eastAsia" w:asciiTheme="minorEastAsia" w:hAnsiTheme="minorEastAsia" w:eastAsiaTheme="minorEastAsia"/>
                <w:color w:val="auto"/>
                <w:sz w:val="22"/>
                <w:szCs w:val="24"/>
              </w:rPr>
            </w:pPr>
          </w:p>
        </w:tc>
        <w:tc>
          <w:tcPr>
            <w:tcW w:w="992" w:type="dxa"/>
            <w:vAlign w:val="center"/>
          </w:tcPr>
          <w:p w14:paraId="25C72A5A">
            <w:pPr>
              <w:spacing w:line="400" w:lineRule="exact"/>
              <w:jc w:val="center"/>
              <w:rPr>
                <w:rFonts w:hint="eastAsia" w:asciiTheme="minorEastAsia" w:hAnsiTheme="minorEastAsia" w:eastAsiaTheme="minorEastAsia"/>
                <w:color w:val="auto"/>
                <w:sz w:val="22"/>
                <w:szCs w:val="24"/>
              </w:rPr>
            </w:pPr>
          </w:p>
        </w:tc>
        <w:tc>
          <w:tcPr>
            <w:tcW w:w="603" w:type="dxa"/>
            <w:vAlign w:val="center"/>
          </w:tcPr>
          <w:p w14:paraId="64B07803">
            <w:pPr>
              <w:spacing w:line="400" w:lineRule="exact"/>
              <w:jc w:val="center"/>
              <w:rPr>
                <w:rFonts w:hint="eastAsia" w:asciiTheme="minorEastAsia" w:hAnsiTheme="minorEastAsia" w:eastAsiaTheme="minorEastAsia"/>
                <w:color w:val="auto"/>
                <w:sz w:val="22"/>
                <w:szCs w:val="24"/>
              </w:rPr>
            </w:pPr>
          </w:p>
        </w:tc>
        <w:tc>
          <w:tcPr>
            <w:tcW w:w="488" w:type="dxa"/>
            <w:vAlign w:val="center"/>
          </w:tcPr>
          <w:p w14:paraId="60F90991">
            <w:pPr>
              <w:spacing w:line="400" w:lineRule="exact"/>
              <w:jc w:val="center"/>
              <w:rPr>
                <w:rFonts w:hint="eastAsia" w:asciiTheme="minorEastAsia" w:hAnsiTheme="minorEastAsia" w:eastAsiaTheme="minorEastAsia"/>
                <w:color w:val="auto"/>
                <w:sz w:val="22"/>
                <w:szCs w:val="24"/>
              </w:rPr>
            </w:pPr>
          </w:p>
        </w:tc>
        <w:tc>
          <w:tcPr>
            <w:tcW w:w="1134" w:type="dxa"/>
            <w:vAlign w:val="center"/>
          </w:tcPr>
          <w:p w14:paraId="4CF0F0E4">
            <w:pPr>
              <w:spacing w:line="400" w:lineRule="exact"/>
              <w:jc w:val="center"/>
              <w:rPr>
                <w:rFonts w:hint="eastAsia" w:asciiTheme="minorEastAsia" w:hAnsiTheme="minorEastAsia" w:eastAsiaTheme="minorEastAsia"/>
                <w:color w:val="auto"/>
                <w:sz w:val="22"/>
                <w:szCs w:val="24"/>
              </w:rPr>
            </w:pPr>
          </w:p>
        </w:tc>
        <w:tc>
          <w:tcPr>
            <w:tcW w:w="709" w:type="dxa"/>
            <w:vAlign w:val="center"/>
          </w:tcPr>
          <w:p w14:paraId="52564646">
            <w:pPr>
              <w:spacing w:line="400" w:lineRule="exact"/>
              <w:jc w:val="center"/>
              <w:rPr>
                <w:rFonts w:hint="eastAsia" w:asciiTheme="minorEastAsia" w:hAnsiTheme="minorEastAsia" w:eastAsiaTheme="minorEastAsia"/>
                <w:color w:val="auto"/>
                <w:sz w:val="22"/>
                <w:szCs w:val="24"/>
              </w:rPr>
            </w:pPr>
          </w:p>
        </w:tc>
        <w:tc>
          <w:tcPr>
            <w:tcW w:w="871" w:type="dxa"/>
            <w:vAlign w:val="center"/>
          </w:tcPr>
          <w:p w14:paraId="52D2D767">
            <w:pPr>
              <w:spacing w:line="400" w:lineRule="exact"/>
              <w:jc w:val="center"/>
              <w:rPr>
                <w:rFonts w:hint="eastAsia" w:asciiTheme="minorEastAsia" w:hAnsiTheme="minorEastAsia" w:eastAsiaTheme="minorEastAsia"/>
                <w:color w:val="auto"/>
                <w:sz w:val="22"/>
                <w:szCs w:val="24"/>
              </w:rPr>
            </w:pPr>
          </w:p>
        </w:tc>
        <w:tc>
          <w:tcPr>
            <w:tcW w:w="1134" w:type="dxa"/>
            <w:vAlign w:val="center"/>
          </w:tcPr>
          <w:p w14:paraId="7D9E5A70">
            <w:pPr>
              <w:spacing w:line="400" w:lineRule="exact"/>
              <w:jc w:val="center"/>
              <w:rPr>
                <w:rFonts w:hint="eastAsia" w:asciiTheme="minorEastAsia" w:hAnsiTheme="minorEastAsia" w:eastAsiaTheme="minorEastAsia"/>
                <w:color w:val="auto"/>
                <w:sz w:val="22"/>
                <w:szCs w:val="24"/>
              </w:rPr>
            </w:pPr>
          </w:p>
        </w:tc>
      </w:tr>
      <w:tr w14:paraId="22EA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06BCF18">
            <w:pPr>
              <w:spacing w:line="400" w:lineRule="exact"/>
              <w:jc w:val="center"/>
              <w:rPr>
                <w:rFonts w:hint="eastAsia" w:asciiTheme="minorEastAsia" w:hAnsiTheme="minorEastAsia" w:eastAsiaTheme="minorEastAsia"/>
                <w:color w:val="auto"/>
                <w:sz w:val="22"/>
                <w:szCs w:val="24"/>
              </w:rPr>
            </w:pPr>
          </w:p>
        </w:tc>
        <w:tc>
          <w:tcPr>
            <w:tcW w:w="1275" w:type="dxa"/>
          </w:tcPr>
          <w:p w14:paraId="12F49633">
            <w:pPr>
              <w:spacing w:line="400" w:lineRule="exact"/>
              <w:jc w:val="center"/>
              <w:rPr>
                <w:rFonts w:hint="eastAsia" w:asciiTheme="minorEastAsia" w:hAnsiTheme="minorEastAsia" w:eastAsiaTheme="minorEastAsia"/>
                <w:color w:val="auto"/>
                <w:sz w:val="22"/>
                <w:szCs w:val="24"/>
              </w:rPr>
            </w:pPr>
          </w:p>
        </w:tc>
        <w:tc>
          <w:tcPr>
            <w:tcW w:w="992" w:type="dxa"/>
          </w:tcPr>
          <w:p w14:paraId="4C32EB22">
            <w:pPr>
              <w:spacing w:line="400" w:lineRule="exact"/>
              <w:jc w:val="center"/>
              <w:rPr>
                <w:rFonts w:hint="eastAsia" w:asciiTheme="minorEastAsia" w:hAnsiTheme="minorEastAsia" w:eastAsiaTheme="minorEastAsia"/>
                <w:color w:val="auto"/>
                <w:sz w:val="22"/>
                <w:szCs w:val="24"/>
              </w:rPr>
            </w:pPr>
          </w:p>
        </w:tc>
        <w:tc>
          <w:tcPr>
            <w:tcW w:w="603" w:type="dxa"/>
          </w:tcPr>
          <w:p w14:paraId="58735190">
            <w:pPr>
              <w:spacing w:line="400" w:lineRule="exact"/>
              <w:jc w:val="center"/>
              <w:rPr>
                <w:rFonts w:hint="eastAsia" w:asciiTheme="minorEastAsia" w:hAnsiTheme="minorEastAsia" w:eastAsiaTheme="minorEastAsia"/>
                <w:color w:val="auto"/>
                <w:sz w:val="22"/>
                <w:szCs w:val="24"/>
              </w:rPr>
            </w:pPr>
          </w:p>
        </w:tc>
        <w:tc>
          <w:tcPr>
            <w:tcW w:w="488" w:type="dxa"/>
          </w:tcPr>
          <w:p w14:paraId="5B0CF5D3">
            <w:pPr>
              <w:spacing w:line="400" w:lineRule="exact"/>
              <w:jc w:val="center"/>
              <w:rPr>
                <w:rFonts w:hint="eastAsia" w:asciiTheme="minorEastAsia" w:hAnsiTheme="minorEastAsia" w:eastAsiaTheme="minorEastAsia"/>
                <w:color w:val="auto"/>
                <w:sz w:val="22"/>
                <w:szCs w:val="24"/>
              </w:rPr>
            </w:pPr>
          </w:p>
        </w:tc>
        <w:tc>
          <w:tcPr>
            <w:tcW w:w="1134" w:type="dxa"/>
          </w:tcPr>
          <w:p w14:paraId="1B3F8ACD">
            <w:pPr>
              <w:spacing w:line="400" w:lineRule="exact"/>
              <w:jc w:val="center"/>
              <w:rPr>
                <w:rFonts w:hint="eastAsia" w:asciiTheme="minorEastAsia" w:hAnsiTheme="minorEastAsia" w:eastAsiaTheme="minorEastAsia"/>
                <w:color w:val="auto"/>
                <w:sz w:val="22"/>
                <w:szCs w:val="24"/>
              </w:rPr>
            </w:pPr>
          </w:p>
        </w:tc>
        <w:tc>
          <w:tcPr>
            <w:tcW w:w="709" w:type="dxa"/>
          </w:tcPr>
          <w:p w14:paraId="6FBCAA92">
            <w:pPr>
              <w:spacing w:line="400" w:lineRule="exact"/>
              <w:jc w:val="center"/>
              <w:rPr>
                <w:rFonts w:hint="eastAsia" w:asciiTheme="minorEastAsia" w:hAnsiTheme="minorEastAsia" w:eastAsiaTheme="minorEastAsia"/>
                <w:color w:val="auto"/>
                <w:sz w:val="22"/>
                <w:szCs w:val="24"/>
              </w:rPr>
            </w:pPr>
          </w:p>
        </w:tc>
        <w:tc>
          <w:tcPr>
            <w:tcW w:w="871" w:type="dxa"/>
          </w:tcPr>
          <w:p w14:paraId="33E8838C">
            <w:pPr>
              <w:spacing w:line="400" w:lineRule="exact"/>
              <w:jc w:val="center"/>
              <w:rPr>
                <w:rFonts w:hint="eastAsia" w:asciiTheme="minorEastAsia" w:hAnsiTheme="minorEastAsia" w:eastAsiaTheme="minorEastAsia"/>
                <w:color w:val="auto"/>
                <w:sz w:val="22"/>
                <w:szCs w:val="24"/>
              </w:rPr>
            </w:pPr>
          </w:p>
        </w:tc>
        <w:tc>
          <w:tcPr>
            <w:tcW w:w="1134" w:type="dxa"/>
          </w:tcPr>
          <w:p w14:paraId="7A0B69E6">
            <w:pPr>
              <w:spacing w:line="400" w:lineRule="exact"/>
              <w:jc w:val="center"/>
              <w:rPr>
                <w:rFonts w:hint="eastAsia" w:asciiTheme="minorEastAsia" w:hAnsiTheme="minorEastAsia" w:eastAsiaTheme="minorEastAsia"/>
                <w:color w:val="auto"/>
                <w:sz w:val="22"/>
                <w:szCs w:val="24"/>
              </w:rPr>
            </w:pPr>
          </w:p>
        </w:tc>
      </w:tr>
      <w:tr w14:paraId="0B2D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A425632">
            <w:pPr>
              <w:spacing w:line="400" w:lineRule="exact"/>
              <w:jc w:val="center"/>
              <w:rPr>
                <w:rFonts w:hint="eastAsia" w:asciiTheme="minorEastAsia" w:hAnsiTheme="minorEastAsia" w:eastAsiaTheme="minorEastAsia"/>
                <w:color w:val="auto"/>
                <w:sz w:val="22"/>
                <w:szCs w:val="24"/>
              </w:rPr>
            </w:pPr>
          </w:p>
        </w:tc>
        <w:tc>
          <w:tcPr>
            <w:tcW w:w="1275" w:type="dxa"/>
          </w:tcPr>
          <w:p w14:paraId="7DF168F8">
            <w:pPr>
              <w:spacing w:line="400" w:lineRule="exact"/>
              <w:jc w:val="center"/>
              <w:rPr>
                <w:rFonts w:hint="eastAsia" w:asciiTheme="minorEastAsia" w:hAnsiTheme="minorEastAsia" w:eastAsiaTheme="minorEastAsia"/>
                <w:color w:val="auto"/>
                <w:sz w:val="22"/>
                <w:szCs w:val="24"/>
              </w:rPr>
            </w:pPr>
          </w:p>
        </w:tc>
        <w:tc>
          <w:tcPr>
            <w:tcW w:w="992" w:type="dxa"/>
          </w:tcPr>
          <w:p w14:paraId="3154E3C3">
            <w:pPr>
              <w:spacing w:line="400" w:lineRule="exact"/>
              <w:jc w:val="center"/>
              <w:rPr>
                <w:rFonts w:hint="eastAsia" w:asciiTheme="minorEastAsia" w:hAnsiTheme="minorEastAsia" w:eastAsiaTheme="minorEastAsia"/>
                <w:color w:val="auto"/>
                <w:sz w:val="22"/>
                <w:szCs w:val="24"/>
              </w:rPr>
            </w:pPr>
          </w:p>
        </w:tc>
        <w:tc>
          <w:tcPr>
            <w:tcW w:w="603" w:type="dxa"/>
          </w:tcPr>
          <w:p w14:paraId="20B27873">
            <w:pPr>
              <w:spacing w:line="400" w:lineRule="exact"/>
              <w:jc w:val="center"/>
              <w:rPr>
                <w:rFonts w:hint="eastAsia" w:asciiTheme="minorEastAsia" w:hAnsiTheme="minorEastAsia" w:eastAsiaTheme="minorEastAsia"/>
                <w:color w:val="auto"/>
                <w:sz w:val="22"/>
                <w:szCs w:val="24"/>
              </w:rPr>
            </w:pPr>
          </w:p>
        </w:tc>
        <w:tc>
          <w:tcPr>
            <w:tcW w:w="488" w:type="dxa"/>
          </w:tcPr>
          <w:p w14:paraId="79C387A0">
            <w:pPr>
              <w:spacing w:line="400" w:lineRule="exact"/>
              <w:jc w:val="center"/>
              <w:rPr>
                <w:rFonts w:hint="eastAsia" w:asciiTheme="minorEastAsia" w:hAnsiTheme="minorEastAsia" w:eastAsiaTheme="minorEastAsia"/>
                <w:color w:val="auto"/>
                <w:sz w:val="22"/>
                <w:szCs w:val="24"/>
              </w:rPr>
            </w:pPr>
          </w:p>
        </w:tc>
        <w:tc>
          <w:tcPr>
            <w:tcW w:w="1134" w:type="dxa"/>
          </w:tcPr>
          <w:p w14:paraId="5D36F9A3">
            <w:pPr>
              <w:spacing w:line="400" w:lineRule="exact"/>
              <w:jc w:val="center"/>
              <w:rPr>
                <w:rFonts w:hint="eastAsia" w:asciiTheme="minorEastAsia" w:hAnsiTheme="minorEastAsia" w:eastAsiaTheme="minorEastAsia"/>
                <w:color w:val="auto"/>
                <w:sz w:val="22"/>
                <w:szCs w:val="24"/>
              </w:rPr>
            </w:pPr>
          </w:p>
        </w:tc>
        <w:tc>
          <w:tcPr>
            <w:tcW w:w="709" w:type="dxa"/>
          </w:tcPr>
          <w:p w14:paraId="2113CD70">
            <w:pPr>
              <w:spacing w:line="400" w:lineRule="exact"/>
              <w:jc w:val="center"/>
              <w:rPr>
                <w:rFonts w:hint="eastAsia" w:asciiTheme="minorEastAsia" w:hAnsiTheme="minorEastAsia" w:eastAsiaTheme="minorEastAsia"/>
                <w:color w:val="auto"/>
                <w:sz w:val="22"/>
                <w:szCs w:val="24"/>
              </w:rPr>
            </w:pPr>
          </w:p>
        </w:tc>
        <w:tc>
          <w:tcPr>
            <w:tcW w:w="871" w:type="dxa"/>
          </w:tcPr>
          <w:p w14:paraId="0FBD18C2">
            <w:pPr>
              <w:spacing w:line="400" w:lineRule="exact"/>
              <w:jc w:val="center"/>
              <w:rPr>
                <w:rFonts w:hint="eastAsia" w:asciiTheme="minorEastAsia" w:hAnsiTheme="minorEastAsia" w:eastAsiaTheme="minorEastAsia"/>
                <w:color w:val="auto"/>
                <w:sz w:val="22"/>
                <w:szCs w:val="24"/>
              </w:rPr>
            </w:pPr>
          </w:p>
        </w:tc>
        <w:tc>
          <w:tcPr>
            <w:tcW w:w="1134" w:type="dxa"/>
          </w:tcPr>
          <w:p w14:paraId="646B807F">
            <w:pPr>
              <w:spacing w:line="400" w:lineRule="exact"/>
              <w:jc w:val="center"/>
              <w:rPr>
                <w:rFonts w:hint="eastAsia" w:asciiTheme="minorEastAsia" w:hAnsiTheme="minorEastAsia" w:eastAsiaTheme="minorEastAsia"/>
                <w:color w:val="auto"/>
                <w:sz w:val="22"/>
                <w:szCs w:val="24"/>
              </w:rPr>
            </w:pPr>
          </w:p>
        </w:tc>
      </w:tr>
      <w:tr w14:paraId="0508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6C9DA5BB">
            <w:pPr>
              <w:spacing w:line="400" w:lineRule="exact"/>
              <w:jc w:val="center"/>
              <w:rPr>
                <w:rFonts w:hint="eastAsia" w:asciiTheme="minorEastAsia" w:hAnsiTheme="minorEastAsia" w:eastAsiaTheme="minorEastAsia"/>
                <w:color w:val="auto"/>
                <w:sz w:val="22"/>
                <w:szCs w:val="24"/>
              </w:rPr>
            </w:pPr>
          </w:p>
        </w:tc>
        <w:tc>
          <w:tcPr>
            <w:tcW w:w="1275" w:type="dxa"/>
          </w:tcPr>
          <w:p w14:paraId="76EBF842">
            <w:pPr>
              <w:spacing w:line="400" w:lineRule="exact"/>
              <w:jc w:val="center"/>
              <w:rPr>
                <w:rFonts w:hint="eastAsia" w:asciiTheme="minorEastAsia" w:hAnsiTheme="minorEastAsia" w:eastAsiaTheme="minorEastAsia"/>
                <w:color w:val="auto"/>
                <w:sz w:val="22"/>
                <w:szCs w:val="24"/>
              </w:rPr>
            </w:pPr>
          </w:p>
        </w:tc>
        <w:tc>
          <w:tcPr>
            <w:tcW w:w="992" w:type="dxa"/>
          </w:tcPr>
          <w:p w14:paraId="559FE998">
            <w:pPr>
              <w:spacing w:line="400" w:lineRule="exact"/>
              <w:jc w:val="center"/>
              <w:rPr>
                <w:rFonts w:hint="eastAsia" w:asciiTheme="minorEastAsia" w:hAnsiTheme="minorEastAsia" w:eastAsiaTheme="minorEastAsia"/>
                <w:color w:val="auto"/>
                <w:sz w:val="22"/>
                <w:szCs w:val="24"/>
              </w:rPr>
            </w:pPr>
          </w:p>
        </w:tc>
        <w:tc>
          <w:tcPr>
            <w:tcW w:w="603" w:type="dxa"/>
          </w:tcPr>
          <w:p w14:paraId="72D16287">
            <w:pPr>
              <w:spacing w:line="400" w:lineRule="exact"/>
              <w:jc w:val="center"/>
              <w:rPr>
                <w:rFonts w:hint="eastAsia" w:asciiTheme="minorEastAsia" w:hAnsiTheme="minorEastAsia" w:eastAsiaTheme="minorEastAsia"/>
                <w:color w:val="auto"/>
                <w:sz w:val="22"/>
                <w:szCs w:val="24"/>
              </w:rPr>
            </w:pPr>
          </w:p>
        </w:tc>
        <w:tc>
          <w:tcPr>
            <w:tcW w:w="488" w:type="dxa"/>
          </w:tcPr>
          <w:p w14:paraId="65BDCDFA">
            <w:pPr>
              <w:spacing w:line="400" w:lineRule="exact"/>
              <w:jc w:val="center"/>
              <w:rPr>
                <w:rFonts w:hint="eastAsia" w:asciiTheme="minorEastAsia" w:hAnsiTheme="minorEastAsia" w:eastAsiaTheme="minorEastAsia"/>
                <w:color w:val="auto"/>
                <w:sz w:val="22"/>
                <w:szCs w:val="24"/>
              </w:rPr>
            </w:pPr>
          </w:p>
        </w:tc>
        <w:tc>
          <w:tcPr>
            <w:tcW w:w="1134" w:type="dxa"/>
          </w:tcPr>
          <w:p w14:paraId="3D93D041">
            <w:pPr>
              <w:spacing w:line="400" w:lineRule="exact"/>
              <w:jc w:val="center"/>
              <w:rPr>
                <w:rFonts w:hint="eastAsia" w:asciiTheme="minorEastAsia" w:hAnsiTheme="minorEastAsia" w:eastAsiaTheme="minorEastAsia"/>
                <w:color w:val="auto"/>
                <w:sz w:val="22"/>
                <w:szCs w:val="24"/>
              </w:rPr>
            </w:pPr>
          </w:p>
        </w:tc>
        <w:tc>
          <w:tcPr>
            <w:tcW w:w="709" w:type="dxa"/>
          </w:tcPr>
          <w:p w14:paraId="6AA91EAF">
            <w:pPr>
              <w:spacing w:line="400" w:lineRule="exact"/>
              <w:jc w:val="center"/>
              <w:rPr>
                <w:rFonts w:hint="eastAsia" w:asciiTheme="minorEastAsia" w:hAnsiTheme="minorEastAsia" w:eastAsiaTheme="minorEastAsia"/>
                <w:color w:val="auto"/>
                <w:sz w:val="22"/>
                <w:szCs w:val="24"/>
              </w:rPr>
            </w:pPr>
          </w:p>
        </w:tc>
        <w:tc>
          <w:tcPr>
            <w:tcW w:w="871" w:type="dxa"/>
          </w:tcPr>
          <w:p w14:paraId="750B0DF1">
            <w:pPr>
              <w:spacing w:line="400" w:lineRule="exact"/>
              <w:jc w:val="center"/>
              <w:rPr>
                <w:rFonts w:hint="eastAsia" w:asciiTheme="minorEastAsia" w:hAnsiTheme="minorEastAsia" w:eastAsiaTheme="minorEastAsia"/>
                <w:color w:val="auto"/>
                <w:sz w:val="22"/>
                <w:szCs w:val="24"/>
              </w:rPr>
            </w:pPr>
          </w:p>
        </w:tc>
        <w:tc>
          <w:tcPr>
            <w:tcW w:w="1134" w:type="dxa"/>
          </w:tcPr>
          <w:p w14:paraId="4422C5BF">
            <w:pPr>
              <w:spacing w:line="400" w:lineRule="exact"/>
              <w:jc w:val="center"/>
              <w:rPr>
                <w:rFonts w:hint="eastAsia" w:asciiTheme="minorEastAsia" w:hAnsiTheme="minorEastAsia" w:eastAsiaTheme="minorEastAsia"/>
                <w:color w:val="auto"/>
                <w:sz w:val="22"/>
                <w:szCs w:val="24"/>
              </w:rPr>
            </w:pPr>
          </w:p>
        </w:tc>
      </w:tr>
      <w:tr w14:paraId="61AA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44AC23A">
            <w:pPr>
              <w:spacing w:line="400" w:lineRule="exact"/>
              <w:jc w:val="center"/>
              <w:rPr>
                <w:rFonts w:hint="eastAsia" w:asciiTheme="minorEastAsia" w:hAnsiTheme="minorEastAsia" w:eastAsiaTheme="minorEastAsia"/>
                <w:color w:val="auto"/>
                <w:sz w:val="22"/>
                <w:szCs w:val="24"/>
              </w:rPr>
            </w:pPr>
          </w:p>
        </w:tc>
        <w:tc>
          <w:tcPr>
            <w:tcW w:w="1275" w:type="dxa"/>
          </w:tcPr>
          <w:p w14:paraId="030A1759">
            <w:pPr>
              <w:spacing w:line="400" w:lineRule="exact"/>
              <w:jc w:val="center"/>
              <w:rPr>
                <w:rFonts w:hint="eastAsia" w:asciiTheme="minorEastAsia" w:hAnsiTheme="minorEastAsia" w:eastAsiaTheme="minorEastAsia"/>
                <w:color w:val="auto"/>
                <w:sz w:val="22"/>
                <w:szCs w:val="24"/>
              </w:rPr>
            </w:pPr>
          </w:p>
        </w:tc>
        <w:tc>
          <w:tcPr>
            <w:tcW w:w="992" w:type="dxa"/>
          </w:tcPr>
          <w:p w14:paraId="352E5081">
            <w:pPr>
              <w:spacing w:line="400" w:lineRule="exact"/>
              <w:jc w:val="center"/>
              <w:rPr>
                <w:rFonts w:hint="eastAsia" w:asciiTheme="minorEastAsia" w:hAnsiTheme="minorEastAsia" w:eastAsiaTheme="minorEastAsia"/>
                <w:color w:val="auto"/>
                <w:sz w:val="22"/>
                <w:szCs w:val="24"/>
              </w:rPr>
            </w:pPr>
          </w:p>
        </w:tc>
        <w:tc>
          <w:tcPr>
            <w:tcW w:w="603" w:type="dxa"/>
          </w:tcPr>
          <w:p w14:paraId="4CD32DEC">
            <w:pPr>
              <w:spacing w:line="400" w:lineRule="exact"/>
              <w:jc w:val="center"/>
              <w:rPr>
                <w:rFonts w:hint="eastAsia" w:asciiTheme="minorEastAsia" w:hAnsiTheme="minorEastAsia" w:eastAsiaTheme="minorEastAsia"/>
                <w:color w:val="auto"/>
                <w:sz w:val="22"/>
                <w:szCs w:val="24"/>
              </w:rPr>
            </w:pPr>
          </w:p>
        </w:tc>
        <w:tc>
          <w:tcPr>
            <w:tcW w:w="488" w:type="dxa"/>
          </w:tcPr>
          <w:p w14:paraId="5C958508">
            <w:pPr>
              <w:spacing w:line="400" w:lineRule="exact"/>
              <w:jc w:val="center"/>
              <w:rPr>
                <w:rFonts w:hint="eastAsia" w:asciiTheme="minorEastAsia" w:hAnsiTheme="minorEastAsia" w:eastAsiaTheme="minorEastAsia"/>
                <w:color w:val="auto"/>
                <w:sz w:val="22"/>
                <w:szCs w:val="24"/>
              </w:rPr>
            </w:pPr>
          </w:p>
        </w:tc>
        <w:tc>
          <w:tcPr>
            <w:tcW w:w="1134" w:type="dxa"/>
          </w:tcPr>
          <w:p w14:paraId="6F1D7CFD">
            <w:pPr>
              <w:spacing w:line="400" w:lineRule="exact"/>
              <w:jc w:val="center"/>
              <w:rPr>
                <w:rFonts w:hint="eastAsia" w:asciiTheme="minorEastAsia" w:hAnsiTheme="minorEastAsia" w:eastAsiaTheme="minorEastAsia"/>
                <w:color w:val="auto"/>
                <w:sz w:val="22"/>
                <w:szCs w:val="24"/>
              </w:rPr>
            </w:pPr>
          </w:p>
        </w:tc>
        <w:tc>
          <w:tcPr>
            <w:tcW w:w="709" w:type="dxa"/>
          </w:tcPr>
          <w:p w14:paraId="5950E421">
            <w:pPr>
              <w:spacing w:line="400" w:lineRule="exact"/>
              <w:jc w:val="center"/>
              <w:rPr>
                <w:rFonts w:hint="eastAsia" w:asciiTheme="minorEastAsia" w:hAnsiTheme="minorEastAsia" w:eastAsiaTheme="minorEastAsia"/>
                <w:color w:val="auto"/>
                <w:sz w:val="22"/>
                <w:szCs w:val="24"/>
              </w:rPr>
            </w:pPr>
          </w:p>
        </w:tc>
        <w:tc>
          <w:tcPr>
            <w:tcW w:w="871" w:type="dxa"/>
          </w:tcPr>
          <w:p w14:paraId="0F4CA753">
            <w:pPr>
              <w:spacing w:line="400" w:lineRule="exact"/>
              <w:jc w:val="center"/>
              <w:rPr>
                <w:rFonts w:hint="eastAsia" w:asciiTheme="minorEastAsia" w:hAnsiTheme="minorEastAsia" w:eastAsiaTheme="minorEastAsia"/>
                <w:color w:val="auto"/>
                <w:sz w:val="22"/>
                <w:szCs w:val="24"/>
              </w:rPr>
            </w:pPr>
          </w:p>
        </w:tc>
        <w:tc>
          <w:tcPr>
            <w:tcW w:w="1134" w:type="dxa"/>
          </w:tcPr>
          <w:p w14:paraId="0ABBCCC2">
            <w:pPr>
              <w:spacing w:line="400" w:lineRule="exact"/>
              <w:jc w:val="center"/>
              <w:rPr>
                <w:rFonts w:hint="eastAsia" w:asciiTheme="minorEastAsia" w:hAnsiTheme="minorEastAsia" w:eastAsiaTheme="minorEastAsia"/>
                <w:color w:val="auto"/>
                <w:sz w:val="22"/>
                <w:szCs w:val="24"/>
              </w:rPr>
            </w:pPr>
          </w:p>
        </w:tc>
      </w:tr>
      <w:tr w14:paraId="520A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75154F04">
            <w:pPr>
              <w:spacing w:line="400" w:lineRule="exact"/>
              <w:jc w:val="center"/>
              <w:rPr>
                <w:rFonts w:hint="eastAsia" w:asciiTheme="minorEastAsia" w:hAnsiTheme="minorEastAsia" w:eastAsiaTheme="minorEastAsia"/>
                <w:color w:val="auto"/>
                <w:sz w:val="22"/>
                <w:szCs w:val="24"/>
              </w:rPr>
            </w:pPr>
          </w:p>
        </w:tc>
        <w:tc>
          <w:tcPr>
            <w:tcW w:w="1275" w:type="dxa"/>
          </w:tcPr>
          <w:p w14:paraId="4D8537AD">
            <w:pPr>
              <w:spacing w:line="400" w:lineRule="exact"/>
              <w:jc w:val="center"/>
              <w:rPr>
                <w:rFonts w:hint="eastAsia" w:asciiTheme="minorEastAsia" w:hAnsiTheme="minorEastAsia" w:eastAsiaTheme="minorEastAsia"/>
                <w:color w:val="auto"/>
                <w:sz w:val="22"/>
                <w:szCs w:val="24"/>
              </w:rPr>
            </w:pPr>
          </w:p>
        </w:tc>
        <w:tc>
          <w:tcPr>
            <w:tcW w:w="992" w:type="dxa"/>
          </w:tcPr>
          <w:p w14:paraId="0AB5BEFE">
            <w:pPr>
              <w:spacing w:line="400" w:lineRule="exact"/>
              <w:jc w:val="center"/>
              <w:rPr>
                <w:rFonts w:hint="eastAsia" w:asciiTheme="minorEastAsia" w:hAnsiTheme="minorEastAsia" w:eastAsiaTheme="minorEastAsia"/>
                <w:color w:val="auto"/>
                <w:sz w:val="22"/>
                <w:szCs w:val="24"/>
              </w:rPr>
            </w:pPr>
          </w:p>
        </w:tc>
        <w:tc>
          <w:tcPr>
            <w:tcW w:w="603" w:type="dxa"/>
          </w:tcPr>
          <w:p w14:paraId="796CD343">
            <w:pPr>
              <w:spacing w:line="400" w:lineRule="exact"/>
              <w:jc w:val="center"/>
              <w:rPr>
                <w:rFonts w:hint="eastAsia" w:asciiTheme="minorEastAsia" w:hAnsiTheme="minorEastAsia" w:eastAsiaTheme="minorEastAsia"/>
                <w:color w:val="auto"/>
                <w:sz w:val="22"/>
                <w:szCs w:val="24"/>
              </w:rPr>
            </w:pPr>
          </w:p>
        </w:tc>
        <w:tc>
          <w:tcPr>
            <w:tcW w:w="488" w:type="dxa"/>
          </w:tcPr>
          <w:p w14:paraId="5EF1ABFF">
            <w:pPr>
              <w:spacing w:line="400" w:lineRule="exact"/>
              <w:jc w:val="center"/>
              <w:rPr>
                <w:rFonts w:hint="eastAsia" w:asciiTheme="minorEastAsia" w:hAnsiTheme="minorEastAsia" w:eastAsiaTheme="minorEastAsia"/>
                <w:color w:val="auto"/>
                <w:sz w:val="22"/>
                <w:szCs w:val="24"/>
              </w:rPr>
            </w:pPr>
          </w:p>
        </w:tc>
        <w:tc>
          <w:tcPr>
            <w:tcW w:w="1134" w:type="dxa"/>
          </w:tcPr>
          <w:p w14:paraId="78603CCF">
            <w:pPr>
              <w:spacing w:line="400" w:lineRule="exact"/>
              <w:jc w:val="center"/>
              <w:rPr>
                <w:rFonts w:hint="eastAsia" w:asciiTheme="minorEastAsia" w:hAnsiTheme="minorEastAsia" w:eastAsiaTheme="minorEastAsia"/>
                <w:color w:val="auto"/>
                <w:sz w:val="22"/>
                <w:szCs w:val="24"/>
              </w:rPr>
            </w:pPr>
          </w:p>
        </w:tc>
        <w:tc>
          <w:tcPr>
            <w:tcW w:w="709" w:type="dxa"/>
          </w:tcPr>
          <w:p w14:paraId="1F09D5F9">
            <w:pPr>
              <w:spacing w:line="400" w:lineRule="exact"/>
              <w:jc w:val="center"/>
              <w:rPr>
                <w:rFonts w:hint="eastAsia" w:asciiTheme="minorEastAsia" w:hAnsiTheme="minorEastAsia" w:eastAsiaTheme="minorEastAsia"/>
                <w:color w:val="auto"/>
                <w:sz w:val="22"/>
                <w:szCs w:val="24"/>
              </w:rPr>
            </w:pPr>
          </w:p>
        </w:tc>
        <w:tc>
          <w:tcPr>
            <w:tcW w:w="871" w:type="dxa"/>
          </w:tcPr>
          <w:p w14:paraId="57628633">
            <w:pPr>
              <w:spacing w:line="400" w:lineRule="exact"/>
              <w:jc w:val="center"/>
              <w:rPr>
                <w:rFonts w:hint="eastAsia" w:asciiTheme="minorEastAsia" w:hAnsiTheme="minorEastAsia" w:eastAsiaTheme="minorEastAsia"/>
                <w:color w:val="auto"/>
                <w:sz w:val="22"/>
                <w:szCs w:val="24"/>
              </w:rPr>
            </w:pPr>
          </w:p>
        </w:tc>
        <w:tc>
          <w:tcPr>
            <w:tcW w:w="1134" w:type="dxa"/>
          </w:tcPr>
          <w:p w14:paraId="79C33D12">
            <w:pPr>
              <w:spacing w:line="400" w:lineRule="exact"/>
              <w:jc w:val="center"/>
              <w:rPr>
                <w:rFonts w:hint="eastAsia" w:asciiTheme="minorEastAsia" w:hAnsiTheme="minorEastAsia" w:eastAsiaTheme="minorEastAsia"/>
                <w:color w:val="auto"/>
                <w:sz w:val="22"/>
                <w:szCs w:val="24"/>
              </w:rPr>
            </w:pPr>
          </w:p>
        </w:tc>
      </w:tr>
      <w:tr w14:paraId="26B5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074C0660">
            <w:pPr>
              <w:spacing w:line="400" w:lineRule="exact"/>
              <w:jc w:val="center"/>
              <w:rPr>
                <w:rFonts w:hint="eastAsia" w:asciiTheme="minorEastAsia" w:hAnsiTheme="minorEastAsia" w:eastAsiaTheme="minorEastAsia"/>
                <w:color w:val="auto"/>
                <w:sz w:val="22"/>
                <w:szCs w:val="24"/>
              </w:rPr>
            </w:pPr>
          </w:p>
        </w:tc>
        <w:tc>
          <w:tcPr>
            <w:tcW w:w="1275" w:type="dxa"/>
          </w:tcPr>
          <w:p w14:paraId="0A9D4687">
            <w:pPr>
              <w:spacing w:line="400" w:lineRule="exact"/>
              <w:jc w:val="center"/>
              <w:rPr>
                <w:rFonts w:hint="eastAsia" w:asciiTheme="minorEastAsia" w:hAnsiTheme="minorEastAsia" w:eastAsiaTheme="minorEastAsia"/>
                <w:color w:val="auto"/>
                <w:sz w:val="22"/>
                <w:szCs w:val="24"/>
              </w:rPr>
            </w:pPr>
          </w:p>
        </w:tc>
        <w:tc>
          <w:tcPr>
            <w:tcW w:w="992" w:type="dxa"/>
          </w:tcPr>
          <w:p w14:paraId="4EA75E9E">
            <w:pPr>
              <w:spacing w:line="400" w:lineRule="exact"/>
              <w:jc w:val="center"/>
              <w:rPr>
                <w:rFonts w:hint="eastAsia" w:asciiTheme="minorEastAsia" w:hAnsiTheme="minorEastAsia" w:eastAsiaTheme="minorEastAsia"/>
                <w:color w:val="auto"/>
                <w:sz w:val="22"/>
                <w:szCs w:val="24"/>
              </w:rPr>
            </w:pPr>
          </w:p>
        </w:tc>
        <w:tc>
          <w:tcPr>
            <w:tcW w:w="603" w:type="dxa"/>
          </w:tcPr>
          <w:p w14:paraId="05E5A85F">
            <w:pPr>
              <w:spacing w:line="400" w:lineRule="exact"/>
              <w:jc w:val="center"/>
              <w:rPr>
                <w:rFonts w:hint="eastAsia" w:asciiTheme="minorEastAsia" w:hAnsiTheme="minorEastAsia" w:eastAsiaTheme="minorEastAsia"/>
                <w:color w:val="auto"/>
                <w:sz w:val="22"/>
                <w:szCs w:val="24"/>
              </w:rPr>
            </w:pPr>
          </w:p>
        </w:tc>
        <w:tc>
          <w:tcPr>
            <w:tcW w:w="488" w:type="dxa"/>
          </w:tcPr>
          <w:p w14:paraId="5678F73D">
            <w:pPr>
              <w:spacing w:line="400" w:lineRule="exact"/>
              <w:jc w:val="center"/>
              <w:rPr>
                <w:rFonts w:hint="eastAsia" w:asciiTheme="minorEastAsia" w:hAnsiTheme="minorEastAsia" w:eastAsiaTheme="minorEastAsia"/>
                <w:color w:val="auto"/>
                <w:sz w:val="22"/>
                <w:szCs w:val="24"/>
              </w:rPr>
            </w:pPr>
          </w:p>
        </w:tc>
        <w:tc>
          <w:tcPr>
            <w:tcW w:w="1134" w:type="dxa"/>
          </w:tcPr>
          <w:p w14:paraId="79B1B7DF">
            <w:pPr>
              <w:spacing w:line="400" w:lineRule="exact"/>
              <w:jc w:val="center"/>
              <w:rPr>
                <w:rFonts w:hint="eastAsia" w:asciiTheme="minorEastAsia" w:hAnsiTheme="minorEastAsia" w:eastAsiaTheme="minorEastAsia"/>
                <w:color w:val="auto"/>
                <w:sz w:val="22"/>
                <w:szCs w:val="24"/>
              </w:rPr>
            </w:pPr>
          </w:p>
        </w:tc>
        <w:tc>
          <w:tcPr>
            <w:tcW w:w="709" w:type="dxa"/>
          </w:tcPr>
          <w:p w14:paraId="31E7E89D">
            <w:pPr>
              <w:spacing w:line="400" w:lineRule="exact"/>
              <w:jc w:val="center"/>
              <w:rPr>
                <w:rFonts w:hint="eastAsia" w:asciiTheme="minorEastAsia" w:hAnsiTheme="minorEastAsia" w:eastAsiaTheme="minorEastAsia"/>
                <w:color w:val="auto"/>
                <w:sz w:val="22"/>
                <w:szCs w:val="24"/>
              </w:rPr>
            </w:pPr>
          </w:p>
        </w:tc>
        <w:tc>
          <w:tcPr>
            <w:tcW w:w="871" w:type="dxa"/>
          </w:tcPr>
          <w:p w14:paraId="28D39997">
            <w:pPr>
              <w:spacing w:line="400" w:lineRule="exact"/>
              <w:jc w:val="center"/>
              <w:rPr>
                <w:rFonts w:hint="eastAsia" w:asciiTheme="minorEastAsia" w:hAnsiTheme="minorEastAsia" w:eastAsiaTheme="minorEastAsia"/>
                <w:color w:val="auto"/>
                <w:sz w:val="22"/>
                <w:szCs w:val="24"/>
              </w:rPr>
            </w:pPr>
          </w:p>
        </w:tc>
        <w:tc>
          <w:tcPr>
            <w:tcW w:w="1134" w:type="dxa"/>
          </w:tcPr>
          <w:p w14:paraId="58B8056E">
            <w:pPr>
              <w:spacing w:line="400" w:lineRule="exact"/>
              <w:jc w:val="center"/>
              <w:rPr>
                <w:rFonts w:hint="eastAsia" w:asciiTheme="minorEastAsia" w:hAnsiTheme="minorEastAsia" w:eastAsiaTheme="minorEastAsia"/>
                <w:color w:val="auto"/>
                <w:sz w:val="22"/>
                <w:szCs w:val="24"/>
              </w:rPr>
            </w:pPr>
          </w:p>
        </w:tc>
      </w:tr>
      <w:tr w14:paraId="1D75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0E0E9E9D">
            <w:pPr>
              <w:spacing w:line="400" w:lineRule="exact"/>
              <w:jc w:val="center"/>
              <w:rPr>
                <w:rFonts w:hint="eastAsia" w:asciiTheme="minorEastAsia" w:hAnsiTheme="minorEastAsia" w:eastAsiaTheme="minorEastAsia"/>
                <w:color w:val="auto"/>
                <w:sz w:val="22"/>
                <w:szCs w:val="24"/>
              </w:rPr>
            </w:pPr>
          </w:p>
        </w:tc>
        <w:tc>
          <w:tcPr>
            <w:tcW w:w="1275" w:type="dxa"/>
          </w:tcPr>
          <w:p w14:paraId="61E7AE4C">
            <w:pPr>
              <w:spacing w:line="400" w:lineRule="exact"/>
              <w:jc w:val="center"/>
              <w:rPr>
                <w:rFonts w:hint="eastAsia" w:asciiTheme="minorEastAsia" w:hAnsiTheme="minorEastAsia" w:eastAsiaTheme="minorEastAsia"/>
                <w:color w:val="auto"/>
                <w:sz w:val="22"/>
                <w:szCs w:val="24"/>
              </w:rPr>
            </w:pPr>
          </w:p>
        </w:tc>
        <w:tc>
          <w:tcPr>
            <w:tcW w:w="992" w:type="dxa"/>
          </w:tcPr>
          <w:p w14:paraId="10167B78">
            <w:pPr>
              <w:spacing w:line="400" w:lineRule="exact"/>
              <w:jc w:val="center"/>
              <w:rPr>
                <w:rFonts w:hint="eastAsia" w:asciiTheme="minorEastAsia" w:hAnsiTheme="minorEastAsia" w:eastAsiaTheme="minorEastAsia"/>
                <w:color w:val="auto"/>
                <w:sz w:val="22"/>
                <w:szCs w:val="24"/>
              </w:rPr>
            </w:pPr>
          </w:p>
        </w:tc>
        <w:tc>
          <w:tcPr>
            <w:tcW w:w="603" w:type="dxa"/>
          </w:tcPr>
          <w:p w14:paraId="498B669C">
            <w:pPr>
              <w:spacing w:line="400" w:lineRule="exact"/>
              <w:jc w:val="center"/>
              <w:rPr>
                <w:rFonts w:hint="eastAsia" w:asciiTheme="minorEastAsia" w:hAnsiTheme="minorEastAsia" w:eastAsiaTheme="minorEastAsia"/>
                <w:color w:val="auto"/>
                <w:sz w:val="22"/>
                <w:szCs w:val="24"/>
              </w:rPr>
            </w:pPr>
          </w:p>
        </w:tc>
        <w:tc>
          <w:tcPr>
            <w:tcW w:w="488" w:type="dxa"/>
          </w:tcPr>
          <w:p w14:paraId="03EC5B79">
            <w:pPr>
              <w:spacing w:line="400" w:lineRule="exact"/>
              <w:jc w:val="center"/>
              <w:rPr>
                <w:rFonts w:hint="eastAsia" w:asciiTheme="minorEastAsia" w:hAnsiTheme="minorEastAsia" w:eastAsiaTheme="minorEastAsia"/>
                <w:color w:val="auto"/>
                <w:sz w:val="22"/>
                <w:szCs w:val="24"/>
              </w:rPr>
            </w:pPr>
          </w:p>
        </w:tc>
        <w:tc>
          <w:tcPr>
            <w:tcW w:w="1134" w:type="dxa"/>
          </w:tcPr>
          <w:p w14:paraId="1D7DDA8B">
            <w:pPr>
              <w:spacing w:line="400" w:lineRule="exact"/>
              <w:jc w:val="center"/>
              <w:rPr>
                <w:rFonts w:hint="eastAsia" w:asciiTheme="minorEastAsia" w:hAnsiTheme="minorEastAsia" w:eastAsiaTheme="minorEastAsia"/>
                <w:color w:val="auto"/>
                <w:sz w:val="22"/>
                <w:szCs w:val="24"/>
              </w:rPr>
            </w:pPr>
          </w:p>
        </w:tc>
        <w:tc>
          <w:tcPr>
            <w:tcW w:w="709" w:type="dxa"/>
          </w:tcPr>
          <w:p w14:paraId="0035D912">
            <w:pPr>
              <w:spacing w:line="400" w:lineRule="exact"/>
              <w:jc w:val="center"/>
              <w:rPr>
                <w:rFonts w:hint="eastAsia" w:asciiTheme="minorEastAsia" w:hAnsiTheme="minorEastAsia" w:eastAsiaTheme="minorEastAsia"/>
                <w:color w:val="auto"/>
                <w:sz w:val="22"/>
                <w:szCs w:val="24"/>
              </w:rPr>
            </w:pPr>
          </w:p>
        </w:tc>
        <w:tc>
          <w:tcPr>
            <w:tcW w:w="871" w:type="dxa"/>
          </w:tcPr>
          <w:p w14:paraId="2CD54176">
            <w:pPr>
              <w:spacing w:line="400" w:lineRule="exact"/>
              <w:jc w:val="center"/>
              <w:rPr>
                <w:rFonts w:hint="eastAsia" w:asciiTheme="minorEastAsia" w:hAnsiTheme="minorEastAsia" w:eastAsiaTheme="minorEastAsia"/>
                <w:color w:val="auto"/>
                <w:sz w:val="22"/>
                <w:szCs w:val="24"/>
              </w:rPr>
            </w:pPr>
          </w:p>
        </w:tc>
        <w:tc>
          <w:tcPr>
            <w:tcW w:w="1134" w:type="dxa"/>
          </w:tcPr>
          <w:p w14:paraId="0C3D0F02">
            <w:pPr>
              <w:spacing w:line="400" w:lineRule="exact"/>
              <w:jc w:val="center"/>
              <w:rPr>
                <w:rFonts w:hint="eastAsia" w:asciiTheme="minorEastAsia" w:hAnsiTheme="minorEastAsia" w:eastAsiaTheme="minorEastAsia"/>
                <w:color w:val="auto"/>
                <w:sz w:val="22"/>
                <w:szCs w:val="24"/>
              </w:rPr>
            </w:pPr>
          </w:p>
        </w:tc>
      </w:tr>
      <w:tr w14:paraId="5E6E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3E895B49">
            <w:pPr>
              <w:spacing w:line="400" w:lineRule="exact"/>
              <w:jc w:val="center"/>
              <w:rPr>
                <w:rFonts w:hint="eastAsia" w:asciiTheme="minorEastAsia" w:hAnsiTheme="minorEastAsia" w:eastAsiaTheme="minorEastAsia"/>
                <w:color w:val="auto"/>
                <w:sz w:val="22"/>
                <w:szCs w:val="24"/>
              </w:rPr>
            </w:pPr>
          </w:p>
        </w:tc>
        <w:tc>
          <w:tcPr>
            <w:tcW w:w="1275" w:type="dxa"/>
          </w:tcPr>
          <w:p w14:paraId="367FDDB5">
            <w:pPr>
              <w:spacing w:line="400" w:lineRule="exact"/>
              <w:jc w:val="center"/>
              <w:rPr>
                <w:rFonts w:hint="eastAsia" w:asciiTheme="minorEastAsia" w:hAnsiTheme="minorEastAsia" w:eastAsiaTheme="minorEastAsia"/>
                <w:color w:val="auto"/>
                <w:sz w:val="22"/>
                <w:szCs w:val="24"/>
              </w:rPr>
            </w:pPr>
          </w:p>
        </w:tc>
        <w:tc>
          <w:tcPr>
            <w:tcW w:w="992" w:type="dxa"/>
          </w:tcPr>
          <w:p w14:paraId="62692897">
            <w:pPr>
              <w:spacing w:line="400" w:lineRule="exact"/>
              <w:jc w:val="center"/>
              <w:rPr>
                <w:rFonts w:hint="eastAsia" w:asciiTheme="minorEastAsia" w:hAnsiTheme="minorEastAsia" w:eastAsiaTheme="minorEastAsia"/>
                <w:color w:val="auto"/>
                <w:sz w:val="22"/>
                <w:szCs w:val="24"/>
              </w:rPr>
            </w:pPr>
          </w:p>
        </w:tc>
        <w:tc>
          <w:tcPr>
            <w:tcW w:w="603" w:type="dxa"/>
          </w:tcPr>
          <w:p w14:paraId="77471FC3">
            <w:pPr>
              <w:spacing w:line="400" w:lineRule="exact"/>
              <w:jc w:val="center"/>
              <w:rPr>
                <w:rFonts w:hint="eastAsia" w:asciiTheme="minorEastAsia" w:hAnsiTheme="minorEastAsia" w:eastAsiaTheme="minorEastAsia"/>
                <w:color w:val="auto"/>
                <w:sz w:val="22"/>
                <w:szCs w:val="24"/>
              </w:rPr>
            </w:pPr>
          </w:p>
        </w:tc>
        <w:tc>
          <w:tcPr>
            <w:tcW w:w="488" w:type="dxa"/>
          </w:tcPr>
          <w:p w14:paraId="7E9A8627">
            <w:pPr>
              <w:spacing w:line="400" w:lineRule="exact"/>
              <w:jc w:val="center"/>
              <w:rPr>
                <w:rFonts w:hint="eastAsia" w:asciiTheme="minorEastAsia" w:hAnsiTheme="minorEastAsia" w:eastAsiaTheme="minorEastAsia"/>
                <w:color w:val="auto"/>
                <w:sz w:val="22"/>
                <w:szCs w:val="24"/>
              </w:rPr>
            </w:pPr>
          </w:p>
        </w:tc>
        <w:tc>
          <w:tcPr>
            <w:tcW w:w="1134" w:type="dxa"/>
          </w:tcPr>
          <w:p w14:paraId="0919925D">
            <w:pPr>
              <w:spacing w:line="400" w:lineRule="exact"/>
              <w:jc w:val="center"/>
              <w:rPr>
                <w:rFonts w:hint="eastAsia" w:asciiTheme="minorEastAsia" w:hAnsiTheme="minorEastAsia" w:eastAsiaTheme="minorEastAsia"/>
                <w:color w:val="auto"/>
                <w:sz w:val="22"/>
                <w:szCs w:val="24"/>
              </w:rPr>
            </w:pPr>
          </w:p>
        </w:tc>
        <w:tc>
          <w:tcPr>
            <w:tcW w:w="709" w:type="dxa"/>
          </w:tcPr>
          <w:p w14:paraId="3510A791">
            <w:pPr>
              <w:spacing w:line="400" w:lineRule="exact"/>
              <w:jc w:val="center"/>
              <w:rPr>
                <w:rFonts w:hint="eastAsia" w:asciiTheme="minorEastAsia" w:hAnsiTheme="minorEastAsia" w:eastAsiaTheme="minorEastAsia"/>
                <w:color w:val="auto"/>
                <w:sz w:val="22"/>
                <w:szCs w:val="24"/>
              </w:rPr>
            </w:pPr>
          </w:p>
        </w:tc>
        <w:tc>
          <w:tcPr>
            <w:tcW w:w="871" w:type="dxa"/>
          </w:tcPr>
          <w:p w14:paraId="5AF93ED7">
            <w:pPr>
              <w:spacing w:line="400" w:lineRule="exact"/>
              <w:jc w:val="center"/>
              <w:rPr>
                <w:rFonts w:hint="eastAsia" w:asciiTheme="minorEastAsia" w:hAnsiTheme="minorEastAsia" w:eastAsiaTheme="minorEastAsia"/>
                <w:color w:val="auto"/>
                <w:sz w:val="22"/>
                <w:szCs w:val="24"/>
              </w:rPr>
            </w:pPr>
          </w:p>
        </w:tc>
        <w:tc>
          <w:tcPr>
            <w:tcW w:w="1134" w:type="dxa"/>
          </w:tcPr>
          <w:p w14:paraId="26EC9DCA">
            <w:pPr>
              <w:spacing w:line="400" w:lineRule="exact"/>
              <w:jc w:val="center"/>
              <w:rPr>
                <w:rFonts w:hint="eastAsia" w:asciiTheme="minorEastAsia" w:hAnsiTheme="minorEastAsia" w:eastAsiaTheme="minorEastAsia"/>
                <w:color w:val="auto"/>
                <w:sz w:val="22"/>
                <w:szCs w:val="24"/>
              </w:rPr>
            </w:pPr>
          </w:p>
        </w:tc>
      </w:tr>
      <w:tr w14:paraId="4D28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2C7C75B">
            <w:pPr>
              <w:spacing w:line="400" w:lineRule="exact"/>
              <w:jc w:val="center"/>
              <w:rPr>
                <w:rFonts w:hint="eastAsia" w:asciiTheme="minorEastAsia" w:hAnsiTheme="minorEastAsia" w:eastAsiaTheme="minorEastAsia"/>
                <w:color w:val="auto"/>
                <w:sz w:val="22"/>
                <w:szCs w:val="24"/>
              </w:rPr>
            </w:pPr>
          </w:p>
        </w:tc>
        <w:tc>
          <w:tcPr>
            <w:tcW w:w="1275" w:type="dxa"/>
          </w:tcPr>
          <w:p w14:paraId="0537B325">
            <w:pPr>
              <w:spacing w:line="400" w:lineRule="exact"/>
              <w:jc w:val="center"/>
              <w:rPr>
                <w:rFonts w:hint="eastAsia" w:asciiTheme="minorEastAsia" w:hAnsiTheme="minorEastAsia" w:eastAsiaTheme="minorEastAsia"/>
                <w:color w:val="auto"/>
                <w:sz w:val="22"/>
                <w:szCs w:val="24"/>
              </w:rPr>
            </w:pPr>
          </w:p>
        </w:tc>
        <w:tc>
          <w:tcPr>
            <w:tcW w:w="992" w:type="dxa"/>
          </w:tcPr>
          <w:p w14:paraId="44E0580D">
            <w:pPr>
              <w:spacing w:line="400" w:lineRule="exact"/>
              <w:jc w:val="center"/>
              <w:rPr>
                <w:rFonts w:hint="eastAsia" w:asciiTheme="minorEastAsia" w:hAnsiTheme="minorEastAsia" w:eastAsiaTheme="minorEastAsia"/>
                <w:color w:val="auto"/>
                <w:sz w:val="22"/>
                <w:szCs w:val="24"/>
              </w:rPr>
            </w:pPr>
          </w:p>
        </w:tc>
        <w:tc>
          <w:tcPr>
            <w:tcW w:w="603" w:type="dxa"/>
          </w:tcPr>
          <w:p w14:paraId="6D9EBABE">
            <w:pPr>
              <w:spacing w:line="400" w:lineRule="exact"/>
              <w:jc w:val="center"/>
              <w:rPr>
                <w:rFonts w:hint="eastAsia" w:asciiTheme="minorEastAsia" w:hAnsiTheme="minorEastAsia" w:eastAsiaTheme="minorEastAsia"/>
                <w:color w:val="auto"/>
                <w:sz w:val="22"/>
                <w:szCs w:val="24"/>
              </w:rPr>
            </w:pPr>
          </w:p>
        </w:tc>
        <w:tc>
          <w:tcPr>
            <w:tcW w:w="488" w:type="dxa"/>
          </w:tcPr>
          <w:p w14:paraId="7D6F0AEC">
            <w:pPr>
              <w:spacing w:line="400" w:lineRule="exact"/>
              <w:jc w:val="center"/>
              <w:rPr>
                <w:rFonts w:hint="eastAsia" w:asciiTheme="minorEastAsia" w:hAnsiTheme="minorEastAsia" w:eastAsiaTheme="minorEastAsia"/>
                <w:color w:val="auto"/>
                <w:sz w:val="22"/>
                <w:szCs w:val="24"/>
              </w:rPr>
            </w:pPr>
          </w:p>
        </w:tc>
        <w:tc>
          <w:tcPr>
            <w:tcW w:w="1134" w:type="dxa"/>
          </w:tcPr>
          <w:p w14:paraId="28030256">
            <w:pPr>
              <w:spacing w:line="400" w:lineRule="exact"/>
              <w:jc w:val="center"/>
              <w:rPr>
                <w:rFonts w:hint="eastAsia" w:asciiTheme="minorEastAsia" w:hAnsiTheme="minorEastAsia" w:eastAsiaTheme="minorEastAsia"/>
                <w:color w:val="auto"/>
                <w:sz w:val="22"/>
                <w:szCs w:val="24"/>
              </w:rPr>
            </w:pPr>
          </w:p>
        </w:tc>
        <w:tc>
          <w:tcPr>
            <w:tcW w:w="709" w:type="dxa"/>
          </w:tcPr>
          <w:p w14:paraId="167D67CC">
            <w:pPr>
              <w:spacing w:line="400" w:lineRule="exact"/>
              <w:jc w:val="center"/>
              <w:rPr>
                <w:rFonts w:hint="eastAsia" w:asciiTheme="minorEastAsia" w:hAnsiTheme="minorEastAsia" w:eastAsiaTheme="minorEastAsia"/>
                <w:color w:val="auto"/>
                <w:sz w:val="22"/>
                <w:szCs w:val="24"/>
              </w:rPr>
            </w:pPr>
          </w:p>
        </w:tc>
        <w:tc>
          <w:tcPr>
            <w:tcW w:w="871" w:type="dxa"/>
          </w:tcPr>
          <w:p w14:paraId="6403CCAE">
            <w:pPr>
              <w:spacing w:line="400" w:lineRule="exact"/>
              <w:jc w:val="center"/>
              <w:rPr>
                <w:rFonts w:hint="eastAsia" w:asciiTheme="minorEastAsia" w:hAnsiTheme="minorEastAsia" w:eastAsiaTheme="minorEastAsia"/>
                <w:color w:val="auto"/>
                <w:sz w:val="22"/>
                <w:szCs w:val="24"/>
              </w:rPr>
            </w:pPr>
          </w:p>
        </w:tc>
        <w:tc>
          <w:tcPr>
            <w:tcW w:w="1134" w:type="dxa"/>
          </w:tcPr>
          <w:p w14:paraId="00D02BAC">
            <w:pPr>
              <w:spacing w:line="400" w:lineRule="exact"/>
              <w:jc w:val="center"/>
              <w:rPr>
                <w:rFonts w:hint="eastAsia" w:asciiTheme="minorEastAsia" w:hAnsiTheme="minorEastAsia" w:eastAsiaTheme="minorEastAsia"/>
                <w:color w:val="auto"/>
                <w:sz w:val="22"/>
                <w:szCs w:val="24"/>
              </w:rPr>
            </w:pPr>
          </w:p>
        </w:tc>
      </w:tr>
      <w:tr w14:paraId="3164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4A05A92">
            <w:pPr>
              <w:spacing w:line="400" w:lineRule="exact"/>
              <w:jc w:val="center"/>
              <w:rPr>
                <w:rFonts w:hint="eastAsia" w:asciiTheme="minorEastAsia" w:hAnsiTheme="minorEastAsia" w:eastAsiaTheme="minorEastAsia"/>
                <w:color w:val="auto"/>
                <w:sz w:val="22"/>
                <w:szCs w:val="24"/>
              </w:rPr>
            </w:pPr>
          </w:p>
        </w:tc>
        <w:tc>
          <w:tcPr>
            <w:tcW w:w="1275" w:type="dxa"/>
          </w:tcPr>
          <w:p w14:paraId="66BF59FE">
            <w:pPr>
              <w:spacing w:line="400" w:lineRule="exact"/>
              <w:jc w:val="center"/>
              <w:rPr>
                <w:rFonts w:hint="eastAsia" w:asciiTheme="minorEastAsia" w:hAnsiTheme="minorEastAsia" w:eastAsiaTheme="minorEastAsia"/>
                <w:color w:val="auto"/>
                <w:sz w:val="22"/>
                <w:szCs w:val="24"/>
              </w:rPr>
            </w:pPr>
          </w:p>
        </w:tc>
        <w:tc>
          <w:tcPr>
            <w:tcW w:w="992" w:type="dxa"/>
          </w:tcPr>
          <w:p w14:paraId="55EC6600">
            <w:pPr>
              <w:spacing w:line="400" w:lineRule="exact"/>
              <w:jc w:val="center"/>
              <w:rPr>
                <w:rFonts w:hint="eastAsia" w:asciiTheme="minorEastAsia" w:hAnsiTheme="minorEastAsia" w:eastAsiaTheme="minorEastAsia"/>
                <w:color w:val="auto"/>
                <w:sz w:val="22"/>
                <w:szCs w:val="24"/>
              </w:rPr>
            </w:pPr>
          </w:p>
        </w:tc>
        <w:tc>
          <w:tcPr>
            <w:tcW w:w="603" w:type="dxa"/>
          </w:tcPr>
          <w:p w14:paraId="6911EA16">
            <w:pPr>
              <w:spacing w:line="400" w:lineRule="exact"/>
              <w:jc w:val="center"/>
              <w:rPr>
                <w:rFonts w:hint="eastAsia" w:asciiTheme="minorEastAsia" w:hAnsiTheme="minorEastAsia" w:eastAsiaTheme="minorEastAsia"/>
                <w:color w:val="auto"/>
                <w:sz w:val="22"/>
                <w:szCs w:val="24"/>
              </w:rPr>
            </w:pPr>
          </w:p>
        </w:tc>
        <w:tc>
          <w:tcPr>
            <w:tcW w:w="488" w:type="dxa"/>
          </w:tcPr>
          <w:p w14:paraId="6F4E30E5">
            <w:pPr>
              <w:spacing w:line="400" w:lineRule="exact"/>
              <w:jc w:val="center"/>
              <w:rPr>
                <w:rFonts w:hint="eastAsia" w:asciiTheme="minorEastAsia" w:hAnsiTheme="minorEastAsia" w:eastAsiaTheme="minorEastAsia"/>
                <w:color w:val="auto"/>
                <w:sz w:val="22"/>
                <w:szCs w:val="24"/>
              </w:rPr>
            </w:pPr>
          </w:p>
        </w:tc>
        <w:tc>
          <w:tcPr>
            <w:tcW w:w="1134" w:type="dxa"/>
          </w:tcPr>
          <w:p w14:paraId="25B6B867">
            <w:pPr>
              <w:spacing w:line="400" w:lineRule="exact"/>
              <w:jc w:val="center"/>
              <w:rPr>
                <w:rFonts w:hint="eastAsia" w:asciiTheme="minorEastAsia" w:hAnsiTheme="minorEastAsia" w:eastAsiaTheme="minorEastAsia"/>
                <w:color w:val="auto"/>
                <w:sz w:val="22"/>
                <w:szCs w:val="24"/>
              </w:rPr>
            </w:pPr>
          </w:p>
        </w:tc>
        <w:tc>
          <w:tcPr>
            <w:tcW w:w="709" w:type="dxa"/>
          </w:tcPr>
          <w:p w14:paraId="6DCD20F4">
            <w:pPr>
              <w:spacing w:line="400" w:lineRule="exact"/>
              <w:jc w:val="center"/>
              <w:rPr>
                <w:rFonts w:hint="eastAsia" w:asciiTheme="minorEastAsia" w:hAnsiTheme="minorEastAsia" w:eastAsiaTheme="minorEastAsia"/>
                <w:color w:val="auto"/>
                <w:sz w:val="22"/>
                <w:szCs w:val="24"/>
              </w:rPr>
            </w:pPr>
          </w:p>
        </w:tc>
        <w:tc>
          <w:tcPr>
            <w:tcW w:w="871" w:type="dxa"/>
          </w:tcPr>
          <w:p w14:paraId="7176332A">
            <w:pPr>
              <w:spacing w:line="400" w:lineRule="exact"/>
              <w:jc w:val="center"/>
              <w:rPr>
                <w:rFonts w:hint="eastAsia" w:asciiTheme="minorEastAsia" w:hAnsiTheme="minorEastAsia" w:eastAsiaTheme="minorEastAsia"/>
                <w:color w:val="auto"/>
                <w:sz w:val="22"/>
                <w:szCs w:val="24"/>
              </w:rPr>
            </w:pPr>
          </w:p>
        </w:tc>
        <w:tc>
          <w:tcPr>
            <w:tcW w:w="1134" w:type="dxa"/>
          </w:tcPr>
          <w:p w14:paraId="5E95BC48">
            <w:pPr>
              <w:spacing w:line="400" w:lineRule="exact"/>
              <w:jc w:val="center"/>
              <w:rPr>
                <w:rFonts w:hint="eastAsia" w:asciiTheme="minorEastAsia" w:hAnsiTheme="minorEastAsia" w:eastAsiaTheme="minorEastAsia"/>
                <w:color w:val="auto"/>
                <w:sz w:val="22"/>
                <w:szCs w:val="24"/>
              </w:rPr>
            </w:pPr>
          </w:p>
        </w:tc>
      </w:tr>
      <w:tr w14:paraId="10F5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087A59C3">
            <w:pPr>
              <w:spacing w:line="400" w:lineRule="exact"/>
              <w:jc w:val="center"/>
              <w:rPr>
                <w:rFonts w:hint="eastAsia" w:asciiTheme="minorEastAsia" w:hAnsiTheme="minorEastAsia" w:eastAsiaTheme="minorEastAsia"/>
                <w:color w:val="auto"/>
                <w:sz w:val="22"/>
                <w:szCs w:val="24"/>
              </w:rPr>
            </w:pPr>
          </w:p>
        </w:tc>
        <w:tc>
          <w:tcPr>
            <w:tcW w:w="1275" w:type="dxa"/>
          </w:tcPr>
          <w:p w14:paraId="58D235C7">
            <w:pPr>
              <w:spacing w:line="400" w:lineRule="exact"/>
              <w:jc w:val="center"/>
              <w:rPr>
                <w:rFonts w:hint="eastAsia" w:asciiTheme="minorEastAsia" w:hAnsiTheme="minorEastAsia" w:eastAsiaTheme="minorEastAsia"/>
                <w:color w:val="auto"/>
                <w:sz w:val="22"/>
                <w:szCs w:val="24"/>
              </w:rPr>
            </w:pPr>
          </w:p>
        </w:tc>
        <w:tc>
          <w:tcPr>
            <w:tcW w:w="992" w:type="dxa"/>
          </w:tcPr>
          <w:p w14:paraId="1365E604">
            <w:pPr>
              <w:spacing w:line="400" w:lineRule="exact"/>
              <w:jc w:val="center"/>
              <w:rPr>
                <w:rFonts w:hint="eastAsia" w:asciiTheme="minorEastAsia" w:hAnsiTheme="minorEastAsia" w:eastAsiaTheme="minorEastAsia"/>
                <w:color w:val="auto"/>
                <w:sz w:val="22"/>
                <w:szCs w:val="24"/>
              </w:rPr>
            </w:pPr>
          </w:p>
        </w:tc>
        <w:tc>
          <w:tcPr>
            <w:tcW w:w="603" w:type="dxa"/>
          </w:tcPr>
          <w:p w14:paraId="4735EF4F">
            <w:pPr>
              <w:spacing w:line="400" w:lineRule="exact"/>
              <w:jc w:val="center"/>
              <w:rPr>
                <w:rFonts w:hint="eastAsia" w:asciiTheme="minorEastAsia" w:hAnsiTheme="minorEastAsia" w:eastAsiaTheme="minorEastAsia"/>
                <w:color w:val="auto"/>
                <w:sz w:val="22"/>
                <w:szCs w:val="24"/>
              </w:rPr>
            </w:pPr>
          </w:p>
        </w:tc>
        <w:tc>
          <w:tcPr>
            <w:tcW w:w="488" w:type="dxa"/>
          </w:tcPr>
          <w:p w14:paraId="7B2A8AF4">
            <w:pPr>
              <w:spacing w:line="400" w:lineRule="exact"/>
              <w:jc w:val="center"/>
              <w:rPr>
                <w:rFonts w:hint="eastAsia" w:asciiTheme="minorEastAsia" w:hAnsiTheme="minorEastAsia" w:eastAsiaTheme="minorEastAsia"/>
                <w:color w:val="auto"/>
                <w:sz w:val="22"/>
                <w:szCs w:val="24"/>
              </w:rPr>
            </w:pPr>
          </w:p>
        </w:tc>
        <w:tc>
          <w:tcPr>
            <w:tcW w:w="1134" w:type="dxa"/>
          </w:tcPr>
          <w:p w14:paraId="2A21AA01">
            <w:pPr>
              <w:spacing w:line="400" w:lineRule="exact"/>
              <w:jc w:val="center"/>
              <w:rPr>
                <w:rFonts w:hint="eastAsia" w:asciiTheme="minorEastAsia" w:hAnsiTheme="minorEastAsia" w:eastAsiaTheme="minorEastAsia"/>
                <w:color w:val="auto"/>
                <w:sz w:val="22"/>
                <w:szCs w:val="24"/>
              </w:rPr>
            </w:pPr>
          </w:p>
        </w:tc>
        <w:tc>
          <w:tcPr>
            <w:tcW w:w="709" w:type="dxa"/>
          </w:tcPr>
          <w:p w14:paraId="6883A979">
            <w:pPr>
              <w:spacing w:line="400" w:lineRule="exact"/>
              <w:jc w:val="center"/>
              <w:rPr>
                <w:rFonts w:hint="eastAsia" w:asciiTheme="minorEastAsia" w:hAnsiTheme="minorEastAsia" w:eastAsiaTheme="minorEastAsia"/>
                <w:color w:val="auto"/>
                <w:sz w:val="22"/>
                <w:szCs w:val="24"/>
              </w:rPr>
            </w:pPr>
          </w:p>
        </w:tc>
        <w:tc>
          <w:tcPr>
            <w:tcW w:w="871" w:type="dxa"/>
          </w:tcPr>
          <w:p w14:paraId="1E09813E">
            <w:pPr>
              <w:spacing w:line="400" w:lineRule="exact"/>
              <w:jc w:val="center"/>
              <w:rPr>
                <w:rFonts w:hint="eastAsia" w:asciiTheme="minorEastAsia" w:hAnsiTheme="minorEastAsia" w:eastAsiaTheme="minorEastAsia"/>
                <w:color w:val="auto"/>
                <w:sz w:val="22"/>
                <w:szCs w:val="24"/>
              </w:rPr>
            </w:pPr>
          </w:p>
        </w:tc>
        <w:tc>
          <w:tcPr>
            <w:tcW w:w="1134" w:type="dxa"/>
          </w:tcPr>
          <w:p w14:paraId="6DAFEBC8">
            <w:pPr>
              <w:spacing w:line="400" w:lineRule="exact"/>
              <w:jc w:val="center"/>
              <w:rPr>
                <w:rFonts w:hint="eastAsia" w:asciiTheme="minorEastAsia" w:hAnsiTheme="minorEastAsia" w:eastAsiaTheme="minorEastAsia"/>
                <w:color w:val="auto"/>
                <w:sz w:val="22"/>
                <w:szCs w:val="24"/>
              </w:rPr>
            </w:pPr>
          </w:p>
        </w:tc>
      </w:tr>
      <w:tr w14:paraId="390D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C332789">
            <w:pPr>
              <w:spacing w:line="400" w:lineRule="exact"/>
              <w:jc w:val="center"/>
              <w:rPr>
                <w:rFonts w:hint="eastAsia" w:asciiTheme="minorEastAsia" w:hAnsiTheme="minorEastAsia" w:eastAsiaTheme="minorEastAsia"/>
                <w:color w:val="auto"/>
                <w:sz w:val="22"/>
                <w:szCs w:val="24"/>
              </w:rPr>
            </w:pPr>
          </w:p>
        </w:tc>
        <w:tc>
          <w:tcPr>
            <w:tcW w:w="1275" w:type="dxa"/>
          </w:tcPr>
          <w:p w14:paraId="41806FC3">
            <w:pPr>
              <w:spacing w:line="400" w:lineRule="exact"/>
              <w:jc w:val="center"/>
              <w:rPr>
                <w:rFonts w:hint="eastAsia" w:asciiTheme="minorEastAsia" w:hAnsiTheme="minorEastAsia" w:eastAsiaTheme="minorEastAsia"/>
                <w:color w:val="auto"/>
                <w:sz w:val="22"/>
                <w:szCs w:val="24"/>
              </w:rPr>
            </w:pPr>
          </w:p>
        </w:tc>
        <w:tc>
          <w:tcPr>
            <w:tcW w:w="992" w:type="dxa"/>
          </w:tcPr>
          <w:p w14:paraId="774C6022">
            <w:pPr>
              <w:spacing w:line="400" w:lineRule="exact"/>
              <w:jc w:val="center"/>
              <w:rPr>
                <w:rFonts w:hint="eastAsia" w:asciiTheme="minorEastAsia" w:hAnsiTheme="minorEastAsia" w:eastAsiaTheme="minorEastAsia"/>
                <w:color w:val="auto"/>
                <w:sz w:val="22"/>
                <w:szCs w:val="24"/>
              </w:rPr>
            </w:pPr>
          </w:p>
        </w:tc>
        <w:tc>
          <w:tcPr>
            <w:tcW w:w="603" w:type="dxa"/>
          </w:tcPr>
          <w:p w14:paraId="4810DF74">
            <w:pPr>
              <w:spacing w:line="400" w:lineRule="exact"/>
              <w:jc w:val="center"/>
              <w:rPr>
                <w:rFonts w:hint="eastAsia" w:asciiTheme="minorEastAsia" w:hAnsiTheme="minorEastAsia" w:eastAsiaTheme="minorEastAsia"/>
                <w:color w:val="auto"/>
                <w:sz w:val="22"/>
                <w:szCs w:val="24"/>
              </w:rPr>
            </w:pPr>
          </w:p>
        </w:tc>
        <w:tc>
          <w:tcPr>
            <w:tcW w:w="488" w:type="dxa"/>
          </w:tcPr>
          <w:p w14:paraId="4A593C95">
            <w:pPr>
              <w:spacing w:line="400" w:lineRule="exact"/>
              <w:jc w:val="center"/>
              <w:rPr>
                <w:rFonts w:hint="eastAsia" w:asciiTheme="minorEastAsia" w:hAnsiTheme="minorEastAsia" w:eastAsiaTheme="minorEastAsia"/>
                <w:color w:val="auto"/>
                <w:sz w:val="22"/>
                <w:szCs w:val="24"/>
              </w:rPr>
            </w:pPr>
          </w:p>
        </w:tc>
        <w:tc>
          <w:tcPr>
            <w:tcW w:w="1134" w:type="dxa"/>
          </w:tcPr>
          <w:p w14:paraId="5C75F8FE">
            <w:pPr>
              <w:spacing w:line="400" w:lineRule="exact"/>
              <w:jc w:val="center"/>
              <w:rPr>
                <w:rFonts w:hint="eastAsia" w:asciiTheme="minorEastAsia" w:hAnsiTheme="minorEastAsia" w:eastAsiaTheme="minorEastAsia"/>
                <w:color w:val="auto"/>
                <w:sz w:val="22"/>
                <w:szCs w:val="24"/>
              </w:rPr>
            </w:pPr>
          </w:p>
        </w:tc>
        <w:tc>
          <w:tcPr>
            <w:tcW w:w="709" w:type="dxa"/>
          </w:tcPr>
          <w:p w14:paraId="34DE1273">
            <w:pPr>
              <w:spacing w:line="400" w:lineRule="exact"/>
              <w:jc w:val="center"/>
              <w:rPr>
                <w:rFonts w:hint="eastAsia" w:asciiTheme="minorEastAsia" w:hAnsiTheme="minorEastAsia" w:eastAsiaTheme="minorEastAsia"/>
                <w:color w:val="auto"/>
                <w:sz w:val="22"/>
                <w:szCs w:val="24"/>
              </w:rPr>
            </w:pPr>
          </w:p>
        </w:tc>
        <w:tc>
          <w:tcPr>
            <w:tcW w:w="871" w:type="dxa"/>
          </w:tcPr>
          <w:p w14:paraId="46768804">
            <w:pPr>
              <w:spacing w:line="400" w:lineRule="exact"/>
              <w:jc w:val="center"/>
              <w:rPr>
                <w:rFonts w:hint="eastAsia" w:asciiTheme="minorEastAsia" w:hAnsiTheme="minorEastAsia" w:eastAsiaTheme="minorEastAsia"/>
                <w:color w:val="auto"/>
                <w:sz w:val="22"/>
                <w:szCs w:val="24"/>
              </w:rPr>
            </w:pPr>
          </w:p>
        </w:tc>
        <w:tc>
          <w:tcPr>
            <w:tcW w:w="1134" w:type="dxa"/>
          </w:tcPr>
          <w:p w14:paraId="4C4CCACF">
            <w:pPr>
              <w:spacing w:line="400" w:lineRule="exact"/>
              <w:jc w:val="center"/>
              <w:rPr>
                <w:rFonts w:hint="eastAsia" w:asciiTheme="minorEastAsia" w:hAnsiTheme="minorEastAsia" w:eastAsiaTheme="minorEastAsia"/>
                <w:color w:val="auto"/>
                <w:sz w:val="22"/>
                <w:szCs w:val="24"/>
              </w:rPr>
            </w:pPr>
          </w:p>
        </w:tc>
      </w:tr>
      <w:tr w14:paraId="692B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B8519D0">
            <w:pPr>
              <w:spacing w:line="400" w:lineRule="exact"/>
              <w:jc w:val="center"/>
              <w:rPr>
                <w:rFonts w:hint="eastAsia" w:asciiTheme="minorEastAsia" w:hAnsiTheme="minorEastAsia" w:eastAsiaTheme="minorEastAsia"/>
                <w:color w:val="auto"/>
                <w:sz w:val="22"/>
                <w:szCs w:val="24"/>
              </w:rPr>
            </w:pPr>
          </w:p>
        </w:tc>
        <w:tc>
          <w:tcPr>
            <w:tcW w:w="1275" w:type="dxa"/>
          </w:tcPr>
          <w:p w14:paraId="4C3C2F75">
            <w:pPr>
              <w:spacing w:line="400" w:lineRule="exact"/>
              <w:jc w:val="center"/>
              <w:rPr>
                <w:rFonts w:hint="eastAsia" w:asciiTheme="minorEastAsia" w:hAnsiTheme="minorEastAsia" w:eastAsiaTheme="minorEastAsia"/>
                <w:color w:val="auto"/>
                <w:sz w:val="22"/>
                <w:szCs w:val="24"/>
              </w:rPr>
            </w:pPr>
          </w:p>
        </w:tc>
        <w:tc>
          <w:tcPr>
            <w:tcW w:w="992" w:type="dxa"/>
          </w:tcPr>
          <w:p w14:paraId="3BF56EC0">
            <w:pPr>
              <w:spacing w:line="400" w:lineRule="exact"/>
              <w:jc w:val="center"/>
              <w:rPr>
                <w:rFonts w:hint="eastAsia" w:asciiTheme="minorEastAsia" w:hAnsiTheme="minorEastAsia" w:eastAsiaTheme="minorEastAsia"/>
                <w:color w:val="auto"/>
                <w:sz w:val="22"/>
                <w:szCs w:val="24"/>
              </w:rPr>
            </w:pPr>
          </w:p>
        </w:tc>
        <w:tc>
          <w:tcPr>
            <w:tcW w:w="603" w:type="dxa"/>
          </w:tcPr>
          <w:p w14:paraId="51A68E05">
            <w:pPr>
              <w:spacing w:line="400" w:lineRule="exact"/>
              <w:jc w:val="center"/>
              <w:rPr>
                <w:rFonts w:hint="eastAsia" w:asciiTheme="minorEastAsia" w:hAnsiTheme="minorEastAsia" w:eastAsiaTheme="minorEastAsia"/>
                <w:color w:val="auto"/>
                <w:sz w:val="22"/>
                <w:szCs w:val="24"/>
              </w:rPr>
            </w:pPr>
          </w:p>
        </w:tc>
        <w:tc>
          <w:tcPr>
            <w:tcW w:w="488" w:type="dxa"/>
          </w:tcPr>
          <w:p w14:paraId="7DA34096">
            <w:pPr>
              <w:spacing w:line="400" w:lineRule="exact"/>
              <w:jc w:val="center"/>
              <w:rPr>
                <w:rFonts w:hint="eastAsia" w:asciiTheme="minorEastAsia" w:hAnsiTheme="minorEastAsia" w:eastAsiaTheme="minorEastAsia"/>
                <w:color w:val="auto"/>
                <w:sz w:val="22"/>
                <w:szCs w:val="24"/>
              </w:rPr>
            </w:pPr>
          </w:p>
        </w:tc>
        <w:tc>
          <w:tcPr>
            <w:tcW w:w="1134" w:type="dxa"/>
          </w:tcPr>
          <w:p w14:paraId="7AF1B479">
            <w:pPr>
              <w:spacing w:line="400" w:lineRule="exact"/>
              <w:jc w:val="center"/>
              <w:rPr>
                <w:rFonts w:hint="eastAsia" w:asciiTheme="minorEastAsia" w:hAnsiTheme="minorEastAsia" w:eastAsiaTheme="minorEastAsia"/>
                <w:color w:val="auto"/>
                <w:sz w:val="22"/>
                <w:szCs w:val="24"/>
              </w:rPr>
            </w:pPr>
          </w:p>
        </w:tc>
        <w:tc>
          <w:tcPr>
            <w:tcW w:w="709" w:type="dxa"/>
          </w:tcPr>
          <w:p w14:paraId="25A57B12">
            <w:pPr>
              <w:spacing w:line="400" w:lineRule="exact"/>
              <w:jc w:val="center"/>
              <w:rPr>
                <w:rFonts w:hint="eastAsia" w:asciiTheme="minorEastAsia" w:hAnsiTheme="minorEastAsia" w:eastAsiaTheme="minorEastAsia"/>
                <w:color w:val="auto"/>
                <w:sz w:val="22"/>
                <w:szCs w:val="24"/>
              </w:rPr>
            </w:pPr>
          </w:p>
        </w:tc>
        <w:tc>
          <w:tcPr>
            <w:tcW w:w="871" w:type="dxa"/>
          </w:tcPr>
          <w:p w14:paraId="586F37C8">
            <w:pPr>
              <w:spacing w:line="400" w:lineRule="exact"/>
              <w:jc w:val="center"/>
              <w:rPr>
                <w:rFonts w:hint="eastAsia" w:asciiTheme="minorEastAsia" w:hAnsiTheme="minorEastAsia" w:eastAsiaTheme="minorEastAsia"/>
                <w:color w:val="auto"/>
                <w:sz w:val="22"/>
                <w:szCs w:val="24"/>
              </w:rPr>
            </w:pPr>
          </w:p>
        </w:tc>
        <w:tc>
          <w:tcPr>
            <w:tcW w:w="1134" w:type="dxa"/>
          </w:tcPr>
          <w:p w14:paraId="3DBBD01E">
            <w:pPr>
              <w:spacing w:line="400" w:lineRule="exact"/>
              <w:jc w:val="center"/>
              <w:rPr>
                <w:rFonts w:hint="eastAsia" w:asciiTheme="minorEastAsia" w:hAnsiTheme="minorEastAsia" w:eastAsiaTheme="minorEastAsia"/>
                <w:color w:val="auto"/>
                <w:sz w:val="22"/>
                <w:szCs w:val="24"/>
              </w:rPr>
            </w:pPr>
          </w:p>
        </w:tc>
      </w:tr>
      <w:tr w14:paraId="4DA0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56122C3">
            <w:pPr>
              <w:spacing w:line="400" w:lineRule="exact"/>
              <w:jc w:val="center"/>
              <w:rPr>
                <w:rFonts w:hint="eastAsia" w:asciiTheme="minorEastAsia" w:hAnsiTheme="minorEastAsia" w:eastAsiaTheme="minorEastAsia"/>
                <w:color w:val="auto"/>
                <w:sz w:val="22"/>
                <w:szCs w:val="24"/>
              </w:rPr>
            </w:pPr>
          </w:p>
        </w:tc>
        <w:tc>
          <w:tcPr>
            <w:tcW w:w="1275" w:type="dxa"/>
          </w:tcPr>
          <w:p w14:paraId="0A7F6E2E">
            <w:pPr>
              <w:spacing w:line="400" w:lineRule="exact"/>
              <w:jc w:val="center"/>
              <w:rPr>
                <w:rFonts w:hint="eastAsia" w:asciiTheme="minorEastAsia" w:hAnsiTheme="minorEastAsia" w:eastAsiaTheme="minorEastAsia"/>
                <w:color w:val="auto"/>
                <w:sz w:val="22"/>
                <w:szCs w:val="24"/>
              </w:rPr>
            </w:pPr>
          </w:p>
        </w:tc>
        <w:tc>
          <w:tcPr>
            <w:tcW w:w="992" w:type="dxa"/>
          </w:tcPr>
          <w:p w14:paraId="55B29E4C">
            <w:pPr>
              <w:spacing w:line="400" w:lineRule="exact"/>
              <w:jc w:val="center"/>
              <w:rPr>
                <w:rFonts w:hint="eastAsia" w:asciiTheme="minorEastAsia" w:hAnsiTheme="minorEastAsia" w:eastAsiaTheme="minorEastAsia"/>
                <w:color w:val="auto"/>
                <w:sz w:val="22"/>
                <w:szCs w:val="24"/>
              </w:rPr>
            </w:pPr>
          </w:p>
        </w:tc>
        <w:tc>
          <w:tcPr>
            <w:tcW w:w="603" w:type="dxa"/>
          </w:tcPr>
          <w:p w14:paraId="406F9D4E">
            <w:pPr>
              <w:spacing w:line="400" w:lineRule="exact"/>
              <w:jc w:val="center"/>
              <w:rPr>
                <w:rFonts w:hint="eastAsia" w:asciiTheme="minorEastAsia" w:hAnsiTheme="minorEastAsia" w:eastAsiaTheme="minorEastAsia"/>
                <w:color w:val="auto"/>
                <w:sz w:val="22"/>
                <w:szCs w:val="24"/>
              </w:rPr>
            </w:pPr>
          </w:p>
        </w:tc>
        <w:tc>
          <w:tcPr>
            <w:tcW w:w="488" w:type="dxa"/>
          </w:tcPr>
          <w:p w14:paraId="14F28F0F">
            <w:pPr>
              <w:spacing w:line="400" w:lineRule="exact"/>
              <w:jc w:val="center"/>
              <w:rPr>
                <w:rFonts w:hint="eastAsia" w:asciiTheme="minorEastAsia" w:hAnsiTheme="minorEastAsia" w:eastAsiaTheme="minorEastAsia"/>
                <w:color w:val="auto"/>
                <w:sz w:val="22"/>
                <w:szCs w:val="24"/>
              </w:rPr>
            </w:pPr>
          </w:p>
        </w:tc>
        <w:tc>
          <w:tcPr>
            <w:tcW w:w="1134" w:type="dxa"/>
          </w:tcPr>
          <w:p w14:paraId="3866DE22">
            <w:pPr>
              <w:spacing w:line="400" w:lineRule="exact"/>
              <w:jc w:val="center"/>
              <w:rPr>
                <w:rFonts w:hint="eastAsia" w:asciiTheme="minorEastAsia" w:hAnsiTheme="minorEastAsia" w:eastAsiaTheme="minorEastAsia"/>
                <w:color w:val="auto"/>
                <w:sz w:val="22"/>
                <w:szCs w:val="24"/>
              </w:rPr>
            </w:pPr>
          </w:p>
        </w:tc>
        <w:tc>
          <w:tcPr>
            <w:tcW w:w="709" w:type="dxa"/>
          </w:tcPr>
          <w:p w14:paraId="5D649438">
            <w:pPr>
              <w:spacing w:line="400" w:lineRule="exact"/>
              <w:jc w:val="center"/>
              <w:rPr>
                <w:rFonts w:hint="eastAsia" w:asciiTheme="minorEastAsia" w:hAnsiTheme="minorEastAsia" w:eastAsiaTheme="minorEastAsia"/>
                <w:color w:val="auto"/>
                <w:sz w:val="22"/>
                <w:szCs w:val="24"/>
              </w:rPr>
            </w:pPr>
          </w:p>
        </w:tc>
        <w:tc>
          <w:tcPr>
            <w:tcW w:w="871" w:type="dxa"/>
          </w:tcPr>
          <w:p w14:paraId="76970853">
            <w:pPr>
              <w:spacing w:line="400" w:lineRule="exact"/>
              <w:jc w:val="center"/>
              <w:rPr>
                <w:rFonts w:hint="eastAsia" w:asciiTheme="minorEastAsia" w:hAnsiTheme="minorEastAsia" w:eastAsiaTheme="minorEastAsia"/>
                <w:color w:val="auto"/>
                <w:sz w:val="22"/>
                <w:szCs w:val="24"/>
              </w:rPr>
            </w:pPr>
          </w:p>
        </w:tc>
        <w:tc>
          <w:tcPr>
            <w:tcW w:w="1134" w:type="dxa"/>
          </w:tcPr>
          <w:p w14:paraId="1B274C25">
            <w:pPr>
              <w:spacing w:line="400" w:lineRule="exact"/>
              <w:jc w:val="center"/>
              <w:rPr>
                <w:rFonts w:hint="eastAsia" w:asciiTheme="minorEastAsia" w:hAnsiTheme="minorEastAsia" w:eastAsiaTheme="minorEastAsia"/>
                <w:color w:val="auto"/>
                <w:sz w:val="22"/>
                <w:szCs w:val="24"/>
              </w:rPr>
            </w:pPr>
          </w:p>
        </w:tc>
      </w:tr>
      <w:tr w14:paraId="7FAA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3003AF25">
            <w:pPr>
              <w:spacing w:line="400" w:lineRule="exact"/>
              <w:jc w:val="center"/>
              <w:rPr>
                <w:rFonts w:hint="eastAsia" w:asciiTheme="minorEastAsia" w:hAnsiTheme="minorEastAsia" w:eastAsiaTheme="minorEastAsia"/>
                <w:color w:val="auto"/>
                <w:sz w:val="22"/>
                <w:szCs w:val="24"/>
              </w:rPr>
            </w:pPr>
          </w:p>
        </w:tc>
        <w:tc>
          <w:tcPr>
            <w:tcW w:w="1275" w:type="dxa"/>
          </w:tcPr>
          <w:p w14:paraId="1862FC54">
            <w:pPr>
              <w:spacing w:line="400" w:lineRule="exact"/>
              <w:jc w:val="center"/>
              <w:rPr>
                <w:rFonts w:hint="eastAsia" w:asciiTheme="minorEastAsia" w:hAnsiTheme="minorEastAsia" w:eastAsiaTheme="minorEastAsia"/>
                <w:color w:val="auto"/>
                <w:sz w:val="22"/>
                <w:szCs w:val="24"/>
              </w:rPr>
            </w:pPr>
          </w:p>
        </w:tc>
        <w:tc>
          <w:tcPr>
            <w:tcW w:w="992" w:type="dxa"/>
          </w:tcPr>
          <w:p w14:paraId="2876ECD9">
            <w:pPr>
              <w:spacing w:line="400" w:lineRule="exact"/>
              <w:jc w:val="center"/>
              <w:rPr>
                <w:rFonts w:hint="eastAsia" w:asciiTheme="minorEastAsia" w:hAnsiTheme="minorEastAsia" w:eastAsiaTheme="minorEastAsia"/>
                <w:color w:val="auto"/>
                <w:sz w:val="22"/>
                <w:szCs w:val="24"/>
              </w:rPr>
            </w:pPr>
          </w:p>
        </w:tc>
        <w:tc>
          <w:tcPr>
            <w:tcW w:w="603" w:type="dxa"/>
          </w:tcPr>
          <w:p w14:paraId="7568FB7F">
            <w:pPr>
              <w:spacing w:line="400" w:lineRule="exact"/>
              <w:jc w:val="center"/>
              <w:rPr>
                <w:rFonts w:hint="eastAsia" w:asciiTheme="minorEastAsia" w:hAnsiTheme="minorEastAsia" w:eastAsiaTheme="minorEastAsia"/>
                <w:color w:val="auto"/>
                <w:sz w:val="22"/>
                <w:szCs w:val="24"/>
              </w:rPr>
            </w:pPr>
          </w:p>
        </w:tc>
        <w:tc>
          <w:tcPr>
            <w:tcW w:w="488" w:type="dxa"/>
          </w:tcPr>
          <w:p w14:paraId="57853FF4">
            <w:pPr>
              <w:spacing w:line="400" w:lineRule="exact"/>
              <w:jc w:val="center"/>
              <w:rPr>
                <w:rFonts w:hint="eastAsia" w:asciiTheme="minorEastAsia" w:hAnsiTheme="minorEastAsia" w:eastAsiaTheme="minorEastAsia"/>
                <w:color w:val="auto"/>
                <w:sz w:val="22"/>
                <w:szCs w:val="24"/>
              </w:rPr>
            </w:pPr>
          </w:p>
        </w:tc>
        <w:tc>
          <w:tcPr>
            <w:tcW w:w="1134" w:type="dxa"/>
          </w:tcPr>
          <w:p w14:paraId="2DF3678E">
            <w:pPr>
              <w:spacing w:line="400" w:lineRule="exact"/>
              <w:jc w:val="center"/>
              <w:rPr>
                <w:rFonts w:hint="eastAsia" w:asciiTheme="minorEastAsia" w:hAnsiTheme="minorEastAsia" w:eastAsiaTheme="minorEastAsia"/>
                <w:color w:val="auto"/>
                <w:sz w:val="22"/>
                <w:szCs w:val="24"/>
              </w:rPr>
            </w:pPr>
          </w:p>
        </w:tc>
        <w:tc>
          <w:tcPr>
            <w:tcW w:w="709" w:type="dxa"/>
          </w:tcPr>
          <w:p w14:paraId="6DD88C59">
            <w:pPr>
              <w:spacing w:line="400" w:lineRule="exact"/>
              <w:jc w:val="center"/>
              <w:rPr>
                <w:rFonts w:hint="eastAsia" w:asciiTheme="minorEastAsia" w:hAnsiTheme="minorEastAsia" w:eastAsiaTheme="minorEastAsia"/>
                <w:color w:val="auto"/>
                <w:sz w:val="22"/>
                <w:szCs w:val="24"/>
              </w:rPr>
            </w:pPr>
          </w:p>
        </w:tc>
        <w:tc>
          <w:tcPr>
            <w:tcW w:w="871" w:type="dxa"/>
          </w:tcPr>
          <w:p w14:paraId="278D2367">
            <w:pPr>
              <w:spacing w:line="400" w:lineRule="exact"/>
              <w:jc w:val="center"/>
              <w:rPr>
                <w:rFonts w:hint="eastAsia" w:asciiTheme="minorEastAsia" w:hAnsiTheme="minorEastAsia" w:eastAsiaTheme="minorEastAsia"/>
                <w:color w:val="auto"/>
                <w:sz w:val="22"/>
                <w:szCs w:val="24"/>
              </w:rPr>
            </w:pPr>
          </w:p>
        </w:tc>
        <w:tc>
          <w:tcPr>
            <w:tcW w:w="1134" w:type="dxa"/>
          </w:tcPr>
          <w:p w14:paraId="6C93DDA3">
            <w:pPr>
              <w:spacing w:line="400" w:lineRule="exact"/>
              <w:jc w:val="center"/>
              <w:rPr>
                <w:rFonts w:hint="eastAsia" w:asciiTheme="minorEastAsia" w:hAnsiTheme="minorEastAsia" w:eastAsiaTheme="minorEastAsia"/>
                <w:color w:val="auto"/>
                <w:sz w:val="22"/>
                <w:szCs w:val="24"/>
              </w:rPr>
            </w:pPr>
          </w:p>
        </w:tc>
      </w:tr>
      <w:tr w14:paraId="5D6D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2646135">
            <w:pPr>
              <w:spacing w:line="400" w:lineRule="exact"/>
              <w:jc w:val="center"/>
              <w:rPr>
                <w:rFonts w:hint="eastAsia" w:asciiTheme="minorEastAsia" w:hAnsiTheme="minorEastAsia" w:eastAsiaTheme="minorEastAsia"/>
                <w:color w:val="auto"/>
                <w:sz w:val="22"/>
                <w:szCs w:val="24"/>
              </w:rPr>
            </w:pPr>
          </w:p>
        </w:tc>
        <w:tc>
          <w:tcPr>
            <w:tcW w:w="1275" w:type="dxa"/>
          </w:tcPr>
          <w:p w14:paraId="6FF20F49">
            <w:pPr>
              <w:spacing w:line="400" w:lineRule="exact"/>
              <w:jc w:val="center"/>
              <w:rPr>
                <w:rFonts w:hint="eastAsia" w:asciiTheme="minorEastAsia" w:hAnsiTheme="minorEastAsia" w:eastAsiaTheme="minorEastAsia"/>
                <w:color w:val="auto"/>
                <w:sz w:val="22"/>
                <w:szCs w:val="24"/>
              </w:rPr>
            </w:pPr>
          </w:p>
        </w:tc>
        <w:tc>
          <w:tcPr>
            <w:tcW w:w="992" w:type="dxa"/>
          </w:tcPr>
          <w:p w14:paraId="344145FA">
            <w:pPr>
              <w:spacing w:line="400" w:lineRule="exact"/>
              <w:jc w:val="center"/>
              <w:rPr>
                <w:rFonts w:hint="eastAsia" w:asciiTheme="minorEastAsia" w:hAnsiTheme="minorEastAsia" w:eastAsiaTheme="minorEastAsia"/>
                <w:color w:val="auto"/>
                <w:sz w:val="22"/>
                <w:szCs w:val="24"/>
              </w:rPr>
            </w:pPr>
          </w:p>
        </w:tc>
        <w:tc>
          <w:tcPr>
            <w:tcW w:w="603" w:type="dxa"/>
          </w:tcPr>
          <w:p w14:paraId="4726555F">
            <w:pPr>
              <w:spacing w:line="400" w:lineRule="exact"/>
              <w:jc w:val="center"/>
              <w:rPr>
                <w:rFonts w:hint="eastAsia" w:asciiTheme="minorEastAsia" w:hAnsiTheme="minorEastAsia" w:eastAsiaTheme="minorEastAsia"/>
                <w:color w:val="auto"/>
                <w:sz w:val="22"/>
                <w:szCs w:val="24"/>
              </w:rPr>
            </w:pPr>
          </w:p>
        </w:tc>
        <w:tc>
          <w:tcPr>
            <w:tcW w:w="488" w:type="dxa"/>
          </w:tcPr>
          <w:p w14:paraId="24A5F747">
            <w:pPr>
              <w:spacing w:line="400" w:lineRule="exact"/>
              <w:jc w:val="center"/>
              <w:rPr>
                <w:rFonts w:hint="eastAsia" w:asciiTheme="minorEastAsia" w:hAnsiTheme="minorEastAsia" w:eastAsiaTheme="minorEastAsia"/>
                <w:color w:val="auto"/>
                <w:sz w:val="22"/>
                <w:szCs w:val="24"/>
              </w:rPr>
            </w:pPr>
          </w:p>
        </w:tc>
        <w:tc>
          <w:tcPr>
            <w:tcW w:w="1134" w:type="dxa"/>
          </w:tcPr>
          <w:p w14:paraId="0E0C2980">
            <w:pPr>
              <w:spacing w:line="400" w:lineRule="exact"/>
              <w:jc w:val="center"/>
              <w:rPr>
                <w:rFonts w:hint="eastAsia" w:asciiTheme="minorEastAsia" w:hAnsiTheme="minorEastAsia" w:eastAsiaTheme="minorEastAsia"/>
                <w:color w:val="auto"/>
                <w:sz w:val="22"/>
                <w:szCs w:val="24"/>
              </w:rPr>
            </w:pPr>
          </w:p>
        </w:tc>
        <w:tc>
          <w:tcPr>
            <w:tcW w:w="709" w:type="dxa"/>
          </w:tcPr>
          <w:p w14:paraId="03A0CAA7">
            <w:pPr>
              <w:spacing w:line="400" w:lineRule="exact"/>
              <w:jc w:val="center"/>
              <w:rPr>
                <w:rFonts w:hint="eastAsia" w:asciiTheme="minorEastAsia" w:hAnsiTheme="minorEastAsia" w:eastAsiaTheme="minorEastAsia"/>
                <w:color w:val="auto"/>
                <w:sz w:val="22"/>
                <w:szCs w:val="24"/>
              </w:rPr>
            </w:pPr>
          </w:p>
        </w:tc>
        <w:tc>
          <w:tcPr>
            <w:tcW w:w="871" w:type="dxa"/>
          </w:tcPr>
          <w:p w14:paraId="4A8B1028">
            <w:pPr>
              <w:spacing w:line="400" w:lineRule="exact"/>
              <w:jc w:val="center"/>
              <w:rPr>
                <w:rFonts w:hint="eastAsia" w:asciiTheme="minorEastAsia" w:hAnsiTheme="minorEastAsia" w:eastAsiaTheme="minorEastAsia"/>
                <w:color w:val="auto"/>
                <w:sz w:val="22"/>
                <w:szCs w:val="24"/>
              </w:rPr>
            </w:pPr>
          </w:p>
        </w:tc>
        <w:tc>
          <w:tcPr>
            <w:tcW w:w="1134" w:type="dxa"/>
          </w:tcPr>
          <w:p w14:paraId="53F79DCE">
            <w:pPr>
              <w:spacing w:line="400" w:lineRule="exact"/>
              <w:jc w:val="center"/>
              <w:rPr>
                <w:rFonts w:hint="eastAsia" w:asciiTheme="minorEastAsia" w:hAnsiTheme="minorEastAsia" w:eastAsiaTheme="minorEastAsia"/>
                <w:color w:val="auto"/>
                <w:sz w:val="22"/>
                <w:szCs w:val="24"/>
              </w:rPr>
            </w:pPr>
          </w:p>
        </w:tc>
      </w:tr>
      <w:tr w14:paraId="5290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7AE8FE1">
            <w:pPr>
              <w:spacing w:line="400" w:lineRule="exact"/>
              <w:jc w:val="center"/>
              <w:rPr>
                <w:rFonts w:hint="eastAsia" w:asciiTheme="minorEastAsia" w:hAnsiTheme="minorEastAsia" w:eastAsiaTheme="minorEastAsia"/>
                <w:color w:val="auto"/>
                <w:sz w:val="22"/>
                <w:szCs w:val="24"/>
              </w:rPr>
            </w:pPr>
          </w:p>
        </w:tc>
        <w:tc>
          <w:tcPr>
            <w:tcW w:w="1275" w:type="dxa"/>
          </w:tcPr>
          <w:p w14:paraId="5ED290DD">
            <w:pPr>
              <w:spacing w:line="400" w:lineRule="exact"/>
              <w:jc w:val="center"/>
              <w:rPr>
                <w:rFonts w:hint="eastAsia" w:asciiTheme="minorEastAsia" w:hAnsiTheme="minorEastAsia" w:eastAsiaTheme="minorEastAsia"/>
                <w:color w:val="auto"/>
                <w:sz w:val="22"/>
                <w:szCs w:val="24"/>
              </w:rPr>
            </w:pPr>
          </w:p>
        </w:tc>
        <w:tc>
          <w:tcPr>
            <w:tcW w:w="992" w:type="dxa"/>
          </w:tcPr>
          <w:p w14:paraId="4F0C5E3A">
            <w:pPr>
              <w:spacing w:line="400" w:lineRule="exact"/>
              <w:jc w:val="center"/>
              <w:rPr>
                <w:rFonts w:hint="eastAsia" w:asciiTheme="minorEastAsia" w:hAnsiTheme="minorEastAsia" w:eastAsiaTheme="minorEastAsia"/>
                <w:color w:val="auto"/>
                <w:sz w:val="22"/>
                <w:szCs w:val="24"/>
              </w:rPr>
            </w:pPr>
          </w:p>
        </w:tc>
        <w:tc>
          <w:tcPr>
            <w:tcW w:w="603" w:type="dxa"/>
          </w:tcPr>
          <w:p w14:paraId="2887BF26">
            <w:pPr>
              <w:spacing w:line="400" w:lineRule="exact"/>
              <w:jc w:val="center"/>
              <w:rPr>
                <w:rFonts w:hint="eastAsia" w:asciiTheme="minorEastAsia" w:hAnsiTheme="minorEastAsia" w:eastAsiaTheme="minorEastAsia"/>
                <w:color w:val="auto"/>
                <w:sz w:val="22"/>
                <w:szCs w:val="24"/>
              </w:rPr>
            </w:pPr>
          </w:p>
        </w:tc>
        <w:tc>
          <w:tcPr>
            <w:tcW w:w="488" w:type="dxa"/>
          </w:tcPr>
          <w:p w14:paraId="7ABCD3BE">
            <w:pPr>
              <w:spacing w:line="400" w:lineRule="exact"/>
              <w:jc w:val="center"/>
              <w:rPr>
                <w:rFonts w:hint="eastAsia" w:asciiTheme="minorEastAsia" w:hAnsiTheme="minorEastAsia" w:eastAsiaTheme="minorEastAsia"/>
                <w:color w:val="auto"/>
                <w:sz w:val="22"/>
                <w:szCs w:val="24"/>
              </w:rPr>
            </w:pPr>
          </w:p>
        </w:tc>
        <w:tc>
          <w:tcPr>
            <w:tcW w:w="1134" w:type="dxa"/>
          </w:tcPr>
          <w:p w14:paraId="3914100B">
            <w:pPr>
              <w:spacing w:line="400" w:lineRule="exact"/>
              <w:jc w:val="center"/>
              <w:rPr>
                <w:rFonts w:hint="eastAsia" w:asciiTheme="minorEastAsia" w:hAnsiTheme="minorEastAsia" w:eastAsiaTheme="minorEastAsia"/>
                <w:color w:val="auto"/>
                <w:sz w:val="22"/>
                <w:szCs w:val="24"/>
              </w:rPr>
            </w:pPr>
          </w:p>
        </w:tc>
        <w:tc>
          <w:tcPr>
            <w:tcW w:w="709" w:type="dxa"/>
          </w:tcPr>
          <w:p w14:paraId="51B83EC0">
            <w:pPr>
              <w:spacing w:line="400" w:lineRule="exact"/>
              <w:jc w:val="center"/>
              <w:rPr>
                <w:rFonts w:hint="eastAsia" w:asciiTheme="minorEastAsia" w:hAnsiTheme="minorEastAsia" w:eastAsiaTheme="minorEastAsia"/>
                <w:color w:val="auto"/>
                <w:sz w:val="22"/>
                <w:szCs w:val="24"/>
              </w:rPr>
            </w:pPr>
          </w:p>
        </w:tc>
        <w:tc>
          <w:tcPr>
            <w:tcW w:w="871" w:type="dxa"/>
          </w:tcPr>
          <w:p w14:paraId="244C33E7">
            <w:pPr>
              <w:spacing w:line="400" w:lineRule="exact"/>
              <w:jc w:val="center"/>
              <w:rPr>
                <w:rFonts w:hint="eastAsia" w:asciiTheme="minorEastAsia" w:hAnsiTheme="minorEastAsia" w:eastAsiaTheme="minorEastAsia"/>
                <w:color w:val="auto"/>
                <w:sz w:val="22"/>
                <w:szCs w:val="24"/>
              </w:rPr>
            </w:pPr>
          </w:p>
        </w:tc>
        <w:tc>
          <w:tcPr>
            <w:tcW w:w="1134" w:type="dxa"/>
          </w:tcPr>
          <w:p w14:paraId="1A6FEAD4">
            <w:pPr>
              <w:spacing w:line="400" w:lineRule="exact"/>
              <w:jc w:val="center"/>
              <w:rPr>
                <w:rFonts w:hint="eastAsia" w:asciiTheme="minorEastAsia" w:hAnsiTheme="minorEastAsia" w:eastAsiaTheme="minorEastAsia"/>
                <w:color w:val="auto"/>
                <w:sz w:val="22"/>
                <w:szCs w:val="24"/>
              </w:rPr>
            </w:pPr>
          </w:p>
        </w:tc>
      </w:tr>
      <w:tr w14:paraId="69F3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0E6CC648">
            <w:pPr>
              <w:spacing w:line="400" w:lineRule="exact"/>
              <w:jc w:val="center"/>
              <w:rPr>
                <w:rFonts w:hint="eastAsia" w:asciiTheme="minorEastAsia" w:hAnsiTheme="minorEastAsia" w:eastAsiaTheme="minorEastAsia"/>
                <w:color w:val="auto"/>
                <w:sz w:val="22"/>
                <w:szCs w:val="24"/>
              </w:rPr>
            </w:pPr>
          </w:p>
        </w:tc>
        <w:tc>
          <w:tcPr>
            <w:tcW w:w="1275" w:type="dxa"/>
          </w:tcPr>
          <w:p w14:paraId="7DFF6F73">
            <w:pPr>
              <w:spacing w:line="400" w:lineRule="exact"/>
              <w:jc w:val="center"/>
              <w:rPr>
                <w:rFonts w:hint="eastAsia" w:asciiTheme="minorEastAsia" w:hAnsiTheme="minorEastAsia" w:eastAsiaTheme="minorEastAsia"/>
                <w:color w:val="auto"/>
                <w:sz w:val="22"/>
                <w:szCs w:val="24"/>
              </w:rPr>
            </w:pPr>
          </w:p>
        </w:tc>
        <w:tc>
          <w:tcPr>
            <w:tcW w:w="992" w:type="dxa"/>
          </w:tcPr>
          <w:p w14:paraId="4B6390ED">
            <w:pPr>
              <w:spacing w:line="400" w:lineRule="exact"/>
              <w:jc w:val="center"/>
              <w:rPr>
                <w:rFonts w:hint="eastAsia" w:asciiTheme="minorEastAsia" w:hAnsiTheme="minorEastAsia" w:eastAsiaTheme="minorEastAsia"/>
                <w:color w:val="auto"/>
                <w:sz w:val="22"/>
                <w:szCs w:val="24"/>
              </w:rPr>
            </w:pPr>
          </w:p>
        </w:tc>
        <w:tc>
          <w:tcPr>
            <w:tcW w:w="603" w:type="dxa"/>
          </w:tcPr>
          <w:p w14:paraId="45BBC191">
            <w:pPr>
              <w:spacing w:line="400" w:lineRule="exact"/>
              <w:jc w:val="center"/>
              <w:rPr>
                <w:rFonts w:hint="eastAsia" w:asciiTheme="minorEastAsia" w:hAnsiTheme="minorEastAsia" w:eastAsiaTheme="minorEastAsia"/>
                <w:color w:val="auto"/>
                <w:sz w:val="22"/>
                <w:szCs w:val="24"/>
              </w:rPr>
            </w:pPr>
          </w:p>
        </w:tc>
        <w:tc>
          <w:tcPr>
            <w:tcW w:w="488" w:type="dxa"/>
          </w:tcPr>
          <w:p w14:paraId="4EFDBFFA">
            <w:pPr>
              <w:spacing w:line="400" w:lineRule="exact"/>
              <w:jc w:val="center"/>
              <w:rPr>
                <w:rFonts w:hint="eastAsia" w:asciiTheme="minorEastAsia" w:hAnsiTheme="minorEastAsia" w:eastAsiaTheme="minorEastAsia"/>
                <w:color w:val="auto"/>
                <w:sz w:val="22"/>
                <w:szCs w:val="24"/>
              </w:rPr>
            </w:pPr>
          </w:p>
        </w:tc>
        <w:tc>
          <w:tcPr>
            <w:tcW w:w="1134" w:type="dxa"/>
          </w:tcPr>
          <w:p w14:paraId="77BAADA9">
            <w:pPr>
              <w:spacing w:line="400" w:lineRule="exact"/>
              <w:jc w:val="center"/>
              <w:rPr>
                <w:rFonts w:hint="eastAsia" w:asciiTheme="minorEastAsia" w:hAnsiTheme="minorEastAsia" w:eastAsiaTheme="minorEastAsia"/>
                <w:color w:val="auto"/>
                <w:sz w:val="22"/>
                <w:szCs w:val="24"/>
              </w:rPr>
            </w:pPr>
          </w:p>
        </w:tc>
        <w:tc>
          <w:tcPr>
            <w:tcW w:w="709" w:type="dxa"/>
          </w:tcPr>
          <w:p w14:paraId="4FA53669">
            <w:pPr>
              <w:spacing w:line="400" w:lineRule="exact"/>
              <w:jc w:val="center"/>
              <w:rPr>
                <w:rFonts w:hint="eastAsia" w:asciiTheme="minorEastAsia" w:hAnsiTheme="minorEastAsia" w:eastAsiaTheme="minorEastAsia"/>
                <w:color w:val="auto"/>
                <w:sz w:val="22"/>
                <w:szCs w:val="24"/>
              </w:rPr>
            </w:pPr>
          </w:p>
        </w:tc>
        <w:tc>
          <w:tcPr>
            <w:tcW w:w="871" w:type="dxa"/>
          </w:tcPr>
          <w:p w14:paraId="10254A77">
            <w:pPr>
              <w:spacing w:line="400" w:lineRule="exact"/>
              <w:jc w:val="center"/>
              <w:rPr>
                <w:rFonts w:hint="eastAsia" w:asciiTheme="minorEastAsia" w:hAnsiTheme="minorEastAsia" w:eastAsiaTheme="minorEastAsia"/>
                <w:color w:val="auto"/>
                <w:sz w:val="22"/>
                <w:szCs w:val="24"/>
              </w:rPr>
            </w:pPr>
          </w:p>
        </w:tc>
        <w:tc>
          <w:tcPr>
            <w:tcW w:w="1134" w:type="dxa"/>
          </w:tcPr>
          <w:p w14:paraId="01A6756D">
            <w:pPr>
              <w:spacing w:line="400" w:lineRule="exact"/>
              <w:jc w:val="center"/>
              <w:rPr>
                <w:rFonts w:hint="eastAsia" w:asciiTheme="minorEastAsia" w:hAnsiTheme="minorEastAsia" w:eastAsiaTheme="minorEastAsia"/>
                <w:color w:val="auto"/>
                <w:sz w:val="22"/>
                <w:szCs w:val="24"/>
              </w:rPr>
            </w:pPr>
          </w:p>
        </w:tc>
      </w:tr>
      <w:tr w14:paraId="78D9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3DA61C5B">
            <w:pPr>
              <w:spacing w:line="400" w:lineRule="exact"/>
              <w:jc w:val="center"/>
              <w:rPr>
                <w:rFonts w:hint="eastAsia" w:asciiTheme="minorEastAsia" w:hAnsiTheme="minorEastAsia" w:eastAsiaTheme="minorEastAsia"/>
                <w:color w:val="auto"/>
                <w:sz w:val="22"/>
                <w:szCs w:val="24"/>
              </w:rPr>
            </w:pPr>
          </w:p>
        </w:tc>
        <w:tc>
          <w:tcPr>
            <w:tcW w:w="1275" w:type="dxa"/>
          </w:tcPr>
          <w:p w14:paraId="289A9199">
            <w:pPr>
              <w:spacing w:line="400" w:lineRule="exact"/>
              <w:jc w:val="center"/>
              <w:rPr>
                <w:rFonts w:hint="eastAsia" w:asciiTheme="minorEastAsia" w:hAnsiTheme="minorEastAsia" w:eastAsiaTheme="minorEastAsia"/>
                <w:color w:val="auto"/>
                <w:sz w:val="22"/>
                <w:szCs w:val="24"/>
              </w:rPr>
            </w:pPr>
          </w:p>
        </w:tc>
        <w:tc>
          <w:tcPr>
            <w:tcW w:w="992" w:type="dxa"/>
          </w:tcPr>
          <w:p w14:paraId="4CD05972">
            <w:pPr>
              <w:spacing w:line="400" w:lineRule="exact"/>
              <w:jc w:val="center"/>
              <w:rPr>
                <w:rFonts w:hint="eastAsia" w:asciiTheme="minorEastAsia" w:hAnsiTheme="minorEastAsia" w:eastAsiaTheme="minorEastAsia"/>
                <w:color w:val="auto"/>
                <w:sz w:val="22"/>
                <w:szCs w:val="24"/>
              </w:rPr>
            </w:pPr>
          </w:p>
        </w:tc>
        <w:tc>
          <w:tcPr>
            <w:tcW w:w="603" w:type="dxa"/>
          </w:tcPr>
          <w:p w14:paraId="70045376">
            <w:pPr>
              <w:spacing w:line="400" w:lineRule="exact"/>
              <w:jc w:val="center"/>
              <w:rPr>
                <w:rFonts w:hint="eastAsia" w:asciiTheme="minorEastAsia" w:hAnsiTheme="minorEastAsia" w:eastAsiaTheme="minorEastAsia"/>
                <w:color w:val="auto"/>
                <w:sz w:val="22"/>
                <w:szCs w:val="24"/>
              </w:rPr>
            </w:pPr>
          </w:p>
        </w:tc>
        <w:tc>
          <w:tcPr>
            <w:tcW w:w="488" w:type="dxa"/>
          </w:tcPr>
          <w:p w14:paraId="7102C908">
            <w:pPr>
              <w:spacing w:line="400" w:lineRule="exact"/>
              <w:jc w:val="center"/>
              <w:rPr>
                <w:rFonts w:hint="eastAsia" w:asciiTheme="minorEastAsia" w:hAnsiTheme="minorEastAsia" w:eastAsiaTheme="minorEastAsia"/>
                <w:color w:val="auto"/>
                <w:sz w:val="22"/>
                <w:szCs w:val="24"/>
              </w:rPr>
            </w:pPr>
          </w:p>
        </w:tc>
        <w:tc>
          <w:tcPr>
            <w:tcW w:w="1134" w:type="dxa"/>
          </w:tcPr>
          <w:p w14:paraId="12E718CB">
            <w:pPr>
              <w:spacing w:line="400" w:lineRule="exact"/>
              <w:jc w:val="center"/>
              <w:rPr>
                <w:rFonts w:hint="eastAsia" w:asciiTheme="minorEastAsia" w:hAnsiTheme="minorEastAsia" w:eastAsiaTheme="minorEastAsia"/>
                <w:color w:val="auto"/>
                <w:sz w:val="22"/>
                <w:szCs w:val="24"/>
              </w:rPr>
            </w:pPr>
          </w:p>
        </w:tc>
        <w:tc>
          <w:tcPr>
            <w:tcW w:w="709" w:type="dxa"/>
          </w:tcPr>
          <w:p w14:paraId="46AED1FA">
            <w:pPr>
              <w:spacing w:line="400" w:lineRule="exact"/>
              <w:jc w:val="center"/>
              <w:rPr>
                <w:rFonts w:hint="eastAsia" w:asciiTheme="minorEastAsia" w:hAnsiTheme="minorEastAsia" w:eastAsiaTheme="minorEastAsia"/>
                <w:color w:val="auto"/>
                <w:sz w:val="22"/>
                <w:szCs w:val="24"/>
              </w:rPr>
            </w:pPr>
          </w:p>
        </w:tc>
        <w:tc>
          <w:tcPr>
            <w:tcW w:w="871" w:type="dxa"/>
          </w:tcPr>
          <w:p w14:paraId="3BBA406F">
            <w:pPr>
              <w:spacing w:line="400" w:lineRule="exact"/>
              <w:jc w:val="center"/>
              <w:rPr>
                <w:rFonts w:hint="eastAsia" w:asciiTheme="minorEastAsia" w:hAnsiTheme="minorEastAsia" w:eastAsiaTheme="minorEastAsia"/>
                <w:color w:val="auto"/>
                <w:sz w:val="22"/>
                <w:szCs w:val="24"/>
              </w:rPr>
            </w:pPr>
          </w:p>
        </w:tc>
        <w:tc>
          <w:tcPr>
            <w:tcW w:w="1134" w:type="dxa"/>
          </w:tcPr>
          <w:p w14:paraId="7346A947">
            <w:pPr>
              <w:spacing w:line="400" w:lineRule="exact"/>
              <w:jc w:val="center"/>
              <w:rPr>
                <w:rFonts w:hint="eastAsia" w:asciiTheme="minorEastAsia" w:hAnsiTheme="minorEastAsia" w:eastAsiaTheme="minorEastAsia"/>
                <w:color w:val="auto"/>
                <w:sz w:val="22"/>
                <w:szCs w:val="24"/>
              </w:rPr>
            </w:pPr>
          </w:p>
        </w:tc>
      </w:tr>
      <w:tr w14:paraId="0415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394F0F8E">
            <w:pPr>
              <w:spacing w:line="400" w:lineRule="exact"/>
              <w:jc w:val="center"/>
              <w:rPr>
                <w:rFonts w:hint="eastAsia" w:asciiTheme="minorEastAsia" w:hAnsiTheme="minorEastAsia" w:eastAsiaTheme="minorEastAsia"/>
                <w:color w:val="auto"/>
                <w:sz w:val="22"/>
                <w:szCs w:val="24"/>
              </w:rPr>
            </w:pPr>
          </w:p>
        </w:tc>
        <w:tc>
          <w:tcPr>
            <w:tcW w:w="1275" w:type="dxa"/>
          </w:tcPr>
          <w:p w14:paraId="29148524">
            <w:pPr>
              <w:spacing w:line="400" w:lineRule="exact"/>
              <w:jc w:val="center"/>
              <w:rPr>
                <w:rFonts w:hint="eastAsia" w:asciiTheme="minorEastAsia" w:hAnsiTheme="minorEastAsia" w:eastAsiaTheme="minorEastAsia"/>
                <w:color w:val="auto"/>
                <w:sz w:val="22"/>
                <w:szCs w:val="24"/>
              </w:rPr>
            </w:pPr>
          </w:p>
        </w:tc>
        <w:tc>
          <w:tcPr>
            <w:tcW w:w="992" w:type="dxa"/>
          </w:tcPr>
          <w:p w14:paraId="134485A8">
            <w:pPr>
              <w:spacing w:line="400" w:lineRule="exact"/>
              <w:jc w:val="center"/>
              <w:rPr>
                <w:rFonts w:hint="eastAsia" w:asciiTheme="minorEastAsia" w:hAnsiTheme="minorEastAsia" w:eastAsiaTheme="minorEastAsia"/>
                <w:color w:val="auto"/>
                <w:sz w:val="22"/>
                <w:szCs w:val="24"/>
              </w:rPr>
            </w:pPr>
          </w:p>
        </w:tc>
        <w:tc>
          <w:tcPr>
            <w:tcW w:w="603" w:type="dxa"/>
          </w:tcPr>
          <w:p w14:paraId="46C82DC3">
            <w:pPr>
              <w:spacing w:line="400" w:lineRule="exact"/>
              <w:jc w:val="center"/>
              <w:rPr>
                <w:rFonts w:hint="eastAsia" w:asciiTheme="minorEastAsia" w:hAnsiTheme="minorEastAsia" w:eastAsiaTheme="minorEastAsia"/>
                <w:color w:val="auto"/>
                <w:sz w:val="22"/>
                <w:szCs w:val="24"/>
              </w:rPr>
            </w:pPr>
          </w:p>
        </w:tc>
        <w:tc>
          <w:tcPr>
            <w:tcW w:w="488" w:type="dxa"/>
          </w:tcPr>
          <w:p w14:paraId="0890605E">
            <w:pPr>
              <w:spacing w:line="400" w:lineRule="exact"/>
              <w:jc w:val="center"/>
              <w:rPr>
                <w:rFonts w:hint="eastAsia" w:asciiTheme="minorEastAsia" w:hAnsiTheme="minorEastAsia" w:eastAsiaTheme="minorEastAsia"/>
                <w:color w:val="auto"/>
                <w:sz w:val="22"/>
                <w:szCs w:val="24"/>
              </w:rPr>
            </w:pPr>
          </w:p>
        </w:tc>
        <w:tc>
          <w:tcPr>
            <w:tcW w:w="1134" w:type="dxa"/>
          </w:tcPr>
          <w:p w14:paraId="25CDB76A">
            <w:pPr>
              <w:spacing w:line="400" w:lineRule="exact"/>
              <w:jc w:val="center"/>
              <w:rPr>
                <w:rFonts w:hint="eastAsia" w:asciiTheme="minorEastAsia" w:hAnsiTheme="minorEastAsia" w:eastAsiaTheme="minorEastAsia"/>
                <w:color w:val="auto"/>
                <w:sz w:val="22"/>
                <w:szCs w:val="24"/>
              </w:rPr>
            </w:pPr>
          </w:p>
        </w:tc>
        <w:tc>
          <w:tcPr>
            <w:tcW w:w="709" w:type="dxa"/>
          </w:tcPr>
          <w:p w14:paraId="60021900">
            <w:pPr>
              <w:spacing w:line="400" w:lineRule="exact"/>
              <w:jc w:val="center"/>
              <w:rPr>
                <w:rFonts w:hint="eastAsia" w:asciiTheme="minorEastAsia" w:hAnsiTheme="minorEastAsia" w:eastAsiaTheme="minorEastAsia"/>
                <w:color w:val="auto"/>
                <w:sz w:val="22"/>
                <w:szCs w:val="24"/>
              </w:rPr>
            </w:pPr>
          </w:p>
        </w:tc>
        <w:tc>
          <w:tcPr>
            <w:tcW w:w="871" w:type="dxa"/>
          </w:tcPr>
          <w:p w14:paraId="4B85F761">
            <w:pPr>
              <w:spacing w:line="400" w:lineRule="exact"/>
              <w:jc w:val="center"/>
              <w:rPr>
                <w:rFonts w:hint="eastAsia" w:asciiTheme="minorEastAsia" w:hAnsiTheme="minorEastAsia" w:eastAsiaTheme="minorEastAsia"/>
                <w:color w:val="auto"/>
                <w:sz w:val="22"/>
                <w:szCs w:val="24"/>
              </w:rPr>
            </w:pPr>
          </w:p>
        </w:tc>
        <w:tc>
          <w:tcPr>
            <w:tcW w:w="1134" w:type="dxa"/>
          </w:tcPr>
          <w:p w14:paraId="6D703108">
            <w:pPr>
              <w:spacing w:line="400" w:lineRule="exact"/>
              <w:jc w:val="center"/>
              <w:rPr>
                <w:rFonts w:hint="eastAsia" w:asciiTheme="minorEastAsia" w:hAnsiTheme="minorEastAsia" w:eastAsiaTheme="minorEastAsia"/>
                <w:color w:val="auto"/>
                <w:sz w:val="22"/>
                <w:szCs w:val="24"/>
              </w:rPr>
            </w:pPr>
          </w:p>
        </w:tc>
      </w:tr>
    </w:tbl>
    <w:p w14:paraId="599394FD">
      <w:pPr>
        <w:spacing w:line="440" w:lineRule="exact"/>
        <w:ind w:firstLine="440"/>
        <w:rPr>
          <w:rFonts w:hint="eastAsia" w:asciiTheme="minorEastAsia" w:hAnsiTheme="minorEastAsia" w:eastAsiaTheme="minorEastAsia"/>
          <w:color w:val="auto"/>
          <w:sz w:val="22"/>
          <w:szCs w:val="24"/>
        </w:rPr>
      </w:pPr>
      <w:r>
        <w:rPr>
          <w:rFonts w:asciiTheme="minorEastAsia" w:hAnsiTheme="minorEastAsia" w:eastAsiaTheme="minorEastAsia"/>
          <w:color w:val="auto"/>
          <w:sz w:val="22"/>
          <w:szCs w:val="24"/>
        </w:rPr>
        <w:br w:type="page"/>
      </w:r>
      <w:bookmarkStart w:id="533" w:name="_Toc152042594"/>
      <w:bookmarkStart w:id="534" w:name="_Toc144974873"/>
      <w:bookmarkStart w:id="535" w:name="_Toc179632825"/>
      <w:bookmarkStart w:id="536" w:name="_Toc152045805"/>
    </w:p>
    <w:bookmarkEnd w:id="533"/>
    <w:bookmarkEnd w:id="534"/>
    <w:bookmarkEnd w:id="535"/>
    <w:bookmarkEnd w:id="536"/>
    <w:p w14:paraId="0DC7952A">
      <w:pPr>
        <w:pStyle w:val="3"/>
        <w:spacing w:before="0" w:after="0" w:line="360" w:lineRule="auto"/>
        <w:ind w:firstLine="643"/>
        <w:jc w:val="center"/>
        <w:rPr>
          <w:rFonts w:hint="eastAsia" w:ascii="宋体" w:hAnsi="宋体" w:eastAsia="宋体"/>
          <w:bCs/>
          <w:color w:val="auto"/>
          <w:szCs w:val="32"/>
        </w:rPr>
      </w:pPr>
      <w:bookmarkStart w:id="537" w:name="_Toc31027"/>
    </w:p>
    <w:p w14:paraId="3CB22B46">
      <w:pPr>
        <w:pStyle w:val="3"/>
        <w:spacing w:before="0" w:after="0" w:line="360" w:lineRule="auto"/>
        <w:ind w:firstLine="643"/>
        <w:jc w:val="center"/>
        <w:rPr>
          <w:rFonts w:hint="eastAsia" w:ascii="宋体" w:hAnsi="宋体" w:eastAsia="宋体"/>
          <w:bCs/>
          <w:color w:val="auto"/>
          <w:szCs w:val="32"/>
        </w:rPr>
      </w:pPr>
      <w:r>
        <w:rPr>
          <w:rFonts w:hint="eastAsia" w:ascii="宋体" w:hAnsi="宋体" w:eastAsia="宋体"/>
          <w:bCs/>
          <w:color w:val="auto"/>
          <w:szCs w:val="32"/>
        </w:rPr>
        <w:t>（六）主要人员简历表</w:t>
      </w:r>
    </w:p>
    <w:tbl>
      <w:tblPr>
        <w:tblStyle w:val="4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14:paraId="6DC5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vAlign w:val="center"/>
          </w:tcPr>
          <w:p w14:paraId="1A32ED0E">
            <w:pPr>
              <w:spacing w:line="400" w:lineRule="exact"/>
              <w:jc w:val="center"/>
              <w:rPr>
                <w:rFonts w:hint="eastAsia" w:ascii="宋体" w:hAnsi="宋体"/>
                <w:color w:val="auto"/>
              </w:rPr>
            </w:pPr>
            <w:r>
              <w:rPr>
                <w:rFonts w:ascii="宋体" w:hAnsi="宋体"/>
                <w:color w:val="auto"/>
              </w:rPr>
              <w:t>姓  名</w:t>
            </w:r>
          </w:p>
        </w:tc>
        <w:tc>
          <w:tcPr>
            <w:tcW w:w="1048" w:type="dxa"/>
            <w:gridSpan w:val="2"/>
            <w:vAlign w:val="center"/>
          </w:tcPr>
          <w:p w14:paraId="2EBCF6A6">
            <w:pPr>
              <w:spacing w:line="400" w:lineRule="exact"/>
              <w:jc w:val="center"/>
              <w:rPr>
                <w:rFonts w:hint="eastAsia" w:ascii="宋体" w:hAnsi="宋体"/>
                <w:color w:val="auto"/>
              </w:rPr>
            </w:pPr>
            <w:r>
              <w:rPr>
                <w:rFonts w:hint="eastAsia" w:ascii="宋体" w:hAnsi="宋体" w:cs="宋体"/>
                <w:color w:val="auto"/>
                <w:kern w:val="0"/>
                <w:szCs w:val="21"/>
              </w:rPr>
              <w:t xml:space="preserve"> </w:t>
            </w:r>
          </w:p>
        </w:tc>
        <w:tc>
          <w:tcPr>
            <w:tcW w:w="958" w:type="dxa"/>
            <w:vAlign w:val="center"/>
          </w:tcPr>
          <w:p w14:paraId="224EF980">
            <w:pPr>
              <w:spacing w:line="400" w:lineRule="exact"/>
              <w:jc w:val="center"/>
              <w:rPr>
                <w:rFonts w:hint="eastAsia" w:ascii="宋体" w:hAnsi="宋体"/>
                <w:color w:val="auto"/>
              </w:rPr>
            </w:pPr>
            <w:r>
              <w:rPr>
                <w:rFonts w:ascii="宋体" w:hAnsi="宋体"/>
                <w:color w:val="auto"/>
              </w:rPr>
              <w:t>年龄</w:t>
            </w:r>
          </w:p>
        </w:tc>
        <w:tc>
          <w:tcPr>
            <w:tcW w:w="1065" w:type="dxa"/>
            <w:vAlign w:val="center"/>
          </w:tcPr>
          <w:p w14:paraId="4AC66A02">
            <w:pPr>
              <w:spacing w:line="400" w:lineRule="exact"/>
              <w:jc w:val="center"/>
              <w:rPr>
                <w:rFonts w:hint="eastAsia" w:ascii="宋体" w:hAnsi="宋体"/>
                <w:color w:val="auto"/>
              </w:rPr>
            </w:pPr>
            <w:r>
              <w:rPr>
                <w:rFonts w:hint="eastAsia" w:ascii="宋体" w:hAnsi="宋体"/>
                <w:color w:val="auto"/>
              </w:rPr>
              <w:t xml:space="preserve"> </w:t>
            </w:r>
          </w:p>
        </w:tc>
        <w:tc>
          <w:tcPr>
            <w:tcW w:w="2368" w:type="dxa"/>
            <w:gridSpan w:val="3"/>
            <w:vAlign w:val="center"/>
          </w:tcPr>
          <w:p w14:paraId="38DDA5A5">
            <w:pPr>
              <w:spacing w:line="400" w:lineRule="exact"/>
              <w:jc w:val="center"/>
              <w:rPr>
                <w:rFonts w:hint="eastAsia" w:ascii="宋体" w:hAnsi="宋体"/>
                <w:color w:val="auto"/>
              </w:rPr>
            </w:pPr>
            <w:r>
              <w:rPr>
                <w:rFonts w:ascii="宋体" w:hAnsi="宋体"/>
                <w:color w:val="auto"/>
              </w:rPr>
              <w:t>执业资格证书（或上岗证书）名称</w:t>
            </w:r>
          </w:p>
        </w:tc>
        <w:tc>
          <w:tcPr>
            <w:tcW w:w="1896" w:type="dxa"/>
            <w:vAlign w:val="center"/>
          </w:tcPr>
          <w:p w14:paraId="2A287965">
            <w:pPr>
              <w:spacing w:line="400" w:lineRule="exact"/>
              <w:jc w:val="center"/>
              <w:rPr>
                <w:rFonts w:hint="eastAsia" w:ascii="宋体" w:hAnsi="宋体"/>
                <w:color w:val="auto"/>
              </w:rPr>
            </w:pPr>
            <w:r>
              <w:rPr>
                <w:rFonts w:hint="eastAsia" w:ascii="宋体" w:cs="宋体"/>
                <w:color w:val="auto"/>
              </w:rPr>
              <w:t xml:space="preserve"> </w:t>
            </w:r>
          </w:p>
        </w:tc>
      </w:tr>
      <w:tr w14:paraId="5454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vAlign w:val="center"/>
          </w:tcPr>
          <w:p w14:paraId="59159686">
            <w:pPr>
              <w:spacing w:line="400" w:lineRule="exact"/>
              <w:jc w:val="center"/>
              <w:rPr>
                <w:rFonts w:hint="eastAsia" w:ascii="宋体" w:hAnsi="宋体"/>
                <w:color w:val="auto"/>
              </w:rPr>
            </w:pPr>
            <w:r>
              <w:rPr>
                <w:rFonts w:ascii="宋体" w:hAnsi="宋体"/>
                <w:color w:val="auto"/>
              </w:rPr>
              <w:t>职  称</w:t>
            </w:r>
          </w:p>
        </w:tc>
        <w:tc>
          <w:tcPr>
            <w:tcW w:w="1048" w:type="dxa"/>
            <w:gridSpan w:val="2"/>
            <w:vAlign w:val="center"/>
          </w:tcPr>
          <w:p w14:paraId="2C3C74C3">
            <w:pPr>
              <w:spacing w:line="400" w:lineRule="exact"/>
              <w:jc w:val="center"/>
              <w:rPr>
                <w:rFonts w:hint="eastAsia" w:ascii="宋体" w:hAnsi="宋体"/>
                <w:color w:val="auto"/>
              </w:rPr>
            </w:pPr>
            <w:r>
              <w:rPr>
                <w:rFonts w:hint="eastAsia" w:ascii="宋体" w:hAnsi="宋体"/>
                <w:color w:val="auto"/>
              </w:rPr>
              <w:t xml:space="preserve"> </w:t>
            </w:r>
          </w:p>
        </w:tc>
        <w:tc>
          <w:tcPr>
            <w:tcW w:w="958" w:type="dxa"/>
            <w:vAlign w:val="center"/>
          </w:tcPr>
          <w:p w14:paraId="26582DC4">
            <w:pPr>
              <w:spacing w:before="100" w:beforeAutospacing="1" w:after="100" w:afterAutospacing="1" w:line="400" w:lineRule="exact"/>
              <w:jc w:val="center"/>
              <w:rPr>
                <w:rFonts w:hint="eastAsia" w:ascii="宋体" w:hAnsi="宋体"/>
                <w:color w:val="auto"/>
              </w:rPr>
            </w:pPr>
            <w:r>
              <w:rPr>
                <w:rFonts w:ascii="宋体" w:hAnsi="宋体"/>
                <w:color w:val="auto"/>
              </w:rPr>
              <w:t>学历</w:t>
            </w:r>
          </w:p>
        </w:tc>
        <w:tc>
          <w:tcPr>
            <w:tcW w:w="1065" w:type="dxa"/>
            <w:vAlign w:val="center"/>
          </w:tcPr>
          <w:p w14:paraId="1FE07246">
            <w:pPr>
              <w:spacing w:line="400" w:lineRule="exact"/>
              <w:jc w:val="center"/>
              <w:rPr>
                <w:rFonts w:hint="eastAsia" w:ascii="宋体" w:hAnsi="宋体"/>
                <w:color w:val="auto"/>
              </w:rPr>
            </w:pPr>
            <w:r>
              <w:rPr>
                <w:rFonts w:hint="eastAsia" w:ascii="宋体" w:hAnsi="宋体"/>
                <w:color w:val="auto"/>
              </w:rPr>
              <w:t xml:space="preserve"> </w:t>
            </w:r>
          </w:p>
        </w:tc>
        <w:tc>
          <w:tcPr>
            <w:tcW w:w="2368" w:type="dxa"/>
            <w:gridSpan w:val="3"/>
            <w:vAlign w:val="center"/>
          </w:tcPr>
          <w:p w14:paraId="008CB882">
            <w:pPr>
              <w:spacing w:before="100" w:beforeAutospacing="1" w:after="100" w:afterAutospacing="1" w:line="400" w:lineRule="exact"/>
              <w:jc w:val="center"/>
              <w:rPr>
                <w:rFonts w:hint="eastAsia" w:ascii="宋体" w:hAnsi="宋体"/>
                <w:color w:val="auto"/>
              </w:rPr>
            </w:pPr>
            <w:r>
              <w:rPr>
                <w:rFonts w:ascii="宋体" w:hAnsi="宋体"/>
                <w:color w:val="auto"/>
              </w:rPr>
              <w:t>拟在本项目任职</w:t>
            </w:r>
          </w:p>
        </w:tc>
        <w:tc>
          <w:tcPr>
            <w:tcW w:w="1896" w:type="dxa"/>
            <w:vAlign w:val="center"/>
          </w:tcPr>
          <w:p w14:paraId="318EF4DF">
            <w:pPr>
              <w:spacing w:line="400" w:lineRule="exact"/>
              <w:jc w:val="center"/>
              <w:rPr>
                <w:rFonts w:hint="eastAsia" w:ascii="宋体" w:hAnsi="宋体"/>
                <w:color w:val="auto"/>
              </w:rPr>
            </w:pPr>
            <w:r>
              <w:rPr>
                <w:rFonts w:hint="eastAsia" w:ascii="宋体" w:hAnsi="宋体"/>
                <w:color w:val="auto"/>
              </w:rPr>
              <w:t xml:space="preserve"> </w:t>
            </w:r>
          </w:p>
        </w:tc>
      </w:tr>
      <w:tr w14:paraId="7190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vAlign w:val="center"/>
          </w:tcPr>
          <w:p w14:paraId="55E94DB9">
            <w:pPr>
              <w:spacing w:before="100" w:beforeAutospacing="1" w:after="100" w:afterAutospacing="1" w:line="400" w:lineRule="exact"/>
              <w:jc w:val="center"/>
              <w:rPr>
                <w:rFonts w:hint="eastAsia" w:ascii="宋体" w:hAnsi="宋体"/>
                <w:color w:val="auto"/>
              </w:rPr>
            </w:pPr>
            <w:r>
              <w:rPr>
                <w:rFonts w:ascii="宋体" w:hAnsi="宋体"/>
                <w:color w:val="auto"/>
              </w:rPr>
              <w:t>工作年限</w:t>
            </w:r>
          </w:p>
        </w:tc>
        <w:tc>
          <w:tcPr>
            <w:tcW w:w="3071" w:type="dxa"/>
            <w:gridSpan w:val="4"/>
            <w:vAlign w:val="center"/>
          </w:tcPr>
          <w:p w14:paraId="7257A90A">
            <w:pPr>
              <w:spacing w:line="400" w:lineRule="exact"/>
              <w:jc w:val="center"/>
              <w:rPr>
                <w:rFonts w:hint="eastAsia" w:ascii="宋体" w:hAnsi="宋体"/>
                <w:color w:val="auto"/>
              </w:rPr>
            </w:pPr>
            <w:r>
              <w:rPr>
                <w:rFonts w:hint="eastAsia" w:ascii="宋体" w:hAnsi="宋体"/>
                <w:color w:val="auto"/>
              </w:rPr>
              <w:t xml:space="preserve"> </w:t>
            </w:r>
          </w:p>
        </w:tc>
        <w:tc>
          <w:tcPr>
            <w:tcW w:w="2368" w:type="dxa"/>
            <w:gridSpan w:val="3"/>
            <w:vAlign w:val="center"/>
          </w:tcPr>
          <w:p w14:paraId="27FCE7FC">
            <w:pPr>
              <w:spacing w:before="100" w:beforeAutospacing="1" w:after="100" w:afterAutospacing="1" w:line="400" w:lineRule="exact"/>
              <w:jc w:val="center"/>
              <w:rPr>
                <w:rFonts w:hint="eastAsia" w:ascii="宋体" w:hAnsi="宋体"/>
                <w:color w:val="auto"/>
              </w:rPr>
            </w:pPr>
            <w:r>
              <w:rPr>
                <w:rFonts w:ascii="宋体" w:hAnsi="宋体"/>
                <w:color w:val="auto"/>
              </w:rPr>
              <w:t>从事工作年限</w:t>
            </w:r>
          </w:p>
        </w:tc>
        <w:tc>
          <w:tcPr>
            <w:tcW w:w="1896" w:type="dxa"/>
            <w:vAlign w:val="center"/>
          </w:tcPr>
          <w:p w14:paraId="2C5C720F">
            <w:pPr>
              <w:spacing w:line="400" w:lineRule="exact"/>
              <w:jc w:val="center"/>
              <w:rPr>
                <w:rFonts w:hint="eastAsia" w:ascii="宋体" w:hAnsi="宋体"/>
                <w:color w:val="auto"/>
              </w:rPr>
            </w:pPr>
            <w:r>
              <w:rPr>
                <w:rFonts w:hint="eastAsia" w:ascii="宋体" w:hAnsi="宋体"/>
                <w:color w:val="auto"/>
              </w:rPr>
              <w:t xml:space="preserve"> </w:t>
            </w:r>
          </w:p>
        </w:tc>
      </w:tr>
      <w:tr w14:paraId="6167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vAlign w:val="center"/>
          </w:tcPr>
          <w:p w14:paraId="4E127630">
            <w:pPr>
              <w:spacing w:before="100" w:beforeAutospacing="1" w:after="100" w:afterAutospacing="1" w:line="400" w:lineRule="exact"/>
              <w:jc w:val="center"/>
              <w:rPr>
                <w:rFonts w:hint="eastAsia" w:ascii="宋体" w:hAnsi="宋体"/>
                <w:color w:val="auto"/>
              </w:rPr>
            </w:pPr>
            <w:r>
              <w:rPr>
                <w:rFonts w:hint="eastAsia" w:ascii="宋体" w:hAnsi="宋体"/>
                <w:color w:val="auto"/>
              </w:rPr>
              <w:t>联系方式</w:t>
            </w:r>
          </w:p>
        </w:tc>
        <w:tc>
          <w:tcPr>
            <w:tcW w:w="7335" w:type="dxa"/>
            <w:gridSpan w:val="8"/>
            <w:vAlign w:val="center"/>
          </w:tcPr>
          <w:p w14:paraId="354CE12F">
            <w:pPr>
              <w:spacing w:before="100" w:beforeAutospacing="1" w:after="100" w:afterAutospacing="1" w:line="400" w:lineRule="exact"/>
              <w:ind w:firstLine="1155" w:firstLineChars="550"/>
              <w:rPr>
                <w:rFonts w:hint="eastAsia" w:ascii="宋体" w:hAnsi="宋体" w:cs="宋体"/>
                <w:color w:val="auto"/>
                <w:kern w:val="0"/>
                <w:szCs w:val="21"/>
              </w:rPr>
            </w:pPr>
          </w:p>
        </w:tc>
      </w:tr>
      <w:tr w14:paraId="3E7F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vAlign w:val="center"/>
          </w:tcPr>
          <w:p w14:paraId="60B5746D">
            <w:pPr>
              <w:spacing w:before="100" w:beforeAutospacing="1" w:after="100" w:afterAutospacing="1" w:line="400" w:lineRule="exact"/>
              <w:jc w:val="center"/>
              <w:rPr>
                <w:rFonts w:hint="eastAsia" w:ascii="宋体" w:hAnsi="宋体"/>
                <w:color w:val="auto"/>
              </w:rPr>
            </w:pPr>
            <w:r>
              <w:rPr>
                <w:rFonts w:ascii="宋体" w:hAnsi="宋体"/>
                <w:color w:val="auto"/>
              </w:rPr>
              <w:t>毕业学校</w:t>
            </w:r>
          </w:p>
        </w:tc>
        <w:tc>
          <w:tcPr>
            <w:tcW w:w="7335" w:type="dxa"/>
            <w:gridSpan w:val="8"/>
            <w:vAlign w:val="center"/>
          </w:tcPr>
          <w:p w14:paraId="2C406C17">
            <w:pPr>
              <w:spacing w:before="100" w:beforeAutospacing="1" w:after="100" w:afterAutospacing="1" w:line="400" w:lineRule="exact"/>
              <w:ind w:firstLine="1155" w:firstLineChars="550"/>
              <w:rPr>
                <w:rFonts w:hint="eastAsia" w:ascii="宋体" w:hAnsi="宋体"/>
                <w:color w:val="auto"/>
              </w:rPr>
            </w:pPr>
            <w:r>
              <w:rPr>
                <w:rFonts w:hint="eastAsia" w:ascii="宋体" w:hAnsi="宋体" w:cs="宋体"/>
                <w:color w:val="auto"/>
                <w:kern w:val="0"/>
                <w:szCs w:val="21"/>
              </w:rPr>
              <w:t xml:space="preserve"> </w:t>
            </w:r>
          </w:p>
        </w:tc>
      </w:tr>
      <w:tr w14:paraId="3701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9"/>
            <w:vAlign w:val="center"/>
          </w:tcPr>
          <w:p w14:paraId="3AFDD5D7">
            <w:pPr>
              <w:spacing w:before="100" w:beforeAutospacing="1" w:after="100" w:afterAutospacing="1" w:line="400" w:lineRule="exact"/>
              <w:jc w:val="left"/>
              <w:rPr>
                <w:rFonts w:hint="eastAsia" w:ascii="宋体" w:hAnsi="宋体"/>
                <w:color w:val="auto"/>
              </w:rPr>
            </w:pPr>
            <w:r>
              <w:rPr>
                <w:rFonts w:ascii="宋体" w:hAnsi="宋体"/>
                <w:color w:val="auto"/>
              </w:rPr>
              <w:t>主要工作经历</w:t>
            </w:r>
          </w:p>
        </w:tc>
      </w:tr>
      <w:tr w14:paraId="6A39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gridSpan w:val="2"/>
            <w:vAlign w:val="center"/>
          </w:tcPr>
          <w:p w14:paraId="4D1F4589">
            <w:pPr>
              <w:spacing w:before="100" w:beforeAutospacing="1" w:after="100" w:afterAutospacing="1" w:line="400" w:lineRule="exact"/>
              <w:jc w:val="center"/>
              <w:rPr>
                <w:rFonts w:hint="eastAsia" w:ascii="宋体" w:hAnsi="宋体"/>
                <w:color w:val="auto"/>
              </w:rPr>
            </w:pPr>
            <w:r>
              <w:rPr>
                <w:rFonts w:ascii="宋体" w:hAnsi="宋体"/>
                <w:color w:val="auto"/>
              </w:rPr>
              <w:t>时  间</w:t>
            </w:r>
          </w:p>
        </w:tc>
        <w:tc>
          <w:tcPr>
            <w:tcW w:w="3420" w:type="dxa"/>
            <w:gridSpan w:val="4"/>
            <w:vAlign w:val="center"/>
          </w:tcPr>
          <w:p w14:paraId="43BB6FE9">
            <w:pPr>
              <w:spacing w:before="100" w:beforeAutospacing="1" w:after="100" w:afterAutospacing="1" w:line="400" w:lineRule="exact"/>
              <w:jc w:val="center"/>
              <w:rPr>
                <w:rFonts w:hint="eastAsia" w:ascii="宋体" w:hAnsi="宋体"/>
                <w:color w:val="auto"/>
              </w:rPr>
            </w:pPr>
            <w:r>
              <w:rPr>
                <w:rFonts w:ascii="宋体" w:hAnsi="宋体"/>
                <w:color w:val="auto"/>
              </w:rPr>
              <w:t>参加过的类似项目</w:t>
            </w:r>
          </w:p>
        </w:tc>
        <w:tc>
          <w:tcPr>
            <w:tcW w:w="1261" w:type="dxa"/>
            <w:vAlign w:val="center"/>
          </w:tcPr>
          <w:p w14:paraId="08C12101">
            <w:pPr>
              <w:spacing w:before="100" w:beforeAutospacing="1" w:after="100" w:afterAutospacing="1" w:line="400" w:lineRule="exact"/>
              <w:jc w:val="center"/>
              <w:rPr>
                <w:rFonts w:hint="eastAsia" w:ascii="宋体" w:hAnsi="宋体"/>
                <w:color w:val="auto"/>
              </w:rPr>
            </w:pPr>
            <w:r>
              <w:rPr>
                <w:rFonts w:ascii="宋体" w:hAnsi="宋体"/>
                <w:color w:val="auto"/>
              </w:rPr>
              <w:t>担任职务</w:t>
            </w:r>
          </w:p>
        </w:tc>
        <w:tc>
          <w:tcPr>
            <w:tcW w:w="2297" w:type="dxa"/>
            <w:gridSpan w:val="2"/>
            <w:vAlign w:val="center"/>
          </w:tcPr>
          <w:p w14:paraId="741BD14B">
            <w:pPr>
              <w:spacing w:before="100" w:beforeAutospacing="1" w:after="100" w:afterAutospacing="1" w:line="400" w:lineRule="exact"/>
              <w:jc w:val="center"/>
              <w:rPr>
                <w:rFonts w:hint="eastAsia" w:ascii="宋体" w:hAnsi="宋体"/>
                <w:color w:val="auto"/>
              </w:rPr>
            </w:pPr>
            <w:r>
              <w:rPr>
                <w:rFonts w:ascii="宋体" w:hAnsi="宋体"/>
                <w:color w:val="auto"/>
              </w:rPr>
              <w:t>委托人及联系电话</w:t>
            </w:r>
          </w:p>
        </w:tc>
      </w:tr>
      <w:tr w14:paraId="7ECD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gridSpan w:val="2"/>
          </w:tcPr>
          <w:p w14:paraId="2A5B5AC6">
            <w:pPr>
              <w:spacing w:line="400" w:lineRule="exact"/>
              <w:jc w:val="center"/>
              <w:rPr>
                <w:rFonts w:hint="eastAsia" w:ascii="宋体" w:hAnsi="宋体"/>
                <w:color w:val="auto"/>
              </w:rPr>
            </w:pPr>
            <w:r>
              <w:rPr>
                <w:rFonts w:hint="eastAsia" w:ascii="宋体" w:hAnsi="宋体"/>
                <w:color w:val="auto"/>
              </w:rPr>
              <w:t xml:space="preserve"> </w:t>
            </w:r>
          </w:p>
        </w:tc>
        <w:tc>
          <w:tcPr>
            <w:tcW w:w="3420" w:type="dxa"/>
            <w:gridSpan w:val="4"/>
          </w:tcPr>
          <w:p w14:paraId="0DB636CC">
            <w:pPr>
              <w:spacing w:line="400" w:lineRule="exact"/>
              <w:jc w:val="center"/>
              <w:rPr>
                <w:rFonts w:hint="eastAsia" w:ascii="宋体" w:hAnsi="宋体"/>
                <w:color w:val="auto"/>
              </w:rPr>
            </w:pPr>
            <w:r>
              <w:rPr>
                <w:rFonts w:hint="eastAsia" w:ascii="宋体" w:hAnsi="宋体"/>
                <w:color w:val="auto"/>
              </w:rPr>
              <w:t xml:space="preserve"> </w:t>
            </w:r>
          </w:p>
        </w:tc>
        <w:tc>
          <w:tcPr>
            <w:tcW w:w="1261" w:type="dxa"/>
          </w:tcPr>
          <w:p w14:paraId="2260F3EC">
            <w:pPr>
              <w:spacing w:line="400" w:lineRule="exact"/>
              <w:jc w:val="center"/>
              <w:rPr>
                <w:rFonts w:hint="eastAsia" w:ascii="宋体" w:hAnsi="宋体"/>
                <w:color w:val="auto"/>
              </w:rPr>
            </w:pPr>
            <w:r>
              <w:rPr>
                <w:rFonts w:hint="eastAsia" w:ascii="宋体" w:hAnsi="宋体"/>
                <w:color w:val="auto"/>
              </w:rPr>
              <w:t xml:space="preserve"> </w:t>
            </w:r>
          </w:p>
        </w:tc>
        <w:tc>
          <w:tcPr>
            <w:tcW w:w="2297" w:type="dxa"/>
            <w:gridSpan w:val="2"/>
          </w:tcPr>
          <w:p w14:paraId="7C7A66F8">
            <w:pPr>
              <w:spacing w:line="400" w:lineRule="exact"/>
              <w:jc w:val="center"/>
              <w:rPr>
                <w:rFonts w:hint="eastAsia" w:ascii="宋体" w:hAnsi="宋体"/>
                <w:color w:val="auto"/>
              </w:rPr>
            </w:pPr>
            <w:r>
              <w:rPr>
                <w:rFonts w:hint="eastAsia" w:ascii="宋体" w:hAnsi="宋体"/>
                <w:color w:val="auto"/>
              </w:rPr>
              <w:t xml:space="preserve"> </w:t>
            </w:r>
          </w:p>
        </w:tc>
      </w:tr>
      <w:tr w14:paraId="5864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gridSpan w:val="2"/>
          </w:tcPr>
          <w:p w14:paraId="1F7D29CF">
            <w:pPr>
              <w:spacing w:line="400" w:lineRule="exact"/>
              <w:rPr>
                <w:rFonts w:hint="eastAsia" w:ascii="宋体" w:hAnsi="宋体"/>
                <w:color w:val="auto"/>
              </w:rPr>
            </w:pPr>
          </w:p>
        </w:tc>
        <w:tc>
          <w:tcPr>
            <w:tcW w:w="3420" w:type="dxa"/>
            <w:gridSpan w:val="4"/>
          </w:tcPr>
          <w:p w14:paraId="1FB9BC8C">
            <w:pPr>
              <w:spacing w:line="400" w:lineRule="exact"/>
              <w:rPr>
                <w:rFonts w:hint="eastAsia" w:ascii="宋体" w:hAnsi="宋体"/>
                <w:color w:val="auto"/>
              </w:rPr>
            </w:pPr>
          </w:p>
        </w:tc>
        <w:tc>
          <w:tcPr>
            <w:tcW w:w="1261" w:type="dxa"/>
          </w:tcPr>
          <w:p w14:paraId="3383123D">
            <w:pPr>
              <w:spacing w:line="400" w:lineRule="exact"/>
              <w:rPr>
                <w:rFonts w:hint="eastAsia" w:ascii="宋体" w:hAnsi="宋体"/>
                <w:color w:val="auto"/>
              </w:rPr>
            </w:pPr>
          </w:p>
        </w:tc>
        <w:tc>
          <w:tcPr>
            <w:tcW w:w="2297" w:type="dxa"/>
            <w:gridSpan w:val="2"/>
          </w:tcPr>
          <w:p w14:paraId="465F7DA9">
            <w:pPr>
              <w:spacing w:line="400" w:lineRule="exact"/>
              <w:rPr>
                <w:rFonts w:hint="eastAsia" w:ascii="宋体" w:hAnsi="宋体"/>
                <w:color w:val="auto"/>
              </w:rPr>
            </w:pPr>
          </w:p>
        </w:tc>
      </w:tr>
      <w:tr w14:paraId="7877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gridSpan w:val="2"/>
          </w:tcPr>
          <w:p w14:paraId="24493FF7">
            <w:pPr>
              <w:spacing w:line="400" w:lineRule="exact"/>
              <w:rPr>
                <w:rFonts w:hint="eastAsia" w:ascii="宋体" w:hAnsi="宋体"/>
                <w:color w:val="auto"/>
              </w:rPr>
            </w:pPr>
          </w:p>
        </w:tc>
        <w:tc>
          <w:tcPr>
            <w:tcW w:w="3420" w:type="dxa"/>
            <w:gridSpan w:val="4"/>
          </w:tcPr>
          <w:p w14:paraId="2927A79F">
            <w:pPr>
              <w:spacing w:line="400" w:lineRule="exact"/>
              <w:rPr>
                <w:rFonts w:hint="eastAsia" w:ascii="宋体" w:hAnsi="宋体"/>
                <w:color w:val="auto"/>
              </w:rPr>
            </w:pPr>
          </w:p>
        </w:tc>
        <w:tc>
          <w:tcPr>
            <w:tcW w:w="1261" w:type="dxa"/>
          </w:tcPr>
          <w:p w14:paraId="71563DC6">
            <w:pPr>
              <w:spacing w:line="400" w:lineRule="exact"/>
              <w:rPr>
                <w:rFonts w:hint="eastAsia" w:ascii="宋体" w:hAnsi="宋体"/>
                <w:color w:val="auto"/>
              </w:rPr>
            </w:pPr>
          </w:p>
        </w:tc>
        <w:tc>
          <w:tcPr>
            <w:tcW w:w="2297" w:type="dxa"/>
            <w:gridSpan w:val="2"/>
          </w:tcPr>
          <w:p w14:paraId="148CCBEB">
            <w:pPr>
              <w:spacing w:line="400" w:lineRule="exact"/>
              <w:rPr>
                <w:rFonts w:hint="eastAsia" w:ascii="宋体" w:hAnsi="宋体"/>
                <w:color w:val="auto"/>
              </w:rPr>
            </w:pPr>
          </w:p>
        </w:tc>
      </w:tr>
      <w:tr w14:paraId="510F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gridSpan w:val="2"/>
            <w:vAlign w:val="center"/>
          </w:tcPr>
          <w:p w14:paraId="244B1E05">
            <w:pPr>
              <w:spacing w:line="400" w:lineRule="exact"/>
              <w:rPr>
                <w:rFonts w:hint="eastAsia" w:ascii="宋体" w:hAnsi="宋体"/>
                <w:color w:val="auto"/>
              </w:rPr>
            </w:pPr>
          </w:p>
        </w:tc>
        <w:tc>
          <w:tcPr>
            <w:tcW w:w="3420" w:type="dxa"/>
            <w:gridSpan w:val="4"/>
            <w:vAlign w:val="center"/>
          </w:tcPr>
          <w:p w14:paraId="70CB6C79">
            <w:pPr>
              <w:spacing w:line="400" w:lineRule="exact"/>
              <w:rPr>
                <w:rFonts w:hint="eastAsia" w:ascii="宋体" w:hAnsi="宋体"/>
                <w:color w:val="auto"/>
              </w:rPr>
            </w:pPr>
          </w:p>
        </w:tc>
        <w:tc>
          <w:tcPr>
            <w:tcW w:w="1261" w:type="dxa"/>
            <w:vAlign w:val="center"/>
          </w:tcPr>
          <w:p w14:paraId="470D42CF">
            <w:pPr>
              <w:spacing w:line="400" w:lineRule="exact"/>
              <w:rPr>
                <w:rFonts w:hint="eastAsia" w:ascii="宋体" w:hAnsi="宋体"/>
                <w:color w:val="auto"/>
              </w:rPr>
            </w:pPr>
          </w:p>
        </w:tc>
        <w:tc>
          <w:tcPr>
            <w:tcW w:w="2297" w:type="dxa"/>
            <w:gridSpan w:val="2"/>
            <w:vAlign w:val="center"/>
          </w:tcPr>
          <w:p w14:paraId="62C8EBEB">
            <w:pPr>
              <w:spacing w:line="400" w:lineRule="exact"/>
              <w:rPr>
                <w:rFonts w:hint="eastAsia" w:ascii="宋体" w:hAnsi="宋体"/>
                <w:color w:val="auto"/>
              </w:rPr>
            </w:pPr>
          </w:p>
        </w:tc>
      </w:tr>
      <w:tr w14:paraId="6467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gridSpan w:val="2"/>
            <w:vAlign w:val="center"/>
          </w:tcPr>
          <w:p w14:paraId="5B89942C">
            <w:pPr>
              <w:spacing w:line="400" w:lineRule="exact"/>
              <w:rPr>
                <w:rFonts w:hint="eastAsia" w:ascii="宋体" w:hAnsi="宋体"/>
                <w:color w:val="auto"/>
              </w:rPr>
            </w:pPr>
          </w:p>
        </w:tc>
        <w:tc>
          <w:tcPr>
            <w:tcW w:w="3420" w:type="dxa"/>
            <w:gridSpan w:val="4"/>
            <w:vAlign w:val="center"/>
          </w:tcPr>
          <w:p w14:paraId="48063BE4">
            <w:pPr>
              <w:spacing w:line="400" w:lineRule="exact"/>
              <w:rPr>
                <w:rFonts w:hint="eastAsia" w:ascii="宋体" w:hAnsi="宋体"/>
                <w:color w:val="auto"/>
              </w:rPr>
            </w:pPr>
          </w:p>
        </w:tc>
        <w:tc>
          <w:tcPr>
            <w:tcW w:w="1261" w:type="dxa"/>
            <w:vAlign w:val="center"/>
          </w:tcPr>
          <w:p w14:paraId="323486DA">
            <w:pPr>
              <w:spacing w:line="400" w:lineRule="exact"/>
              <w:rPr>
                <w:rFonts w:hint="eastAsia" w:ascii="宋体" w:hAnsi="宋体"/>
                <w:color w:val="auto"/>
              </w:rPr>
            </w:pPr>
          </w:p>
        </w:tc>
        <w:tc>
          <w:tcPr>
            <w:tcW w:w="2297" w:type="dxa"/>
            <w:gridSpan w:val="2"/>
            <w:vAlign w:val="center"/>
          </w:tcPr>
          <w:p w14:paraId="242617B0">
            <w:pPr>
              <w:spacing w:line="400" w:lineRule="exact"/>
              <w:rPr>
                <w:rFonts w:hint="eastAsia" w:ascii="宋体" w:hAnsi="宋体"/>
                <w:color w:val="auto"/>
              </w:rPr>
            </w:pPr>
          </w:p>
        </w:tc>
      </w:tr>
      <w:tr w14:paraId="5E62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gridSpan w:val="2"/>
            <w:vAlign w:val="center"/>
          </w:tcPr>
          <w:p w14:paraId="71D249D8">
            <w:pPr>
              <w:spacing w:line="400" w:lineRule="exact"/>
              <w:rPr>
                <w:rFonts w:hint="eastAsia" w:ascii="宋体" w:hAnsi="宋体"/>
                <w:color w:val="auto"/>
              </w:rPr>
            </w:pPr>
          </w:p>
        </w:tc>
        <w:tc>
          <w:tcPr>
            <w:tcW w:w="3420" w:type="dxa"/>
            <w:gridSpan w:val="4"/>
            <w:vAlign w:val="center"/>
          </w:tcPr>
          <w:p w14:paraId="2B67E8C5">
            <w:pPr>
              <w:spacing w:line="400" w:lineRule="exact"/>
              <w:rPr>
                <w:rFonts w:hint="eastAsia" w:ascii="宋体" w:hAnsi="宋体"/>
                <w:color w:val="auto"/>
              </w:rPr>
            </w:pPr>
          </w:p>
        </w:tc>
        <w:tc>
          <w:tcPr>
            <w:tcW w:w="1261" w:type="dxa"/>
            <w:vAlign w:val="center"/>
          </w:tcPr>
          <w:p w14:paraId="4C598670">
            <w:pPr>
              <w:spacing w:line="400" w:lineRule="exact"/>
              <w:rPr>
                <w:rFonts w:hint="eastAsia" w:ascii="宋体" w:hAnsi="宋体"/>
                <w:color w:val="auto"/>
              </w:rPr>
            </w:pPr>
          </w:p>
        </w:tc>
        <w:tc>
          <w:tcPr>
            <w:tcW w:w="2297" w:type="dxa"/>
            <w:gridSpan w:val="2"/>
            <w:vAlign w:val="center"/>
          </w:tcPr>
          <w:p w14:paraId="21874B5C">
            <w:pPr>
              <w:spacing w:line="400" w:lineRule="exact"/>
              <w:rPr>
                <w:rFonts w:hint="eastAsia" w:ascii="宋体" w:hAnsi="宋体"/>
                <w:color w:val="auto"/>
              </w:rPr>
            </w:pPr>
          </w:p>
        </w:tc>
      </w:tr>
      <w:tr w14:paraId="2102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4" w:type="dxa"/>
            <w:gridSpan w:val="2"/>
            <w:vAlign w:val="center"/>
          </w:tcPr>
          <w:p w14:paraId="0E44E76B">
            <w:pPr>
              <w:spacing w:line="400" w:lineRule="exact"/>
              <w:rPr>
                <w:rFonts w:hint="eastAsia" w:ascii="宋体" w:hAnsi="宋体"/>
                <w:color w:val="auto"/>
              </w:rPr>
            </w:pPr>
          </w:p>
        </w:tc>
        <w:tc>
          <w:tcPr>
            <w:tcW w:w="3420" w:type="dxa"/>
            <w:gridSpan w:val="4"/>
            <w:vAlign w:val="center"/>
          </w:tcPr>
          <w:p w14:paraId="046EA840">
            <w:pPr>
              <w:spacing w:line="400" w:lineRule="exact"/>
              <w:rPr>
                <w:rFonts w:hint="eastAsia" w:ascii="宋体" w:hAnsi="宋体"/>
                <w:color w:val="auto"/>
              </w:rPr>
            </w:pPr>
          </w:p>
        </w:tc>
        <w:tc>
          <w:tcPr>
            <w:tcW w:w="1261" w:type="dxa"/>
            <w:vAlign w:val="center"/>
          </w:tcPr>
          <w:p w14:paraId="24395174">
            <w:pPr>
              <w:spacing w:line="400" w:lineRule="exact"/>
              <w:rPr>
                <w:rFonts w:hint="eastAsia" w:ascii="宋体" w:hAnsi="宋体"/>
                <w:color w:val="auto"/>
              </w:rPr>
            </w:pPr>
          </w:p>
        </w:tc>
        <w:tc>
          <w:tcPr>
            <w:tcW w:w="2297" w:type="dxa"/>
            <w:gridSpan w:val="2"/>
            <w:vAlign w:val="center"/>
          </w:tcPr>
          <w:p w14:paraId="45F69D71">
            <w:pPr>
              <w:spacing w:line="400" w:lineRule="exact"/>
              <w:rPr>
                <w:rFonts w:hint="eastAsia" w:ascii="宋体" w:hAnsi="宋体"/>
                <w:color w:val="auto"/>
              </w:rPr>
            </w:pPr>
          </w:p>
        </w:tc>
      </w:tr>
    </w:tbl>
    <w:p w14:paraId="0329D5CA">
      <w:pPr>
        <w:pStyle w:val="3"/>
        <w:spacing w:before="0" w:after="0" w:line="360" w:lineRule="auto"/>
        <w:ind w:firstLine="643"/>
        <w:jc w:val="center"/>
        <w:rPr>
          <w:rFonts w:hint="eastAsia" w:asciiTheme="minorEastAsia" w:hAnsiTheme="minorEastAsia" w:eastAsiaTheme="minorEastAsia"/>
          <w:bCs/>
          <w:color w:val="auto"/>
          <w:szCs w:val="21"/>
        </w:rPr>
      </w:pPr>
    </w:p>
    <w:p w14:paraId="76FB6146">
      <w:pPr>
        <w:pStyle w:val="3"/>
        <w:spacing w:before="0" w:after="0" w:line="360" w:lineRule="auto"/>
        <w:ind w:firstLine="643"/>
        <w:jc w:val="center"/>
        <w:rPr>
          <w:rFonts w:hint="eastAsia" w:asciiTheme="minorEastAsia" w:hAnsiTheme="minorEastAsia" w:eastAsiaTheme="minorEastAsia"/>
          <w:bCs/>
          <w:color w:val="auto"/>
          <w:szCs w:val="21"/>
        </w:rPr>
      </w:pPr>
    </w:p>
    <w:p w14:paraId="24CFB1CB">
      <w:pPr>
        <w:ind w:firstLine="640"/>
        <w:rPr>
          <w:rFonts w:hint="eastAsia" w:asciiTheme="minorEastAsia" w:hAnsiTheme="minorEastAsia" w:eastAsiaTheme="minorEastAsia"/>
          <w:bCs/>
          <w:color w:val="auto"/>
          <w:sz w:val="32"/>
          <w:szCs w:val="21"/>
        </w:rPr>
      </w:pPr>
    </w:p>
    <w:p w14:paraId="4EE490C9">
      <w:pPr>
        <w:pStyle w:val="16"/>
        <w:ind w:firstLine="640"/>
        <w:rPr>
          <w:rFonts w:hint="eastAsia" w:asciiTheme="minorEastAsia" w:hAnsiTheme="minorEastAsia" w:eastAsiaTheme="minorEastAsia"/>
          <w:bCs/>
          <w:color w:val="auto"/>
          <w:sz w:val="32"/>
          <w:szCs w:val="21"/>
        </w:rPr>
      </w:pPr>
    </w:p>
    <w:p w14:paraId="31935945">
      <w:pPr>
        <w:ind w:firstLine="640"/>
        <w:rPr>
          <w:rFonts w:hint="eastAsia" w:asciiTheme="minorEastAsia" w:hAnsiTheme="minorEastAsia" w:eastAsiaTheme="minorEastAsia"/>
          <w:bCs/>
          <w:color w:val="auto"/>
          <w:sz w:val="32"/>
          <w:szCs w:val="21"/>
        </w:rPr>
      </w:pPr>
    </w:p>
    <w:p w14:paraId="7CD47545">
      <w:pPr>
        <w:pStyle w:val="16"/>
        <w:ind w:firstLine="640"/>
        <w:rPr>
          <w:rFonts w:hint="eastAsia" w:asciiTheme="minorEastAsia" w:hAnsiTheme="minorEastAsia" w:eastAsiaTheme="minorEastAsia"/>
          <w:bCs/>
          <w:color w:val="auto"/>
          <w:sz w:val="32"/>
          <w:szCs w:val="21"/>
        </w:rPr>
      </w:pPr>
    </w:p>
    <w:p w14:paraId="7DA3C3A9">
      <w:pPr>
        <w:ind w:firstLine="640"/>
        <w:rPr>
          <w:rFonts w:hint="eastAsia" w:asciiTheme="minorEastAsia" w:hAnsiTheme="minorEastAsia" w:eastAsiaTheme="minorEastAsia"/>
          <w:bCs/>
          <w:color w:val="auto"/>
          <w:sz w:val="32"/>
          <w:szCs w:val="21"/>
        </w:rPr>
      </w:pPr>
    </w:p>
    <w:p w14:paraId="0E96244E">
      <w:pPr>
        <w:pStyle w:val="16"/>
        <w:ind w:firstLine="640"/>
        <w:rPr>
          <w:rFonts w:hint="eastAsia" w:asciiTheme="minorEastAsia" w:hAnsiTheme="minorEastAsia" w:eastAsiaTheme="minorEastAsia"/>
          <w:bCs/>
          <w:color w:val="auto"/>
          <w:sz w:val="32"/>
          <w:szCs w:val="21"/>
        </w:rPr>
      </w:pPr>
    </w:p>
    <w:p w14:paraId="30FB8C32">
      <w:pPr>
        <w:ind w:firstLine="640"/>
        <w:rPr>
          <w:rFonts w:hint="eastAsia" w:asciiTheme="minorEastAsia" w:hAnsiTheme="minorEastAsia" w:eastAsiaTheme="minorEastAsia"/>
          <w:bCs/>
          <w:color w:val="auto"/>
          <w:sz w:val="32"/>
          <w:szCs w:val="21"/>
        </w:rPr>
      </w:pPr>
    </w:p>
    <w:p w14:paraId="3D3E150F">
      <w:pPr>
        <w:pStyle w:val="16"/>
        <w:ind w:firstLine="640"/>
        <w:rPr>
          <w:rFonts w:hint="eastAsia" w:asciiTheme="minorEastAsia" w:hAnsiTheme="minorEastAsia" w:eastAsiaTheme="minorEastAsia"/>
          <w:bCs/>
          <w:color w:val="auto"/>
          <w:sz w:val="32"/>
          <w:szCs w:val="21"/>
        </w:rPr>
      </w:pPr>
    </w:p>
    <w:p w14:paraId="11BAB173">
      <w:pPr>
        <w:ind w:firstLine="640"/>
        <w:rPr>
          <w:rFonts w:hint="eastAsia" w:asciiTheme="minorEastAsia" w:hAnsiTheme="minorEastAsia" w:eastAsiaTheme="minorEastAsia"/>
          <w:bCs/>
          <w:color w:val="auto"/>
          <w:sz w:val="32"/>
          <w:szCs w:val="21"/>
        </w:rPr>
      </w:pPr>
    </w:p>
    <w:p w14:paraId="423649D1">
      <w:pPr>
        <w:pStyle w:val="16"/>
        <w:ind w:firstLine="640"/>
        <w:rPr>
          <w:rFonts w:hint="eastAsia" w:asciiTheme="minorEastAsia" w:hAnsiTheme="minorEastAsia" w:eastAsiaTheme="minorEastAsia"/>
          <w:bCs/>
          <w:color w:val="auto"/>
          <w:sz w:val="32"/>
          <w:szCs w:val="21"/>
        </w:rPr>
      </w:pPr>
    </w:p>
    <w:p w14:paraId="37BAA3E1">
      <w:pPr>
        <w:ind w:firstLine="640"/>
        <w:rPr>
          <w:rFonts w:hint="eastAsia" w:asciiTheme="minorEastAsia" w:hAnsiTheme="minorEastAsia" w:eastAsiaTheme="minorEastAsia"/>
          <w:bCs/>
          <w:color w:val="auto"/>
          <w:sz w:val="32"/>
          <w:szCs w:val="21"/>
        </w:rPr>
      </w:pPr>
    </w:p>
    <w:p w14:paraId="0E2DB71F">
      <w:pPr>
        <w:pStyle w:val="16"/>
        <w:rPr>
          <w:color w:val="auto"/>
        </w:rPr>
      </w:pPr>
    </w:p>
    <w:p w14:paraId="0AD6E593">
      <w:pPr>
        <w:pStyle w:val="3"/>
        <w:spacing w:before="0" w:after="0" w:line="360" w:lineRule="auto"/>
        <w:ind w:firstLine="643"/>
        <w:jc w:val="center"/>
        <w:rPr>
          <w:rFonts w:hint="eastAsia" w:asciiTheme="minorEastAsia" w:hAnsiTheme="minorEastAsia" w:eastAsiaTheme="minorEastAsia"/>
          <w:bCs/>
          <w:color w:val="auto"/>
          <w:szCs w:val="21"/>
        </w:rPr>
      </w:pPr>
    </w:p>
    <w:p w14:paraId="7131EC8D">
      <w:pPr>
        <w:pStyle w:val="3"/>
        <w:spacing w:before="0" w:after="0" w:line="360" w:lineRule="auto"/>
        <w:ind w:firstLine="643"/>
        <w:jc w:val="center"/>
        <w:rPr>
          <w:rFonts w:hint="eastAsia" w:asciiTheme="minorEastAsia" w:hAnsiTheme="minorEastAsia" w:eastAsiaTheme="minorEastAsia"/>
          <w:bCs/>
          <w:color w:val="auto"/>
          <w:szCs w:val="21"/>
        </w:rPr>
      </w:pPr>
      <w:r>
        <w:rPr>
          <w:rFonts w:hint="eastAsia" w:asciiTheme="minorEastAsia" w:hAnsiTheme="minorEastAsia" w:eastAsiaTheme="minorEastAsia"/>
          <w:bCs/>
          <w:color w:val="auto"/>
          <w:szCs w:val="21"/>
        </w:rPr>
        <w:t>（七）其他资料</w:t>
      </w:r>
      <w:bookmarkEnd w:id="537"/>
    </w:p>
    <w:p w14:paraId="234CC740">
      <w:pPr>
        <w:pStyle w:val="16"/>
        <w:spacing w:after="0" w:line="360" w:lineRule="auto"/>
        <w:ind w:firstLine="440" w:firstLineChars="200"/>
        <w:rPr>
          <w:rFonts w:hint="eastAsia" w:ascii="宋体" w:hAnsi="宋体"/>
          <w:color w:val="auto"/>
          <w:sz w:val="22"/>
          <w:szCs w:val="22"/>
        </w:rPr>
      </w:pPr>
      <w:r>
        <w:rPr>
          <w:rFonts w:hint="eastAsia" w:ascii="宋体" w:hAnsi="宋体"/>
          <w:color w:val="auto"/>
          <w:sz w:val="22"/>
          <w:szCs w:val="22"/>
        </w:rPr>
        <w:t xml:space="preserve">1. </w:t>
      </w:r>
    </w:p>
    <w:p w14:paraId="538496A0">
      <w:pPr>
        <w:spacing w:line="360" w:lineRule="auto"/>
        <w:ind w:firstLine="440" w:firstLineChars="200"/>
        <w:rPr>
          <w:rFonts w:hint="eastAsia" w:ascii="宋体" w:hAnsi="宋体"/>
          <w:color w:val="auto"/>
          <w:sz w:val="22"/>
        </w:rPr>
      </w:pPr>
      <w:r>
        <w:rPr>
          <w:rFonts w:hint="eastAsia" w:ascii="宋体" w:hAnsi="宋体"/>
          <w:color w:val="auto"/>
          <w:sz w:val="22"/>
        </w:rPr>
        <w:t>2.</w:t>
      </w:r>
    </w:p>
    <w:p w14:paraId="209350B1">
      <w:pPr>
        <w:spacing w:line="360" w:lineRule="auto"/>
        <w:ind w:firstLine="440" w:firstLineChars="200"/>
        <w:rPr>
          <w:rFonts w:hint="eastAsia" w:ascii="宋体" w:hAnsi="宋体"/>
          <w:color w:val="auto"/>
          <w:sz w:val="22"/>
        </w:rPr>
      </w:pPr>
      <w:r>
        <w:rPr>
          <w:rFonts w:ascii="宋体" w:hAnsi="宋体"/>
          <w:color w:val="auto"/>
          <w:sz w:val="22"/>
        </w:rPr>
        <w:t>……</w:t>
      </w:r>
    </w:p>
    <w:p w14:paraId="4E8B649A">
      <w:pPr>
        <w:rPr>
          <w:rFonts w:hint="eastAsia" w:ascii="宋体" w:hAnsi="宋体"/>
          <w:color w:val="auto"/>
          <w:sz w:val="22"/>
        </w:rPr>
      </w:pPr>
      <w:r>
        <w:rPr>
          <w:rFonts w:ascii="宋体" w:hAnsi="宋体"/>
          <w:color w:val="auto"/>
          <w:sz w:val="22"/>
        </w:rPr>
        <w:br w:type="page"/>
      </w:r>
    </w:p>
    <w:p w14:paraId="549F3AAA">
      <w:pPr>
        <w:jc w:val="left"/>
        <w:rPr>
          <w:rFonts w:eastAsia="黑体"/>
          <w:color w:val="auto"/>
          <w:sz w:val="28"/>
          <w:szCs w:val="28"/>
        </w:rPr>
      </w:pPr>
      <w:r>
        <w:rPr>
          <w:rFonts w:hint="eastAsia" w:eastAsia="黑体"/>
          <w:color w:val="auto"/>
          <w:sz w:val="28"/>
          <w:szCs w:val="28"/>
        </w:rPr>
        <w:t>附件一</w:t>
      </w:r>
    </w:p>
    <w:p w14:paraId="7B9A79F9">
      <w:pPr>
        <w:jc w:val="center"/>
        <w:rPr>
          <w:rFonts w:eastAsia="黑体"/>
          <w:b/>
          <w:bCs/>
          <w:color w:val="auto"/>
          <w:spacing w:val="40"/>
        </w:rPr>
      </w:pPr>
      <w:r>
        <w:rPr>
          <w:rFonts w:hint="eastAsia" w:eastAsia="黑体"/>
          <w:b/>
          <w:bCs/>
          <w:color w:val="auto"/>
          <w:sz w:val="44"/>
          <w:szCs w:val="44"/>
        </w:rPr>
        <w:t>报名登记表</w:t>
      </w:r>
    </w:p>
    <w:tbl>
      <w:tblPr>
        <w:tblStyle w:val="40"/>
        <w:tblW w:w="8853"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2"/>
        <w:gridCol w:w="2105"/>
        <w:gridCol w:w="895"/>
        <w:gridCol w:w="3641"/>
      </w:tblGrid>
      <w:tr w14:paraId="49C6B6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2212" w:type="dxa"/>
            <w:vAlign w:val="center"/>
          </w:tcPr>
          <w:p w14:paraId="70464D13">
            <w:pPr>
              <w:jc w:val="center"/>
              <w:rPr>
                <w:color w:val="auto"/>
                <w:sz w:val="30"/>
                <w:szCs w:val="30"/>
              </w:rPr>
            </w:pPr>
            <w:r>
              <w:rPr>
                <w:rFonts w:hint="eastAsia"/>
                <w:color w:val="auto"/>
                <w:sz w:val="30"/>
                <w:szCs w:val="30"/>
              </w:rPr>
              <w:t>项目号</w:t>
            </w:r>
          </w:p>
        </w:tc>
        <w:tc>
          <w:tcPr>
            <w:tcW w:w="6641" w:type="dxa"/>
            <w:gridSpan w:val="3"/>
            <w:vAlign w:val="center"/>
          </w:tcPr>
          <w:p w14:paraId="5407C969">
            <w:pPr>
              <w:spacing w:line="700" w:lineRule="exact"/>
              <w:jc w:val="center"/>
              <w:rPr>
                <w:color w:val="auto"/>
                <w:sz w:val="30"/>
                <w:szCs w:val="30"/>
              </w:rPr>
            </w:pPr>
            <w:r>
              <w:rPr>
                <w:rFonts w:hint="eastAsia"/>
                <w:color w:val="auto"/>
                <w:sz w:val="30"/>
                <w:szCs w:val="30"/>
              </w:rPr>
              <w:t xml:space="preserve"> </w:t>
            </w:r>
          </w:p>
        </w:tc>
      </w:tr>
      <w:tr w14:paraId="3B8A6D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2212" w:type="dxa"/>
            <w:vAlign w:val="center"/>
          </w:tcPr>
          <w:p w14:paraId="675657A0">
            <w:pPr>
              <w:jc w:val="center"/>
              <w:rPr>
                <w:color w:val="auto"/>
                <w:sz w:val="30"/>
                <w:szCs w:val="30"/>
              </w:rPr>
            </w:pPr>
            <w:r>
              <w:rPr>
                <w:rFonts w:hint="eastAsia"/>
                <w:color w:val="auto"/>
                <w:sz w:val="30"/>
                <w:szCs w:val="30"/>
              </w:rPr>
              <w:t>项目名称</w:t>
            </w:r>
          </w:p>
        </w:tc>
        <w:tc>
          <w:tcPr>
            <w:tcW w:w="6641" w:type="dxa"/>
            <w:gridSpan w:val="3"/>
            <w:vAlign w:val="center"/>
          </w:tcPr>
          <w:p w14:paraId="766C807F">
            <w:pPr>
              <w:spacing w:line="700" w:lineRule="exact"/>
              <w:jc w:val="center"/>
              <w:rPr>
                <w:color w:val="auto"/>
                <w:sz w:val="30"/>
                <w:szCs w:val="30"/>
              </w:rPr>
            </w:pPr>
          </w:p>
        </w:tc>
      </w:tr>
      <w:tr w14:paraId="00E523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2212" w:type="dxa"/>
            <w:vAlign w:val="center"/>
          </w:tcPr>
          <w:p w14:paraId="4889D239">
            <w:pPr>
              <w:jc w:val="center"/>
              <w:rPr>
                <w:color w:val="auto"/>
                <w:sz w:val="30"/>
                <w:szCs w:val="30"/>
              </w:rPr>
            </w:pPr>
            <w:r>
              <w:rPr>
                <w:rFonts w:hint="eastAsia"/>
                <w:color w:val="auto"/>
                <w:sz w:val="30"/>
                <w:szCs w:val="30"/>
              </w:rPr>
              <w:t>供应商名称</w:t>
            </w:r>
          </w:p>
        </w:tc>
        <w:tc>
          <w:tcPr>
            <w:tcW w:w="6641" w:type="dxa"/>
            <w:gridSpan w:val="3"/>
            <w:vAlign w:val="bottom"/>
          </w:tcPr>
          <w:p w14:paraId="6A52ADDF">
            <w:pPr>
              <w:jc w:val="right"/>
              <w:rPr>
                <w:color w:val="auto"/>
                <w:sz w:val="30"/>
                <w:szCs w:val="30"/>
              </w:rPr>
            </w:pPr>
            <w:r>
              <w:rPr>
                <w:rFonts w:hint="eastAsia"/>
                <w:color w:val="auto"/>
                <w:sz w:val="30"/>
                <w:szCs w:val="30"/>
              </w:rPr>
              <w:t>（供应商公章）</w:t>
            </w:r>
          </w:p>
        </w:tc>
      </w:tr>
      <w:tr w14:paraId="6B5B2F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2212" w:type="dxa"/>
            <w:vAlign w:val="center"/>
          </w:tcPr>
          <w:p w14:paraId="71973BC7">
            <w:pPr>
              <w:jc w:val="center"/>
              <w:rPr>
                <w:color w:val="auto"/>
                <w:sz w:val="30"/>
                <w:szCs w:val="30"/>
              </w:rPr>
            </w:pPr>
            <w:r>
              <w:rPr>
                <w:rFonts w:hint="eastAsia"/>
                <w:color w:val="auto"/>
                <w:sz w:val="30"/>
                <w:szCs w:val="30"/>
              </w:rPr>
              <w:t>联系人</w:t>
            </w:r>
          </w:p>
        </w:tc>
        <w:tc>
          <w:tcPr>
            <w:tcW w:w="2105" w:type="dxa"/>
            <w:vAlign w:val="center"/>
          </w:tcPr>
          <w:p w14:paraId="51DD3283">
            <w:pPr>
              <w:jc w:val="center"/>
              <w:rPr>
                <w:color w:val="auto"/>
                <w:sz w:val="30"/>
                <w:szCs w:val="30"/>
              </w:rPr>
            </w:pPr>
          </w:p>
        </w:tc>
        <w:tc>
          <w:tcPr>
            <w:tcW w:w="895" w:type="dxa"/>
            <w:vAlign w:val="center"/>
          </w:tcPr>
          <w:p w14:paraId="2DE79C4A">
            <w:pPr>
              <w:jc w:val="left"/>
              <w:rPr>
                <w:color w:val="auto"/>
                <w:sz w:val="30"/>
                <w:szCs w:val="30"/>
              </w:rPr>
            </w:pPr>
            <w:r>
              <w:rPr>
                <w:rFonts w:hint="eastAsia"/>
                <w:color w:val="auto"/>
                <w:sz w:val="30"/>
                <w:szCs w:val="30"/>
              </w:rPr>
              <w:t>手机</w:t>
            </w:r>
          </w:p>
        </w:tc>
        <w:tc>
          <w:tcPr>
            <w:tcW w:w="3641" w:type="dxa"/>
            <w:vAlign w:val="center"/>
          </w:tcPr>
          <w:p w14:paraId="29638E6A">
            <w:pPr>
              <w:jc w:val="center"/>
              <w:rPr>
                <w:color w:val="auto"/>
                <w:sz w:val="30"/>
                <w:szCs w:val="30"/>
              </w:rPr>
            </w:pPr>
          </w:p>
        </w:tc>
      </w:tr>
      <w:tr w14:paraId="301DE9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2212" w:type="dxa"/>
            <w:vAlign w:val="center"/>
          </w:tcPr>
          <w:p w14:paraId="243D2E03">
            <w:pPr>
              <w:jc w:val="center"/>
              <w:rPr>
                <w:color w:val="auto"/>
                <w:sz w:val="30"/>
                <w:szCs w:val="30"/>
              </w:rPr>
            </w:pPr>
            <w:r>
              <w:rPr>
                <w:rFonts w:hint="eastAsia"/>
                <w:color w:val="auto"/>
                <w:sz w:val="30"/>
                <w:szCs w:val="30"/>
              </w:rPr>
              <w:t>办公电话</w:t>
            </w:r>
          </w:p>
        </w:tc>
        <w:tc>
          <w:tcPr>
            <w:tcW w:w="2105" w:type="dxa"/>
            <w:vAlign w:val="center"/>
          </w:tcPr>
          <w:p w14:paraId="5A1AFCA2">
            <w:pPr>
              <w:jc w:val="center"/>
              <w:rPr>
                <w:color w:val="auto"/>
                <w:sz w:val="30"/>
                <w:szCs w:val="30"/>
              </w:rPr>
            </w:pPr>
          </w:p>
        </w:tc>
        <w:tc>
          <w:tcPr>
            <w:tcW w:w="895" w:type="dxa"/>
            <w:vAlign w:val="center"/>
          </w:tcPr>
          <w:p w14:paraId="585AC0FF">
            <w:pPr>
              <w:jc w:val="left"/>
              <w:rPr>
                <w:color w:val="auto"/>
                <w:sz w:val="30"/>
                <w:szCs w:val="30"/>
              </w:rPr>
            </w:pPr>
            <w:r>
              <w:rPr>
                <w:rFonts w:hint="eastAsia"/>
                <w:color w:val="auto"/>
                <w:sz w:val="30"/>
                <w:szCs w:val="30"/>
              </w:rPr>
              <w:t>传真</w:t>
            </w:r>
          </w:p>
        </w:tc>
        <w:tc>
          <w:tcPr>
            <w:tcW w:w="3641" w:type="dxa"/>
            <w:vAlign w:val="center"/>
          </w:tcPr>
          <w:p w14:paraId="2CAAD0ED">
            <w:pPr>
              <w:jc w:val="center"/>
              <w:rPr>
                <w:color w:val="auto"/>
                <w:sz w:val="30"/>
                <w:szCs w:val="30"/>
              </w:rPr>
            </w:pPr>
          </w:p>
        </w:tc>
      </w:tr>
      <w:tr w14:paraId="35AEA4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2212" w:type="dxa"/>
            <w:vAlign w:val="center"/>
          </w:tcPr>
          <w:p w14:paraId="0688CA03">
            <w:pPr>
              <w:jc w:val="center"/>
              <w:rPr>
                <w:color w:val="auto"/>
                <w:sz w:val="30"/>
                <w:szCs w:val="30"/>
              </w:rPr>
            </w:pPr>
            <w:r>
              <w:rPr>
                <w:rFonts w:hint="eastAsia"/>
                <w:color w:val="auto"/>
                <w:sz w:val="30"/>
                <w:szCs w:val="30"/>
              </w:rPr>
              <w:t>E-mail</w:t>
            </w:r>
          </w:p>
        </w:tc>
        <w:tc>
          <w:tcPr>
            <w:tcW w:w="6641" w:type="dxa"/>
            <w:gridSpan w:val="3"/>
            <w:vAlign w:val="center"/>
          </w:tcPr>
          <w:p w14:paraId="48BA7F33">
            <w:pPr>
              <w:jc w:val="center"/>
              <w:rPr>
                <w:color w:val="auto"/>
                <w:sz w:val="30"/>
                <w:szCs w:val="30"/>
              </w:rPr>
            </w:pPr>
          </w:p>
        </w:tc>
      </w:tr>
      <w:tr w14:paraId="43A6FA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2212" w:type="dxa"/>
            <w:vAlign w:val="center"/>
          </w:tcPr>
          <w:p w14:paraId="07EA1F64">
            <w:pPr>
              <w:jc w:val="center"/>
              <w:rPr>
                <w:color w:val="auto"/>
                <w:sz w:val="30"/>
                <w:szCs w:val="30"/>
              </w:rPr>
            </w:pPr>
            <w:r>
              <w:rPr>
                <w:rFonts w:hint="eastAsia"/>
                <w:color w:val="auto"/>
                <w:sz w:val="30"/>
                <w:szCs w:val="30"/>
              </w:rPr>
              <w:t>单位地址</w:t>
            </w:r>
          </w:p>
        </w:tc>
        <w:tc>
          <w:tcPr>
            <w:tcW w:w="6641" w:type="dxa"/>
            <w:gridSpan w:val="3"/>
            <w:vAlign w:val="center"/>
          </w:tcPr>
          <w:p w14:paraId="3BC30516">
            <w:pPr>
              <w:jc w:val="left"/>
              <w:rPr>
                <w:color w:val="auto"/>
                <w:sz w:val="30"/>
                <w:szCs w:val="30"/>
              </w:rPr>
            </w:pPr>
          </w:p>
        </w:tc>
      </w:tr>
      <w:tr w14:paraId="59CC7B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4" w:hRule="atLeast"/>
        </w:trPr>
        <w:tc>
          <w:tcPr>
            <w:tcW w:w="8853" w:type="dxa"/>
            <w:gridSpan w:val="4"/>
            <w:vAlign w:val="center"/>
          </w:tcPr>
          <w:p w14:paraId="77F633EF">
            <w:pPr>
              <w:jc w:val="left"/>
              <w:rPr>
                <w:rFonts w:hint="eastAsia" w:ascii="宋体" w:hAnsi="宋体"/>
                <w:color w:val="auto"/>
                <w:sz w:val="30"/>
                <w:szCs w:val="30"/>
              </w:rPr>
            </w:pPr>
          </w:p>
          <w:p w14:paraId="3B335B19">
            <w:pPr>
              <w:jc w:val="left"/>
              <w:rPr>
                <w:rFonts w:hint="eastAsia" w:ascii="宋体" w:hAnsi="宋体"/>
                <w:color w:val="auto"/>
                <w:sz w:val="30"/>
                <w:szCs w:val="30"/>
              </w:rPr>
            </w:pPr>
          </w:p>
          <w:p w14:paraId="3C3AB0EA">
            <w:pPr>
              <w:jc w:val="left"/>
              <w:rPr>
                <w:rFonts w:hint="eastAsia" w:ascii="宋体" w:hAnsi="宋体"/>
                <w:color w:val="auto"/>
                <w:sz w:val="30"/>
                <w:szCs w:val="30"/>
              </w:rPr>
            </w:pPr>
          </w:p>
          <w:p w14:paraId="32A1CAE3">
            <w:pPr>
              <w:jc w:val="left"/>
              <w:rPr>
                <w:rFonts w:hint="eastAsia" w:ascii="宋体" w:hAnsi="宋体"/>
                <w:color w:val="auto"/>
                <w:sz w:val="30"/>
                <w:szCs w:val="30"/>
              </w:rPr>
            </w:pPr>
          </w:p>
          <w:p w14:paraId="03F1440E">
            <w:pPr>
              <w:jc w:val="left"/>
              <w:rPr>
                <w:rFonts w:hint="eastAsia" w:ascii="宋体" w:hAnsi="宋体"/>
                <w:color w:val="auto"/>
                <w:sz w:val="30"/>
                <w:szCs w:val="30"/>
              </w:rPr>
            </w:pPr>
          </w:p>
        </w:tc>
      </w:tr>
    </w:tbl>
    <w:p w14:paraId="14AC4EA7">
      <w:pPr>
        <w:tabs>
          <w:tab w:val="left" w:pos="6300"/>
        </w:tabs>
        <w:snapToGrid w:val="0"/>
        <w:spacing w:line="500" w:lineRule="exact"/>
        <w:ind w:firstLine="480" w:firstLineChars="200"/>
        <w:jc w:val="center"/>
        <w:outlineLvl w:val="0"/>
        <w:rPr>
          <w:rFonts w:hint="eastAsia" w:ascii="宋体" w:hAnsi="宋体" w:cs="宋体"/>
          <w:color w:val="auto"/>
          <w:sz w:val="24"/>
        </w:rPr>
      </w:pPr>
    </w:p>
    <w:p w14:paraId="31521743">
      <w:pPr>
        <w:pStyle w:val="4"/>
        <w:ind w:firstLine="137"/>
        <w:rPr>
          <w:color w:val="auto"/>
        </w:rPr>
      </w:pPr>
    </w:p>
    <w:sectPr>
      <w:headerReference r:id="rId8" w:type="default"/>
      <w:footerReference r:id="rId9" w:type="default"/>
      <w:pgSz w:w="11907" w:h="16840"/>
      <w:pgMar w:top="1304" w:right="1134" w:bottom="1304" w:left="1304" w:header="850"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onospace">
    <w:altName w:val="XcGJSymbol"/>
    <w:panose1 w:val="00000000000000000000"/>
    <w:charset w:val="00"/>
    <w:family w:val="roman"/>
    <w:pitch w:val="default"/>
    <w:sig w:usb0="00000000" w:usb1="00000000" w:usb2="00000000" w:usb3="00000000" w:csb0="00000000" w:csb1="00000000"/>
  </w:font>
  <w:font w:name="XcGJSymbol">
    <w:panose1 w:val="020005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E7F8">
    <w:pPr>
      <w:pStyle w:val="2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6C6F25">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16C6F25">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2FCCF">
    <w:pPr>
      <w:pStyle w:val="2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63FA9">
                          <w:pPr>
                            <w:pStyle w:val="26"/>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A363FA9">
                    <w:pPr>
                      <w:pStyle w:val="26"/>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1C438">
    <w:pPr>
      <w:pStyle w:val="26"/>
      <w:framePr w:wrap="around" w:vAnchor="text" w:hAnchor="margin" w:xAlign="center" w:y="1"/>
      <w:rPr>
        <w:rStyle w:val="44"/>
      </w:rPr>
    </w:pPr>
    <w:r>
      <w:fldChar w:fldCharType="begin"/>
    </w:r>
    <w:r>
      <w:rPr>
        <w:rStyle w:val="44"/>
      </w:rPr>
      <w:instrText xml:space="preserve">PAGE  </w:instrText>
    </w:r>
    <w:r>
      <w:fldChar w:fldCharType="separate"/>
    </w:r>
    <w:r>
      <w:rPr>
        <w:rStyle w:val="44"/>
      </w:rPr>
      <w:t>1</w:t>
    </w:r>
    <w:r>
      <w:fldChar w:fldCharType="end"/>
    </w:r>
  </w:p>
  <w:p w14:paraId="16E18AD6">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3878">
    <w:pPr>
      <w:pStyle w:val="2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AF8147">
                          <w:pPr>
                            <w:pStyle w:val="2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hxXCMIBAACP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JyDQjvDgkLl34y6gg1FcM5FUbTTuVF+PNesp7+o8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IcVwjCAQAAjwMAAA4AAAAAAAAAAQAgAAAAHgEAAGRycy9lMm9Eb2MueG1sUEsF&#10;BgAAAAAGAAYAWQEAAFIFAAAAAA==&#10;">
              <v:fill on="f" focussize="0,0"/>
              <v:stroke on="f"/>
              <v:imagedata o:title=""/>
              <o:lock v:ext="edit" aspectratio="f"/>
              <v:textbox inset="0mm,0mm,0mm,0mm" style="mso-fit-shape-to-text:t;">
                <w:txbxContent>
                  <w:p w14:paraId="67AF8147">
                    <w:pPr>
                      <w:pStyle w:val="2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7</w:t>
                    </w:r>
                    <w:r>
                      <w:rPr>
                        <w:rFonts w:hint="eastAsia"/>
                      </w:rP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58F78">
    <w:pPr>
      <w:pStyle w:val="26"/>
      <w:ind w:firstLine="360"/>
      <w:rPr>
        <w:rStyle w:val="123"/>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8E1CC">
                          <w:pPr>
                            <w:pStyle w:val="26"/>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5488E1CC">
                    <w:pPr>
                      <w:pStyle w:val="26"/>
                    </w:pPr>
                    <w:r>
                      <w:fldChar w:fldCharType="begin"/>
                    </w:r>
                    <w:r>
                      <w:instrText xml:space="preserve"> PAGE  \* MERGEFORMAT </w:instrText>
                    </w:r>
                    <w:r>
                      <w:fldChar w:fldCharType="separate"/>
                    </w:r>
                    <w:r>
                      <w:t>36</w:t>
                    </w:r>
                    <w:r>
                      <w:fldChar w:fldCharType="end"/>
                    </w:r>
                  </w:p>
                </w:txbxContent>
              </v:textbox>
            </v:shape>
          </w:pict>
        </mc:Fallback>
      </mc:AlternateContent>
    </w:r>
    <w:r>
      <w:rPr>
        <w:rStyle w:val="123"/>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7FBC91F">
                          <w:pPr>
                            <w:pStyle w:val="26"/>
                            <w:rPr>
                              <w:rStyle w:val="123"/>
                            </w:rPr>
                          </w:pPr>
                        </w:p>
                        <w:p w14:paraId="515F8F0A">
                          <w:pPr>
                            <w:rPr>
                              <w:rStyle w:val="123"/>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61312;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uh8698MBAACLAwAADgAAAGRycy9lMm9Eb2MueG1srVNBbtswELwX&#10;6B8I3mMpRtIKguUAgZGiQJEUSPsAmiItAiSXIGlL/kD6g5x66b3v8ju6pCQ3SC859EINucvhzuxq&#10;dTMYTQ7CBwW2oZeLkhJhObTK7hr6/dvdRUVJiMy2TIMVDT2KQG/W79+teleLJXSgW+EJkthQ966h&#10;XYyuLorAO2FYWIATFoMSvGERt35XtJ71yG50sSzLD0UPvnUeuAgBTzdjkE6M/i2EIKXiYgN8b4SN&#10;I6sXmkWUFDrlAl3naqUUPD5IGUQkuqGoNOYVH0G8TWuxXrF655nrFJ9KYG8p4ZUmw5TFR89UGxYZ&#10;2Xv1D5VR3EMAGRccTDEKyY6gisvylTePHXMia0GrgzubHv4fLb8/fPVEtQ29osQygw0/Pf84/fx9&#10;+vVErpI9vQs1Zj06zIvDLQw4NPN5wMOkepDepC/qIRhHc49nc8UQCU+XqmVVlRjiGJs3yF/8ve58&#10;iJ8EGJJAQz12L5vKDl9CHFPnlPSahTulde6gtqRH1uvq43W+cQ4hu7YpWeRhmHiSprH2hOKwHSah&#10;W2iPqFN/tuhxmpcZ+BlsZ7B3Xu06LDO7USQi7FHWM81TGoKXe8Qv/6H1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3u45fSAAAABQEAAA8AAAAAAAAAAQAgAAAAIgAAAGRycy9kb3ducmV2LnhtbFBL&#10;AQIUABQAAAAIAIdO4kC6Hzr3wwEAAIsDAAAOAAAAAAAAAAEAIAAAACEBAABkcnMvZTJvRG9jLnht&#10;bFBLBQYAAAAABgAGAFkBAABWBQAAAAA=&#10;">
              <v:fill on="f" focussize="0,0"/>
              <v:stroke on="f" weight="1.25pt"/>
              <v:imagedata o:title=""/>
              <o:lock v:ext="edit" aspectratio="f"/>
              <v:textbox inset="0mm,0mm,0mm,0mm">
                <w:txbxContent>
                  <w:p w14:paraId="37FBC91F">
                    <w:pPr>
                      <w:pStyle w:val="26"/>
                      <w:rPr>
                        <w:rStyle w:val="123"/>
                      </w:rPr>
                    </w:pPr>
                  </w:p>
                  <w:p w14:paraId="515F8F0A">
                    <w:pPr>
                      <w:rPr>
                        <w:rStyle w:val="123"/>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BBC22">
    <w:pPr>
      <w:pStyle w:val="2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351A8">
    <w:pPr>
      <w:pStyle w:val="2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wZWMyZDUwOTI3YTI5NTY5MjU0MGQyOGE0NDk3YTAifQ=="/>
  </w:docVars>
  <w:rsids>
    <w:rsidRoot w:val="00172A27"/>
    <w:rsid w:val="000000D6"/>
    <w:rsid w:val="00002A60"/>
    <w:rsid w:val="00004603"/>
    <w:rsid w:val="00006728"/>
    <w:rsid w:val="00007319"/>
    <w:rsid w:val="000106AE"/>
    <w:rsid w:val="000109BA"/>
    <w:rsid w:val="000113EC"/>
    <w:rsid w:val="00011684"/>
    <w:rsid w:val="000125A0"/>
    <w:rsid w:val="00012703"/>
    <w:rsid w:val="0001485E"/>
    <w:rsid w:val="00014886"/>
    <w:rsid w:val="000148A7"/>
    <w:rsid w:val="00014CDC"/>
    <w:rsid w:val="00017107"/>
    <w:rsid w:val="00020140"/>
    <w:rsid w:val="00020495"/>
    <w:rsid w:val="000204CA"/>
    <w:rsid w:val="00020F53"/>
    <w:rsid w:val="00021BFE"/>
    <w:rsid w:val="00022377"/>
    <w:rsid w:val="00024A7C"/>
    <w:rsid w:val="000250D6"/>
    <w:rsid w:val="00025ACC"/>
    <w:rsid w:val="00026171"/>
    <w:rsid w:val="00026AA0"/>
    <w:rsid w:val="00027626"/>
    <w:rsid w:val="0002793E"/>
    <w:rsid w:val="00027FC6"/>
    <w:rsid w:val="00030736"/>
    <w:rsid w:val="00031BF2"/>
    <w:rsid w:val="00032762"/>
    <w:rsid w:val="00033C2C"/>
    <w:rsid w:val="000344D9"/>
    <w:rsid w:val="000351AE"/>
    <w:rsid w:val="00036BB0"/>
    <w:rsid w:val="00037248"/>
    <w:rsid w:val="00042B3A"/>
    <w:rsid w:val="00043778"/>
    <w:rsid w:val="0004441D"/>
    <w:rsid w:val="00045007"/>
    <w:rsid w:val="00046C42"/>
    <w:rsid w:val="000475C2"/>
    <w:rsid w:val="00051DE4"/>
    <w:rsid w:val="00057C6D"/>
    <w:rsid w:val="0006084A"/>
    <w:rsid w:val="00062AC6"/>
    <w:rsid w:val="00065A9E"/>
    <w:rsid w:val="0006642B"/>
    <w:rsid w:val="000668F1"/>
    <w:rsid w:val="00067035"/>
    <w:rsid w:val="00070145"/>
    <w:rsid w:val="0007254B"/>
    <w:rsid w:val="0007298C"/>
    <w:rsid w:val="00073F51"/>
    <w:rsid w:val="00074C62"/>
    <w:rsid w:val="000757EC"/>
    <w:rsid w:val="00081116"/>
    <w:rsid w:val="0008132B"/>
    <w:rsid w:val="00081360"/>
    <w:rsid w:val="00081AA4"/>
    <w:rsid w:val="00081C63"/>
    <w:rsid w:val="0008253E"/>
    <w:rsid w:val="000869AF"/>
    <w:rsid w:val="00087558"/>
    <w:rsid w:val="0009240C"/>
    <w:rsid w:val="000930C2"/>
    <w:rsid w:val="000943B0"/>
    <w:rsid w:val="00094C66"/>
    <w:rsid w:val="00097573"/>
    <w:rsid w:val="000A118B"/>
    <w:rsid w:val="000A287B"/>
    <w:rsid w:val="000A306B"/>
    <w:rsid w:val="000A5C81"/>
    <w:rsid w:val="000A76B3"/>
    <w:rsid w:val="000B140E"/>
    <w:rsid w:val="000B3617"/>
    <w:rsid w:val="000B44EB"/>
    <w:rsid w:val="000B65E2"/>
    <w:rsid w:val="000B676B"/>
    <w:rsid w:val="000C0018"/>
    <w:rsid w:val="000C0AF1"/>
    <w:rsid w:val="000C1656"/>
    <w:rsid w:val="000C1A9B"/>
    <w:rsid w:val="000C1F53"/>
    <w:rsid w:val="000C1FF9"/>
    <w:rsid w:val="000C2AB5"/>
    <w:rsid w:val="000C4710"/>
    <w:rsid w:val="000C4924"/>
    <w:rsid w:val="000C6FFB"/>
    <w:rsid w:val="000C7A74"/>
    <w:rsid w:val="000C7E77"/>
    <w:rsid w:val="000D204D"/>
    <w:rsid w:val="000D20ED"/>
    <w:rsid w:val="000D3177"/>
    <w:rsid w:val="000D381B"/>
    <w:rsid w:val="000D4336"/>
    <w:rsid w:val="000D49B4"/>
    <w:rsid w:val="000E08CB"/>
    <w:rsid w:val="000E2EFB"/>
    <w:rsid w:val="000E3EF6"/>
    <w:rsid w:val="000E5673"/>
    <w:rsid w:val="000E66E8"/>
    <w:rsid w:val="000E7256"/>
    <w:rsid w:val="000F185C"/>
    <w:rsid w:val="000F1EDA"/>
    <w:rsid w:val="000F2186"/>
    <w:rsid w:val="000F2A12"/>
    <w:rsid w:val="000F2ECC"/>
    <w:rsid w:val="000F44D2"/>
    <w:rsid w:val="000F4B6D"/>
    <w:rsid w:val="000F5E58"/>
    <w:rsid w:val="000F77B4"/>
    <w:rsid w:val="001011FC"/>
    <w:rsid w:val="0010123A"/>
    <w:rsid w:val="00102618"/>
    <w:rsid w:val="00102F0B"/>
    <w:rsid w:val="00103E7B"/>
    <w:rsid w:val="00105423"/>
    <w:rsid w:val="00105661"/>
    <w:rsid w:val="00107A50"/>
    <w:rsid w:val="00107F16"/>
    <w:rsid w:val="001119B6"/>
    <w:rsid w:val="00111C92"/>
    <w:rsid w:val="00112EDD"/>
    <w:rsid w:val="00114986"/>
    <w:rsid w:val="00115124"/>
    <w:rsid w:val="00116C4E"/>
    <w:rsid w:val="00117F0F"/>
    <w:rsid w:val="001223BC"/>
    <w:rsid w:val="00123706"/>
    <w:rsid w:val="00123F55"/>
    <w:rsid w:val="001241F0"/>
    <w:rsid w:val="0012557D"/>
    <w:rsid w:val="0012660F"/>
    <w:rsid w:val="001270CD"/>
    <w:rsid w:val="00131145"/>
    <w:rsid w:val="001337AD"/>
    <w:rsid w:val="00134822"/>
    <w:rsid w:val="0014098E"/>
    <w:rsid w:val="00142A5E"/>
    <w:rsid w:val="00142CD9"/>
    <w:rsid w:val="00143510"/>
    <w:rsid w:val="00145049"/>
    <w:rsid w:val="00145B58"/>
    <w:rsid w:val="001530C6"/>
    <w:rsid w:val="00153A90"/>
    <w:rsid w:val="00156B3B"/>
    <w:rsid w:val="00156DEA"/>
    <w:rsid w:val="00161568"/>
    <w:rsid w:val="0016292C"/>
    <w:rsid w:val="00163A8D"/>
    <w:rsid w:val="00170389"/>
    <w:rsid w:val="001713BE"/>
    <w:rsid w:val="00172A27"/>
    <w:rsid w:val="001735B4"/>
    <w:rsid w:val="001748A3"/>
    <w:rsid w:val="00174FB1"/>
    <w:rsid w:val="00182B11"/>
    <w:rsid w:val="00183748"/>
    <w:rsid w:val="00183B4A"/>
    <w:rsid w:val="00183B8B"/>
    <w:rsid w:val="00183C6B"/>
    <w:rsid w:val="0018427B"/>
    <w:rsid w:val="001851B6"/>
    <w:rsid w:val="00186361"/>
    <w:rsid w:val="00187301"/>
    <w:rsid w:val="0018773E"/>
    <w:rsid w:val="00192D85"/>
    <w:rsid w:val="00193C1D"/>
    <w:rsid w:val="0019659E"/>
    <w:rsid w:val="001974B2"/>
    <w:rsid w:val="001A067F"/>
    <w:rsid w:val="001A0755"/>
    <w:rsid w:val="001A093D"/>
    <w:rsid w:val="001A0CCF"/>
    <w:rsid w:val="001A282E"/>
    <w:rsid w:val="001A2E05"/>
    <w:rsid w:val="001A304A"/>
    <w:rsid w:val="001A4491"/>
    <w:rsid w:val="001A4684"/>
    <w:rsid w:val="001A54E8"/>
    <w:rsid w:val="001A67C5"/>
    <w:rsid w:val="001B0BD6"/>
    <w:rsid w:val="001B1289"/>
    <w:rsid w:val="001B174D"/>
    <w:rsid w:val="001B4065"/>
    <w:rsid w:val="001B5478"/>
    <w:rsid w:val="001B5E75"/>
    <w:rsid w:val="001B6C6D"/>
    <w:rsid w:val="001B6E1A"/>
    <w:rsid w:val="001B7FEF"/>
    <w:rsid w:val="001C050E"/>
    <w:rsid w:val="001C06B7"/>
    <w:rsid w:val="001C122A"/>
    <w:rsid w:val="001C30C7"/>
    <w:rsid w:val="001C4420"/>
    <w:rsid w:val="001C516C"/>
    <w:rsid w:val="001C5C9B"/>
    <w:rsid w:val="001C6253"/>
    <w:rsid w:val="001C7C27"/>
    <w:rsid w:val="001D05AC"/>
    <w:rsid w:val="001D16D2"/>
    <w:rsid w:val="001D414D"/>
    <w:rsid w:val="001D4952"/>
    <w:rsid w:val="001E0332"/>
    <w:rsid w:val="001E1433"/>
    <w:rsid w:val="001E1894"/>
    <w:rsid w:val="001E2515"/>
    <w:rsid w:val="001E48DB"/>
    <w:rsid w:val="001E6EA0"/>
    <w:rsid w:val="001F00CF"/>
    <w:rsid w:val="001F2208"/>
    <w:rsid w:val="001F26A3"/>
    <w:rsid w:val="001F285E"/>
    <w:rsid w:val="001F3998"/>
    <w:rsid w:val="001F4134"/>
    <w:rsid w:val="001F45EE"/>
    <w:rsid w:val="001F4850"/>
    <w:rsid w:val="001F619D"/>
    <w:rsid w:val="00200FCF"/>
    <w:rsid w:val="00201B0A"/>
    <w:rsid w:val="002045EA"/>
    <w:rsid w:val="00204A5C"/>
    <w:rsid w:val="0020554C"/>
    <w:rsid w:val="00206894"/>
    <w:rsid w:val="00207711"/>
    <w:rsid w:val="00207A0B"/>
    <w:rsid w:val="0021226E"/>
    <w:rsid w:val="00212A53"/>
    <w:rsid w:val="0021322F"/>
    <w:rsid w:val="00213B90"/>
    <w:rsid w:val="00215AF0"/>
    <w:rsid w:val="00221FAC"/>
    <w:rsid w:val="002229E2"/>
    <w:rsid w:val="00223A22"/>
    <w:rsid w:val="00223AC7"/>
    <w:rsid w:val="0022434B"/>
    <w:rsid w:val="0022539F"/>
    <w:rsid w:val="00230836"/>
    <w:rsid w:val="002314CF"/>
    <w:rsid w:val="00232762"/>
    <w:rsid w:val="0023423F"/>
    <w:rsid w:val="00236EC1"/>
    <w:rsid w:val="00237743"/>
    <w:rsid w:val="00237B0E"/>
    <w:rsid w:val="0024139B"/>
    <w:rsid w:val="002427C8"/>
    <w:rsid w:val="002430C2"/>
    <w:rsid w:val="00244A88"/>
    <w:rsid w:val="00246A0E"/>
    <w:rsid w:val="00250CB7"/>
    <w:rsid w:val="00251A49"/>
    <w:rsid w:val="002520BF"/>
    <w:rsid w:val="002521B3"/>
    <w:rsid w:val="002521B6"/>
    <w:rsid w:val="0025316D"/>
    <w:rsid w:val="0025460A"/>
    <w:rsid w:val="00254F01"/>
    <w:rsid w:val="00255957"/>
    <w:rsid w:val="00255D0D"/>
    <w:rsid w:val="0025624A"/>
    <w:rsid w:val="00257252"/>
    <w:rsid w:val="002579AE"/>
    <w:rsid w:val="00257D50"/>
    <w:rsid w:val="00260C77"/>
    <w:rsid w:val="00261352"/>
    <w:rsid w:val="002619E4"/>
    <w:rsid w:val="002638AF"/>
    <w:rsid w:val="00263F0B"/>
    <w:rsid w:val="00264928"/>
    <w:rsid w:val="00264EB1"/>
    <w:rsid w:val="00271549"/>
    <w:rsid w:val="00271923"/>
    <w:rsid w:val="0027292C"/>
    <w:rsid w:val="00272A39"/>
    <w:rsid w:val="00273257"/>
    <w:rsid w:val="002739A2"/>
    <w:rsid w:val="00276C71"/>
    <w:rsid w:val="00281526"/>
    <w:rsid w:val="0028346F"/>
    <w:rsid w:val="00285406"/>
    <w:rsid w:val="0028798D"/>
    <w:rsid w:val="00294A20"/>
    <w:rsid w:val="002A4926"/>
    <w:rsid w:val="002A4930"/>
    <w:rsid w:val="002A552C"/>
    <w:rsid w:val="002A65ED"/>
    <w:rsid w:val="002B234B"/>
    <w:rsid w:val="002B5C86"/>
    <w:rsid w:val="002B79C0"/>
    <w:rsid w:val="002C0C29"/>
    <w:rsid w:val="002C31DD"/>
    <w:rsid w:val="002C3CD8"/>
    <w:rsid w:val="002C636F"/>
    <w:rsid w:val="002C65CA"/>
    <w:rsid w:val="002C7B9B"/>
    <w:rsid w:val="002D2B90"/>
    <w:rsid w:val="002D2C97"/>
    <w:rsid w:val="002D573E"/>
    <w:rsid w:val="002D5B54"/>
    <w:rsid w:val="002D5C87"/>
    <w:rsid w:val="002D6292"/>
    <w:rsid w:val="002D6F32"/>
    <w:rsid w:val="002D7B78"/>
    <w:rsid w:val="002E1DAC"/>
    <w:rsid w:val="002E6D05"/>
    <w:rsid w:val="002E6FF9"/>
    <w:rsid w:val="002F00F9"/>
    <w:rsid w:val="002F04ED"/>
    <w:rsid w:val="002F0865"/>
    <w:rsid w:val="002F0DD5"/>
    <w:rsid w:val="002F6E6A"/>
    <w:rsid w:val="002F72A0"/>
    <w:rsid w:val="00300290"/>
    <w:rsid w:val="00301EBE"/>
    <w:rsid w:val="0030273C"/>
    <w:rsid w:val="00311324"/>
    <w:rsid w:val="00311A4D"/>
    <w:rsid w:val="00311BD5"/>
    <w:rsid w:val="003122C4"/>
    <w:rsid w:val="00314419"/>
    <w:rsid w:val="00314AF6"/>
    <w:rsid w:val="0032031D"/>
    <w:rsid w:val="003214BA"/>
    <w:rsid w:val="00321647"/>
    <w:rsid w:val="00321989"/>
    <w:rsid w:val="003243EC"/>
    <w:rsid w:val="003247CD"/>
    <w:rsid w:val="00324A0A"/>
    <w:rsid w:val="003274B9"/>
    <w:rsid w:val="00330D54"/>
    <w:rsid w:val="00332962"/>
    <w:rsid w:val="003362AD"/>
    <w:rsid w:val="00336F17"/>
    <w:rsid w:val="00342688"/>
    <w:rsid w:val="0034440E"/>
    <w:rsid w:val="00344A3F"/>
    <w:rsid w:val="00344BD1"/>
    <w:rsid w:val="003458CA"/>
    <w:rsid w:val="00345979"/>
    <w:rsid w:val="0034726D"/>
    <w:rsid w:val="00347899"/>
    <w:rsid w:val="003502E8"/>
    <w:rsid w:val="0035048C"/>
    <w:rsid w:val="00350F3E"/>
    <w:rsid w:val="0035125A"/>
    <w:rsid w:val="003518D6"/>
    <w:rsid w:val="00354142"/>
    <w:rsid w:val="00354B7A"/>
    <w:rsid w:val="00363966"/>
    <w:rsid w:val="00364C08"/>
    <w:rsid w:val="0036565A"/>
    <w:rsid w:val="0037181C"/>
    <w:rsid w:val="003741B0"/>
    <w:rsid w:val="00375481"/>
    <w:rsid w:val="00376050"/>
    <w:rsid w:val="00376766"/>
    <w:rsid w:val="00376B3E"/>
    <w:rsid w:val="00381FC8"/>
    <w:rsid w:val="0038240C"/>
    <w:rsid w:val="00383592"/>
    <w:rsid w:val="0038359A"/>
    <w:rsid w:val="003865F8"/>
    <w:rsid w:val="00386AA0"/>
    <w:rsid w:val="00387996"/>
    <w:rsid w:val="00391F03"/>
    <w:rsid w:val="003937C4"/>
    <w:rsid w:val="003937D8"/>
    <w:rsid w:val="0039407B"/>
    <w:rsid w:val="00396D10"/>
    <w:rsid w:val="003A2368"/>
    <w:rsid w:val="003A3CC4"/>
    <w:rsid w:val="003A593E"/>
    <w:rsid w:val="003A6775"/>
    <w:rsid w:val="003B1B15"/>
    <w:rsid w:val="003B6CFB"/>
    <w:rsid w:val="003B7D6C"/>
    <w:rsid w:val="003C0D7D"/>
    <w:rsid w:val="003C1C18"/>
    <w:rsid w:val="003C2456"/>
    <w:rsid w:val="003C4858"/>
    <w:rsid w:val="003C5BB3"/>
    <w:rsid w:val="003C6007"/>
    <w:rsid w:val="003C6855"/>
    <w:rsid w:val="003D0674"/>
    <w:rsid w:val="003D1170"/>
    <w:rsid w:val="003D1B8E"/>
    <w:rsid w:val="003D22F9"/>
    <w:rsid w:val="003D2D72"/>
    <w:rsid w:val="003D36EE"/>
    <w:rsid w:val="003D4394"/>
    <w:rsid w:val="003D6E0A"/>
    <w:rsid w:val="003E0A51"/>
    <w:rsid w:val="003E5A3A"/>
    <w:rsid w:val="003E64D6"/>
    <w:rsid w:val="003F3518"/>
    <w:rsid w:val="003F3E33"/>
    <w:rsid w:val="003F504F"/>
    <w:rsid w:val="003F5B69"/>
    <w:rsid w:val="003F6E39"/>
    <w:rsid w:val="0040174D"/>
    <w:rsid w:val="004022E6"/>
    <w:rsid w:val="00407637"/>
    <w:rsid w:val="00410572"/>
    <w:rsid w:val="004105EF"/>
    <w:rsid w:val="00411652"/>
    <w:rsid w:val="00413476"/>
    <w:rsid w:val="00413843"/>
    <w:rsid w:val="00415A1A"/>
    <w:rsid w:val="004170A7"/>
    <w:rsid w:val="00417A35"/>
    <w:rsid w:val="004203F8"/>
    <w:rsid w:val="0042326A"/>
    <w:rsid w:val="00423F96"/>
    <w:rsid w:val="004249F9"/>
    <w:rsid w:val="004254ED"/>
    <w:rsid w:val="00430ADD"/>
    <w:rsid w:val="00431F4F"/>
    <w:rsid w:val="0043351E"/>
    <w:rsid w:val="00433676"/>
    <w:rsid w:val="00434108"/>
    <w:rsid w:val="00436504"/>
    <w:rsid w:val="004405C7"/>
    <w:rsid w:val="00441D39"/>
    <w:rsid w:val="00442AF8"/>
    <w:rsid w:val="00443F97"/>
    <w:rsid w:val="0044514A"/>
    <w:rsid w:val="0044591A"/>
    <w:rsid w:val="00447E59"/>
    <w:rsid w:val="00450CC6"/>
    <w:rsid w:val="004513A3"/>
    <w:rsid w:val="004571EF"/>
    <w:rsid w:val="00457DC2"/>
    <w:rsid w:val="00465671"/>
    <w:rsid w:val="00465E37"/>
    <w:rsid w:val="00466339"/>
    <w:rsid w:val="0046780A"/>
    <w:rsid w:val="00471263"/>
    <w:rsid w:val="00472461"/>
    <w:rsid w:val="004733D3"/>
    <w:rsid w:val="0047749E"/>
    <w:rsid w:val="004809EB"/>
    <w:rsid w:val="00481069"/>
    <w:rsid w:val="00481330"/>
    <w:rsid w:val="00483946"/>
    <w:rsid w:val="00483B94"/>
    <w:rsid w:val="00484434"/>
    <w:rsid w:val="0048452F"/>
    <w:rsid w:val="0048516A"/>
    <w:rsid w:val="0048584C"/>
    <w:rsid w:val="00486257"/>
    <w:rsid w:val="00486F84"/>
    <w:rsid w:val="00487315"/>
    <w:rsid w:val="00490B57"/>
    <w:rsid w:val="00492E14"/>
    <w:rsid w:val="00493F2E"/>
    <w:rsid w:val="00494530"/>
    <w:rsid w:val="00494599"/>
    <w:rsid w:val="00494624"/>
    <w:rsid w:val="00495001"/>
    <w:rsid w:val="0049675C"/>
    <w:rsid w:val="004977CA"/>
    <w:rsid w:val="004A112E"/>
    <w:rsid w:val="004A13C0"/>
    <w:rsid w:val="004A2E21"/>
    <w:rsid w:val="004A396A"/>
    <w:rsid w:val="004A76F2"/>
    <w:rsid w:val="004B3365"/>
    <w:rsid w:val="004B4B96"/>
    <w:rsid w:val="004B4C84"/>
    <w:rsid w:val="004B51E3"/>
    <w:rsid w:val="004B5467"/>
    <w:rsid w:val="004B6ED7"/>
    <w:rsid w:val="004B7964"/>
    <w:rsid w:val="004C0FF4"/>
    <w:rsid w:val="004C3118"/>
    <w:rsid w:val="004D0866"/>
    <w:rsid w:val="004D0DD7"/>
    <w:rsid w:val="004D1209"/>
    <w:rsid w:val="004D2ABE"/>
    <w:rsid w:val="004D34EB"/>
    <w:rsid w:val="004D4247"/>
    <w:rsid w:val="004D5693"/>
    <w:rsid w:val="004D6E12"/>
    <w:rsid w:val="004D7237"/>
    <w:rsid w:val="004D794D"/>
    <w:rsid w:val="004D7FCB"/>
    <w:rsid w:val="004E0C05"/>
    <w:rsid w:val="004E12D6"/>
    <w:rsid w:val="004E21F3"/>
    <w:rsid w:val="004E3473"/>
    <w:rsid w:val="004E347A"/>
    <w:rsid w:val="004E6587"/>
    <w:rsid w:val="004E6F8B"/>
    <w:rsid w:val="004E6FB4"/>
    <w:rsid w:val="004E76A6"/>
    <w:rsid w:val="004F0052"/>
    <w:rsid w:val="004F1425"/>
    <w:rsid w:val="004F18D1"/>
    <w:rsid w:val="004F2BD3"/>
    <w:rsid w:val="004F3309"/>
    <w:rsid w:val="004F3BE6"/>
    <w:rsid w:val="00501AEF"/>
    <w:rsid w:val="005025CC"/>
    <w:rsid w:val="00502F54"/>
    <w:rsid w:val="005034E3"/>
    <w:rsid w:val="005039A7"/>
    <w:rsid w:val="00506501"/>
    <w:rsid w:val="00506A2D"/>
    <w:rsid w:val="00506CD4"/>
    <w:rsid w:val="0050739A"/>
    <w:rsid w:val="0050760D"/>
    <w:rsid w:val="005100DC"/>
    <w:rsid w:val="00511660"/>
    <w:rsid w:val="00512A0D"/>
    <w:rsid w:val="00513945"/>
    <w:rsid w:val="00516B01"/>
    <w:rsid w:val="00516CFC"/>
    <w:rsid w:val="00517CCE"/>
    <w:rsid w:val="00517D83"/>
    <w:rsid w:val="00520996"/>
    <w:rsid w:val="00521BC1"/>
    <w:rsid w:val="005229A0"/>
    <w:rsid w:val="00522D50"/>
    <w:rsid w:val="00523D6F"/>
    <w:rsid w:val="005244C2"/>
    <w:rsid w:val="00527D92"/>
    <w:rsid w:val="0053113E"/>
    <w:rsid w:val="00531BAF"/>
    <w:rsid w:val="00531EBA"/>
    <w:rsid w:val="00536A64"/>
    <w:rsid w:val="00537781"/>
    <w:rsid w:val="00537C89"/>
    <w:rsid w:val="00540780"/>
    <w:rsid w:val="005409DB"/>
    <w:rsid w:val="005417AB"/>
    <w:rsid w:val="005425D3"/>
    <w:rsid w:val="00542C62"/>
    <w:rsid w:val="00543E49"/>
    <w:rsid w:val="00543F4D"/>
    <w:rsid w:val="00543F5F"/>
    <w:rsid w:val="00544413"/>
    <w:rsid w:val="00544571"/>
    <w:rsid w:val="00545698"/>
    <w:rsid w:val="00546149"/>
    <w:rsid w:val="00547DC6"/>
    <w:rsid w:val="005527E2"/>
    <w:rsid w:val="00555089"/>
    <w:rsid w:val="005565F1"/>
    <w:rsid w:val="00561F2C"/>
    <w:rsid w:val="0056201F"/>
    <w:rsid w:val="00562259"/>
    <w:rsid w:val="00562CD3"/>
    <w:rsid w:val="00564B75"/>
    <w:rsid w:val="005655BD"/>
    <w:rsid w:val="00565760"/>
    <w:rsid w:val="00565FC4"/>
    <w:rsid w:val="005660C7"/>
    <w:rsid w:val="0056750C"/>
    <w:rsid w:val="00567649"/>
    <w:rsid w:val="005676BA"/>
    <w:rsid w:val="00571785"/>
    <w:rsid w:val="00573B46"/>
    <w:rsid w:val="00573C8F"/>
    <w:rsid w:val="00576C5E"/>
    <w:rsid w:val="00577C17"/>
    <w:rsid w:val="00580957"/>
    <w:rsid w:val="0058248B"/>
    <w:rsid w:val="005824FB"/>
    <w:rsid w:val="005827A7"/>
    <w:rsid w:val="00585B39"/>
    <w:rsid w:val="00585BBB"/>
    <w:rsid w:val="00586041"/>
    <w:rsid w:val="00586955"/>
    <w:rsid w:val="00587980"/>
    <w:rsid w:val="00590671"/>
    <w:rsid w:val="00590F49"/>
    <w:rsid w:val="00591B1C"/>
    <w:rsid w:val="00592950"/>
    <w:rsid w:val="0059324C"/>
    <w:rsid w:val="00593B0E"/>
    <w:rsid w:val="005955BA"/>
    <w:rsid w:val="005955DE"/>
    <w:rsid w:val="005973E3"/>
    <w:rsid w:val="00597581"/>
    <w:rsid w:val="005A05CF"/>
    <w:rsid w:val="005A0B59"/>
    <w:rsid w:val="005A245A"/>
    <w:rsid w:val="005A2C7B"/>
    <w:rsid w:val="005A328C"/>
    <w:rsid w:val="005A3A6C"/>
    <w:rsid w:val="005A3B24"/>
    <w:rsid w:val="005A3C05"/>
    <w:rsid w:val="005A56BB"/>
    <w:rsid w:val="005A57EF"/>
    <w:rsid w:val="005A689F"/>
    <w:rsid w:val="005A7987"/>
    <w:rsid w:val="005B0F9A"/>
    <w:rsid w:val="005B1A42"/>
    <w:rsid w:val="005B1D03"/>
    <w:rsid w:val="005B46BD"/>
    <w:rsid w:val="005B4BB0"/>
    <w:rsid w:val="005B4DB1"/>
    <w:rsid w:val="005B6D33"/>
    <w:rsid w:val="005C03CE"/>
    <w:rsid w:val="005C0713"/>
    <w:rsid w:val="005C0918"/>
    <w:rsid w:val="005C1553"/>
    <w:rsid w:val="005C162E"/>
    <w:rsid w:val="005C1B19"/>
    <w:rsid w:val="005C25C7"/>
    <w:rsid w:val="005C2AB3"/>
    <w:rsid w:val="005C30CA"/>
    <w:rsid w:val="005C417A"/>
    <w:rsid w:val="005C5A10"/>
    <w:rsid w:val="005C6557"/>
    <w:rsid w:val="005D22FC"/>
    <w:rsid w:val="005D24A4"/>
    <w:rsid w:val="005D3D41"/>
    <w:rsid w:val="005D5945"/>
    <w:rsid w:val="005D736F"/>
    <w:rsid w:val="005E3310"/>
    <w:rsid w:val="005E4F70"/>
    <w:rsid w:val="005E6B61"/>
    <w:rsid w:val="005E7CE8"/>
    <w:rsid w:val="005F0D2B"/>
    <w:rsid w:val="005F162E"/>
    <w:rsid w:val="005F16C3"/>
    <w:rsid w:val="005F1C5B"/>
    <w:rsid w:val="005F328B"/>
    <w:rsid w:val="005F3C26"/>
    <w:rsid w:val="005F4239"/>
    <w:rsid w:val="005F4328"/>
    <w:rsid w:val="005F6547"/>
    <w:rsid w:val="005F7135"/>
    <w:rsid w:val="005F74F3"/>
    <w:rsid w:val="0060161F"/>
    <w:rsid w:val="00601E1E"/>
    <w:rsid w:val="00601FF4"/>
    <w:rsid w:val="00604B6C"/>
    <w:rsid w:val="00605A28"/>
    <w:rsid w:val="00605C46"/>
    <w:rsid w:val="006061DD"/>
    <w:rsid w:val="00610AEB"/>
    <w:rsid w:val="00610DD1"/>
    <w:rsid w:val="00611B84"/>
    <w:rsid w:val="006128DD"/>
    <w:rsid w:val="00613604"/>
    <w:rsid w:val="00614E98"/>
    <w:rsid w:val="006163F1"/>
    <w:rsid w:val="00620130"/>
    <w:rsid w:val="006223AA"/>
    <w:rsid w:val="0062295C"/>
    <w:rsid w:val="00623AD2"/>
    <w:rsid w:val="0062527C"/>
    <w:rsid w:val="006259BD"/>
    <w:rsid w:val="00627B16"/>
    <w:rsid w:val="00630760"/>
    <w:rsid w:val="00632B51"/>
    <w:rsid w:val="00632FAF"/>
    <w:rsid w:val="00633021"/>
    <w:rsid w:val="00633BFC"/>
    <w:rsid w:val="00633CD9"/>
    <w:rsid w:val="00635862"/>
    <w:rsid w:val="00636962"/>
    <w:rsid w:val="006410D9"/>
    <w:rsid w:val="0064474B"/>
    <w:rsid w:val="00644C71"/>
    <w:rsid w:val="00645242"/>
    <w:rsid w:val="0064600A"/>
    <w:rsid w:val="00646168"/>
    <w:rsid w:val="006462FA"/>
    <w:rsid w:val="0064715B"/>
    <w:rsid w:val="00647222"/>
    <w:rsid w:val="00647309"/>
    <w:rsid w:val="00651140"/>
    <w:rsid w:val="00660744"/>
    <w:rsid w:val="00660BAD"/>
    <w:rsid w:val="00660EBB"/>
    <w:rsid w:val="00661021"/>
    <w:rsid w:val="006619DE"/>
    <w:rsid w:val="00662F85"/>
    <w:rsid w:val="0066329C"/>
    <w:rsid w:val="00663CC5"/>
    <w:rsid w:val="00666A14"/>
    <w:rsid w:val="00667F46"/>
    <w:rsid w:val="00670660"/>
    <w:rsid w:val="00674B4D"/>
    <w:rsid w:val="00675056"/>
    <w:rsid w:val="00680674"/>
    <w:rsid w:val="00682ADD"/>
    <w:rsid w:val="00684375"/>
    <w:rsid w:val="00684D69"/>
    <w:rsid w:val="00684E55"/>
    <w:rsid w:val="00685139"/>
    <w:rsid w:val="00686AF3"/>
    <w:rsid w:val="00687126"/>
    <w:rsid w:val="006928F3"/>
    <w:rsid w:val="00693B0E"/>
    <w:rsid w:val="006952F5"/>
    <w:rsid w:val="006A1CF0"/>
    <w:rsid w:val="006A350C"/>
    <w:rsid w:val="006A350E"/>
    <w:rsid w:val="006A5596"/>
    <w:rsid w:val="006A70E4"/>
    <w:rsid w:val="006A73FD"/>
    <w:rsid w:val="006B16A1"/>
    <w:rsid w:val="006B2159"/>
    <w:rsid w:val="006B4620"/>
    <w:rsid w:val="006B4A59"/>
    <w:rsid w:val="006B4B5D"/>
    <w:rsid w:val="006B4ED2"/>
    <w:rsid w:val="006B6E3B"/>
    <w:rsid w:val="006B77E7"/>
    <w:rsid w:val="006C10D3"/>
    <w:rsid w:val="006C14F8"/>
    <w:rsid w:val="006C1B42"/>
    <w:rsid w:val="006C1BFF"/>
    <w:rsid w:val="006C285C"/>
    <w:rsid w:val="006C3F5F"/>
    <w:rsid w:val="006C419C"/>
    <w:rsid w:val="006C4579"/>
    <w:rsid w:val="006C4915"/>
    <w:rsid w:val="006C56C9"/>
    <w:rsid w:val="006C67D7"/>
    <w:rsid w:val="006D0A4D"/>
    <w:rsid w:val="006D144F"/>
    <w:rsid w:val="006D567B"/>
    <w:rsid w:val="006D5A22"/>
    <w:rsid w:val="006D617C"/>
    <w:rsid w:val="006D690E"/>
    <w:rsid w:val="006D72C7"/>
    <w:rsid w:val="006E0B76"/>
    <w:rsid w:val="006E1B7C"/>
    <w:rsid w:val="006E1CF0"/>
    <w:rsid w:val="006E2844"/>
    <w:rsid w:val="006E2EB3"/>
    <w:rsid w:val="006E2EF3"/>
    <w:rsid w:val="006E3EAB"/>
    <w:rsid w:val="006E521B"/>
    <w:rsid w:val="006E542F"/>
    <w:rsid w:val="006E5C36"/>
    <w:rsid w:val="006E6B9A"/>
    <w:rsid w:val="006E6BD7"/>
    <w:rsid w:val="006E7739"/>
    <w:rsid w:val="006E798E"/>
    <w:rsid w:val="006F1255"/>
    <w:rsid w:val="006F2FC3"/>
    <w:rsid w:val="006F30B4"/>
    <w:rsid w:val="006F3F8C"/>
    <w:rsid w:val="006F46C3"/>
    <w:rsid w:val="006F6E12"/>
    <w:rsid w:val="006F730A"/>
    <w:rsid w:val="007009AA"/>
    <w:rsid w:val="00701A84"/>
    <w:rsid w:val="007026E3"/>
    <w:rsid w:val="007036C3"/>
    <w:rsid w:val="00704D43"/>
    <w:rsid w:val="00705859"/>
    <w:rsid w:val="00706041"/>
    <w:rsid w:val="0070647B"/>
    <w:rsid w:val="007074B1"/>
    <w:rsid w:val="00710870"/>
    <w:rsid w:val="007123AF"/>
    <w:rsid w:val="00712A96"/>
    <w:rsid w:val="00715E53"/>
    <w:rsid w:val="00716017"/>
    <w:rsid w:val="007169EB"/>
    <w:rsid w:val="00717BCA"/>
    <w:rsid w:val="00721056"/>
    <w:rsid w:val="00723914"/>
    <w:rsid w:val="00725C94"/>
    <w:rsid w:val="00726A6C"/>
    <w:rsid w:val="00726B23"/>
    <w:rsid w:val="00726DB7"/>
    <w:rsid w:val="00727E29"/>
    <w:rsid w:val="0073129B"/>
    <w:rsid w:val="00733083"/>
    <w:rsid w:val="007342E5"/>
    <w:rsid w:val="00735687"/>
    <w:rsid w:val="0074148E"/>
    <w:rsid w:val="00742B21"/>
    <w:rsid w:val="00744517"/>
    <w:rsid w:val="00745B6B"/>
    <w:rsid w:val="0075010E"/>
    <w:rsid w:val="00750137"/>
    <w:rsid w:val="0075115C"/>
    <w:rsid w:val="00751507"/>
    <w:rsid w:val="00752086"/>
    <w:rsid w:val="007525B7"/>
    <w:rsid w:val="00752BB4"/>
    <w:rsid w:val="00754842"/>
    <w:rsid w:val="00755157"/>
    <w:rsid w:val="0075605F"/>
    <w:rsid w:val="00757317"/>
    <w:rsid w:val="00761810"/>
    <w:rsid w:val="00763398"/>
    <w:rsid w:val="00766147"/>
    <w:rsid w:val="00766DD4"/>
    <w:rsid w:val="00767246"/>
    <w:rsid w:val="00770518"/>
    <w:rsid w:val="00771F84"/>
    <w:rsid w:val="007724D2"/>
    <w:rsid w:val="00772E30"/>
    <w:rsid w:val="00774579"/>
    <w:rsid w:val="007769FC"/>
    <w:rsid w:val="00780470"/>
    <w:rsid w:val="00783267"/>
    <w:rsid w:val="0078521D"/>
    <w:rsid w:val="00790A94"/>
    <w:rsid w:val="007911B2"/>
    <w:rsid w:val="00792A8A"/>
    <w:rsid w:val="00794EF4"/>
    <w:rsid w:val="007951BA"/>
    <w:rsid w:val="00796230"/>
    <w:rsid w:val="007972F1"/>
    <w:rsid w:val="00797ACE"/>
    <w:rsid w:val="007A08F7"/>
    <w:rsid w:val="007A1E5B"/>
    <w:rsid w:val="007A22DF"/>
    <w:rsid w:val="007A302D"/>
    <w:rsid w:val="007A36C9"/>
    <w:rsid w:val="007A3A22"/>
    <w:rsid w:val="007A3DAF"/>
    <w:rsid w:val="007A5188"/>
    <w:rsid w:val="007A6512"/>
    <w:rsid w:val="007A67FD"/>
    <w:rsid w:val="007A6E18"/>
    <w:rsid w:val="007A7522"/>
    <w:rsid w:val="007A7CDE"/>
    <w:rsid w:val="007B3D71"/>
    <w:rsid w:val="007B5213"/>
    <w:rsid w:val="007B6794"/>
    <w:rsid w:val="007B68A2"/>
    <w:rsid w:val="007B7DDF"/>
    <w:rsid w:val="007C27F6"/>
    <w:rsid w:val="007C292F"/>
    <w:rsid w:val="007C3A07"/>
    <w:rsid w:val="007C6F5D"/>
    <w:rsid w:val="007D07A2"/>
    <w:rsid w:val="007D16DC"/>
    <w:rsid w:val="007D1C66"/>
    <w:rsid w:val="007D31EA"/>
    <w:rsid w:val="007D4C26"/>
    <w:rsid w:val="007D4E1A"/>
    <w:rsid w:val="007D5CBB"/>
    <w:rsid w:val="007D6572"/>
    <w:rsid w:val="007D680C"/>
    <w:rsid w:val="007D7D48"/>
    <w:rsid w:val="007E0563"/>
    <w:rsid w:val="007E3469"/>
    <w:rsid w:val="007E3E7D"/>
    <w:rsid w:val="007E6590"/>
    <w:rsid w:val="007E78FD"/>
    <w:rsid w:val="007F2678"/>
    <w:rsid w:val="007F33A5"/>
    <w:rsid w:val="007F4B20"/>
    <w:rsid w:val="007F5CD9"/>
    <w:rsid w:val="007F6A96"/>
    <w:rsid w:val="007F6B12"/>
    <w:rsid w:val="00801394"/>
    <w:rsid w:val="008016DA"/>
    <w:rsid w:val="00801DB2"/>
    <w:rsid w:val="00803D1B"/>
    <w:rsid w:val="00804854"/>
    <w:rsid w:val="00805D01"/>
    <w:rsid w:val="008078DA"/>
    <w:rsid w:val="0081226D"/>
    <w:rsid w:val="008142F6"/>
    <w:rsid w:val="00814946"/>
    <w:rsid w:val="00814ACE"/>
    <w:rsid w:val="00816182"/>
    <w:rsid w:val="00816E31"/>
    <w:rsid w:val="00820BDF"/>
    <w:rsid w:val="00821453"/>
    <w:rsid w:val="00822B05"/>
    <w:rsid w:val="00823971"/>
    <w:rsid w:val="00824395"/>
    <w:rsid w:val="0082459A"/>
    <w:rsid w:val="008254C5"/>
    <w:rsid w:val="00826534"/>
    <w:rsid w:val="00826C28"/>
    <w:rsid w:val="00830D14"/>
    <w:rsid w:val="00830FE9"/>
    <w:rsid w:val="00831F81"/>
    <w:rsid w:val="008331F8"/>
    <w:rsid w:val="00833931"/>
    <w:rsid w:val="00833E5B"/>
    <w:rsid w:val="00833EFC"/>
    <w:rsid w:val="008349A8"/>
    <w:rsid w:val="008355AD"/>
    <w:rsid w:val="00835D9A"/>
    <w:rsid w:val="00842D0A"/>
    <w:rsid w:val="0084602F"/>
    <w:rsid w:val="008460C2"/>
    <w:rsid w:val="00847755"/>
    <w:rsid w:val="008508EA"/>
    <w:rsid w:val="00851FB3"/>
    <w:rsid w:val="0085267C"/>
    <w:rsid w:val="0085286D"/>
    <w:rsid w:val="00852F42"/>
    <w:rsid w:val="00853DF0"/>
    <w:rsid w:val="00856025"/>
    <w:rsid w:val="008567AE"/>
    <w:rsid w:val="00857277"/>
    <w:rsid w:val="0086022C"/>
    <w:rsid w:val="008602E0"/>
    <w:rsid w:val="008625DD"/>
    <w:rsid w:val="00862D3A"/>
    <w:rsid w:val="008630DB"/>
    <w:rsid w:val="008631FE"/>
    <w:rsid w:val="0086397B"/>
    <w:rsid w:val="0086579F"/>
    <w:rsid w:val="00865A18"/>
    <w:rsid w:val="0087019F"/>
    <w:rsid w:val="00870FB0"/>
    <w:rsid w:val="00872040"/>
    <w:rsid w:val="00872F16"/>
    <w:rsid w:val="0087375E"/>
    <w:rsid w:val="00874258"/>
    <w:rsid w:val="008746F4"/>
    <w:rsid w:val="008765D0"/>
    <w:rsid w:val="00877813"/>
    <w:rsid w:val="00877B50"/>
    <w:rsid w:val="00880C4E"/>
    <w:rsid w:val="00881FBD"/>
    <w:rsid w:val="00883131"/>
    <w:rsid w:val="00884568"/>
    <w:rsid w:val="00886D39"/>
    <w:rsid w:val="00893045"/>
    <w:rsid w:val="008936E5"/>
    <w:rsid w:val="008946EA"/>
    <w:rsid w:val="0089613D"/>
    <w:rsid w:val="008A0C4A"/>
    <w:rsid w:val="008A3781"/>
    <w:rsid w:val="008A4F8A"/>
    <w:rsid w:val="008A6265"/>
    <w:rsid w:val="008A6CF3"/>
    <w:rsid w:val="008B1806"/>
    <w:rsid w:val="008B1967"/>
    <w:rsid w:val="008B2180"/>
    <w:rsid w:val="008B31BF"/>
    <w:rsid w:val="008B4958"/>
    <w:rsid w:val="008B75C5"/>
    <w:rsid w:val="008C3A14"/>
    <w:rsid w:val="008C3A31"/>
    <w:rsid w:val="008C4D93"/>
    <w:rsid w:val="008C4FAE"/>
    <w:rsid w:val="008C5DE5"/>
    <w:rsid w:val="008D0EA5"/>
    <w:rsid w:val="008D1879"/>
    <w:rsid w:val="008D27E9"/>
    <w:rsid w:val="008D2B4F"/>
    <w:rsid w:val="008D43B6"/>
    <w:rsid w:val="008D5858"/>
    <w:rsid w:val="008D6722"/>
    <w:rsid w:val="008E0C18"/>
    <w:rsid w:val="008E1387"/>
    <w:rsid w:val="008E4370"/>
    <w:rsid w:val="008E5399"/>
    <w:rsid w:val="008E6766"/>
    <w:rsid w:val="008F15FD"/>
    <w:rsid w:val="008F2890"/>
    <w:rsid w:val="008F2C7A"/>
    <w:rsid w:val="008F2DB6"/>
    <w:rsid w:val="008F5230"/>
    <w:rsid w:val="008F6AF6"/>
    <w:rsid w:val="008F6FD6"/>
    <w:rsid w:val="008F78BF"/>
    <w:rsid w:val="00900FFC"/>
    <w:rsid w:val="0090152F"/>
    <w:rsid w:val="00901DF0"/>
    <w:rsid w:val="00902347"/>
    <w:rsid w:val="009032DF"/>
    <w:rsid w:val="009040CC"/>
    <w:rsid w:val="00905AE6"/>
    <w:rsid w:val="00906A3C"/>
    <w:rsid w:val="009102B1"/>
    <w:rsid w:val="00910A1D"/>
    <w:rsid w:val="009112D5"/>
    <w:rsid w:val="009117AF"/>
    <w:rsid w:val="009119FE"/>
    <w:rsid w:val="00913A8F"/>
    <w:rsid w:val="00913DA9"/>
    <w:rsid w:val="009149CC"/>
    <w:rsid w:val="00915BD0"/>
    <w:rsid w:val="009165B6"/>
    <w:rsid w:val="009174BB"/>
    <w:rsid w:val="0091751F"/>
    <w:rsid w:val="0091764F"/>
    <w:rsid w:val="00921EF2"/>
    <w:rsid w:val="00922D1D"/>
    <w:rsid w:val="009238C7"/>
    <w:rsid w:val="00923A54"/>
    <w:rsid w:val="0092564E"/>
    <w:rsid w:val="0092577B"/>
    <w:rsid w:val="00926831"/>
    <w:rsid w:val="00930226"/>
    <w:rsid w:val="00931126"/>
    <w:rsid w:val="009318F1"/>
    <w:rsid w:val="009336D5"/>
    <w:rsid w:val="00933BC1"/>
    <w:rsid w:val="009358E2"/>
    <w:rsid w:val="00937163"/>
    <w:rsid w:val="009410CD"/>
    <w:rsid w:val="009413B5"/>
    <w:rsid w:val="00941957"/>
    <w:rsid w:val="00942FF5"/>
    <w:rsid w:val="00943B39"/>
    <w:rsid w:val="00943F58"/>
    <w:rsid w:val="0094443B"/>
    <w:rsid w:val="0094469F"/>
    <w:rsid w:val="009475D2"/>
    <w:rsid w:val="0094784E"/>
    <w:rsid w:val="009478B6"/>
    <w:rsid w:val="0094793B"/>
    <w:rsid w:val="009504F1"/>
    <w:rsid w:val="009522E0"/>
    <w:rsid w:val="00953D09"/>
    <w:rsid w:val="00956336"/>
    <w:rsid w:val="00956DBA"/>
    <w:rsid w:val="00956DCC"/>
    <w:rsid w:val="0096197F"/>
    <w:rsid w:val="00964882"/>
    <w:rsid w:val="00964BFB"/>
    <w:rsid w:val="009651F7"/>
    <w:rsid w:val="009676CF"/>
    <w:rsid w:val="009678EF"/>
    <w:rsid w:val="00972737"/>
    <w:rsid w:val="00972764"/>
    <w:rsid w:val="009727B4"/>
    <w:rsid w:val="00972D10"/>
    <w:rsid w:val="00973685"/>
    <w:rsid w:val="009763A1"/>
    <w:rsid w:val="009765D4"/>
    <w:rsid w:val="00976894"/>
    <w:rsid w:val="009771F7"/>
    <w:rsid w:val="0097772D"/>
    <w:rsid w:val="0098095B"/>
    <w:rsid w:val="00980FEE"/>
    <w:rsid w:val="00981293"/>
    <w:rsid w:val="009816BB"/>
    <w:rsid w:val="0098326F"/>
    <w:rsid w:val="009840E8"/>
    <w:rsid w:val="00984168"/>
    <w:rsid w:val="009841D2"/>
    <w:rsid w:val="0098473F"/>
    <w:rsid w:val="00984E29"/>
    <w:rsid w:val="0098548A"/>
    <w:rsid w:val="009857A5"/>
    <w:rsid w:val="0098624B"/>
    <w:rsid w:val="009866D7"/>
    <w:rsid w:val="00987012"/>
    <w:rsid w:val="00987946"/>
    <w:rsid w:val="009914DB"/>
    <w:rsid w:val="00993DD3"/>
    <w:rsid w:val="0099765D"/>
    <w:rsid w:val="00997ABE"/>
    <w:rsid w:val="009A153F"/>
    <w:rsid w:val="009A1AB9"/>
    <w:rsid w:val="009A21F7"/>
    <w:rsid w:val="009A2F13"/>
    <w:rsid w:val="009A4C91"/>
    <w:rsid w:val="009A66F8"/>
    <w:rsid w:val="009A6828"/>
    <w:rsid w:val="009A682E"/>
    <w:rsid w:val="009B115E"/>
    <w:rsid w:val="009B13A2"/>
    <w:rsid w:val="009B210F"/>
    <w:rsid w:val="009B2FB6"/>
    <w:rsid w:val="009B46E3"/>
    <w:rsid w:val="009B4CCA"/>
    <w:rsid w:val="009B54E6"/>
    <w:rsid w:val="009B62A2"/>
    <w:rsid w:val="009B7910"/>
    <w:rsid w:val="009C0579"/>
    <w:rsid w:val="009C257A"/>
    <w:rsid w:val="009C390B"/>
    <w:rsid w:val="009C42F0"/>
    <w:rsid w:val="009C5621"/>
    <w:rsid w:val="009C5D2B"/>
    <w:rsid w:val="009C7700"/>
    <w:rsid w:val="009C7A36"/>
    <w:rsid w:val="009D0A6C"/>
    <w:rsid w:val="009D0E76"/>
    <w:rsid w:val="009D38D1"/>
    <w:rsid w:val="009D67AF"/>
    <w:rsid w:val="009E1292"/>
    <w:rsid w:val="009E280D"/>
    <w:rsid w:val="009E31DA"/>
    <w:rsid w:val="009E3F67"/>
    <w:rsid w:val="009E4AB7"/>
    <w:rsid w:val="009E5041"/>
    <w:rsid w:val="009E77CE"/>
    <w:rsid w:val="009F0B27"/>
    <w:rsid w:val="009F1AC6"/>
    <w:rsid w:val="009F3D52"/>
    <w:rsid w:val="009F46DE"/>
    <w:rsid w:val="009F62B9"/>
    <w:rsid w:val="009F6DFE"/>
    <w:rsid w:val="009F7053"/>
    <w:rsid w:val="009F7362"/>
    <w:rsid w:val="00A00218"/>
    <w:rsid w:val="00A0087D"/>
    <w:rsid w:val="00A008FB"/>
    <w:rsid w:val="00A01041"/>
    <w:rsid w:val="00A013E6"/>
    <w:rsid w:val="00A05978"/>
    <w:rsid w:val="00A059CF"/>
    <w:rsid w:val="00A0759E"/>
    <w:rsid w:val="00A10509"/>
    <w:rsid w:val="00A1079F"/>
    <w:rsid w:val="00A10B4D"/>
    <w:rsid w:val="00A1308B"/>
    <w:rsid w:val="00A13600"/>
    <w:rsid w:val="00A14161"/>
    <w:rsid w:val="00A15938"/>
    <w:rsid w:val="00A161A9"/>
    <w:rsid w:val="00A16334"/>
    <w:rsid w:val="00A17C20"/>
    <w:rsid w:val="00A17DD3"/>
    <w:rsid w:val="00A20C87"/>
    <w:rsid w:val="00A214E6"/>
    <w:rsid w:val="00A21F26"/>
    <w:rsid w:val="00A229F7"/>
    <w:rsid w:val="00A234F0"/>
    <w:rsid w:val="00A236AA"/>
    <w:rsid w:val="00A239C4"/>
    <w:rsid w:val="00A243BE"/>
    <w:rsid w:val="00A24AE5"/>
    <w:rsid w:val="00A26410"/>
    <w:rsid w:val="00A27544"/>
    <w:rsid w:val="00A27AD2"/>
    <w:rsid w:val="00A31FBE"/>
    <w:rsid w:val="00A36889"/>
    <w:rsid w:val="00A376D3"/>
    <w:rsid w:val="00A40975"/>
    <w:rsid w:val="00A443E0"/>
    <w:rsid w:val="00A447EC"/>
    <w:rsid w:val="00A44EDE"/>
    <w:rsid w:val="00A50827"/>
    <w:rsid w:val="00A51A65"/>
    <w:rsid w:val="00A51D94"/>
    <w:rsid w:val="00A5238B"/>
    <w:rsid w:val="00A5359E"/>
    <w:rsid w:val="00A549E2"/>
    <w:rsid w:val="00A54BA6"/>
    <w:rsid w:val="00A57A63"/>
    <w:rsid w:val="00A602AF"/>
    <w:rsid w:val="00A620CB"/>
    <w:rsid w:val="00A62D74"/>
    <w:rsid w:val="00A6377E"/>
    <w:rsid w:val="00A64CFB"/>
    <w:rsid w:val="00A65552"/>
    <w:rsid w:val="00A65932"/>
    <w:rsid w:val="00A65A23"/>
    <w:rsid w:val="00A65BBB"/>
    <w:rsid w:val="00A660F9"/>
    <w:rsid w:val="00A6617B"/>
    <w:rsid w:val="00A6699A"/>
    <w:rsid w:val="00A70890"/>
    <w:rsid w:val="00A70E5D"/>
    <w:rsid w:val="00A7108D"/>
    <w:rsid w:val="00A71467"/>
    <w:rsid w:val="00A71821"/>
    <w:rsid w:val="00A7333E"/>
    <w:rsid w:val="00A74B5E"/>
    <w:rsid w:val="00A754E9"/>
    <w:rsid w:val="00A75A0E"/>
    <w:rsid w:val="00A75AAB"/>
    <w:rsid w:val="00A76A23"/>
    <w:rsid w:val="00A77C2A"/>
    <w:rsid w:val="00A8150A"/>
    <w:rsid w:val="00A81700"/>
    <w:rsid w:val="00A81E96"/>
    <w:rsid w:val="00A8366F"/>
    <w:rsid w:val="00A83DE4"/>
    <w:rsid w:val="00A8455C"/>
    <w:rsid w:val="00A84C2F"/>
    <w:rsid w:val="00A84CD1"/>
    <w:rsid w:val="00A84D2C"/>
    <w:rsid w:val="00A86917"/>
    <w:rsid w:val="00A86A30"/>
    <w:rsid w:val="00A86BC1"/>
    <w:rsid w:val="00A909F4"/>
    <w:rsid w:val="00A90FFC"/>
    <w:rsid w:val="00A93CEE"/>
    <w:rsid w:val="00A95BB6"/>
    <w:rsid w:val="00A95DBF"/>
    <w:rsid w:val="00A97ECB"/>
    <w:rsid w:val="00AA1F13"/>
    <w:rsid w:val="00AA23AD"/>
    <w:rsid w:val="00AA35CF"/>
    <w:rsid w:val="00AA4FBC"/>
    <w:rsid w:val="00AA6436"/>
    <w:rsid w:val="00AA6475"/>
    <w:rsid w:val="00AA77E6"/>
    <w:rsid w:val="00AB0711"/>
    <w:rsid w:val="00AB134A"/>
    <w:rsid w:val="00AB22FD"/>
    <w:rsid w:val="00AB249C"/>
    <w:rsid w:val="00AB2E17"/>
    <w:rsid w:val="00AB3141"/>
    <w:rsid w:val="00AB5980"/>
    <w:rsid w:val="00AB5EF7"/>
    <w:rsid w:val="00AB609D"/>
    <w:rsid w:val="00AB6683"/>
    <w:rsid w:val="00AB66B8"/>
    <w:rsid w:val="00AB6EDE"/>
    <w:rsid w:val="00AB74F6"/>
    <w:rsid w:val="00AC12CA"/>
    <w:rsid w:val="00AC1C74"/>
    <w:rsid w:val="00AC2268"/>
    <w:rsid w:val="00AC3E69"/>
    <w:rsid w:val="00AC40B7"/>
    <w:rsid w:val="00AC5030"/>
    <w:rsid w:val="00AC6253"/>
    <w:rsid w:val="00AD0E40"/>
    <w:rsid w:val="00AD0E44"/>
    <w:rsid w:val="00AD479A"/>
    <w:rsid w:val="00AD4E24"/>
    <w:rsid w:val="00AD5056"/>
    <w:rsid w:val="00AD6096"/>
    <w:rsid w:val="00AD75D8"/>
    <w:rsid w:val="00AD7CAC"/>
    <w:rsid w:val="00AD7DE4"/>
    <w:rsid w:val="00AE08EC"/>
    <w:rsid w:val="00AE2D28"/>
    <w:rsid w:val="00AE3D01"/>
    <w:rsid w:val="00AE4FC4"/>
    <w:rsid w:val="00AE5260"/>
    <w:rsid w:val="00AE5CF7"/>
    <w:rsid w:val="00AE67B6"/>
    <w:rsid w:val="00AF08A4"/>
    <w:rsid w:val="00AF0D29"/>
    <w:rsid w:val="00AF2104"/>
    <w:rsid w:val="00AF2E40"/>
    <w:rsid w:val="00AF3442"/>
    <w:rsid w:val="00AF3762"/>
    <w:rsid w:val="00AF49A0"/>
    <w:rsid w:val="00AF4A9E"/>
    <w:rsid w:val="00AF5D13"/>
    <w:rsid w:val="00AF7CFA"/>
    <w:rsid w:val="00B00F9C"/>
    <w:rsid w:val="00B031A6"/>
    <w:rsid w:val="00B05EB7"/>
    <w:rsid w:val="00B0641E"/>
    <w:rsid w:val="00B11F1E"/>
    <w:rsid w:val="00B14757"/>
    <w:rsid w:val="00B14A65"/>
    <w:rsid w:val="00B14DAC"/>
    <w:rsid w:val="00B17226"/>
    <w:rsid w:val="00B1739F"/>
    <w:rsid w:val="00B2037B"/>
    <w:rsid w:val="00B20435"/>
    <w:rsid w:val="00B216AE"/>
    <w:rsid w:val="00B2193F"/>
    <w:rsid w:val="00B2250B"/>
    <w:rsid w:val="00B225F2"/>
    <w:rsid w:val="00B22840"/>
    <w:rsid w:val="00B22D70"/>
    <w:rsid w:val="00B25BE2"/>
    <w:rsid w:val="00B320DA"/>
    <w:rsid w:val="00B34169"/>
    <w:rsid w:val="00B35FC4"/>
    <w:rsid w:val="00B362EC"/>
    <w:rsid w:val="00B40AC5"/>
    <w:rsid w:val="00B40DB4"/>
    <w:rsid w:val="00B43529"/>
    <w:rsid w:val="00B45828"/>
    <w:rsid w:val="00B51807"/>
    <w:rsid w:val="00B51D11"/>
    <w:rsid w:val="00B52304"/>
    <w:rsid w:val="00B52B75"/>
    <w:rsid w:val="00B53347"/>
    <w:rsid w:val="00B53724"/>
    <w:rsid w:val="00B568D1"/>
    <w:rsid w:val="00B56F9E"/>
    <w:rsid w:val="00B574B8"/>
    <w:rsid w:val="00B6040F"/>
    <w:rsid w:val="00B60D18"/>
    <w:rsid w:val="00B6264C"/>
    <w:rsid w:val="00B642BD"/>
    <w:rsid w:val="00B651C2"/>
    <w:rsid w:val="00B65AEA"/>
    <w:rsid w:val="00B70289"/>
    <w:rsid w:val="00B70AB4"/>
    <w:rsid w:val="00B75096"/>
    <w:rsid w:val="00B756FD"/>
    <w:rsid w:val="00B76551"/>
    <w:rsid w:val="00B77EDE"/>
    <w:rsid w:val="00B82CF7"/>
    <w:rsid w:val="00B82E6C"/>
    <w:rsid w:val="00B83E5B"/>
    <w:rsid w:val="00B840FF"/>
    <w:rsid w:val="00B84A8B"/>
    <w:rsid w:val="00B850F5"/>
    <w:rsid w:val="00B8570F"/>
    <w:rsid w:val="00B8749A"/>
    <w:rsid w:val="00B8757E"/>
    <w:rsid w:val="00B8792A"/>
    <w:rsid w:val="00B87E24"/>
    <w:rsid w:val="00B91C97"/>
    <w:rsid w:val="00B923D8"/>
    <w:rsid w:val="00B924CB"/>
    <w:rsid w:val="00B958B9"/>
    <w:rsid w:val="00B95BC9"/>
    <w:rsid w:val="00B97477"/>
    <w:rsid w:val="00BA024F"/>
    <w:rsid w:val="00BA13EB"/>
    <w:rsid w:val="00BA1742"/>
    <w:rsid w:val="00BA1DA6"/>
    <w:rsid w:val="00BA280E"/>
    <w:rsid w:val="00BA32B2"/>
    <w:rsid w:val="00BA4A15"/>
    <w:rsid w:val="00BA5CD5"/>
    <w:rsid w:val="00BA6A1E"/>
    <w:rsid w:val="00BA779B"/>
    <w:rsid w:val="00BA7DB0"/>
    <w:rsid w:val="00BB00F1"/>
    <w:rsid w:val="00BB14E3"/>
    <w:rsid w:val="00BB1F52"/>
    <w:rsid w:val="00BB2376"/>
    <w:rsid w:val="00BB4F42"/>
    <w:rsid w:val="00BB502A"/>
    <w:rsid w:val="00BB6955"/>
    <w:rsid w:val="00BC05BE"/>
    <w:rsid w:val="00BC31D7"/>
    <w:rsid w:val="00BC53F9"/>
    <w:rsid w:val="00BC6179"/>
    <w:rsid w:val="00BC63D8"/>
    <w:rsid w:val="00BC7BDB"/>
    <w:rsid w:val="00BD0888"/>
    <w:rsid w:val="00BD0E92"/>
    <w:rsid w:val="00BD16CC"/>
    <w:rsid w:val="00BD1AFE"/>
    <w:rsid w:val="00BD1EB6"/>
    <w:rsid w:val="00BD2382"/>
    <w:rsid w:val="00BD38A7"/>
    <w:rsid w:val="00BD4CB1"/>
    <w:rsid w:val="00BD4D58"/>
    <w:rsid w:val="00BD5685"/>
    <w:rsid w:val="00BD58EC"/>
    <w:rsid w:val="00BD5D68"/>
    <w:rsid w:val="00BD6AE4"/>
    <w:rsid w:val="00BD6C5E"/>
    <w:rsid w:val="00BD7122"/>
    <w:rsid w:val="00BE0628"/>
    <w:rsid w:val="00BE11E1"/>
    <w:rsid w:val="00BE15C2"/>
    <w:rsid w:val="00BE1806"/>
    <w:rsid w:val="00BE1F7A"/>
    <w:rsid w:val="00BE40A3"/>
    <w:rsid w:val="00BE52C6"/>
    <w:rsid w:val="00BE5DEB"/>
    <w:rsid w:val="00BF09BA"/>
    <w:rsid w:val="00BF11EF"/>
    <w:rsid w:val="00BF1EA6"/>
    <w:rsid w:val="00BF1F32"/>
    <w:rsid w:val="00BF4EBD"/>
    <w:rsid w:val="00BF77F0"/>
    <w:rsid w:val="00BF7CA8"/>
    <w:rsid w:val="00BF7E9B"/>
    <w:rsid w:val="00C00004"/>
    <w:rsid w:val="00C000E6"/>
    <w:rsid w:val="00C01B7E"/>
    <w:rsid w:val="00C04D6B"/>
    <w:rsid w:val="00C05431"/>
    <w:rsid w:val="00C10A53"/>
    <w:rsid w:val="00C10B9D"/>
    <w:rsid w:val="00C11B1A"/>
    <w:rsid w:val="00C136A3"/>
    <w:rsid w:val="00C1478A"/>
    <w:rsid w:val="00C15196"/>
    <w:rsid w:val="00C1558A"/>
    <w:rsid w:val="00C15D8F"/>
    <w:rsid w:val="00C16E65"/>
    <w:rsid w:val="00C204DE"/>
    <w:rsid w:val="00C21898"/>
    <w:rsid w:val="00C21D03"/>
    <w:rsid w:val="00C244B7"/>
    <w:rsid w:val="00C2451E"/>
    <w:rsid w:val="00C27890"/>
    <w:rsid w:val="00C278B7"/>
    <w:rsid w:val="00C32671"/>
    <w:rsid w:val="00C33549"/>
    <w:rsid w:val="00C338AF"/>
    <w:rsid w:val="00C33ADF"/>
    <w:rsid w:val="00C34CFF"/>
    <w:rsid w:val="00C35EF1"/>
    <w:rsid w:val="00C409F2"/>
    <w:rsid w:val="00C40BB7"/>
    <w:rsid w:val="00C40EFF"/>
    <w:rsid w:val="00C41007"/>
    <w:rsid w:val="00C426BD"/>
    <w:rsid w:val="00C454DA"/>
    <w:rsid w:val="00C473A5"/>
    <w:rsid w:val="00C5059A"/>
    <w:rsid w:val="00C50F27"/>
    <w:rsid w:val="00C52764"/>
    <w:rsid w:val="00C53DCB"/>
    <w:rsid w:val="00C54AFC"/>
    <w:rsid w:val="00C55CB6"/>
    <w:rsid w:val="00C55FDC"/>
    <w:rsid w:val="00C561A1"/>
    <w:rsid w:val="00C56903"/>
    <w:rsid w:val="00C57185"/>
    <w:rsid w:val="00C57BDE"/>
    <w:rsid w:val="00C60374"/>
    <w:rsid w:val="00C63650"/>
    <w:rsid w:val="00C63D8E"/>
    <w:rsid w:val="00C648A2"/>
    <w:rsid w:val="00C65F10"/>
    <w:rsid w:val="00C65F1C"/>
    <w:rsid w:val="00C66706"/>
    <w:rsid w:val="00C66CD5"/>
    <w:rsid w:val="00C70A5C"/>
    <w:rsid w:val="00C715F6"/>
    <w:rsid w:val="00C734A2"/>
    <w:rsid w:val="00C738F8"/>
    <w:rsid w:val="00C74CE6"/>
    <w:rsid w:val="00C750F1"/>
    <w:rsid w:val="00C7569B"/>
    <w:rsid w:val="00C75A36"/>
    <w:rsid w:val="00C75CB4"/>
    <w:rsid w:val="00C75D0D"/>
    <w:rsid w:val="00C76563"/>
    <w:rsid w:val="00C77257"/>
    <w:rsid w:val="00C77D07"/>
    <w:rsid w:val="00C8014F"/>
    <w:rsid w:val="00C8046C"/>
    <w:rsid w:val="00C8459E"/>
    <w:rsid w:val="00C84F32"/>
    <w:rsid w:val="00C87499"/>
    <w:rsid w:val="00C87D5F"/>
    <w:rsid w:val="00C87D83"/>
    <w:rsid w:val="00C90846"/>
    <w:rsid w:val="00C90FCD"/>
    <w:rsid w:val="00C913DA"/>
    <w:rsid w:val="00C926D3"/>
    <w:rsid w:val="00C9312C"/>
    <w:rsid w:val="00C9470C"/>
    <w:rsid w:val="00C97B27"/>
    <w:rsid w:val="00CA039A"/>
    <w:rsid w:val="00CA0472"/>
    <w:rsid w:val="00CA0A07"/>
    <w:rsid w:val="00CA43FA"/>
    <w:rsid w:val="00CA54D2"/>
    <w:rsid w:val="00CA6029"/>
    <w:rsid w:val="00CA785C"/>
    <w:rsid w:val="00CA7A1E"/>
    <w:rsid w:val="00CA7FC3"/>
    <w:rsid w:val="00CB2000"/>
    <w:rsid w:val="00CB23E2"/>
    <w:rsid w:val="00CB48A6"/>
    <w:rsid w:val="00CB621C"/>
    <w:rsid w:val="00CB684E"/>
    <w:rsid w:val="00CB7EAF"/>
    <w:rsid w:val="00CC02F2"/>
    <w:rsid w:val="00CC1064"/>
    <w:rsid w:val="00CC2153"/>
    <w:rsid w:val="00CC3DEF"/>
    <w:rsid w:val="00CC69FA"/>
    <w:rsid w:val="00CC6B34"/>
    <w:rsid w:val="00CC7C07"/>
    <w:rsid w:val="00CD09B4"/>
    <w:rsid w:val="00CD0E2D"/>
    <w:rsid w:val="00CD44EB"/>
    <w:rsid w:val="00CD6EE8"/>
    <w:rsid w:val="00CD737F"/>
    <w:rsid w:val="00CD7773"/>
    <w:rsid w:val="00CE26B4"/>
    <w:rsid w:val="00CE2EB1"/>
    <w:rsid w:val="00CE691B"/>
    <w:rsid w:val="00CE76C0"/>
    <w:rsid w:val="00CE78B9"/>
    <w:rsid w:val="00CF06ED"/>
    <w:rsid w:val="00CF0FFC"/>
    <w:rsid w:val="00CF1645"/>
    <w:rsid w:val="00CF1A27"/>
    <w:rsid w:val="00CF2A38"/>
    <w:rsid w:val="00CF48A1"/>
    <w:rsid w:val="00CF5CD9"/>
    <w:rsid w:val="00CF67F1"/>
    <w:rsid w:val="00CF72F3"/>
    <w:rsid w:val="00CF73F2"/>
    <w:rsid w:val="00D01E73"/>
    <w:rsid w:val="00D02EC1"/>
    <w:rsid w:val="00D0314D"/>
    <w:rsid w:val="00D05003"/>
    <w:rsid w:val="00D05D5C"/>
    <w:rsid w:val="00D05F0E"/>
    <w:rsid w:val="00D1028B"/>
    <w:rsid w:val="00D11328"/>
    <w:rsid w:val="00D129F7"/>
    <w:rsid w:val="00D13DA8"/>
    <w:rsid w:val="00D14C32"/>
    <w:rsid w:val="00D16188"/>
    <w:rsid w:val="00D16D45"/>
    <w:rsid w:val="00D17F26"/>
    <w:rsid w:val="00D20803"/>
    <w:rsid w:val="00D2120A"/>
    <w:rsid w:val="00D23B20"/>
    <w:rsid w:val="00D23D43"/>
    <w:rsid w:val="00D26402"/>
    <w:rsid w:val="00D2665C"/>
    <w:rsid w:val="00D26FA6"/>
    <w:rsid w:val="00D31A22"/>
    <w:rsid w:val="00D328D2"/>
    <w:rsid w:val="00D32CD6"/>
    <w:rsid w:val="00D35112"/>
    <w:rsid w:val="00D355AF"/>
    <w:rsid w:val="00D3682F"/>
    <w:rsid w:val="00D4185E"/>
    <w:rsid w:val="00D424F4"/>
    <w:rsid w:val="00D42B34"/>
    <w:rsid w:val="00D44884"/>
    <w:rsid w:val="00D51092"/>
    <w:rsid w:val="00D534CF"/>
    <w:rsid w:val="00D53670"/>
    <w:rsid w:val="00D54A32"/>
    <w:rsid w:val="00D57019"/>
    <w:rsid w:val="00D57F85"/>
    <w:rsid w:val="00D57FB1"/>
    <w:rsid w:val="00D6090C"/>
    <w:rsid w:val="00D61A35"/>
    <w:rsid w:val="00D61E00"/>
    <w:rsid w:val="00D63B31"/>
    <w:rsid w:val="00D640C6"/>
    <w:rsid w:val="00D650B1"/>
    <w:rsid w:val="00D66BCD"/>
    <w:rsid w:val="00D66F5E"/>
    <w:rsid w:val="00D6746E"/>
    <w:rsid w:val="00D70B9C"/>
    <w:rsid w:val="00D71664"/>
    <w:rsid w:val="00D71AF2"/>
    <w:rsid w:val="00D73671"/>
    <w:rsid w:val="00D7396B"/>
    <w:rsid w:val="00D74914"/>
    <w:rsid w:val="00D74EAF"/>
    <w:rsid w:val="00D763A3"/>
    <w:rsid w:val="00D7651E"/>
    <w:rsid w:val="00D765FC"/>
    <w:rsid w:val="00D77DDB"/>
    <w:rsid w:val="00D80CDC"/>
    <w:rsid w:val="00D8170C"/>
    <w:rsid w:val="00D81A07"/>
    <w:rsid w:val="00D81C06"/>
    <w:rsid w:val="00D8264B"/>
    <w:rsid w:val="00D8480F"/>
    <w:rsid w:val="00D8712F"/>
    <w:rsid w:val="00D879E6"/>
    <w:rsid w:val="00D9028D"/>
    <w:rsid w:val="00D90CDC"/>
    <w:rsid w:val="00D90E2B"/>
    <w:rsid w:val="00D91118"/>
    <w:rsid w:val="00D91F21"/>
    <w:rsid w:val="00D9264D"/>
    <w:rsid w:val="00D935CD"/>
    <w:rsid w:val="00D94273"/>
    <w:rsid w:val="00D944A0"/>
    <w:rsid w:val="00D946E9"/>
    <w:rsid w:val="00D9480A"/>
    <w:rsid w:val="00D95EAD"/>
    <w:rsid w:val="00D969B9"/>
    <w:rsid w:val="00D96FAE"/>
    <w:rsid w:val="00DA12BF"/>
    <w:rsid w:val="00DA1D6D"/>
    <w:rsid w:val="00DA47F3"/>
    <w:rsid w:val="00DA7000"/>
    <w:rsid w:val="00DA7AC9"/>
    <w:rsid w:val="00DA7EB6"/>
    <w:rsid w:val="00DB2502"/>
    <w:rsid w:val="00DB45CC"/>
    <w:rsid w:val="00DB62D4"/>
    <w:rsid w:val="00DB7E05"/>
    <w:rsid w:val="00DB7E41"/>
    <w:rsid w:val="00DC1BF6"/>
    <w:rsid w:val="00DC347B"/>
    <w:rsid w:val="00DC3A4D"/>
    <w:rsid w:val="00DC4B5D"/>
    <w:rsid w:val="00DC4DDB"/>
    <w:rsid w:val="00DC4FA6"/>
    <w:rsid w:val="00DC500F"/>
    <w:rsid w:val="00DC76AE"/>
    <w:rsid w:val="00DD230C"/>
    <w:rsid w:val="00DD2358"/>
    <w:rsid w:val="00DD2E20"/>
    <w:rsid w:val="00DD370B"/>
    <w:rsid w:val="00DE0C00"/>
    <w:rsid w:val="00DE0C34"/>
    <w:rsid w:val="00DE0FD6"/>
    <w:rsid w:val="00DE1F92"/>
    <w:rsid w:val="00DE2095"/>
    <w:rsid w:val="00DE2824"/>
    <w:rsid w:val="00DE29C9"/>
    <w:rsid w:val="00DE2C90"/>
    <w:rsid w:val="00DE2DF3"/>
    <w:rsid w:val="00DE3B31"/>
    <w:rsid w:val="00DE4F3C"/>
    <w:rsid w:val="00DE55B4"/>
    <w:rsid w:val="00DE7014"/>
    <w:rsid w:val="00DE74C8"/>
    <w:rsid w:val="00DE7B5B"/>
    <w:rsid w:val="00DF0526"/>
    <w:rsid w:val="00DF6236"/>
    <w:rsid w:val="00DF6334"/>
    <w:rsid w:val="00E00098"/>
    <w:rsid w:val="00E00117"/>
    <w:rsid w:val="00E00B48"/>
    <w:rsid w:val="00E01538"/>
    <w:rsid w:val="00E02DBA"/>
    <w:rsid w:val="00E030EE"/>
    <w:rsid w:val="00E058F2"/>
    <w:rsid w:val="00E0723B"/>
    <w:rsid w:val="00E0770D"/>
    <w:rsid w:val="00E07F6A"/>
    <w:rsid w:val="00E108C3"/>
    <w:rsid w:val="00E10D4B"/>
    <w:rsid w:val="00E111A9"/>
    <w:rsid w:val="00E11F03"/>
    <w:rsid w:val="00E120B9"/>
    <w:rsid w:val="00E12295"/>
    <w:rsid w:val="00E12705"/>
    <w:rsid w:val="00E12A19"/>
    <w:rsid w:val="00E13758"/>
    <w:rsid w:val="00E148F3"/>
    <w:rsid w:val="00E151DA"/>
    <w:rsid w:val="00E15382"/>
    <w:rsid w:val="00E17EC9"/>
    <w:rsid w:val="00E20944"/>
    <w:rsid w:val="00E21BC2"/>
    <w:rsid w:val="00E224DE"/>
    <w:rsid w:val="00E22D12"/>
    <w:rsid w:val="00E22E2E"/>
    <w:rsid w:val="00E2341F"/>
    <w:rsid w:val="00E238A2"/>
    <w:rsid w:val="00E24BF2"/>
    <w:rsid w:val="00E259F7"/>
    <w:rsid w:val="00E263B8"/>
    <w:rsid w:val="00E3243B"/>
    <w:rsid w:val="00E32A04"/>
    <w:rsid w:val="00E335D8"/>
    <w:rsid w:val="00E33707"/>
    <w:rsid w:val="00E34005"/>
    <w:rsid w:val="00E34FA7"/>
    <w:rsid w:val="00E35B7C"/>
    <w:rsid w:val="00E37166"/>
    <w:rsid w:val="00E413AB"/>
    <w:rsid w:val="00E41E91"/>
    <w:rsid w:val="00E43274"/>
    <w:rsid w:val="00E445FE"/>
    <w:rsid w:val="00E45FAB"/>
    <w:rsid w:val="00E4621C"/>
    <w:rsid w:val="00E4665E"/>
    <w:rsid w:val="00E467F5"/>
    <w:rsid w:val="00E53F38"/>
    <w:rsid w:val="00E6004C"/>
    <w:rsid w:val="00E63D51"/>
    <w:rsid w:val="00E64E71"/>
    <w:rsid w:val="00E66909"/>
    <w:rsid w:val="00E73085"/>
    <w:rsid w:val="00E73E35"/>
    <w:rsid w:val="00E740D3"/>
    <w:rsid w:val="00E76D20"/>
    <w:rsid w:val="00E77C44"/>
    <w:rsid w:val="00E807BA"/>
    <w:rsid w:val="00E80ACD"/>
    <w:rsid w:val="00E80F7E"/>
    <w:rsid w:val="00E8164C"/>
    <w:rsid w:val="00E8191B"/>
    <w:rsid w:val="00E82B5F"/>
    <w:rsid w:val="00E854D1"/>
    <w:rsid w:val="00E86C37"/>
    <w:rsid w:val="00E90D94"/>
    <w:rsid w:val="00E91219"/>
    <w:rsid w:val="00E93587"/>
    <w:rsid w:val="00E95194"/>
    <w:rsid w:val="00E95B0A"/>
    <w:rsid w:val="00E96E8C"/>
    <w:rsid w:val="00E96F65"/>
    <w:rsid w:val="00E96F9A"/>
    <w:rsid w:val="00E97C94"/>
    <w:rsid w:val="00EA19E1"/>
    <w:rsid w:val="00EA1FDA"/>
    <w:rsid w:val="00EA233A"/>
    <w:rsid w:val="00EA5BBB"/>
    <w:rsid w:val="00EA6811"/>
    <w:rsid w:val="00EA69AC"/>
    <w:rsid w:val="00EA7785"/>
    <w:rsid w:val="00EB10A7"/>
    <w:rsid w:val="00EB2328"/>
    <w:rsid w:val="00EB40ED"/>
    <w:rsid w:val="00EB48A2"/>
    <w:rsid w:val="00EB6DE7"/>
    <w:rsid w:val="00EB71F5"/>
    <w:rsid w:val="00EC2B68"/>
    <w:rsid w:val="00EC2FF9"/>
    <w:rsid w:val="00EC3CDF"/>
    <w:rsid w:val="00EC6890"/>
    <w:rsid w:val="00EC72A4"/>
    <w:rsid w:val="00ED1A98"/>
    <w:rsid w:val="00ED4CD6"/>
    <w:rsid w:val="00ED677C"/>
    <w:rsid w:val="00ED694A"/>
    <w:rsid w:val="00ED74B1"/>
    <w:rsid w:val="00ED76D9"/>
    <w:rsid w:val="00EE1441"/>
    <w:rsid w:val="00EE4722"/>
    <w:rsid w:val="00EE48D0"/>
    <w:rsid w:val="00EE5B53"/>
    <w:rsid w:val="00EE75E3"/>
    <w:rsid w:val="00EF1033"/>
    <w:rsid w:val="00EF4BA3"/>
    <w:rsid w:val="00EF5182"/>
    <w:rsid w:val="00EF701E"/>
    <w:rsid w:val="00F00193"/>
    <w:rsid w:val="00F02295"/>
    <w:rsid w:val="00F02E16"/>
    <w:rsid w:val="00F038CB"/>
    <w:rsid w:val="00F0410C"/>
    <w:rsid w:val="00F046BE"/>
    <w:rsid w:val="00F05314"/>
    <w:rsid w:val="00F060A4"/>
    <w:rsid w:val="00F06124"/>
    <w:rsid w:val="00F06ECA"/>
    <w:rsid w:val="00F07523"/>
    <w:rsid w:val="00F07A75"/>
    <w:rsid w:val="00F101FA"/>
    <w:rsid w:val="00F10710"/>
    <w:rsid w:val="00F11626"/>
    <w:rsid w:val="00F127F3"/>
    <w:rsid w:val="00F1326E"/>
    <w:rsid w:val="00F14854"/>
    <w:rsid w:val="00F155B4"/>
    <w:rsid w:val="00F15D39"/>
    <w:rsid w:val="00F16B10"/>
    <w:rsid w:val="00F16C30"/>
    <w:rsid w:val="00F21D64"/>
    <w:rsid w:val="00F22598"/>
    <w:rsid w:val="00F22836"/>
    <w:rsid w:val="00F231AB"/>
    <w:rsid w:val="00F233E8"/>
    <w:rsid w:val="00F24BB1"/>
    <w:rsid w:val="00F24C68"/>
    <w:rsid w:val="00F253B9"/>
    <w:rsid w:val="00F257E4"/>
    <w:rsid w:val="00F27A26"/>
    <w:rsid w:val="00F27B4E"/>
    <w:rsid w:val="00F27C51"/>
    <w:rsid w:val="00F304EE"/>
    <w:rsid w:val="00F31887"/>
    <w:rsid w:val="00F341AE"/>
    <w:rsid w:val="00F35671"/>
    <w:rsid w:val="00F36FAB"/>
    <w:rsid w:val="00F37616"/>
    <w:rsid w:val="00F37EF0"/>
    <w:rsid w:val="00F400C4"/>
    <w:rsid w:val="00F405D8"/>
    <w:rsid w:val="00F41E90"/>
    <w:rsid w:val="00F448CF"/>
    <w:rsid w:val="00F456C4"/>
    <w:rsid w:val="00F46F65"/>
    <w:rsid w:val="00F4710F"/>
    <w:rsid w:val="00F47B6A"/>
    <w:rsid w:val="00F51BBD"/>
    <w:rsid w:val="00F52544"/>
    <w:rsid w:val="00F53A81"/>
    <w:rsid w:val="00F57D8D"/>
    <w:rsid w:val="00F60E88"/>
    <w:rsid w:val="00F63A08"/>
    <w:rsid w:val="00F66D75"/>
    <w:rsid w:val="00F6772D"/>
    <w:rsid w:val="00F720B1"/>
    <w:rsid w:val="00F725CC"/>
    <w:rsid w:val="00F73B29"/>
    <w:rsid w:val="00F757F6"/>
    <w:rsid w:val="00F75C83"/>
    <w:rsid w:val="00F775E3"/>
    <w:rsid w:val="00F775F4"/>
    <w:rsid w:val="00F823B7"/>
    <w:rsid w:val="00F82B69"/>
    <w:rsid w:val="00F84700"/>
    <w:rsid w:val="00F8489D"/>
    <w:rsid w:val="00F856DE"/>
    <w:rsid w:val="00F86321"/>
    <w:rsid w:val="00F91188"/>
    <w:rsid w:val="00F91819"/>
    <w:rsid w:val="00F91A6F"/>
    <w:rsid w:val="00F9432B"/>
    <w:rsid w:val="00F94F80"/>
    <w:rsid w:val="00F9546C"/>
    <w:rsid w:val="00F96CF9"/>
    <w:rsid w:val="00F974A1"/>
    <w:rsid w:val="00F97B72"/>
    <w:rsid w:val="00FA0C6D"/>
    <w:rsid w:val="00FA0CA0"/>
    <w:rsid w:val="00FA10A8"/>
    <w:rsid w:val="00FA1427"/>
    <w:rsid w:val="00FA45BA"/>
    <w:rsid w:val="00FA5296"/>
    <w:rsid w:val="00FA6C76"/>
    <w:rsid w:val="00FA6FD4"/>
    <w:rsid w:val="00FA766E"/>
    <w:rsid w:val="00FB0CF3"/>
    <w:rsid w:val="00FB12D7"/>
    <w:rsid w:val="00FB1F93"/>
    <w:rsid w:val="00FB48DF"/>
    <w:rsid w:val="00FB5972"/>
    <w:rsid w:val="00FB6121"/>
    <w:rsid w:val="00FB632F"/>
    <w:rsid w:val="00FB659B"/>
    <w:rsid w:val="00FC0CB7"/>
    <w:rsid w:val="00FC3BAF"/>
    <w:rsid w:val="00FC5824"/>
    <w:rsid w:val="00FC5AFE"/>
    <w:rsid w:val="00FC5C4F"/>
    <w:rsid w:val="00FC5D22"/>
    <w:rsid w:val="00FC64B0"/>
    <w:rsid w:val="00FD01BA"/>
    <w:rsid w:val="00FD0CA5"/>
    <w:rsid w:val="00FD4012"/>
    <w:rsid w:val="00FD5424"/>
    <w:rsid w:val="00FD5A0C"/>
    <w:rsid w:val="00FD6646"/>
    <w:rsid w:val="00FE0974"/>
    <w:rsid w:val="00FE20F3"/>
    <w:rsid w:val="00FE244B"/>
    <w:rsid w:val="00FE2ED1"/>
    <w:rsid w:val="00FE4D45"/>
    <w:rsid w:val="00FE5279"/>
    <w:rsid w:val="00FE5412"/>
    <w:rsid w:val="00FE5CA7"/>
    <w:rsid w:val="00FE6874"/>
    <w:rsid w:val="00FE6F8E"/>
    <w:rsid w:val="00FE71EC"/>
    <w:rsid w:val="00FE72CC"/>
    <w:rsid w:val="00FF0084"/>
    <w:rsid w:val="00FF05FE"/>
    <w:rsid w:val="00FF094D"/>
    <w:rsid w:val="00FF0D6E"/>
    <w:rsid w:val="00FF4F25"/>
    <w:rsid w:val="00FF5A7C"/>
    <w:rsid w:val="00FF6B57"/>
    <w:rsid w:val="01520363"/>
    <w:rsid w:val="017146AF"/>
    <w:rsid w:val="01723D52"/>
    <w:rsid w:val="01743508"/>
    <w:rsid w:val="01747E56"/>
    <w:rsid w:val="01AD24F4"/>
    <w:rsid w:val="01D6304F"/>
    <w:rsid w:val="01DE2088"/>
    <w:rsid w:val="01F77B1F"/>
    <w:rsid w:val="020F1856"/>
    <w:rsid w:val="02142EAA"/>
    <w:rsid w:val="02242BCA"/>
    <w:rsid w:val="027F6AB2"/>
    <w:rsid w:val="02845104"/>
    <w:rsid w:val="02F439FD"/>
    <w:rsid w:val="031C2553"/>
    <w:rsid w:val="03373831"/>
    <w:rsid w:val="033A0C2B"/>
    <w:rsid w:val="03411FB9"/>
    <w:rsid w:val="0342580E"/>
    <w:rsid w:val="034E3E75"/>
    <w:rsid w:val="03522419"/>
    <w:rsid w:val="03584D46"/>
    <w:rsid w:val="03771E7F"/>
    <w:rsid w:val="0388408C"/>
    <w:rsid w:val="0393447D"/>
    <w:rsid w:val="039C60F1"/>
    <w:rsid w:val="039E28FC"/>
    <w:rsid w:val="03B94246"/>
    <w:rsid w:val="03DB0262"/>
    <w:rsid w:val="03DC0EA8"/>
    <w:rsid w:val="03DD2BFC"/>
    <w:rsid w:val="03EF1A15"/>
    <w:rsid w:val="03FE4339"/>
    <w:rsid w:val="04217E77"/>
    <w:rsid w:val="042627F0"/>
    <w:rsid w:val="04553F6E"/>
    <w:rsid w:val="04640005"/>
    <w:rsid w:val="04644481"/>
    <w:rsid w:val="04694133"/>
    <w:rsid w:val="04776FA6"/>
    <w:rsid w:val="049802FF"/>
    <w:rsid w:val="04A376BE"/>
    <w:rsid w:val="04AF2B2C"/>
    <w:rsid w:val="04CF4954"/>
    <w:rsid w:val="04D868EC"/>
    <w:rsid w:val="050D4849"/>
    <w:rsid w:val="05111C07"/>
    <w:rsid w:val="052D14EA"/>
    <w:rsid w:val="053C0C8A"/>
    <w:rsid w:val="05410370"/>
    <w:rsid w:val="05AA02EA"/>
    <w:rsid w:val="05B7631A"/>
    <w:rsid w:val="05D87924"/>
    <w:rsid w:val="06061196"/>
    <w:rsid w:val="06262BBC"/>
    <w:rsid w:val="06391410"/>
    <w:rsid w:val="065374F0"/>
    <w:rsid w:val="06764670"/>
    <w:rsid w:val="06787267"/>
    <w:rsid w:val="069B7C33"/>
    <w:rsid w:val="069F6D5F"/>
    <w:rsid w:val="06D106D3"/>
    <w:rsid w:val="06DF51E1"/>
    <w:rsid w:val="06DF78D4"/>
    <w:rsid w:val="06F53427"/>
    <w:rsid w:val="06FF2D87"/>
    <w:rsid w:val="07092259"/>
    <w:rsid w:val="07133C6D"/>
    <w:rsid w:val="07331327"/>
    <w:rsid w:val="076D15CF"/>
    <w:rsid w:val="078203FE"/>
    <w:rsid w:val="07A87844"/>
    <w:rsid w:val="07B118F5"/>
    <w:rsid w:val="07E40A48"/>
    <w:rsid w:val="08150553"/>
    <w:rsid w:val="0816488D"/>
    <w:rsid w:val="08212A05"/>
    <w:rsid w:val="085405E2"/>
    <w:rsid w:val="087345A0"/>
    <w:rsid w:val="087C6F7E"/>
    <w:rsid w:val="08893A75"/>
    <w:rsid w:val="08CD6EA9"/>
    <w:rsid w:val="08D82D62"/>
    <w:rsid w:val="08E523C9"/>
    <w:rsid w:val="08E909F3"/>
    <w:rsid w:val="08E9737B"/>
    <w:rsid w:val="08FA485D"/>
    <w:rsid w:val="0922463B"/>
    <w:rsid w:val="09327985"/>
    <w:rsid w:val="093A133C"/>
    <w:rsid w:val="09BE680A"/>
    <w:rsid w:val="09CB6A81"/>
    <w:rsid w:val="0A0D0E47"/>
    <w:rsid w:val="0A620176"/>
    <w:rsid w:val="0A9D21CB"/>
    <w:rsid w:val="0AAA2424"/>
    <w:rsid w:val="0AB322DB"/>
    <w:rsid w:val="0AC60922"/>
    <w:rsid w:val="0ACA5D10"/>
    <w:rsid w:val="0B057D75"/>
    <w:rsid w:val="0B0B182B"/>
    <w:rsid w:val="0B1D7205"/>
    <w:rsid w:val="0B3206AF"/>
    <w:rsid w:val="0B5D3A15"/>
    <w:rsid w:val="0B666A2D"/>
    <w:rsid w:val="0B844BF1"/>
    <w:rsid w:val="0B903ADE"/>
    <w:rsid w:val="0B931509"/>
    <w:rsid w:val="0BD7170D"/>
    <w:rsid w:val="0C01678A"/>
    <w:rsid w:val="0C324AE4"/>
    <w:rsid w:val="0C3E353A"/>
    <w:rsid w:val="0C3F3C8D"/>
    <w:rsid w:val="0C4432BD"/>
    <w:rsid w:val="0C564AC5"/>
    <w:rsid w:val="0C6C454B"/>
    <w:rsid w:val="0C7409D7"/>
    <w:rsid w:val="0C9413AC"/>
    <w:rsid w:val="0CB0373B"/>
    <w:rsid w:val="0CCD1266"/>
    <w:rsid w:val="0CD34AE3"/>
    <w:rsid w:val="0CF20D88"/>
    <w:rsid w:val="0D643474"/>
    <w:rsid w:val="0D6B35BA"/>
    <w:rsid w:val="0D701E19"/>
    <w:rsid w:val="0D7B090F"/>
    <w:rsid w:val="0D7F14E7"/>
    <w:rsid w:val="0DC566B4"/>
    <w:rsid w:val="0DDF60A2"/>
    <w:rsid w:val="0E13567F"/>
    <w:rsid w:val="0E455054"/>
    <w:rsid w:val="0E7E754D"/>
    <w:rsid w:val="0E9C09EC"/>
    <w:rsid w:val="0EA33B28"/>
    <w:rsid w:val="0EAC6E81"/>
    <w:rsid w:val="0F074AE8"/>
    <w:rsid w:val="0F182255"/>
    <w:rsid w:val="0F191F95"/>
    <w:rsid w:val="0F292060"/>
    <w:rsid w:val="0F3850B0"/>
    <w:rsid w:val="0F44355D"/>
    <w:rsid w:val="0F4A7587"/>
    <w:rsid w:val="0F871F43"/>
    <w:rsid w:val="0FE17880"/>
    <w:rsid w:val="10367FB5"/>
    <w:rsid w:val="10421263"/>
    <w:rsid w:val="10552179"/>
    <w:rsid w:val="107604B7"/>
    <w:rsid w:val="107734BE"/>
    <w:rsid w:val="1077526D"/>
    <w:rsid w:val="10795489"/>
    <w:rsid w:val="10C577A4"/>
    <w:rsid w:val="10F20D97"/>
    <w:rsid w:val="10F84DBC"/>
    <w:rsid w:val="112F5B47"/>
    <w:rsid w:val="11365128"/>
    <w:rsid w:val="11497DFD"/>
    <w:rsid w:val="11673533"/>
    <w:rsid w:val="119855B1"/>
    <w:rsid w:val="11E608FC"/>
    <w:rsid w:val="11EE6C45"/>
    <w:rsid w:val="1208754E"/>
    <w:rsid w:val="122227F5"/>
    <w:rsid w:val="1241029A"/>
    <w:rsid w:val="125910CE"/>
    <w:rsid w:val="129057D0"/>
    <w:rsid w:val="129F0AAB"/>
    <w:rsid w:val="12BE3B81"/>
    <w:rsid w:val="12C97B2F"/>
    <w:rsid w:val="12D1335A"/>
    <w:rsid w:val="130A6AF3"/>
    <w:rsid w:val="131A5D86"/>
    <w:rsid w:val="13300AAB"/>
    <w:rsid w:val="13327DBA"/>
    <w:rsid w:val="1367781A"/>
    <w:rsid w:val="137F2F8C"/>
    <w:rsid w:val="138F5E2A"/>
    <w:rsid w:val="13C407C9"/>
    <w:rsid w:val="13CF3C78"/>
    <w:rsid w:val="14045448"/>
    <w:rsid w:val="142431AE"/>
    <w:rsid w:val="144F2455"/>
    <w:rsid w:val="145357FE"/>
    <w:rsid w:val="1458531E"/>
    <w:rsid w:val="147541B9"/>
    <w:rsid w:val="149C17AE"/>
    <w:rsid w:val="14AF1479"/>
    <w:rsid w:val="150F1F18"/>
    <w:rsid w:val="15C12E21"/>
    <w:rsid w:val="15E1257E"/>
    <w:rsid w:val="15EF3AED"/>
    <w:rsid w:val="15F50666"/>
    <w:rsid w:val="16571017"/>
    <w:rsid w:val="165F3663"/>
    <w:rsid w:val="168801D3"/>
    <w:rsid w:val="169C77DB"/>
    <w:rsid w:val="16A04EAB"/>
    <w:rsid w:val="16B069EB"/>
    <w:rsid w:val="16B54D41"/>
    <w:rsid w:val="170072A7"/>
    <w:rsid w:val="17063E5C"/>
    <w:rsid w:val="17147CB9"/>
    <w:rsid w:val="17547C85"/>
    <w:rsid w:val="175E7186"/>
    <w:rsid w:val="177017C5"/>
    <w:rsid w:val="17A6044E"/>
    <w:rsid w:val="17C953A2"/>
    <w:rsid w:val="18083C03"/>
    <w:rsid w:val="18251A52"/>
    <w:rsid w:val="18297794"/>
    <w:rsid w:val="183E1539"/>
    <w:rsid w:val="189A41EE"/>
    <w:rsid w:val="18AE6318"/>
    <w:rsid w:val="18C804D2"/>
    <w:rsid w:val="18C923C3"/>
    <w:rsid w:val="18EF0114"/>
    <w:rsid w:val="18F03E0E"/>
    <w:rsid w:val="18F840F8"/>
    <w:rsid w:val="18FB68AA"/>
    <w:rsid w:val="192405AB"/>
    <w:rsid w:val="193D35FF"/>
    <w:rsid w:val="19494499"/>
    <w:rsid w:val="194E36D7"/>
    <w:rsid w:val="195511EC"/>
    <w:rsid w:val="19583B0A"/>
    <w:rsid w:val="199A3CE8"/>
    <w:rsid w:val="199B6470"/>
    <w:rsid w:val="19A518C3"/>
    <w:rsid w:val="19BB0316"/>
    <w:rsid w:val="19F416DC"/>
    <w:rsid w:val="19FB6F0E"/>
    <w:rsid w:val="1A3742BE"/>
    <w:rsid w:val="1A3B0B7A"/>
    <w:rsid w:val="1A983A9D"/>
    <w:rsid w:val="1A990ED7"/>
    <w:rsid w:val="1A9D08D2"/>
    <w:rsid w:val="1AB16200"/>
    <w:rsid w:val="1AC42237"/>
    <w:rsid w:val="1AE44815"/>
    <w:rsid w:val="1B1738D4"/>
    <w:rsid w:val="1B217E0C"/>
    <w:rsid w:val="1B634178"/>
    <w:rsid w:val="1BBE6445"/>
    <w:rsid w:val="1BD75FA8"/>
    <w:rsid w:val="1BE5145C"/>
    <w:rsid w:val="1BE60CB7"/>
    <w:rsid w:val="1BF85ECF"/>
    <w:rsid w:val="1BF9122C"/>
    <w:rsid w:val="1C0B1542"/>
    <w:rsid w:val="1C2F5130"/>
    <w:rsid w:val="1C4B71A0"/>
    <w:rsid w:val="1C5020B1"/>
    <w:rsid w:val="1CCB49AB"/>
    <w:rsid w:val="1CF92878"/>
    <w:rsid w:val="1CFD2939"/>
    <w:rsid w:val="1D174042"/>
    <w:rsid w:val="1D1C1698"/>
    <w:rsid w:val="1D443682"/>
    <w:rsid w:val="1D754387"/>
    <w:rsid w:val="1D8F0145"/>
    <w:rsid w:val="1D921DC7"/>
    <w:rsid w:val="1DD41F50"/>
    <w:rsid w:val="1DE12CB0"/>
    <w:rsid w:val="1DF0665E"/>
    <w:rsid w:val="1DF20628"/>
    <w:rsid w:val="1DF32904"/>
    <w:rsid w:val="1DFE6FCD"/>
    <w:rsid w:val="1E0565AE"/>
    <w:rsid w:val="1E125C50"/>
    <w:rsid w:val="1E2E0F1D"/>
    <w:rsid w:val="1E85324A"/>
    <w:rsid w:val="1EBB4EBE"/>
    <w:rsid w:val="1EC018DF"/>
    <w:rsid w:val="1ED76371"/>
    <w:rsid w:val="1EDE0E45"/>
    <w:rsid w:val="1F152820"/>
    <w:rsid w:val="1F15637C"/>
    <w:rsid w:val="1F213A59"/>
    <w:rsid w:val="1F34569E"/>
    <w:rsid w:val="1F3B7357"/>
    <w:rsid w:val="1F406791"/>
    <w:rsid w:val="1F5F1CED"/>
    <w:rsid w:val="1F6423DB"/>
    <w:rsid w:val="1F7F49BE"/>
    <w:rsid w:val="1F816607"/>
    <w:rsid w:val="1F9951FF"/>
    <w:rsid w:val="1F9B050C"/>
    <w:rsid w:val="1FA26389"/>
    <w:rsid w:val="1FDC66DE"/>
    <w:rsid w:val="20280331"/>
    <w:rsid w:val="20286583"/>
    <w:rsid w:val="202B511A"/>
    <w:rsid w:val="202D5948"/>
    <w:rsid w:val="205102FB"/>
    <w:rsid w:val="20540646"/>
    <w:rsid w:val="20883E94"/>
    <w:rsid w:val="20C067BC"/>
    <w:rsid w:val="20CD0AF9"/>
    <w:rsid w:val="20E74701"/>
    <w:rsid w:val="2111387D"/>
    <w:rsid w:val="211E4A2F"/>
    <w:rsid w:val="21423315"/>
    <w:rsid w:val="216349F7"/>
    <w:rsid w:val="21737409"/>
    <w:rsid w:val="217B5B5B"/>
    <w:rsid w:val="2188739A"/>
    <w:rsid w:val="21976E2E"/>
    <w:rsid w:val="2198306F"/>
    <w:rsid w:val="21AB746C"/>
    <w:rsid w:val="21AC4A5C"/>
    <w:rsid w:val="21BA58FB"/>
    <w:rsid w:val="21BE5FE0"/>
    <w:rsid w:val="21C1459A"/>
    <w:rsid w:val="21F221CD"/>
    <w:rsid w:val="222F4550"/>
    <w:rsid w:val="223D6E92"/>
    <w:rsid w:val="226D7882"/>
    <w:rsid w:val="22747A3D"/>
    <w:rsid w:val="22AF6AE8"/>
    <w:rsid w:val="22B65E9E"/>
    <w:rsid w:val="22EE13BE"/>
    <w:rsid w:val="22F618BD"/>
    <w:rsid w:val="22FF4B55"/>
    <w:rsid w:val="23195D0C"/>
    <w:rsid w:val="232C638A"/>
    <w:rsid w:val="2337148C"/>
    <w:rsid w:val="233D40F4"/>
    <w:rsid w:val="234611FA"/>
    <w:rsid w:val="234731C4"/>
    <w:rsid w:val="23694FAA"/>
    <w:rsid w:val="2373626D"/>
    <w:rsid w:val="237869FA"/>
    <w:rsid w:val="23A67EEB"/>
    <w:rsid w:val="23ED78C8"/>
    <w:rsid w:val="24152E4F"/>
    <w:rsid w:val="24280900"/>
    <w:rsid w:val="246833F2"/>
    <w:rsid w:val="249154A8"/>
    <w:rsid w:val="24A2321E"/>
    <w:rsid w:val="24D40A88"/>
    <w:rsid w:val="24DA7BC0"/>
    <w:rsid w:val="251870F5"/>
    <w:rsid w:val="253E5E0E"/>
    <w:rsid w:val="2570304D"/>
    <w:rsid w:val="25755DC7"/>
    <w:rsid w:val="25886F1E"/>
    <w:rsid w:val="25976233"/>
    <w:rsid w:val="25CA307E"/>
    <w:rsid w:val="26013AFE"/>
    <w:rsid w:val="2607333D"/>
    <w:rsid w:val="261B741D"/>
    <w:rsid w:val="263213E1"/>
    <w:rsid w:val="263646C3"/>
    <w:rsid w:val="263F28A4"/>
    <w:rsid w:val="26476960"/>
    <w:rsid w:val="2652435A"/>
    <w:rsid w:val="265A320F"/>
    <w:rsid w:val="26661B93"/>
    <w:rsid w:val="267A11BB"/>
    <w:rsid w:val="26997B84"/>
    <w:rsid w:val="26C863CA"/>
    <w:rsid w:val="271639C1"/>
    <w:rsid w:val="27734358"/>
    <w:rsid w:val="278F0C96"/>
    <w:rsid w:val="27AB7D04"/>
    <w:rsid w:val="27C05C1A"/>
    <w:rsid w:val="27C76682"/>
    <w:rsid w:val="285964A2"/>
    <w:rsid w:val="285E0D94"/>
    <w:rsid w:val="28647F64"/>
    <w:rsid w:val="286C5EC7"/>
    <w:rsid w:val="28843355"/>
    <w:rsid w:val="28865926"/>
    <w:rsid w:val="28A32C4B"/>
    <w:rsid w:val="28B051D6"/>
    <w:rsid w:val="28C54672"/>
    <w:rsid w:val="28C606E7"/>
    <w:rsid w:val="28E22D9C"/>
    <w:rsid w:val="28E74AAC"/>
    <w:rsid w:val="28EF41A5"/>
    <w:rsid w:val="29201E8A"/>
    <w:rsid w:val="295E4FF8"/>
    <w:rsid w:val="297A2106"/>
    <w:rsid w:val="299838E7"/>
    <w:rsid w:val="29A13BF8"/>
    <w:rsid w:val="29A46C7B"/>
    <w:rsid w:val="29DF5F05"/>
    <w:rsid w:val="2A3D0E7D"/>
    <w:rsid w:val="2A44220C"/>
    <w:rsid w:val="2A6730CB"/>
    <w:rsid w:val="2AA20BD7"/>
    <w:rsid w:val="2AB63109"/>
    <w:rsid w:val="2ADB1CFF"/>
    <w:rsid w:val="2AE17A5A"/>
    <w:rsid w:val="2AED6520"/>
    <w:rsid w:val="2AF43A06"/>
    <w:rsid w:val="2B0A0D5F"/>
    <w:rsid w:val="2B12230A"/>
    <w:rsid w:val="2B36481F"/>
    <w:rsid w:val="2B520958"/>
    <w:rsid w:val="2B5640A9"/>
    <w:rsid w:val="2B5C0280"/>
    <w:rsid w:val="2B74267D"/>
    <w:rsid w:val="2B9B22FF"/>
    <w:rsid w:val="2BA56CDA"/>
    <w:rsid w:val="2BB77EB3"/>
    <w:rsid w:val="2BCA6741"/>
    <w:rsid w:val="2BF02CFE"/>
    <w:rsid w:val="2C074541"/>
    <w:rsid w:val="2C147447"/>
    <w:rsid w:val="2C2B4B01"/>
    <w:rsid w:val="2C355CA9"/>
    <w:rsid w:val="2C6D5A4A"/>
    <w:rsid w:val="2C8E59C0"/>
    <w:rsid w:val="2CD51841"/>
    <w:rsid w:val="2CF25F4F"/>
    <w:rsid w:val="2CFE3B94"/>
    <w:rsid w:val="2D0A14EA"/>
    <w:rsid w:val="2D251B3D"/>
    <w:rsid w:val="2D2657D2"/>
    <w:rsid w:val="2D572256"/>
    <w:rsid w:val="2D6819F1"/>
    <w:rsid w:val="2D6A1F89"/>
    <w:rsid w:val="2D761E9A"/>
    <w:rsid w:val="2D7626DC"/>
    <w:rsid w:val="2D863EDD"/>
    <w:rsid w:val="2DB11966"/>
    <w:rsid w:val="2DDC440D"/>
    <w:rsid w:val="2E1C75CD"/>
    <w:rsid w:val="2E1F5EBE"/>
    <w:rsid w:val="2E405D74"/>
    <w:rsid w:val="2E4D25AF"/>
    <w:rsid w:val="2E62744C"/>
    <w:rsid w:val="2E7D18E6"/>
    <w:rsid w:val="2EB7216E"/>
    <w:rsid w:val="2EDA6C9B"/>
    <w:rsid w:val="2EFA743A"/>
    <w:rsid w:val="2F300FB0"/>
    <w:rsid w:val="2F5B6B6A"/>
    <w:rsid w:val="2F5D2E5C"/>
    <w:rsid w:val="2F625C95"/>
    <w:rsid w:val="2F666228"/>
    <w:rsid w:val="2FA73F8E"/>
    <w:rsid w:val="2FAA328B"/>
    <w:rsid w:val="2FB07F2B"/>
    <w:rsid w:val="2FC968E8"/>
    <w:rsid w:val="2FCA3FE7"/>
    <w:rsid w:val="30463342"/>
    <w:rsid w:val="304926FA"/>
    <w:rsid w:val="304C4376"/>
    <w:rsid w:val="30607599"/>
    <w:rsid w:val="30732084"/>
    <w:rsid w:val="309F019C"/>
    <w:rsid w:val="30A07A8B"/>
    <w:rsid w:val="30D52F68"/>
    <w:rsid w:val="31027E25"/>
    <w:rsid w:val="31381F3C"/>
    <w:rsid w:val="31472444"/>
    <w:rsid w:val="3173238F"/>
    <w:rsid w:val="317409D9"/>
    <w:rsid w:val="317A78B4"/>
    <w:rsid w:val="317B2A31"/>
    <w:rsid w:val="319D671E"/>
    <w:rsid w:val="319D76C2"/>
    <w:rsid w:val="31C556F6"/>
    <w:rsid w:val="31CD2AE7"/>
    <w:rsid w:val="31D30FF9"/>
    <w:rsid w:val="31DB34B8"/>
    <w:rsid w:val="31F35F89"/>
    <w:rsid w:val="31F4007D"/>
    <w:rsid w:val="320A148D"/>
    <w:rsid w:val="321C7AE7"/>
    <w:rsid w:val="322614F7"/>
    <w:rsid w:val="326F1BEE"/>
    <w:rsid w:val="32877139"/>
    <w:rsid w:val="32943C1E"/>
    <w:rsid w:val="32975547"/>
    <w:rsid w:val="329A6E6D"/>
    <w:rsid w:val="32D855E7"/>
    <w:rsid w:val="32DE5E25"/>
    <w:rsid w:val="32F860CE"/>
    <w:rsid w:val="331309CD"/>
    <w:rsid w:val="331C3D26"/>
    <w:rsid w:val="332E5807"/>
    <w:rsid w:val="333F4157"/>
    <w:rsid w:val="334A204A"/>
    <w:rsid w:val="335863C0"/>
    <w:rsid w:val="3366571D"/>
    <w:rsid w:val="337D397E"/>
    <w:rsid w:val="33A855B9"/>
    <w:rsid w:val="33A93762"/>
    <w:rsid w:val="33AD02EA"/>
    <w:rsid w:val="33BD7392"/>
    <w:rsid w:val="33ED63F9"/>
    <w:rsid w:val="33F60D22"/>
    <w:rsid w:val="341B61F9"/>
    <w:rsid w:val="343B7451"/>
    <w:rsid w:val="345D45F6"/>
    <w:rsid w:val="346E501C"/>
    <w:rsid w:val="347D5E9F"/>
    <w:rsid w:val="348839E2"/>
    <w:rsid w:val="348A1163"/>
    <w:rsid w:val="348A543F"/>
    <w:rsid w:val="349039D1"/>
    <w:rsid w:val="34D00DAF"/>
    <w:rsid w:val="35490860"/>
    <w:rsid w:val="357F059C"/>
    <w:rsid w:val="359C2F08"/>
    <w:rsid w:val="35A40AFE"/>
    <w:rsid w:val="35E17CB6"/>
    <w:rsid w:val="35E6061B"/>
    <w:rsid w:val="36004265"/>
    <w:rsid w:val="360B7245"/>
    <w:rsid w:val="362058DB"/>
    <w:rsid w:val="36303381"/>
    <w:rsid w:val="363A38D0"/>
    <w:rsid w:val="36675653"/>
    <w:rsid w:val="36820344"/>
    <w:rsid w:val="369E183D"/>
    <w:rsid w:val="36E758F0"/>
    <w:rsid w:val="37360FC8"/>
    <w:rsid w:val="375E0388"/>
    <w:rsid w:val="37B50C88"/>
    <w:rsid w:val="37E36456"/>
    <w:rsid w:val="380D1E8F"/>
    <w:rsid w:val="38763ED8"/>
    <w:rsid w:val="388A34DF"/>
    <w:rsid w:val="38A760F9"/>
    <w:rsid w:val="38BA00FC"/>
    <w:rsid w:val="38BD1B07"/>
    <w:rsid w:val="38FB7B3D"/>
    <w:rsid w:val="390154AF"/>
    <w:rsid w:val="39072F12"/>
    <w:rsid w:val="392376CE"/>
    <w:rsid w:val="393578EF"/>
    <w:rsid w:val="393D67A4"/>
    <w:rsid w:val="395100ED"/>
    <w:rsid w:val="39705554"/>
    <w:rsid w:val="39905D20"/>
    <w:rsid w:val="39C475A6"/>
    <w:rsid w:val="39FE23D7"/>
    <w:rsid w:val="3A596640"/>
    <w:rsid w:val="3A5E4C24"/>
    <w:rsid w:val="3AA5288A"/>
    <w:rsid w:val="3AA82343"/>
    <w:rsid w:val="3ACD45D2"/>
    <w:rsid w:val="3AD4138A"/>
    <w:rsid w:val="3AEF1D20"/>
    <w:rsid w:val="3AFD268F"/>
    <w:rsid w:val="3B030688"/>
    <w:rsid w:val="3B2230AE"/>
    <w:rsid w:val="3B31729A"/>
    <w:rsid w:val="3B325601"/>
    <w:rsid w:val="3B6C026E"/>
    <w:rsid w:val="3B844B5E"/>
    <w:rsid w:val="3BAF2E6F"/>
    <w:rsid w:val="3BB92309"/>
    <w:rsid w:val="3BC9431F"/>
    <w:rsid w:val="3BEF7B7A"/>
    <w:rsid w:val="3BF768FF"/>
    <w:rsid w:val="3C0815AA"/>
    <w:rsid w:val="3C1C1492"/>
    <w:rsid w:val="3C1E610C"/>
    <w:rsid w:val="3C2D6FA3"/>
    <w:rsid w:val="3C31747C"/>
    <w:rsid w:val="3C423D71"/>
    <w:rsid w:val="3C431551"/>
    <w:rsid w:val="3C4542ED"/>
    <w:rsid w:val="3C6F38F8"/>
    <w:rsid w:val="3C8E14FD"/>
    <w:rsid w:val="3C92608B"/>
    <w:rsid w:val="3C9D6590"/>
    <w:rsid w:val="3CC35FF7"/>
    <w:rsid w:val="3CC449FF"/>
    <w:rsid w:val="3CEA09F1"/>
    <w:rsid w:val="3CFE5135"/>
    <w:rsid w:val="3D0A2E41"/>
    <w:rsid w:val="3D1459FD"/>
    <w:rsid w:val="3D221630"/>
    <w:rsid w:val="3D2F28A7"/>
    <w:rsid w:val="3D4A5A83"/>
    <w:rsid w:val="3D5A524A"/>
    <w:rsid w:val="3D891FB8"/>
    <w:rsid w:val="3D9E395E"/>
    <w:rsid w:val="3DA57E4F"/>
    <w:rsid w:val="3DB64D77"/>
    <w:rsid w:val="3E2525EF"/>
    <w:rsid w:val="3E2D5039"/>
    <w:rsid w:val="3E8F713A"/>
    <w:rsid w:val="3E9E14DB"/>
    <w:rsid w:val="3EA15D14"/>
    <w:rsid w:val="3EA64BD3"/>
    <w:rsid w:val="3EB968CD"/>
    <w:rsid w:val="3EC15AC6"/>
    <w:rsid w:val="3ED40BCD"/>
    <w:rsid w:val="3ED6747E"/>
    <w:rsid w:val="3EE76076"/>
    <w:rsid w:val="3EF1768B"/>
    <w:rsid w:val="3EFD3476"/>
    <w:rsid w:val="3F461CB5"/>
    <w:rsid w:val="3F5E7393"/>
    <w:rsid w:val="3F79605C"/>
    <w:rsid w:val="3F847DF0"/>
    <w:rsid w:val="3F8B4D4C"/>
    <w:rsid w:val="3F9D61EE"/>
    <w:rsid w:val="3FAB3ED2"/>
    <w:rsid w:val="3FDA2663"/>
    <w:rsid w:val="3FDA7BA5"/>
    <w:rsid w:val="3FE45E5A"/>
    <w:rsid w:val="3FE60AC3"/>
    <w:rsid w:val="40556AC9"/>
    <w:rsid w:val="40854FB1"/>
    <w:rsid w:val="40E17744"/>
    <w:rsid w:val="41417EA2"/>
    <w:rsid w:val="414217E4"/>
    <w:rsid w:val="414A78DB"/>
    <w:rsid w:val="41931657"/>
    <w:rsid w:val="41A13187"/>
    <w:rsid w:val="41A60EDC"/>
    <w:rsid w:val="41B63597"/>
    <w:rsid w:val="41C537DA"/>
    <w:rsid w:val="42784CF1"/>
    <w:rsid w:val="427D7768"/>
    <w:rsid w:val="428B2C7F"/>
    <w:rsid w:val="42C725D4"/>
    <w:rsid w:val="42C84A0C"/>
    <w:rsid w:val="42F86EFF"/>
    <w:rsid w:val="43317379"/>
    <w:rsid w:val="43421586"/>
    <w:rsid w:val="4359067E"/>
    <w:rsid w:val="435D70E6"/>
    <w:rsid w:val="43776D56"/>
    <w:rsid w:val="439F335D"/>
    <w:rsid w:val="43A414D6"/>
    <w:rsid w:val="43C648E3"/>
    <w:rsid w:val="43CD4BC8"/>
    <w:rsid w:val="43F95A8F"/>
    <w:rsid w:val="44112D07"/>
    <w:rsid w:val="44424DAC"/>
    <w:rsid w:val="448D4477"/>
    <w:rsid w:val="44C45FCB"/>
    <w:rsid w:val="44E01002"/>
    <w:rsid w:val="44EE4DF6"/>
    <w:rsid w:val="44F37BA9"/>
    <w:rsid w:val="44F468B0"/>
    <w:rsid w:val="450D02F7"/>
    <w:rsid w:val="450E7246"/>
    <w:rsid w:val="450F3E29"/>
    <w:rsid w:val="45195D58"/>
    <w:rsid w:val="4556724D"/>
    <w:rsid w:val="45756519"/>
    <w:rsid w:val="459C2CE4"/>
    <w:rsid w:val="45AC30FD"/>
    <w:rsid w:val="45BD4926"/>
    <w:rsid w:val="45CB40E0"/>
    <w:rsid w:val="45DD1E1C"/>
    <w:rsid w:val="45EA1A61"/>
    <w:rsid w:val="460C2D64"/>
    <w:rsid w:val="46180C3A"/>
    <w:rsid w:val="46263B52"/>
    <w:rsid w:val="46B06807"/>
    <w:rsid w:val="46B362F7"/>
    <w:rsid w:val="46BE5623"/>
    <w:rsid w:val="46D67854"/>
    <w:rsid w:val="46E41DEE"/>
    <w:rsid w:val="46FC4691"/>
    <w:rsid w:val="4702598D"/>
    <w:rsid w:val="472A1332"/>
    <w:rsid w:val="475C073D"/>
    <w:rsid w:val="4779309D"/>
    <w:rsid w:val="477E6905"/>
    <w:rsid w:val="47947ED7"/>
    <w:rsid w:val="479C559B"/>
    <w:rsid w:val="47BF4F1F"/>
    <w:rsid w:val="48052F75"/>
    <w:rsid w:val="48192283"/>
    <w:rsid w:val="481A08D7"/>
    <w:rsid w:val="488329EE"/>
    <w:rsid w:val="48FC2109"/>
    <w:rsid w:val="490C2639"/>
    <w:rsid w:val="49171A5D"/>
    <w:rsid w:val="4932485F"/>
    <w:rsid w:val="4937326A"/>
    <w:rsid w:val="49523BA5"/>
    <w:rsid w:val="496D4E83"/>
    <w:rsid w:val="497905DC"/>
    <w:rsid w:val="498930E8"/>
    <w:rsid w:val="499917D4"/>
    <w:rsid w:val="499A5CF7"/>
    <w:rsid w:val="499F0DB5"/>
    <w:rsid w:val="49B334D9"/>
    <w:rsid w:val="49C83E68"/>
    <w:rsid w:val="49D202FD"/>
    <w:rsid w:val="49E71261"/>
    <w:rsid w:val="49FD67BC"/>
    <w:rsid w:val="4A386DA4"/>
    <w:rsid w:val="4A594710"/>
    <w:rsid w:val="4A5C2977"/>
    <w:rsid w:val="4A671430"/>
    <w:rsid w:val="4A862D2C"/>
    <w:rsid w:val="4A933325"/>
    <w:rsid w:val="4AAC4850"/>
    <w:rsid w:val="4AB0376E"/>
    <w:rsid w:val="4AB60164"/>
    <w:rsid w:val="4ACA73C4"/>
    <w:rsid w:val="4B014047"/>
    <w:rsid w:val="4B0215FB"/>
    <w:rsid w:val="4B365A74"/>
    <w:rsid w:val="4B3A2B43"/>
    <w:rsid w:val="4B8E10E1"/>
    <w:rsid w:val="4B903EC0"/>
    <w:rsid w:val="4B9A0743"/>
    <w:rsid w:val="4BA7657B"/>
    <w:rsid w:val="4BAC7EBB"/>
    <w:rsid w:val="4BE4193A"/>
    <w:rsid w:val="4BEE4C27"/>
    <w:rsid w:val="4BF239C1"/>
    <w:rsid w:val="4BFB0FDF"/>
    <w:rsid w:val="4C0373D9"/>
    <w:rsid w:val="4C0451A0"/>
    <w:rsid w:val="4C0C00D8"/>
    <w:rsid w:val="4C16022B"/>
    <w:rsid w:val="4C1C66ED"/>
    <w:rsid w:val="4C312198"/>
    <w:rsid w:val="4C385481"/>
    <w:rsid w:val="4C58096C"/>
    <w:rsid w:val="4C616D1D"/>
    <w:rsid w:val="4C973879"/>
    <w:rsid w:val="4CC96874"/>
    <w:rsid w:val="4CDC6D1E"/>
    <w:rsid w:val="4CDF1BF4"/>
    <w:rsid w:val="4CF7225B"/>
    <w:rsid w:val="4D0C214B"/>
    <w:rsid w:val="4D513436"/>
    <w:rsid w:val="4D9D758A"/>
    <w:rsid w:val="4DA8395E"/>
    <w:rsid w:val="4DF2028E"/>
    <w:rsid w:val="4DF605EC"/>
    <w:rsid w:val="4E0B6A19"/>
    <w:rsid w:val="4E387F47"/>
    <w:rsid w:val="4E3D082B"/>
    <w:rsid w:val="4E5817B9"/>
    <w:rsid w:val="4E595A3C"/>
    <w:rsid w:val="4E766588"/>
    <w:rsid w:val="4E9764FE"/>
    <w:rsid w:val="4EA37332"/>
    <w:rsid w:val="4EA74993"/>
    <w:rsid w:val="4EAC3D58"/>
    <w:rsid w:val="4EBA68DF"/>
    <w:rsid w:val="4ECA3572"/>
    <w:rsid w:val="4ECA6F6A"/>
    <w:rsid w:val="4F142296"/>
    <w:rsid w:val="4F2C30EB"/>
    <w:rsid w:val="4F7D6783"/>
    <w:rsid w:val="4F7F321A"/>
    <w:rsid w:val="4FBA3A44"/>
    <w:rsid w:val="4FD928F5"/>
    <w:rsid w:val="4FE90FDC"/>
    <w:rsid w:val="4FF91BFF"/>
    <w:rsid w:val="4FFA44EC"/>
    <w:rsid w:val="502142D2"/>
    <w:rsid w:val="502961EB"/>
    <w:rsid w:val="503C10F1"/>
    <w:rsid w:val="506A211C"/>
    <w:rsid w:val="50770396"/>
    <w:rsid w:val="507A1C34"/>
    <w:rsid w:val="50960318"/>
    <w:rsid w:val="50962DCB"/>
    <w:rsid w:val="509F464B"/>
    <w:rsid w:val="50B45146"/>
    <w:rsid w:val="50CC248F"/>
    <w:rsid w:val="50D13F4A"/>
    <w:rsid w:val="50D457E8"/>
    <w:rsid w:val="51037E7B"/>
    <w:rsid w:val="5136014C"/>
    <w:rsid w:val="513A66E8"/>
    <w:rsid w:val="5184720E"/>
    <w:rsid w:val="518D5F44"/>
    <w:rsid w:val="51900172"/>
    <w:rsid w:val="51B719EA"/>
    <w:rsid w:val="51BD324B"/>
    <w:rsid w:val="51EC184D"/>
    <w:rsid w:val="51F90328"/>
    <w:rsid w:val="51FF1027"/>
    <w:rsid w:val="520F7281"/>
    <w:rsid w:val="522D0441"/>
    <w:rsid w:val="52336A96"/>
    <w:rsid w:val="52484058"/>
    <w:rsid w:val="527E3C5D"/>
    <w:rsid w:val="52821FDB"/>
    <w:rsid w:val="52BE196C"/>
    <w:rsid w:val="52CB6777"/>
    <w:rsid w:val="52F225E8"/>
    <w:rsid w:val="531921B5"/>
    <w:rsid w:val="53226CDE"/>
    <w:rsid w:val="532873F7"/>
    <w:rsid w:val="535A23F6"/>
    <w:rsid w:val="53675CCF"/>
    <w:rsid w:val="537961D3"/>
    <w:rsid w:val="538C4158"/>
    <w:rsid w:val="53B573CC"/>
    <w:rsid w:val="53DB5CFD"/>
    <w:rsid w:val="540A0E90"/>
    <w:rsid w:val="541C1C0A"/>
    <w:rsid w:val="546A125A"/>
    <w:rsid w:val="548078D9"/>
    <w:rsid w:val="549030A8"/>
    <w:rsid w:val="54B62742"/>
    <w:rsid w:val="54C910EA"/>
    <w:rsid w:val="54DA53AE"/>
    <w:rsid w:val="54F44269"/>
    <w:rsid w:val="551E34D6"/>
    <w:rsid w:val="554364F8"/>
    <w:rsid w:val="55603AEE"/>
    <w:rsid w:val="556829A3"/>
    <w:rsid w:val="557469B7"/>
    <w:rsid w:val="558C75A0"/>
    <w:rsid w:val="55913CA7"/>
    <w:rsid w:val="55935C72"/>
    <w:rsid w:val="55A615EA"/>
    <w:rsid w:val="55B70031"/>
    <w:rsid w:val="55E6064E"/>
    <w:rsid w:val="560A6DAD"/>
    <w:rsid w:val="561D553B"/>
    <w:rsid w:val="563D201C"/>
    <w:rsid w:val="567D7E30"/>
    <w:rsid w:val="56876E58"/>
    <w:rsid w:val="569A6B8C"/>
    <w:rsid w:val="56A175D5"/>
    <w:rsid w:val="56A52CC9"/>
    <w:rsid w:val="56CE4966"/>
    <w:rsid w:val="56F0764F"/>
    <w:rsid w:val="57067BF9"/>
    <w:rsid w:val="575F3A28"/>
    <w:rsid w:val="576158FB"/>
    <w:rsid w:val="57875362"/>
    <w:rsid w:val="57A71560"/>
    <w:rsid w:val="57AC5DE5"/>
    <w:rsid w:val="57C13DA6"/>
    <w:rsid w:val="57C26DE0"/>
    <w:rsid w:val="57C45DB4"/>
    <w:rsid w:val="57E74053"/>
    <w:rsid w:val="57F30C49"/>
    <w:rsid w:val="57F66044"/>
    <w:rsid w:val="580404BB"/>
    <w:rsid w:val="580D153B"/>
    <w:rsid w:val="58135DCB"/>
    <w:rsid w:val="581C4CBA"/>
    <w:rsid w:val="582A0D9F"/>
    <w:rsid w:val="586169C2"/>
    <w:rsid w:val="586C6306"/>
    <w:rsid w:val="588C4A8C"/>
    <w:rsid w:val="58AB32D2"/>
    <w:rsid w:val="58CB183C"/>
    <w:rsid w:val="58D54DBD"/>
    <w:rsid w:val="591E260A"/>
    <w:rsid w:val="593C03CE"/>
    <w:rsid w:val="593E74E0"/>
    <w:rsid w:val="59556773"/>
    <w:rsid w:val="597D1220"/>
    <w:rsid w:val="59D14FBA"/>
    <w:rsid w:val="5A2E26EF"/>
    <w:rsid w:val="5A516638"/>
    <w:rsid w:val="5A62144B"/>
    <w:rsid w:val="5A824858"/>
    <w:rsid w:val="5AB5791E"/>
    <w:rsid w:val="5ABF3559"/>
    <w:rsid w:val="5AC16DDD"/>
    <w:rsid w:val="5ADD6810"/>
    <w:rsid w:val="5AFA6F9D"/>
    <w:rsid w:val="5B0373F5"/>
    <w:rsid w:val="5B190037"/>
    <w:rsid w:val="5B193493"/>
    <w:rsid w:val="5B1A029B"/>
    <w:rsid w:val="5B503C92"/>
    <w:rsid w:val="5B8E2721"/>
    <w:rsid w:val="5BB71F8E"/>
    <w:rsid w:val="5BBB4C32"/>
    <w:rsid w:val="5BC24514"/>
    <w:rsid w:val="5BD964E3"/>
    <w:rsid w:val="5C095631"/>
    <w:rsid w:val="5C1378B8"/>
    <w:rsid w:val="5C194314"/>
    <w:rsid w:val="5C7D6D34"/>
    <w:rsid w:val="5C867EED"/>
    <w:rsid w:val="5C8C6F77"/>
    <w:rsid w:val="5C917484"/>
    <w:rsid w:val="5CA15DC2"/>
    <w:rsid w:val="5CE05AF9"/>
    <w:rsid w:val="5D071F3D"/>
    <w:rsid w:val="5D0D6E2D"/>
    <w:rsid w:val="5D281324"/>
    <w:rsid w:val="5D8660BC"/>
    <w:rsid w:val="5DA8692D"/>
    <w:rsid w:val="5DB2752A"/>
    <w:rsid w:val="5DCD5A99"/>
    <w:rsid w:val="5E3170D7"/>
    <w:rsid w:val="5E410C67"/>
    <w:rsid w:val="5E622685"/>
    <w:rsid w:val="5E8F5FE8"/>
    <w:rsid w:val="5EC549C2"/>
    <w:rsid w:val="5EF8303D"/>
    <w:rsid w:val="5EFE5910"/>
    <w:rsid w:val="5F34591A"/>
    <w:rsid w:val="5F3F4CD0"/>
    <w:rsid w:val="5F5115B6"/>
    <w:rsid w:val="5F6D7533"/>
    <w:rsid w:val="5F7C7776"/>
    <w:rsid w:val="5F944AC0"/>
    <w:rsid w:val="5FA62A45"/>
    <w:rsid w:val="5FB9128C"/>
    <w:rsid w:val="5FB9149C"/>
    <w:rsid w:val="5FB9627B"/>
    <w:rsid w:val="5FC86518"/>
    <w:rsid w:val="5FDDC303"/>
    <w:rsid w:val="5FF96197"/>
    <w:rsid w:val="600A0901"/>
    <w:rsid w:val="60222571"/>
    <w:rsid w:val="604007A4"/>
    <w:rsid w:val="605F47B9"/>
    <w:rsid w:val="60612F3E"/>
    <w:rsid w:val="606C3A73"/>
    <w:rsid w:val="60722C5D"/>
    <w:rsid w:val="60AF7415"/>
    <w:rsid w:val="60DB5FAF"/>
    <w:rsid w:val="60FC46F0"/>
    <w:rsid w:val="62393F5C"/>
    <w:rsid w:val="623C6B2B"/>
    <w:rsid w:val="625C431A"/>
    <w:rsid w:val="62763D5F"/>
    <w:rsid w:val="628A21AA"/>
    <w:rsid w:val="62966EB6"/>
    <w:rsid w:val="62BB2364"/>
    <w:rsid w:val="62BC6F8B"/>
    <w:rsid w:val="62C70D09"/>
    <w:rsid w:val="62DA4EE0"/>
    <w:rsid w:val="63277BCB"/>
    <w:rsid w:val="634405AB"/>
    <w:rsid w:val="635219C2"/>
    <w:rsid w:val="63743725"/>
    <w:rsid w:val="63AD6FEB"/>
    <w:rsid w:val="63D731CD"/>
    <w:rsid w:val="63E21FDA"/>
    <w:rsid w:val="63E678B4"/>
    <w:rsid w:val="64144421"/>
    <w:rsid w:val="643E22D4"/>
    <w:rsid w:val="644F12EF"/>
    <w:rsid w:val="64A7793D"/>
    <w:rsid w:val="64CE196A"/>
    <w:rsid w:val="64CF6CBE"/>
    <w:rsid w:val="64D35B59"/>
    <w:rsid w:val="64D86091"/>
    <w:rsid w:val="64E21DE6"/>
    <w:rsid w:val="64E5165D"/>
    <w:rsid w:val="64E5191A"/>
    <w:rsid w:val="64EA6F30"/>
    <w:rsid w:val="6508644E"/>
    <w:rsid w:val="651416F2"/>
    <w:rsid w:val="65393A14"/>
    <w:rsid w:val="65476131"/>
    <w:rsid w:val="654C1999"/>
    <w:rsid w:val="656046CE"/>
    <w:rsid w:val="6578453C"/>
    <w:rsid w:val="657D6CBE"/>
    <w:rsid w:val="65982099"/>
    <w:rsid w:val="65A17F37"/>
    <w:rsid w:val="65A35689"/>
    <w:rsid w:val="65BA6067"/>
    <w:rsid w:val="65F53DDF"/>
    <w:rsid w:val="661324B7"/>
    <w:rsid w:val="66236B9E"/>
    <w:rsid w:val="662D1802"/>
    <w:rsid w:val="66342B59"/>
    <w:rsid w:val="66641A44"/>
    <w:rsid w:val="668F6040"/>
    <w:rsid w:val="671D1F14"/>
    <w:rsid w:val="672C1533"/>
    <w:rsid w:val="672E182D"/>
    <w:rsid w:val="675C0A7D"/>
    <w:rsid w:val="679E7A57"/>
    <w:rsid w:val="67B31E56"/>
    <w:rsid w:val="67E649C4"/>
    <w:rsid w:val="67F2058B"/>
    <w:rsid w:val="68061D81"/>
    <w:rsid w:val="681974FD"/>
    <w:rsid w:val="683D7366"/>
    <w:rsid w:val="6853623F"/>
    <w:rsid w:val="68572B2F"/>
    <w:rsid w:val="68582403"/>
    <w:rsid w:val="68975621"/>
    <w:rsid w:val="689F131E"/>
    <w:rsid w:val="68BD7383"/>
    <w:rsid w:val="68C63810"/>
    <w:rsid w:val="68C70647"/>
    <w:rsid w:val="690C0D4E"/>
    <w:rsid w:val="69132EFA"/>
    <w:rsid w:val="692213E4"/>
    <w:rsid w:val="69391908"/>
    <w:rsid w:val="69796AD5"/>
    <w:rsid w:val="698B6E18"/>
    <w:rsid w:val="69901442"/>
    <w:rsid w:val="69BF3900"/>
    <w:rsid w:val="69C75A92"/>
    <w:rsid w:val="69CD749D"/>
    <w:rsid w:val="69CE0BCF"/>
    <w:rsid w:val="69E12A55"/>
    <w:rsid w:val="69E73EC2"/>
    <w:rsid w:val="69EF0211"/>
    <w:rsid w:val="6A0171F6"/>
    <w:rsid w:val="6A3D2E0A"/>
    <w:rsid w:val="6A414BD6"/>
    <w:rsid w:val="6A45109F"/>
    <w:rsid w:val="6A511EFA"/>
    <w:rsid w:val="6A5C267E"/>
    <w:rsid w:val="6A8B0928"/>
    <w:rsid w:val="6A936B75"/>
    <w:rsid w:val="6AD25B39"/>
    <w:rsid w:val="6AF74155"/>
    <w:rsid w:val="6B296A17"/>
    <w:rsid w:val="6B4078AA"/>
    <w:rsid w:val="6B616DD6"/>
    <w:rsid w:val="6B8122BD"/>
    <w:rsid w:val="6B89166C"/>
    <w:rsid w:val="6BA0061E"/>
    <w:rsid w:val="6BA27D2A"/>
    <w:rsid w:val="6BBC6E09"/>
    <w:rsid w:val="6BD3071E"/>
    <w:rsid w:val="6BDF5315"/>
    <w:rsid w:val="6BFA2FC3"/>
    <w:rsid w:val="6BFD579B"/>
    <w:rsid w:val="6C164AAF"/>
    <w:rsid w:val="6C5B3772"/>
    <w:rsid w:val="6C74560B"/>
    <w:rsid w:val="6C937EAD"/>
    <w:rsid w:val="6CB858EE"/>
    <w:rsid w:val="6CD93866"/>
    <w:rsid w:val="6CEA65A2"/>
    <w:rsid w:val="6D0B28FC"/>
    <w:rsid w:val="6D0B2E66"/>
    <w:rsid w:val="6D284A9A"/>
    <w:rsid w:val="6D57712D"/>
    <w:rsid w:val="6D614279"/>
    <w:rsid w:val="6D68133A"/>
    <w:rsid w:val="6DB03A5E"/>
    <w:rsid w:val="6DD61D3D"/>
    <w:rsid w:val="6DDC581A"/>
    <w:rsid w:val="6DF2685B"/>
    <w:rsid w:val="6DF350A8"/>
    <w:rsid w:val="6DFF0EC6"/>
    <w:rsid w:val="6E1A478E"/>
    <w:rsid w:val="6E1E1F5A"/>
    <w:rsid w:val="6E510CDD"/>
    <w:rsid w:val="6E673966"/>
    <w:rsid w:val="6E727093"/>
    <w:rsid w:val="6E836DF2"/>
    <w:rsid w:val="6EAB7730"/>
    <w:rsid w:val="6EE033FD"/>
    <w:rsid w:val="6EE4219D"/>
    <w:rsid w:val="6F3516FC"/>
    <w:rsid w:val="6F415570"/>
    <w:rsid w:val="6F7E5839"/>
    <w:rsid w:val="6F864E20"/>
    <w:rsid w:val="6F8B1310"/>
    <w:rsid w:val="6FE15A9B"/>
    <w:rsid w:val="7017010F"/>
    <w:rsid w:val="701D640C"/>
    <w:rsid w:val="703A5210"/>
    <w:rsid w:val="70503770"/>
    <w:rsid w:val="70671D7D"/>
    <w:rsid w:val="707757E9"/>
    <w:rsid w:val="707A618E"/>
    <w:rsid w:val="708E1333"/>
    <w:rsid w:val="70B864DB"/>
    <w:rsid w:val="70D86F5A"/>
    <w:rsid w:val="70F942A1"/>
    <w:rsid w:val="71087C4D"/>
    <w:rsid w:val="710B09E2"/>
    <w:rsid w:val="710D4A8E"/>
    <w:rsid w:val="712F289B"/>
    <w:rsid w:val="7136278C"/>
    <w:rsid w:val="71461992"/>
    <w:rsid w:val="717A57AC"/>
    <w:rsid w:val="718C4570"/>
    <w:rsid w:val="718C7C74"/>
    <w:rsid w:val="71B54313"/>
    <w:rsid w:val="724C7E10"/>
    <w:rsid w:val="728D542F"/>
    <w:rsid w:val="72B312A9"/>
    <w:rsid w:val="72BA5CFF"/>
    <w:rsid w:val="72CB03A1"/>
    <w:rsid w:val="72D6037C"/>
    <w:rsid w:val="72F2691E"/>
    <w:rsid w:val="73137F9A"/>
    <w:rsid w:val="73276725"/>
    <w:rsid w:val="733A1083"/>
    <w:rsid w:val="7370461A"/>
    <w:rsid w:val="737427E7"/>
    <w:rsid w:val="73E03C59"/>
    <w:rsid w:val="73F61362"/>
    <w:rsid w:val="73FE2D80"/>
    <w:rsid w:val="742B0C49"/>
    <w:rsid w:val="743229EA"/>
    <w:rsid w:val="744515DC"/>
    <w:rsid w:val="74822CE1"/>
    <w:rsid w:val="74A23383"/>
    <w:rsid w:val="74F8621D"/>
    <w:rsid w:val="75167FC2"/>
    <w:rsid w:val="75371F54"/>
    <w:rsid w:val="75523E50"/>
    <w:rsid w:val="75820233"/>
    <w:rsid w:val="758831D5"/>
    <w:rsid w:val="758943A7"/>
    <w:rsid w:val="75B62CBA"/>
    <w:rsid w:val="75BD32E7"/>
    <w:rsid w:val="75C15707"/>
    <w:rsid w:val="75DD4E98"/>
    <w:rsid w:val="762304F4"/>
    <w:rsid w:val="7630583A"/>
    <w:rsid w:val="76696332"/>
    <w:rsid w:val="76845918"/>
    <w:rsid w:val="769431A0"/>
    <w:rsid w:val="76A35CA9"/>
    <w:rsid w:val="76AA651F"/>
    <w:rsid w:val="76AB2991"/>
    <w:rsid w:val="76D422CA"/>
    <w:rsid w:val="76E92DD4"/>
    <w:rsid w:val="76EF62A4"/>
    <w:rsid w:val="76F62C85"/>
    <w:rsid w:val="76F644F8"/>
    <w:rsid w:val="76F6578D"/>
    <w:rsid w:val="778038F7"/>
    <w:rsid w:val="7799063C"/>
    <w:rsid w:val="77BC29AE"/>
    <w:rsid w:val="77C54C94"/>
    <w:rsid w:val="77F84E09"/>
    <w:rsid w:val="78056103"/>
    <w:rsid w:val="782443D3"/>
    <w:rsid w:val="78307091"/>
    <w:rsid w:val="78582523"/>
    <w:rsid w:val="7879089F"/>
    <w:rsid w:val="78B928CA"/>
    <w:rsid w:val="78EB24AE"/>
    <w:rsid w:val="79442C5B"/>
    <w:rsid w:val="79627585"/>
    <w:rsid w:val="7965772D"/>
    <w:rsid w:val="798219D5"/>
    <w:rsid w:val="79894B12"/>
    <w:rsid w:val="7A2626DA"/>
    <w:rsid w:val="7A3B577E"/>
    <w:rsid w:val="7A4E4743"/>
    <w:rsid w:val="7A625BBA"/>
    <w:rsid w:val="7A961C00"/>
    <w:rsid w:val="7A984643"/>
    <w:rsid w:val="7AB41F5C"/>
    <w:rsid w:val="7AC5601E"/>
    <w:rsid w:val="7AD13C0A"/>
    <w:rsid w:val="7AD77465"/>
    <w:rsid w:val="7AE5221C"/>
    <w:rsid w:val="7AE91F15"/>
    <w:rsid w:val="7AF40969"/>
    <w:rsid w:val="7B0F3D73"/>
    <w:rsid w:val="7B1E2659"/>
    <w:rsid w:val="7B364826"/>
    <w:rsid w:val="7B836D14"/>
    <w:rsid w:val="7BC8123C"/>
    <w:rsid w:val="7BCC54AA"/>
    <w:rsid w:val="7BDE2D7F"/>
    <w:rsid w:val="7BDE7397"/>
    <w:rsid w:val="7BED647E"/>
    <w:rsid w:val="7BFD7DBD"/>
    <w:rsid w:val="7C1B78B1"/>
    <w:rsid w:val="7C1F175E"/>
    <w:rsid w:val="7C352D2F"/>
    <w:rsid w:val="7C545093"/>
    <w:rsid w:val="7C5D6902"/>
    <w:rsid w:val="7C6D57CE"/>
    <w:rsid w:val="7CAE3093"/>
    <w:rsid w:val="7CD8732D"/>
    <w:rsid w:val="7D0270B5"/>
    <w:rsid w:val="7D956C94"/>
    <w:rsid w:val="7DFD2A85"/>
    <w:rsid w:val="7E071D1A"/>
    <w:rsid w:val="7E1846B6"/>
    <w:rsid w:val="7E293E82"/>
    <w:rsid w:val="7EBB4A45"/>
    <w:rsid w:val="7ECB2067"/>
    <w:rsid w:val="7ECD1381"/>
    <w:rsid w:val="7F0576CF"/>
    <w:rsid w:val="7F274C7E"/>
    <w:rsid w:val="7F4F698E"/>
    <w:rsid w:val="7F7452CF"/>
    <w:rsid w:val="7F9F7B83"/>
    <w:rsid w:val="7FB76326"/>
    <w:rsid w:val="7FBC5BB0"/>
    <w:rsid w:val="7FD91C23"/>
    <w:rsid w:val="7FF058EB"/>
    <w:rsid w:val="EB6F11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61"/>
    <w:autoRedefine/>
    <w:qFormat/>
    <w:uiPriority w:val="9"/>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59"/>
    <w:autoRedefine/>
    <w:qFormat/>
    <w:uiPriority w:val="9"/>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0"/>
    <w:autoRedefine/>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3"/>
    <w:autoRedefine/>
    <w:unhideWhenUsed/>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4"/>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5"/>
    <w:autoRedefine/>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6"/>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67"/>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1200" w:leftChars="1200"/>
    </w:pPr>
  </w:style>
  <w:style w:type="paragraph" w:styleId="12">
    <w:name w:val="Normal Indent"/>
    <w:basedOn w:val="1"/>
    <w:autoRedefine/>
    <w:qFormat/>
    <w:uiPriority w:val="0"/>
    <w:pPr>
      <w:ind w:firstLine="420"/>
    </w:pPr>
  </w:style>
  <w:style w:type="paragraph" w:styleId="13">
    <w:name w:val="Document Map"/>
    <w:basedOn w:val="1"/>
    <w:link w:val="72"/>
    <w:autoRedefine/>
    <w:qFormat/>
    <w:uiPriority w:val="0"/>
    <w:rPr>
      <w:rFonts w:ascii="宋体" w:cs="宋体"/>
      <w:sz w:val="18"/>
      <w:szCs w:val="18"/>
    </w:rPr>
  </w:style>
  <w:style w:type="paragraph" w:styleId="14">
    <w:name w:val="annotation text"/>
    <w:basedOn w:val="1"/>
    <w:link w:val="68"/>
    <w:autoRedefine/>
    <w:qFormat/>
    <w:uiPriority w:val="0"/>
    <w:pPr>
      <w:jc w:val="left"/>
    </w:pPr>
    <w:rPr>
      <w:rFonts w:ascii="Times New Roman" w:hAnsi="Times New Roman"/>
      <w:szCs w:val="20"/>
    </w:rPr>
  </w:style>
  <w:style w:type="paragraph" w:styleId="15">
    <w:name w:val="Body Text 3"/>
    <w:basedOn w:val="1"/>
    <w:link w:val="73"/>
    <w:autoRedefine/>
    <w:qFormat/>
    <w:uiPriority w:val="0"/>
    <w:rPr>
      <w:rFonts w:ascii="宋体"/>
      <w:sz w:val="24"/>
      <w:szCs w:val="20"/>
    </w:rPr>
  </w:style>
  <w:style w:type="paragraph" w:styleId="16">
    <w:name w:val="Body Text"/>
    <w:basedOn w:val="1"/>
    <w:next w:val="1"/>
    <w:link w:val="71"/>
    <w:autoRedefine/>
    <w:unhideWhenUsed/>
    <w:qFormat/>
    <w:uiPriority w:val="99"/>
    <w:pPr>
      <w:spacing w:after="120"/>
    </w:pPr>
    <w:rPr>
      <w:rFonts w:ascii="Times New Roman" w:hAnsi="Times New Roman"/>
      <w:szCs w:val="20"/>
    </w:rPr>
  </w:style>
  <w:style w:type="paragraph" w:styleId="17">
    <w:name w:val="Body Text Indent"/>
    <w:basedOn w:val="1"/>
    <w:link w:val="74"/>
    <w:autoRedefine/>
    <w:qFormat/>
    <w:uiPriority w:val="0"/>
    <w:pPr>
      <w:spacing w:after="120"/>
      <w:ind w:left="420" w:leftChars="200"/>
    </w:pPr>
    <w:rPr>
      <w:rFonts w:ascii="Times New Roman" w:hAnsi="Times New Roman"/>
      <w:szCs w:val="20"/>
    </w:rPr>
  </w:style>
  <w:style w:type="paragraph" w:styleId="18">
    <w:name w:val="Block Text"/>
    <w:basedOn w:val="1"/>
    <w:autoRedefine/>
    <w:qFormat/>
    <w:uiPriority w:val="0"/>
    <w:pPr>
      <w:autoSpaceDE w:val="0"/>
      <w:autoSpaceDN w:val="0"/>
      <w:adjustRightInd w:val="0"/>
      <w:spacing w:line="1270" w:lineRule="exact"/>
      <w:ind w:left="2160" w:right="-20" w:hanging="2160" w:hangingChars="300"/>
      <w:jc w:val="left"/>
    </w:pPr>
    <w:rPr>
      <w:rFonts w:ascii="Times New Roman" w:hAnsi="Times New Roman" w:eastAsia="仿宋_GB2312"/>
      <w:sz w:val="72"/>
      <w:szCs w:val="24"/>
    </w:rPr>
  </w:style>
  <w:style w:type="paragraph" w:styleId="19">
    <w:name w:val="toc 5"/>
    <w:basedOn w:val="1"/>
    <w:next w:val="1"/>
    <w:autoRedefine/>
    <w:qFormat/>
    <w:uiPriority w:val="39"/>
    <w:pPr>
      <w:ind w:left="800" w:leftChars="800"/>
    </w:pPr>
  </w:style>
  <w:style w:type="paragraph" w:styleId="20">
    <w:name w:val="toc 3"/>
    <w:basedOn w:val="1"/>
    <w:next w:val="1"/>
    <w:autoRedefine/>
    <w:qFormat/>
    <w:uiPriority w:val="39"/>
    <w:pPr>
      <w:ind w:left="400" w:leftChars="400"/>
    </w:pPr>
  </w:style>
  <w:style w:type="paragraph" w:styleId="21">
    <w:name w:val="Plain Text"/>
    <w:basedOn w:val="1"/>
    <w:link w:val="75"/>
    <w:autoRedefine/>
    <w:qFormat/>
    <w:uiPriority w:val="0"/>
    <w:rPr>
      <w:rFonts w:ascii="宋体"/>
    </w:rPr>
  </w:style>
  <w:style w:type="paragraph" w:styleId="22">
    <w:name w:val="toc 8"/>
    <w:basedOn w:val="1"/>
    <w:next w:val="1"/>
    <w:autoRedefine/>
    <w:qFormat/>
    <w:uiPriority w:val="39"/>
    <w:pPr>
      <w:ind w:left="1400" w:leftChars="1400"/>
    </w:pPr>
  </w:style>
  <w:style w:type="paragraph" w:styleId="23">
    <w:name w:val="Date"/>
    <w:basedOn w:val="1"/>
    <w:next w:val="1"/>
    <w:link w:val="76"/>
    <w:autoRedefine/>
    <w:qFormat/>
    <w:uiPriority w:val="99"/>
    <w:pPr>
      <w:ind w:left="2500" w:leftChars="2500"/>
    </w:pPr>
    <w:rPr>
      <w:rFonts w:ascii="Times New Roman" w:hAnsi="Times New Roman"/>
      <w:szCs w:val="20"/>
    </w:rPr>
  </w:style>
  <w:style w:type="paragraph" w:styleId="24">
    <w:name w:val="Body Text Indent 2"/>
    <w:basedOn w:val="1"/>
    <w:autoRedefine/>
    <w:qFormat/>
    <w:uiPriority w:val="0"/>
    <w:pPr>
      <w:ind w:left="435"/>
    </w:pPr>
    <w:rPr>
      <w:sz w:val="24"/>
    </w:rPr>
  </w:style>
  <w:style w:type="paragraph" w:styleId="25">
    <w:name w:val="Balloon Text"/>
    <w:basedOn w:val="1"/>
    <w:link w:val="77"/>
    <w:autoRedefine/>
    <w:qFormat/>
    <w:uiPriority w:val="0"/>
    <w:rPr>
      <w:rFonts w:ascii="Times New Roman" w:hAnsi="Times New Roman"/>
      <w:sz w:val="18"/>
      <w:szCs w:val="20"/>
    </w:rPr>
  </w:style>
  <w:style w:type="paragraph" w:styleId="26">
    <w:name w:val="footer"/>
    <w:basedOn w:val="1"/>
    <w:link w:val="78"/>
    <w:autoRedefine/>
    <w:qFormat/>
    <w:uiPriority w:val="99"/>
    <w:pPr>
      <w:tabs>
        <w:tab w:val="center" w:pos="4153"/>
        <w:tab w:val="right" w:pos="8306"/>
      </w:tabs>
      <w:snapToGrid w:val="0"/>
      <w:jc w:val="left"/>
    </w:pPr>
    <w:rPr>
      <w:sz w:val="18"/>
    </w:rPr>
  </w:style>
  <w:style w:type="paragraph" w:styleId="27">
    <w:name w:val="header"/>
    <w:basedOn w:val="1"/>
    <w:link w:val="79"/>
    <w:autoRedefine/>
    <w:qFormat/>
    <w:uiPriority w:val="99"/>
    <w:pPr>
      <w:tabs>
        <w:tab w:val="center" w:pos="4153"/>
        <w:tab w:val="right" w:pos="8306"/>
      </w:tabs>
      <w:snapToGrid w:val="0"/>
    </w:pPr>
    <w:rPr>
      <w:rFonts w:ascii="Times New Roman" w:hAnsi="Times New Roman"/>
      <w:sz w:val="18"/>
      <w:szCs w:val="20"/>
    </w:rPr>
  </w:style>
  <w:style w:type="paragraph" w:styleId="28">
    <w:name w:val="toc 1"/>
    <w:basedOn w:val="1"/>
    <w:next w:val="1"/>
    <w:autoRedefine/>
    <w:qFormat/>
    <w:uiPriority w:val="39"/>
  </w:style>
  <w:style w:type="paragraph" w:styleId="29">
    <w:name w:val="toc 4"/>
    <w:basedOn w:val="1"/>
    <w:next w:val="1"/>
    <w:autoRedefine/>
    <w:qFormat/>
    <w:uiPriority w:val="39"/>
    <w:pPr>
      <w:ind w:left="600" w:leftChars="600"/>
    </w:pPr>
  </w:style>
  <w:style w:type="paragraph" w:styleId="30">
    <w:name w:val="Subtitle"/>
    <w:basedOn w:val="1"/>
    <w:link w:val="109"/>
    <w:autoRedefine/>
    <w:qFormat/>
    <w:uiPriority w:val="0"/>
    <w:pPr>
      <w:widowControl/>
      <w:jc w:val="center"/>
    </w:pPr>
    <w:rPr>
      <w:rFonts w:ascii="Times New Roman" w:hAnsi="Times New Roman"/>
      <w:kern w:val="0"/>
      <w:sz w:val="20"/>
      <w:szCs w:val="24"/>
      <w:u w:val="single"/>
      <w:lang w:eastAsia="en-US"/>
    </w:rPr>
  </w:style>
  <w:style w:type="paragraph" w:styleId="31">
    <w:name w:val="toc 6"/>
    <w:basedOn w:val="1"/>
    <w:next w:val="1"/>
    <w:autoRedefine/>
    <w:qFormat/>
    <w:uiPriority w:val="39"/>
    <w:pPr>
      <w:ind w:left="1000" w:leftChars="1000"/>
    </w:pPr>
  </w:style>
  <w:style w:type="paragraph" w:styleId="32">
    <w:name w:val="Body Text Indent 3"/>
    <w:basedOn w:val="1"/>
    <w:link w:val="80"/>
    <w:autoRedefine/>
    <w:qFormat/>
    <w:uiPriority w:val="0"/>
    <w:pPr>
      <w:spacing w:after="120"/>
      <w:ind w:left="200" w:leftChars="200"/>
    </w:pPr>
    <w:rPr>
      <w:sz w:val="16"/>
      <w:szCs w:val="16"/>
    </w:rPr>
  </w:style>
  <w:style w:type="paragraph" w:styleId="33">
    <w:name w:val="toc 2"/>
    <w:basedOn w:val="1"/>
    <w:next w:val="1"/>
    <w:autoRedefine/>
    <w:qFormat/>
    <w:uiPriority w:val="39"/>
    <w:pPr>
      <w:ind w:left="200" w:leftChars="200"/>
    </w:pPr>
  </w:style>
  <w:style w:type="paragraph" w:styleId="34">
    <w:name w:val="toc 9"/>
    <w:basedOn w:val="1"/>
    <w:next w:val="1"/>
    <w:autoRedefine/>
    <w:qFormat/>
    <w:uiPriority w:val="39"/>
    <w:pPr>
      <w:ind w:left="1600" w:leftChars="1600"/>
    </w:pPr>
  </w:style>
  <w:style w:type="paragraph" w:styleId="35">
    <w:name w:val="Normal (Web)"/>
    <w:basedOn w:val="1"/>
    <w:autoRedefine/>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autoRedefine/>
    <w:qFormat/>
    <w:uiPriority w:val="0"/>
    <w:pPr>
      <w:spacing w:line="220" w:lineRule="exact"/>
      <w:jc w:val="center"/>
    </w:pPr>
    <w:rPr>
      <w:rFonts w:ascii="仿宋_GB2312" w:hAnsi="Times New Roman" w:eastAsia="仿宋_GB2312"/>
      <w:szCs w:val="21"/>
    </w:rPr>
  </w:style>
  <w:style w:type="paragraph" w:styleId="37">
    <w:name w:val="Title"/>
    <w:basedOn w:val="1"/>
    <w:link w:val="8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4"/>
    <w:next w:val="14"/>
    <w:link w:val="69"/>
    <w:autoRedefine/>
    <w:qFormat/>
    <w:uiPriority w:val="0"/>
  </w:style>
  <w:style w:type="paragraph" w:styleId="39">
    <w:name w:val="Body Text First Indent"/>
    <w:basedOn w:val="16"/>
    <w:next w:val="1"/>
    <w:link w:val="70"/>
    <w:autoRedefine/>
    <w:qFormat/>
    <w:uiPriority w:val="0"/>
    <w:pPr>
      <w:spacing w:line="360" w:lineRule="auto"/>
      <w:ind w:firstLine="420" w:firstLineChars="200"/>
    </w:pPr>
    <w:rPr>
      <w:rFonts w:ascii="宋体" w:hAnsi="宋体"/>
      <w:strike/>
      <w:szCs w:val="21"/>
    </w:rPr>
  </w:style>
  <w:style w:type="table" w:styleId="41">
    <w:name w:val="Table Grid"/>
    <w:basedOn w:val="40"/>
    <w:autoRedefine/>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3">
    <w:name w:val="Strong"/>
    <w:autoRedefine/>
    <w:qFormat/>
    <w:uiPriority w:val="0"/>
    <w:rPr>
      <w:b/>
      <w:bCs/>
    </w:rPr>
  </w:style>
  <w:style w:type="character" w:styleId="44">
    <w:name w:val="page number"/>
    <w:basedOn w:val="42"/>
    <w:autoRedefine/>
    <w:qFormat/>
    <w:uiPriority w:val="0"/>
  </w:style>
  <w:style w:type="character" w:styleId="45">
    <w:name w:val="FollowedHyperlink"/>
    <w:basedOn w:val="42"/>
    <w:autoRedefine/>
    <w:semiHidden/>
    <w:unhideWhenUsed/>
    <w:qFormat/>
    <w:uiPriority w:val="99"/>
    <w:rPr>
      <w:color w:val="800080"/>
      <w:u w:val="none"/>
    </w:rPr>
  </w:style>
  <w:style w:type="character" w:styleId="46">
    <w:name w:val="Emphasis"/>
    <w:basedOn w:val="42"/>
    <w:autoRedefine/>
    <w:qFormat/>
    <w:uiPriority w:val="0"/>
  </w:style>
  <w:style w:type="character" w:styleId="47">
    <w:name w:val="HTML Definition"/>
    <w:basedOn w:val="42"/>
    <w:autoRedefine/>
    <w:semiHidden/>
    <w:unhideWhenUsed/>
    <w:qFormat/>
    <w:uiPriority w:val="0"/>
  </w:style>
  <w:style w:type="character" w:styleId="48">
    <w:name w:val="HTML Typewriter"/>
    <w:basedOn w:val="42"/>
    <w:autoRedefine/>
    <w:semiHidden/>
    <w:unhideWhenUsed/>
    <w:qFormat/>
    <w:uiPriority w:val="0"/>
    <w:rPr>
      <w:rFonts w:hint="default" w:ascii="monospace" w:hAnsi="monospace" w:eastAsia="monospace" w:cs="monospace"/>
      <w:sz w:val="20"/>
    </w:rPr>
  </w:style>
  <w:style w:type="character" w:styleId="49">
    <w:name w:val="HTML Acronym"/>
    <w:basedOn w:val="42"/>
    <w:autoRedefine/>
    <w:semiHidden/>
    <w:unhideWhenUsed/>
    <w:qFormat/>
    <w:uiPriority w:val="0"/>
  </w:style>
  <w:style w:type="character" w:styleId="50">
    <w:name w:val="HTML Variable"/>
    <w:basedOn w:val="42"/>
    <w:autoRedefine/>
    <w:semiHidden/>
    <w:unhideWhenUsed/>
    <w:qFormat/>
    <w:uiPriority w:val="0"/>
  </w:style>
  <w:style w:type="character" w:styleId="51">
    <w:name w:val="Hyperlink"/>
    <w:autoRedefine/>
    <w:qFormat/>
    <w:uiPriority w:val="99"/>
    <w:rPr>
      <w:color w:val="0000FF"/>
      <w:u w:val="single"/>
    </w:rPr>
  </w:style>
  <w:style w:type="character" w:styleId="52">
    <w:name w:val="HTML Code"/>
    <w:basedOn w:val="42"/>
    <w:autoRedefine/>
    <w:semiHidden/>
    <w:unhideWhenUsed/>
    <w:qFormat/>
    <w:uiPriority w:val="0"/>
    <w:rPr>
      <w:rFonts w:hint="default" w:ascii="monospace" w:hAnsi="monospace" w:eastAsia="monospace" w:cs="monospace"/>
      <w:sz w:val="20"/>
    </w:rPr>
  </w:style>
  <w:style w:type="character" w:styleId="53">
    <w:name w:val="annotation reference"/>
    <w:autoRedefine/>
    <w:qFormat/>
    <w:uiPriority w:val="0"/>
    <w:rPr>
      <w:sz w:val="21"/>
    </w:rPr>
  </w:style>
  <w:style w:type="character" w:styleId="54">
    <w:name w:val="HTML Cite"/>
    <w:basedOn w:val="42"/>
    <w:autoRedefine/>
    <w:semiHidden/>
    <w:unhideWhenUsed/>
    <w:qFormat/>
    <w:uiPriority w:val="0"/>
  </w:style>
  <w:style w:type="character" w:styleId="55">
    <w:name w:val="footnote reference"/>
    <w:autoRedefine/>
    <w:qFormat/>
    <w:uiPriority w:val="0"/>
    <w:rPr>
      <w:vertAlign w:val="superscript"/>
    </w:rPr>
  </w:style>
  <w:style w:type="character" w:styleId="56">
    <w:name w:val="HTML Keyboard"/>
    <w:basedOn w:val="42"/>
    <w:autoRedefine/>
    <w:semiHidden/>
    <w:unhideWhenUsed/>
    <w:qFormat/>
    <w:uiPriority w:val="0"/>
    <w:rPr>
      <w:rFonts w:hint="default" w:ascii="monospace" w:hAnsi="monospace" w:eastAsia="monospace" w:cs="monospace"/>
      <w:sz w:val="20"/>
    </w:rPr>
  </w:style>
  <w:style w:type="character" w:styleId="57">
    <w:name w:val="HTML Sample"/>
    <w:basedOn w:val="42"/>
    <w:autoRedefine/>
    <w:semiHidden/>
    <w:unhideWhenUsed/>
    <w:qFormat/>
    <w:uiPriority w:val="0"/>
    <w:rPr>
      <w:rFonts w:ascii="monospace" w:hAnsi="monospace" w:eastAsia="monospace" w:cs="monospace"/>
    </w:rPr>
  </w:style>
  <w:style w:type="paragraph" w:customStyle="1" w:styleId="58">
    <w:name w:val="目录 53"/>
    <w:next w:val="1"/>
    <w:autoRedefine/>
    <w:qFormat/>
    <w:uiPriority w:val="0"/>
    <w:pPr>
      <w:wordWrap w:val="0"/>
      <w:ind w:left="1275"/>
      <w:jc w:val="both"/>
    </w:pPr>
    <w:rPr>
      <w:rFonts w:ascii="Calibri" w:hAnsi="Calibri" w:eastAsia="等线" w:cs="Times New Roman"/>
      <w:sz w:val="21"/>
      <w:szCs w:val="22"/>
      <w:lang w:val="en-US" w:eastAsia="zh-CN" w:bidi="ar-SA"/>
    </w:rPr>
  </w:style>
  <w:style w:type="character" w:customStyle="1" w:styleId="59">
    <w:name w:val="标题 2 字符"/>
    <w:basedOn w:val="42"/>
    <w:link w:val="3"/>
    <w:autoRedefine/>
    <w:qFormat/>
    <w:uiPriority w:val="9"/>
    <w:rPr>
      <w:rFonts w:ascii="Arial" w:hAnsi="Arial" w:eastAsia="黑体"/>
      <w:b/>
      <w:kern w:val="2"/>
      <w:sz w:val="32"/>
    </w:rPr>
  </w:style>
  <w:style w:type="character" w:customStyle="1" w:styleId="60">
    <w:name w:val="标题 3 字符"/>
    <w:basedOn w:val="42"/>
    <w:link w:val="4"/>
    <w:autoRedefine/>
    <w:qFormat/>
    <w:uiPriority w:val="9"/>
    <w:rPr>
      <w:rFonts w:ascii="黑体" w:hAnsi="Calibri" w:eastAsia="黑体"/>
      <w:kern w:val="2"/>
      <w:sz w:val="28"/>
    </w:rPr>
  </w:style>
  <w:style w:type="character" w:customStyle="1" w:styleId="61">
    <w:name w:val="标题 1 字符"/>
    <w:basedOn w:val="42"/>
    <w:link w:val="2"/>
    <w:autoRedefine/>
    <w:qFormat/>
    <w:uiPriority w:val="9"/>
    <w:rPr>
      <w:rFonts w:eastAsia="宋体"/>
      <w:b/>
      <w:kern w:val="44"/>
      <w:sz w:val="44"/>
    </w:rPr>
  </w:style>
  <w:style w:type="character" w:customStyle="1" w:styleId="62">
    <w:name w:val="标题 4 字符"/>
    <w:basedOn w:val="42"/>
    <w:link w:val="5"/>
    <w:autoRedefine/>
    <w:qFormat/>
    <w:uiPriority w:val="9"/>
    <w:rPr>
      <w:rFonts w:ascii="Arial" w:hAnsi="Arial" w:eastAsia="黑体"/>
      <w:b/>
      <w:bCs/>
      <w:kern w:val="2"/>
      <w:sz w:val="28"/>
      <w:szCs w:val="28"/>
    </w:rPr>
  </w:style>
  <w:style w:type="character" w:customStyle="1" w:styleId="63">
    <w:name w:val="标题 5 字符"/>
    <w:basedOn w:val="42"/>
    <w:link w:val="6"/>
    <w:autoRedefine/>
    <w:semiHidden/>
    <w:qFormat/>
    <w:uiPriority w:val="9"/>
    <w:rPr>
      <w:rFonts w:eastAsia="宋体"/>
      <w:b/>
      <w:bCs/>
      <w:kern w:val="2"/>
      <w:sz w:val="28"/>
      <w:szCs w:val="28"/>
    </w:rPr>
  </w:style>
  <w:style w:type="character" w:customStyle="1" w:styleId="64">
    <w:name w:val="标题 6 字符"/>
    <w:basedOn w:val="42"/>
    <w:link w:val="7"/>
    <w:autoRedefine/>
    <w:qFormat/>
    <w:uiPriority w:val="0"/>
    <w:rPr>
      <w:rFonts w:ascii="Arial" w:hAnsi="Arial" w:eastAsia="黑体"/>
      <w:b/>
      <w:bCs/>
      <w:sz w:val="24"/>
    </w:rPr>
  </w:style>
  <w:style w:type="character" w:customStyle="1" w:styleId="65">
    <w:name w:val="标题 7 字符"/>
    <w:basedOn w:val="42"/>
    <w:link w:val="8"/>
    <w:autoRedefine/>
    <w:qFormat/>
    <w:uiPriority w:val="0"/>
    <w:rPr>
      <w:rFonts w:eastAsia="宋体"/>
      <w:b/>
      <w:bCs/>
      <w:sz w:val="24"/>
    </w:rPr>
  </w:style>
  <w:style w:type="character" w:customStyle="1" w:styleId="66">
    <w:name w:val="标题 8 字符"/>
    <w:basedOn w:val="42"/>
    <w:link w:val="9"/>
    <w:autoRedefine/>
    <w:qFormat/>
    <w:uiPriority w:val="0"/>
    <w:rPr>
      <w:rFonts w:ascii="Arial" w:hAnsi="Arial" w:eastAsia="黑体"/>
      <w:sz w:val="24"/>
    </w:rPr>
  </w:style>
  <w:style w:type="character" w:customStyle="1" w:styleId="67">
    <w:name w:val="标题 9 字符"/>
    <w:basedOn w:val="42"/>
    <w:link w:val="10"/>
    <w:autoRedefine/>
    <w:qFormat/>
    <w:uiPriority w:val="0"/>
    <w:rPr>
      <w:rFonts w:ascii="Arial" w:hAnsi="Arial" w:eastAsia="黑体"/>
      <w:sz w:val="21"/>
      <w:szCs w:val="21"/>
    </w:rPr>
  </w:style>
  <w:style w:type="character" w:customStyle="1" w:styleId="68">
    <w:name w:val="批注文字 字符"/>
    <w:basedOn w:val="42"/>
    <w:link w:val="14"/>
    <w:autoRedefine/>
    <w:qFormat/>
    <w:uiPriority w:val="0"/>
    <w:rPr>
      <w:rFonts w:eastAsia="宋体"/>
      <w:kern w:val="2"/>
      <w:sz w:val="21"/>
    </w:rPr>
  </w:style>
  <w:style w:type="character" w:customStyle="1" w:styleId="69">
    <w:name w:val="批注主题 字符"/>
    <w:link w:val="38"/>
    <w:autoRedefine/>
    <w:qFormat/>
    <w:uiPriority w:val="0"/>
    <w:rPr>
      <w:rFonts w:eastAsia="宋体"/>
      <w:kern w:val="2"/>
      <w:sz w:val="21"/>
    </w:rPr>
  </w:style>
  <w:style w:type="character" w:customStyle="1" w:styleId="70">
    <w:name w:val="正文文本首行缩进 字符"/>
    <w:basedOn w:val="71"/>
    <w:link w:val="39"/>
    <w:autoRedefine/>
    <w:qFormat/>
    <w:uiPriority w:val="0"/>
    <w:rPr>
      <w:rFonts w:ascii="宋体" w:hAnsi="宋体" w:eastAsia="宋体"/>
      <w:strike/>
      <w:kern w:val="2"/>
      <w:sz w:val="21"/>
      <w:szCs w:val="21"/>
    </w:rPr>
  </w:style>
  <w:style w:type="character" w:customStyle="1" w:styleId="71">
    <w:name w:val="正文文本 字符"/>
    <w:basedOn w:val="42"/>
    <w:link w:val="16"/>
    <w:autoRedefine/>
    <w:qFormat/>
    <w:uiPriority w:val="0"/>
    <w:rPr>
      <w:rFonts w:eastAsia="宋体"/>
      <w:kern w:val="2"/>
      <w:sz w:val="21"/>
    </w:rPr>
  </w:style>
  <w:style w:type="character" w:customStyle="1" w:styleId="72">
    <w:name w:val="文档结构图 字符"/>
    <w:link w:val="13"/>
    <w:autoRedefine/>
    <w:qFormat/>
    <w:uiPriority w:val="0"/>
    <w:rPr>
      <w:rFonts w:ascii="宋体" w:hAnsi="Calibri" w:eastAsia="宋体" w:cs="宋体"/>
      <w:kern w:val="2"/>
      <w:sz w:val="18"/>
      <w:szCs w:val="18"/>
    </w:rPr>
  </w:style>
  <w:style w:type="character" w:customStyle="1" w:styleId="73">
    <w:name w:val="正文文本 3 字符"/>
    <w:basedOn w:val="42"/>
    <w:link w:val="15"/>
    <w:autoRedefine/>
    <w:qFormat/>
    <w:uiPriority w:val="0"/>
    <w:rPr>
      <w:rFonts w:ascii="宋体" w:hAnsi="Calibri" w:eastAsia="宋体"/>
      <w:kern w:val="2"/>
      <w:sz w:val="24"/>
    </w:rPr>
  </w:style>
  <w:style w:type="character" w:customStyle="1" w:styleId="74">
    <w:name w:val="正文文本缩进 字符"/>
    <w:basedOn w:val="42"/>
    <w:link w:val="17"/>
    <w:autoRedefine/>
    <w:qFormat/>
    <w:uiPriority w:val="0"/>
    <w:rPr>
      <w:rFonts w:eastAsia="宋体"/>
      <w:kern w:val="2"/>
      <w:sz w:val="21"/>
    </w:rPr>
  </w:style>
  <w:style w:type="character" w:customStyle="1" w:styleId="75">
    <w:name w:val="纯文本 字符"/>
    <w:basedOn w:val="42"/>
    <w:link w:val="21"/>
    <w:autoRedefine/>
    <w:qFormat/>
    <w:uiPriority w:val="0"/>
    <w:rPr>
      <w:rFonts w:ascii="宋体"/>
      <w:kern w:val="2"/>
      <w:sz w:val="21"/>
      <w:szCs w:val="22"/>
    </w:rPr>
  </w:style>
  <w:style w:type="character" w:customStyle="1" w:styleId="76">
    <w:name w:val="日期 字符"/>
    <w:link w:val="23"/>
    <w:autoRedefine/>
    <w:qFormat/>
    <w:uiPriority w:val="99"/>
    <w:rPr>
      <w:rFonts w:eastAsia="宋体"/>
      <w:kern w:val="2"/>
      <w:sz w:val="21"/>
    </w:rPr>
  </w:style>
  <w:style w:type="character" w:customStyle="1" w:styleId="77">
    <w:name w:val="批注框文本 字符"/>
    <w:link w:val="25"/>
    <w:autoRedefine/>
    <w:qFormat/>
    <w:uiPriority w:val="0"/>
    <w:rPr>
      <w:rFonts w:eastAsia="宋体"/>
      <w:kern w:val="2"/>
      <w:sz w:val="18"/>
    </w:rPr>
  </w:style>
  <w:style w:type="character" w:customStyle="1" w:styleId="78">
    <w:name w:val="页脚 字符"/>
    <w:link w:val="26"/>
    <w:autoRedefine/>
    <w:qFormat/>
    <w:uiPriority w:val="99"/>
    <w:rPr>
      <w:rFonts w:ascii="Calibri" w:hAnsi="Calibri" w:eastAsia="宋体"/>
      <w:kern w:val="2"/>
      <w:sz w:val="18"/>
      <w:szCs w:val="22"/>
    </w:rPr>
  </w:style>
  <w:style w:type="character" w:customStyle="1" w:styleId="79">
    <w:name w:val="页眉 字符"/>
    <w:link w:val="27"/>
    <w:autoRedefine/>
    <w:qFormat/>
    <w:uiPriority w:val="99"/>
    <w:rPr>
      <w:rFonts w:eastAsia="宋体"/>
      <w:kern w:val="2"/>
      <w:sz w:val="18"/>
    </w:rPr>
  </w:style>
  <w:style w:type="character" w:customStyle="1" w:styleId="80">
    <w:name w:val="正文文本缩进 3 字符"/>
    <w:basedOn w:val="42"/>
    <w:link w:val="32"/>
    <w:autoRedefine/>
    <w:qFormat/>
    <w:uiPriority w:val="0"/>
    <w:rPr>
      <w:rFonts w:ascii="Calibri" w:hAnsi="Calibri" w:eastAsia="宋体"/>
      <w:kern w:val="2"/>
      <w:sz w:val="16"/>
      <w:szCs w:val="16"/>
    </w:rPr>
  </w:style>
  <w:style w:type="character" w:customStyle="1" w:styleId="81">
    <w:name w:val="标题 字符"/>
    <w:basedOn w:val="42"/>
    <w:link w:val="37"/>
    <w:autoRedefine/>
    <w:qFormat/>
    <w:uiPriority w:val="0"/>
    <w:rPr>
      <w:rFonts w:ascii="Arial" w:hAnsi="Arial" w:eastAsia="宋体"/>
      <w:b/>
      <w:sz w:val="32"/>
    </w:rPr>
  </w:style>
  <w:style w:type="character" w:customStyle="1" w:styleId="82">
    <w:name w:val="style_kwd"/>
    <w:basedOn w:val="42"/>
    <w:autoRedefine/>
    <w:qFormat/>
    <w:uiPriority w:val="0"/>
  </w:style>
  <w:style w:type="character" w:customStyle="1" w:styleId="83">
    <w:name w:val="批注文字 Char1"/>
    <w:autoRedefine/>
    <w:qFormat/>
    <w:uiPriority w:val="99"/>
    <w:rPr>
      <w:rFonts w:ascii="Times New Roman" w:hAnsi="Times New Roman" w:eastAsia="宋体" w:cs="Times New Roman"/>
      <w:sz w:val="20"/>
      <w:szCs w:val="20"/>
      <w:lang w:bidi="ar-SA"/>
    </w:rPr>
  </w:style>
  <w:style w:type="character" w:customStyle="1" w:styleId="84">
    <w:name w:val="Comment Text Char"/>
    <w:autoRedefine/>
    <w:qFormat/>
    <w:uiPriority w:val="0"/>
  </w:style>
  <w:style w:type="paragraph" w:customStyle="1" w:styleId="85">
    <w:name w:val="修订1"/>
    <w:autoRedefine/>
    <w:qFormat/>
    <w:uiPriority w:val="99"/>
    <w:rPr>
      <w:rFonts w:ascii="Times New Roman" w:hAnsi="Times New Roman" w:eastAsia="宋体" w:cs="Times New Roman"/>
      <w:kern w:val="2"/>
      <w:sz w:val="21"/>
      <w:lang w:val="en-US" w:eastAsia="zh-CN" w:bidi="ar-SA"/>
    </w:rPr>
  </w:style>
  <w:style w:type="paragraph" w:customStyle="1" w:styleId="86">
    <w:name w:val="_Style 23"/>
    <w:basedOn w:val="1"/>
    <w:autoRedefine/>
    <w:qFormat/>
    <w:uiPriority w:val="0"/>
    <w:pPr>
      <w:widowControl/>
      <w:spacing w:after="160" w:line="240" w:lineRule="exact"/>
      <w:jc w:val="left"/>
    </w:pPr>
  </w:style>
  <w:style w:type="paragraph" w:customStyle="1" w:styleId="87">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rPr>
  </w:style>
  <w:style w:type="character" w:customStyle="1" w:styleId="88">
    <w:name w:val="font161"/>
    <w:autoRedefine/>
    <w:qFormat/>
    <w:uiPriority w:val="0"/>
    <w:rPr>
      <w:b/>
      <w:bCs/>
      <w:sz w:val="32"/>
      <w:szCs w:val="32"/>
    </w:rPr>
  </w:style>
  <w:style w:type="character" w:customStyle="1" w:styleId="89">
    <w:name w:val="正文首行缩进 Char"/>
    <w:basedOn w:val="90"/>
    <w:autoRedefine/>
    <w:qFormat/>
    <w:uiPriority w:val="0"/>
    <w:rPr>
      <w:rFonts w:eastAsia="宋体"/>
      <w:kern w:val="2"/>
      <w:sz w:val="21"/>
      <w:szCs w:val="24"/>
      <w:lang w:val="en-US" w:eastAsia="zh-CN" w:bidi="ar-SA"/>
    </w:rPr>
  </w:style>
  <w:style w:type="character" w:customStyle="1" w:styleId="90">
    <w:name w:val="正文文本 Char"/>
    <w:autoRedefine/>
    <w:qFormat/>
    <w:uiPriority w:val="99"/>
    <w:rPr>
      <w:rFonts w:eastAsia="宋体"/>
      <w:kern w:val="2"/>
      <w:sz w:val="21"/>
      <w:szCs w:val="24"/>
      <w:lang w:val="en-US" w:eastAsia="zh-CN" w:bidi="ar-SA"/>
    </w:rPr>
  </w:style>
  <w:style w:type="paragraph" w:customStyle="1" w:styleId="91">
    <w:name w:val="表格文字"/>
    <w:basedOn w:val="1"/>
    <w:autoRedefine/>
    <w:qFormat/>
    <w:uiPriority w:val="0"/>
    <w:pPr>
      <w:adjustRightInd w:val="0"/>
      <w:spacing w:line="420" w:lineRule="atLeast"/>
      <w:jc w:val="left"/>
      <w:textAlignment w:val="baseline"/>
    </w:pPr>
    <w:rPr>
      <w:rFonts w:ascii="Times New Roman" w:hAnsi="Times New Roman"/>
      <w:kern w:val="0"/>
      <w:szCs w:val="20"/>
    </w:rPr>
  </w:style>
  <w:style w:type="paragraph" w:customStyle="1" w:styleId="92">
    <w:name w:val="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3">
    <w:name w:val="列出段落1"/>
    <w:basedOn w:val="1"/>
    <w:autoRedefine/>
    <w:qFormat/>
    <w:uiPriority w:val="0"/>
    <w:pPr>
      <w:ind w:firstLine="420" w:firstLineChars="200"/>
    </w:pPr>
  </w:style>
  <w:style w:type="paragraph" w:customStyle="1" w:styleId="94">
    <w:name w:val="我的正文"/>
    <w:basedOn w:val="1"/>
    <w:autoRedefine/>
    <w:qFormat/>
    <w:uiPriority w:val="0"/>
    <w:rPr>
      <w:rFonts w:ascii="宋体" w:hAnsi="宋体"/>
      <w:sz w:val="24"/>
      <w:szCs w:val="24"/>
    </w:rPr>
  </w:style>
  <w:style w:type="paragraph" w:customStyle="1" w:styleId="95">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sz w:val="28"/>
    </w:rPr>
  </w:style>
  <w:style w:type="paragraph" w:customStyle="1" w:styleId="96">
    <w:name w:val="样式2"/>
    <w:basedOn w:val="4"/>
    <w:autoRedefine/>
    <w:qFormat/>
    <w:uiPriority w:val="0"/>
    <w:pPr>
      <w:spacing w:line="415" w:lineRule="auto"/>
      <w:ind w:firstLine="137"/>
    </w:pPr>
    <w:rPr>
      <w:rFonts w:hAnsi="Times New Roman"/>
      <w:bCs/>
      <w:i/>
      <w:szCs w:val="28"/>
    </w:rPr>
  </w:style>
  <w:style w:type="paragraph" w:customStyle="1" w:styleId="97">
    <w:name w:val="Char1"/>
    <w:basedOn w:val="1"/>
    <w:autoRedefine/>
    <w:qFormat/>
    <w:uiPriority w:val="0"/>
    <w:pPr>
      <w:tabs>
        <w:tab w:val="left" w:pos="360"/>
      </w:tabs>
    </w:pPr>
    <w:rPr>
      <w:rFonts w:ascii="Times New Roman" w:hAnsi="Times New Roman"/>
      <w:sz w:val="24"/>
      <w:szCs w:val="20"/>
    </w:rPr>
  </w:style>
  <w:style w:type="paragraph" w:customStyle="1" w:styleId="98">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99">
    <w:name w:val="样式1"/>
    <w:basedOn w:val="1"/>
    <w:next w:val="5"/>
    <w:autoRedefine/>
    <w:qFormat/>
    <w:uiPriority w:val="0"/>
    <w:pPr>
      <w:spacing w:line="360" w:lineRule="auto"/>
      <w:ind w:firstLine="420" w:firstLineChars="200"/>
    </w:pPr>
    <w:rPr>
      <w:rFonts w:ascii="宋体" w:hAnsi="宋体"/>
      <w:szCs w:val="21"/>
    </w:rPr>
  </w:style>
  <w:style w:type="paragraph" w:customStyle="1" w:styleId="100">
    <w:name w:val="6'"/>
    <w:basedOn w:val="1"/>
    <w:autoRedefine/>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101">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sz w:val="32"/>
    </w:rPr>
  </w:style>
  <w:style w:type="paragraph" w:customStyle="1" w:styleId="102">
    <w:name w:val="样式 标题 3 + (中文) 黑体 小四 非加粗 段前: 7.8 磅 段后: 0 磅 行距: 固定值 20 磅"/>
    <w:basedOn w:val="4"/>
    <w:autoRedefine/>
    <w:qFormat/>
    <w:uiPriority w:val="0"/>
    <w:pPr>
      <w:spacing w:before="0" w:after="0" w:line="400" w:lineRule="exact"/>
      <w:ind w:firstLine="137"/>
    </w:pPr>
    <w:rPr>
      <w:rFonts w:hAnsi="Times New Roman" w:cs="宋体"/>
      <w:sz w:val="24"/>
    </w:rPr>
  </w:style>
  <w:style w:type="paragraph" w:customStyle="1" w:styleId="103">
    <w:name w:val="1"/>
    <w:basedOn w:val="1"/>
    <w:autoRedefine/>
    <w:qFormat/>
    <w:uiPriority w:val="0"/>
    <w:rPr>
      <w:rFonts w:ascii="Times New Roman" w:hAnsi="Times New Roman"/>
      <w:szCs w:val="20"/>
    </w:rPr>
  </w:style>
  <w:style w:type="paragraph" w:customStyle="1" w:styleId="104">
    <w:name w:val="表格"/>
    <w:basedOn w:val="1"/>
    <w:autoRedefine/>
    <w:qFormat/>
    <w:uiPriority w:val="0"/>
    <w:pPr>
      <w:jc w:val="center"/>
      <w:textAlignment w:val="center"/>
    </w:pPr>
    <w:rPr>
      <w:rFonts w:ascii="华文细黑" w:hAnsi="华文细黑"/>
      <w:kern w:val="0"/>
      <w:szCs w:val="20"/>
    </w:rPr>
  </w:style>
  <w:style w:type="paragraph" w:customStyle="1" w:styleId="105">
    <w:name w:val="修订2"/>
    <w:autoRedefine/>
    <w:qFormat/>
    <w:uiPriority w:val="0"/>
    <w:rPr>
      <w:rFonts w:ascii="Times New Roman" w:hAnsi="Times New Roman" w:eastAsia="宋体" w:cs="Times New Roman"/>
      <w:kern w:val="2"/>
      <w:sz w:val="21"/>
      <w:szCs w:val="24"/>
      <w:lang w:val="en-US" w:eastAsia="zh-CN" w:bidi="ar-SA"/>
    </w:rPr>
  </w:style>
  <w:style w:type="paragraph" w:customStyle="1" w:styleId="106">
    <w:name w:val="样式 正文首行缩进 + 首行缩进:  2 字符1 Char Char"/>
    <w:basedOn w:val="1"/>
    <w:autoRedefine/>
    <w:qFormat/>
    <w:uiPriority w:val="0"/>
    <w:pPr>
      <w:adjustRightInd w:val="0"/>
      <w:spacing w:after="120" w:line="400" w:lineRule="exact"/>
      <w:ind w:firstLine="480" w:firstLineChars="100"/>
    </w:pPr>
    <w:rPr>
      <w:rFonts w:ascii="宋体" w:hAnsi="宋体" w:eastAsia="仿宋_GB2312" w:cs="宋体"/>
      <w:color w:val="000000"/>
      <w:sz w:val="24"/>
      <w:szCs w:val="20"/>
    </w:rPr>
  </w:style>
  <w:style w:type="paragraph" w:customStyle="1" w:styleId="107">
    <w:name w:val="修订3"/>
    <w:autoRedefine/>
    <w:hidden/>
    <w:unhideWhenUsed/>
    <w:qFormat/>
    <w:uiPriority w:val="99"/>
    <w:rPr>
      <w:rFonts w:ascii="Calibri" w:hAnsi="Calibri" w:eastAsia="宋体" w:cs="Times New Roman"/>
      <w:kern w:val="2"/>
      <w:sz w:val="21"/>
      <w:szCs w:val="22"/>
      <w:lang w:val="en-US" w:eastAsia="zh-CN" w:bidi="ar-SA"/>
    </w:rPr>
  </w:style>
  <w:style w:type="character" w:customStyle="1" w:styleId="108">
    <w:name w:val="标题 2 Char2"/>
    <w:autoRedefine/>
    <w:qFormat/>
    <w:uiPriority w:val="0"/>
    <w:rPr>
      <w:rFonts w:ascii="Cambria" w:hAnsi="Cambria" w:eastAsia="宋体"/>
      <w:b/>
      <w:bCs/>
      <w:kern w:val="2"/>
      <w:sz w:val="32"/>
      <w:szCs w:val="32"/>
      <w:lang w:val="en-US" w:eastAsia="zh-CN" w:bidi="ar-SA"/>
    </w:rPr>
  </w:style>
  <w:style w:type="character" w:customStyle="1" w:styleId="109">
    <w:name w:val="副标题 字符"/>
    <w:link w:val="30"/>
    <w:autoRedefine/>
    <w:qFormat/>
    <w:uiPriority w:val="0"/>
    <w:rPr>
      <w:rFonts w:ascii="Times New Roman" w:hAnsi="Times New Roman"/>
      <w:szCs w:val="24"/>
      <w:u w:val="single"/>
      <w:lang w:eastAsia="en-US"/>
    </w:rPr>
  </w:style>
  <w:style w:type="character" w:customStyle="1" w:styleId="110">
    <w:name w:val="副标题 Char"/>
    <w:basedOn w:val="42"/>
    <w:autoRedefine/>
    <w:qFormat/>
    <w:uiPriority w:val="0"/>
    <w:rPr>
      <w:rFonts w:asciiTheme="majorHAnsi" w:hAnsiTheme="majorHAnsi" w:cstheme="majorBidi"/>
      <w:b/>
      <w:bCs/>
      <w:kern w:val="28"/>
      <w:sz w:val="32"/>
      <w:szCs w:val="32"/>
    </w:rPr>
  </w:style>
  <w:style w:type="paragraph" w:customStyle="1" w:styleId="111">
    <w:name w:val="正  文"/>
    <w:basedOn w:val="1"/>
    <w:autoRedefine/>
    <w:qFormat/>
    <w:uiPriority w:val="0"/>
    <w:pPr>
      <w:spacing w:line="360" w:lineRule="auto"/>
      <w:ind w:firstLine="200" w:firstLineChars="200"/>
    </w:pPr>
    <w:rPr>
      <w:rFonts w:ascii="宋体"/>
      <w:sz w:val="24"/>
      <w:szCs w:val="24"/>
    </w:rPr>
  </w:style>
  <w:style w:type="character" w:customStyle="1" w:styleId="112">
    <w:name w:val="副标题 Char3"/>
    <w:autoRedefine/>
    <w:qFormat/>
    <w:uiPriority w:val="0"/>
    <w:rPr>
      <w:rFonts w:eastAsia="宋体"/>
      <w:szCs w:val="24"/>
      <w:u w:val="single"/>
      <w:lang w:val="en-US" w:eastAsia="en-US" w:bidi="ar-SA"/>
    </w:rPr>
  </w:style>
  <w:style w:type="paragraph" w:customStyle="1" w:styleId="113">
    <w:name w:val="_Style 10"/>
    <w:basedOn w:val="2"/>
    <w:next w:val="1"/>
    <w:autoRedefine/>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14">
    <w:name w:val="TOC 标题2"/>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 w:val="28"/>
      <w:szCs w:val="28"/>
    </w:rPr>
  </w:style>
  <w:style w:type="character" w:customStyle="1" w:styleId="115">
    <w:name w:val="Char Char10"/>
    <w:basedOn w:val="42"/>
    <w:autoRedefine/>
    <w:qFormat/>
    <w:uiPriority w:val="0"/>
    <w:rPr>
      <w:rFonts w:ascii="宋体" w:hAnsi="Courier New" w:eastAsia="宋体"/>
      <w:kern w:val="2"/>
      <w:sz w:val="24"/>
      <w:szCs w:val="24"/>
      <w:lang w:val="en-US" w:eastAsia="zh-CN" w:bidi="ar-SA"/>
    </w:rPr>
  </w:style>
  <w:style w:type="paragraph" w:customStyle="1" w:styleId="116">
    <w:name w:val="列出段落11"/>
    <w:basedOn w:val="1"/>
    <w:autoRedefine/>
    <w:qFormat/>
    <w:uiPriority w:val="34"/>
    <w:pPr>
      <w:ind w:firstLine="420" w:firstLineChars="200"/>
    </w:pPr>
    <w:rPr>
      <w:rFonts w:ascii="Times New Roman" w:hAnsi="Times New Roman"/>
      <w:szCs w:val="24"/>
    </w:rPr>
  </w:style>
  <w:style w:type="paragraph" w:customStyle="1" w:styleId="117">
    <w:name w:val="列出段落2"/>
    <w:basedOn w:val="1"/>
    <w:autoRedefine/>
    <w:unhideWhenUsed/>
    <w:qFormat/>
    <w:uiPriority w:val="34"/>
    <w:pPr>
      <w:ind w:firstLine="420" w:firstLineChars="200"/>
    </w:pPr>
    <w:rPr>
      <w:rFonts w:ascii="Times New Roman" w:hAnsi="Times New Roman"/>
      <w:szCs w:val="24"/>
    </w:rPr>
  </w:style>
  <w:style w:type="paragraph" w:customStyle="1" w:styleId="118">
    <w:name w:val="Normal_29_0"/>
    <w:autoRedefine/>
    <w:qFormat/>
    <w:uiPriority w:val="0"/>
    <w:pPr>
      <w:spacing w:before="120" w:after="240"/>
      <w:jc w:val="both"/>
    </w:pPr>
    <w:rPr>
      <w:rFonts w:asciiTheme="minorHAnsi" w:hAnsiTheme="minorHAnsi" w:eastAsiaTheme="minorHAnsi" w:cstheme="minorBidi"/>
      <w:sz w:val="22"/>
      <w:szCs w:val="22"/>
      <w:lang w:val="en-US" w:eastAsia="en-US" w:bidi="ar-SA"/>
    </w:rPr>
  </w:style>
  <w:style w:type="character" w:customStyle="1" w:styleId="119">
    <w:name w:val="标题 5 Char1"/>
    <w:basedOn w:val="42"/>
    <w:autoRedefine/>
    <w:qFormat/>
    <w:uiPriority w:val="9"/>
    <w:rPr>
      <w:rFonts w:ascii="Times New Roman" w:hAnsi="Times New Roman" w:eastAsia="宋体" w:cs="Times New Roman"/>
      <w:b/>
      <w:bCs/>
      <w:sz w:val="28"/>
      <w:szCs w:val="28"/>
    </w:rPr>
  </w:style>
  <w:style w:type="character" w:customStyle="1" w:styleId="120">
    <w:name w:val="标题 3 Char2"/>
    <w:autoRedefine/>
    <w:qFormat/>
    <w:uiPriority w:val="0"/>
    <w:rPr>
      <w:rFonts w:eastAsia="宋体"/>
      <w:b/>
      <w:bCs/>
      <w:kern w:val="2"/>
      <w:sz w:val="32"/>
      <w:szCs w:val="32"/>
      <w:lang w:val="en-US" w:eastAsia="zh-CN" w:bidi="ar-SA"/>
    </w:rPr>
  </w:style>
  <w:style w:type="character" w:customStyle="1" w:styleId="121">
    <w:name w:val="标题 4 Char1"/>
    <w:autoRedefine/>
    <w:qFormat/>
    <w:uiPriority w:val="0"/>
    <w:rPr>
      <w:rFonts w:ascii="宋体" w:hAnsi="宋体" w:eastAsia="宋体" w:cs="宋体"/>
      <w:b/>
      <w:bCs/>
      <w:sz w:val="24"/>
      <w:szCs w:val="24"/>
    </w:rPr>
  </w:style>
  <w:style w:type="character" w:customStyle="1" w:styleId="122">
    <w:name w:val="纯文本 Char3"/>
    <w:autoRedefine/>
    <w:qFormat/>
    <w:uiPriority w:val="0"/>
    <w:rPr>
      <w:rFonts w:ascii="宋体" w:hAnsi="Courier New" w:eastAsia="宋体" w:cs="Courier New"/>
      <w:kern w:val="2"/>
      <w:sz w:val="21"/>
      <w:szCs w:val="21"/>
      <w:lang w:val="en-US" w:eastAsia="zh-CN" w:bidi="ar-SA"/>
    </w:rPr>
  </w:style>
  <w:style w:type="character" w:customStyle="1" w:styleId="123">
    <w:name w:val="NormalCharacter"/>
    <w:autoRedefine/>
    <w:semiHidden/>
    <w:qFormat/>
    <w:uiPriority w:val="0"/>
  </w:style>
  <w:style w:type="character" w:customStyle="1" w:styleId="124">
    <w:name w:val="正文文本 (2)_"/>
    <w:link w:val="125"/>
    <w:autoRedefine/>
    <w:qFormat/>
    <w:uiPriority w:val="0"/>
    <w:rPr>
      <w:rFonts w:ascii="宋体" w:hAnsi="宋体"/>
      <w:kern w:val="0"/>
      <w:sz w:val="20"/>
      <w:szCs w:val="20"/>
    </w:rPr>
  </w:style>
  <w:style w:type="paragraph" w:customStyle="1" w:styleId="125">
    <w:name w:val="正文文本 (2)1"/>
    <w:basedOn w:val="1"/>
    <w:link w:val="124"/>
    <w:autoRedefine/>
    <w:qFormat/>
    <w:uiPriority w:val="0"/>
    <w:pPr>
      <w:shd w:val="clear" w:color="auto" w:fill="FFFFFF"/>
      <w:spacing w:before="120" w:line="379" w:lineRule="exact"/>
      <w:ind w:hanging="420"/>
      <w:jc w:val="left"/>
    </w:pPr>
    <w:rPr>
      <w:rFonts w:ascii="宋体" w:hAnsi="宋体"/>
      <w:kern w:val="0"/>
      <w:sz w:val="20"/>
      <w:szCs w:val="20"/>
    </w:rPr>
  </w:style>
  <w:style w:type="paragraph" w:customStyle="1" w:styleId="126">
    <w:name w:val="Table Paragraph"/>
    <w:basedOn w:val="1"/>
    <w:autoRedefine/>
    <w:qFormat/>
    <w:uiPriority w:val="1"/>
  </w:style>
  <w:style w:type="paragraph" w:customStyle="1" w:styleId="127">
    <w:name w:val="pa-34"/>
    <w:basedOn w:val="1"/>
    <w:autoRedefine/>
    <w:qFormat/>
    <w:uiPriority w:val="0"/>
    <w:pPr>
      <w:widowControl/>
      <w:spacing w:line="360" w:lineRule="atLeast"/>
      <w:ind w:firstLine="420"/>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BDA800-0F33-4606-81F2-0B2374E04EB0}">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56</Pages>
  <Words>2461</Words>
  <Characters>2846</Characters>
  <Lines>263</Lines>
  <Paragraphs>74</Paragraphs>
  <TotalTime>16</TotalTime>
  <ScaleCrop>false</ScaleCrop>
  <LinksUpToDate>false</LinksUpToDate>
  <CharactersWithSpaces>3188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2022-06-15T15:54:00Z</dcterms:created>
  <dc:creator>袁静</dc:creator>
  <cp:lastModifiedBy>团结友爱</cp:lastModifiedBy>
  <cp:lastPrinted>2026-03-05T07:17:00Z</cp:lastPrinted>
  <dcterms:modified xsi:type="dcterms:W3CDTF">2026-03-11T09:12:42Z</dcterms:modified>
  <dc:title>中华人民共和国</dc:title>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260A0779F4834EF69F8F23CEEF52C0B4_13</vt:lpwstr>
  </property>
  <property fmtid="{D5CDD505-2E9C-101B-9397-08002B2CF9AE}" pid="4" name="KSOTemplateDocerSaveRecord">
    <vt:lpwstr>eyJoZGlkIjoiNDcxNDhjNzE4ODJmNTI4Y2E0MDFjYjU3YTc1MGZjNWYiLCJ1c2VySWQiOiI5Njk4MzE1NDYifQ==</vt:lpwstr>
  </property>
</Properties>
</file>